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3C068D">
      <w:pPr>
        <w:spacing w:before="120" w:beforeLines="50" w:after="120" w:afterLines="50"/>
        <w:rPr>
          <w:bCs w:val="0"/>
          <w:color w:val="000000" w:themeColor="text1"/>
          <w14:textFill>
            <w14:solidFill>
              <w14:schemeClr w14:val="tx1"/>
            </w14:solidFill>
          </w14:textFill>
        </w:rPr>
      </w:pPr>
      <w:bookmarkStart w:id="504" w:name="_GoBack"/>
      <w:bookmarkEnd w:id="504"/>
      <w:sdt>
        <w:sdtPr>
          <w:tag w:val="_PLD_e2023e93e9d5454698c56f4b7265ca56"/>
          <w:id w:val="147463786"/>
        </w:sdtPr>
        <w:sdtContent>
          <w:r>
            <w:rPr>
              <w:rFonts w:hint="eastAsia"/>
              <w:color w:val="000000" w:themeColor="text1"/>
              <w14:textFill>
                <w14:solidFill>
                  <w14:schemeClr w14:val="tx1"/>
                </w14:solidFill>
              </w14:textFill>
            </w:rPr>
            <w:t>公司代码：</w:t>
          </w:r>
        </w:sdtContent>
      </w:sdt>
      <w:sdt>
        <w:sdtPr>
          <w:rPr>
            <w:rFonts w:hint="eastAsia"/>
            <w:bCs w:val="0"/>
          </w:rPr>
          <w:alias w:val="公司代码"/>
          <w:tag w:val="_GBC_704b7b03ea3f4a93b8d4655a09b2ff61"/>
          <w:id w:val="147478965"/>
          <w:placeholder>
            <w:docPart w:val="GBC22222222222222222222222222222"/>
          </w:placeholder>
        </w:sdtPr>
        <w:sdtEndPr>
          <w:rPr>
            <w:rFonts w:hint="eastAsia"/>
            <w:bCs w:val="0"/>
          </w:rPr>
        </w:sdtEndPr>
        <w:sdtContent>
          <w:r>
            <w:rPr>
              <w:rFonts w:hint="eastAsia"/>
              <w:bCs w:val="0"/>
            </w:rPr>
            <w:t>601718</w:t>
          </w:r>
        </w:sdtContent>
      </w:sdt>
      <w:r>
        <w:rPr>
          <w:rFonts w:hint="eastAsia"/>
          <w:color w:val="000000" w:themeColor="text1"/>
          <w14:textFill>
            <w14:solidFill>
              <w14:schemeClr w14:val="tx1"/>
            </w14:solidFill>
          </w14:textFill>
        </w:rPr>
        <w:t xml:space="preserve">                      　　　　　　　　　　</w:t>
      </w:r>
      <w:sdt>
        <w:sdtPr>
          <w:tag w:val="_PLD_9cd7c9dfc1e1482cb001b3fad058a63c"/>
          <w:id w:val="147481154"/>
        </w:sdtPr>
        <w:sdtContent>
          <w:r>
            <w:rPr>
              <w:rFonts w:hint="eastAsia"/>
              <w:color w:val="000000" w:themeColor="text1"/>
              <w14:textFill>
                <w14:solidFill>
                  <w14:schemeClr w14:val="tx1"/>
                </w14:solidFill>
              </w14:textFill>
            </w:rPr>
            <w:t>公司简称：</w:t>
          </w:r>
        </w:sdtContent>
      </w:sdt>
      <w:sdt>
        <w:sdtPr>
          <w:rPr>
            <w:rFonts w:hint="eastAsia"/>
            <w:bCs w:val="0"/>
          </w:rPr>
          <w:alias w:val="公司简称"/>
          <w:tag w:val="_GBC_0384ae715a1e4b4894a29e4d27f5bef4"/>
          <w:id w:val="147470815"/>
          <w:placeholder>
            <w:docPart w:val="GBC22222222222222222222222222222"/>
          </w:placeholder>
        </w:sdtPr>
        <w:sdtEndPr>
          <w:rPr>
            <w:rFonts w:hint="eastAsia"/>
            <w:bCs w:val="0"/>
          </w:rPr>
        </w:sdtEndPr>
        <w:sdtContent>
          <w:r>
            <w:rPr>
              <w:rFonts w:hint="eastAsia"/>
              <w:bCs w:val="0"/>
            </w:rPr>
            <w:t>际华集团</w:t>
          </w:r>
        </w:sdtContent>
      </w:sdt>
    </w:p>
    <w:p w14:paraId="0A2CAC9D">
      <w:pPr>
        <w:rPr>
          <w:color w:val="000000" w:themeColor="text1"/>
          <w14:textFill>
            <w14:solidFill>
              <w14:schemeClr w14:val="tx1"/>
            </w14:solidFill>
          </w14:textFill>
        </w:rPr>
      </w:pPr>
    </w:p>
    <w:p w14:paraId="15614D7F">
      <w:pPr>
        <w:rPr>
          <w:color w:val="000000" w:themeColor="text1"/>
          <w14:textFill>
            <w14:solidFill>
              <w14:schemeClr w14:val="tx1"/>
            </w14:solidFill>
          </w14:textFill>
        </w:rPr>
      </w:pPr>
    </w:p>
    <w:p w14:paraId="7B6B1580">
      <w:pPr>
        <w:rPr>
          <w:color w:val="000000" w:themeColor="text1"/>
          <w14:textFill>
            <w14:solidFill>
              <w14:schemeClr w14:val="tx1"/>
            </w14:solidFill>
          </w14:textFill>
        </w:rPr>
      </w:pPr>
    </w:p>
    <w:p w14:paraId="2D058E34">
      <w:pPr>
        <w:rPr>
          <w:color w:val="000000" w:themeColor="text1"/>
          <w14:textFill>
            <w14:solidFill>
              <w14:schemeClr w14:val="tx1"/>
            </w14:solidFill>
          </w14:textFill>
        </w:rPr>
      </w:pPr>
    </w:p>
    <w:p w14:paraId="70EDECC9">
      <w:pPr>
        <w:rPr>
          <w:color w:val="000000" w:themeColor="text1"/>
          <w14:textFill>
            <w14:solidFill>
              <w14:schemeClr w14:val="tx1"/>
            </w14:solidFill>
          </w14:textFill>
        </w:rPr>
      </w:pPr>
    </w:p>
    <w:p w14:paraId="4CC77FA7">
      <w:pPr>
        <w:rPr>
          <w:color w:val="FF0000"/>
        </w:rPr>
      </w:pPr>
    </w:p>
    <w:p w14:paraId="1A1977F9">
      <w:pPr>
        <w:rPr>
          <w:color w:val="FF0000"/>
        </w:rPr>
      </w:pPr>
    </w:p>
    <w:p w14:paraId="3CAD9B90">
      <w:pPr>
        <w:jc w:val="center"/>
        <w:rPr>
          <w:rFonts w:ascii="黑体" w:hAnsi="黑体" w:eastAsia="黑体"/>
          <w:b/>
          <w:bCs w:val="0"/>
          <w:color w:val="FF0000"/>
          <w:sz w:val="44"/>
          <w:szCs w:val="44"/>
        </w:rPr>
      </w:pPr>
      <w:sdt>
        <w:sdtPr>
          <w:rPr>
            <w:rFonts w:hint="eastAsia" w:ascii="黑体" w:hAnsi="黑体" w:eastAsia="黑体"/>
            <w:b/>
            <w:bCs w:val="0"/>
            <w:color w:val="FF0000"/>
            <w:sz w:val="44"/>
            <w:szCs w:val="44"/>
          </w:rPr>
          <w:alias w:val="公司法定中文名称"/>
          <w:tag w:val="_GBC_ef279e32efc14c6bb521c62ff1f265ba"/>
          <w:id w:val="147471757"/>
          <w:placeholder>
            <w:docPart w:val="GBC22222222222222222222222222222"/>
          </w:placeholder>
          <w:dataBinding w:prefixMappings="xmlns:clcid-cgi='clcid-cgi'" w:xpath="/*/clcid-cgi:GongSiFaDingZhongWenMingCheng[not(@periodRef)]" w:storeItemID="{89EBAB94-44A0-46A2-B712-30D997D04A6D}"/>
          <w:text/>
        </w:sdtPr>
        <w:sdtEndPr>
          <w:rPr>
            <w:rFonts w:hint="eastAsia" w:ascii="黑体" w:hAnsi="黑体" w:eastAsia="黑体"/>
            <w:b/>
            <w:bCs w:val="0"/>
            <w:color w:val="FF0000"/>
            <w:sz w:val="44"/>
            <w:szCs w:val="44"/>
          </w:rPr>
        </w:sdtEndPr>
        <w:sdtContent>
          <w:r>
            <w:rPr>
              <w:rFonts w:hint="eastAsia" w:ascii="黑体" w:hAnsi="黑体" w:eastAsia="黑体"/>
              <w:b/>
              <w:bCs w:val="0"/>
              <w:color w:val="FF0000"/>
              <w:sz w:val="44"/>
              <w:szCs w:val="44"/>
            </w:rPr>
            <w:t>际华集团股份有限公司</w:t>
          </w:r>
        </w:sdtContent>
      </w:sdt>
    </w:p>
    <w:p w14:paraId="7BEC8931">
      <w:pPr>
        <w:jc w:val="center"/>
        <w:rPr>
          <w:rFonts w:ascii="黑体" w:hAnsi="黑体" w:eastAsia="黑体"/>
          <w:b/>
          <w:bCs w:val="0"/>
          <w:color w:val="FF0000"/>
          <w:sz w:val="44"/>
          <w:szCs w:val="44"/>
        </w:rPr>
      </w:pPr>
      <w:r>
        <w:rPr>
          <w:rFonts w:ascii="黑体" w:hAnsi="黑体" w:eastAsia="黑体"/>
          <w:b/>
          <w:color w:val="FF0000"/>
          <w:sz w:val="44"/>
          <w:szCs w:val="44"/>
        </w:rPr>
        <w:t>2025年</w:t>
      </w:r>
      <w:r>
        <w:rPr>
          <w:rFonts w:hint="eastAsia" w:ascii="黑体" w:hAnsi="黑体" w:eastAsia="黑体"/>
          <w:b/>
          <w:color w:val="FF0000"/>
          <w:sz w:val="44"/>
          <w:szCs w:val="44"/>
        </w:rPr>
        <w:t>半年度报告</w:t>
      </w:r>
    </w:p>
    <w:p w14:paraId="34B9A40C">
      <w:pPr>
        <w:rPr>
          <w:color w:val="FF0000"/>
        </w:rPr>
      </w:pPr>
    </w:p>
    <w:p w14:paraId="47AB846F">
      <w:pPr>
        <w:rPr>
          <w:color w:val="FF0000"/>
        </w:rPr>
      </w:pPr>
    </w:p>
    <w:p w14:paraId="347ACD87">
      <w:pPr>
        <w:rPr>
          <w:color w:val="000000" w:themeColor="text1"/>
          <w14:textFill>
            <w14:solidFill>
              <w14:schemeClr w14:val="tx1"/>
            </w14:solidFill>
          </w14:textFill>
        </w:rPr>
      </w:pPr>
    </w:p>
    <w:p w14:paraId="719054F5">
      <w:pPr>
        <w:rPr>
          <w:color w:val="000000" w:themeColor="text1"/>
          <w14:textFill>
            <w14:solidFill>
              <w14:schemeClr w14:val="tx1"/>
            </w14:solidFill>
          </w14:textFill>
        </w:rPr>
      </w:pPr>
    </w:p>
    <w:p w14:paraId="652DAD12">
      <w:pPr>
        <w:rPr>
          <w:color w:val="000000" w:themeColor="text1"/>
          <w14:textFill>
            <w14:solidFill>
              <w14:schemeClr w14:val="tx1"/>
            </w14:solidFill>
          </w14:textFill>
        </w:rPr>
      </w:pPr>
    </w:p>
    <w:p w14:paraId="43C60CEB">
      <w:pPr>
        <w:rPr>
          <w:color w:val="000000" w:themeColor="text1"/>
          <w14:textFill>
            <w14:solidFill>
              <w14:schemeClr w14:val="tx1"/>
            </w14:solidFill>
          </w14:textFill>
        </w:rPr>
      </w:pPr>
    </w:p>
    <w:p w14:paraId="5828A7F5">
      <w:pPr>
        <w:rPr>
          <w:color w:val="000000" w:themeColor="text1"/>
          <w14:textFill>
            <w14:solidFill>
              <w14:schemeClr w14:val="tx1"/>
            </w14:solidFill>
          </w14:textFill>
        </w:rPr>
      </w:pPr>
    </w:p>
    <w:p w14:paraId="25A8B875">
      <w:pPr>
        <w:rPr>
          <w:color w:val="000000" w:themeColor="text1"/>
          <w14:textFill>
            <w14:solidFill>
              <w14:schemeClr w14:val="tx1"/>
            </w14:solidFill>
          </w14:textFill>
        </w:rPr>
      </w:pPr>
      <w:r>
        <w:rPr>
          <w:color w:val="000000" w:themeColor="text1"/>
          <w14:textFill>
            <w14:solidFill>
              <w14:schemeClr w14:val="tx1"/>
            </w14:solidFill>
          </w14:textFill>
        </w:rPr>
        <w:br w:type="page"/>
      </w:r>
    </w:p>
    <w:sdt>
      <w:sdtPr>
        <w:tag w:val="_PLD_845fa8b330524542a31e33dd31c44bb8"/>
        <w:id w:val="147470337"/>
      </w:sdtPr>
      <w:sdtContent>
        <w:p w14:paraId="4DBAF2F5">
          <w:pPr>
            <w:pStyle w:val="33"/>
            <w:spacing w:after="280" w:afterAutospacing="0"/>
            <w:jc w:val="center"/>
            <w:rPr>
              <w:b/>
              <w:bCs w:val="0"/>
              <w:color w:val="000000" w:themeColor="text1"/>
              <w:sz w:val="28"/>
              <w:szCs w:val="28"/>
              <w14:textFill>
                <w14:solidFill>
                  <w14:schemeClr w14:val="tx1"/>
                </w14:solidFill>
              </w14:textFill>
            </w:rPr>
          </w:pPr>
          <w:bookmarkStart w:id="0" w:name="_Toc387656034"/>
          <w:r>
            <w:rPr>
              <w:rFonts w:hint="eastAsia"/>
              <w:b/>
              <w:color w:val="000000" w:themeColor="text1"/>
              <w:sz w:val="28"/>
              <w:szCs w:val="28"/>
              <w14:textFill>
                <w14:solidFill>
                  <w14:schemeClr w14:val="tx1"/>
                </w14:solidFill>
              </w14:textFill>
            </w:rPr>
            <w:t>重要提示</w:t>
          </w:r>
        </w:p>
      </w:sdtContent>
    </w:sdt>
    <w:bookmarkEnd w:id="0"/>
    <w:sdt>
      <w:sdtPr>
        <w:rPr>
          <w:rFonts w:hint="eastAsia" w:ascii="宋体" w:hAnsi="宋体"/>
          <w:color w:val="000000" w:themeColor="text1"/>
          <w14:textFill>
            <w14:solidFill>
              <w14:schemeClr w14:val="tx1"/>
            </w14:solidFill>
          </w14:textFill>
        </w:rPr>
        <w:alias w:val="董事会及董事声明"/>
        <w:tag w:val="_GBC_6c6da163383e4e4c92758ff24076a138"/>
        <w:id w:val="147464938"/>
        <w:placeholder>
          <w:docPart w:val="GBC22222222222222222222222222222"/>
        </w:placeholder>
      </w:sdtPr>
      <w:sdtEndPr>
        <w:rPr>
          <w:rFonts w:hint="eastAsia" w:ascii="宋体" w:hAnsi="宋体"/>
          <w:color w:val="000000" w:themeColor="text1"/>
          <w14:textFill>
            <w14:solidFill>
              <w14:schemeClr w14:val="tx1"/>
            </w14:solidFill>
          </w14:textFill>
        </w:rPr>
      </w:sdtEndPr>
      <w:sdtContent>
        <w:p w14:paraId="21E021DB">
          <w:pPr>
            <w:pStyle w:val="3"/>
            <w:numPr>
              <w:ilvl w:val="0"/>
              <w:numId w:val="2"/>
            </w:numPr>
            <w:tabs>
              <w:tab w:val="left" w:pos="434"/>
            </w:tabs>
            <w:spacing w:before="0" w:after="0" w:line="360" w:lineRule="auto"/>
            <w:ind w:left="0" w:firstLine="0"/>
            <w:rPr>
              <w:rFonts w:ascii="宋体" w:hAnsi="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本公司董事会</w:t>
          </w:r>
          <w:sdt>
            <w:sdtPr>
              <w:tag w:val="_PLD_3ca0b65202324648991e5b6f01a8fade"/>
              <w:id w:val="147455473"/>
            </w:sdtPr>
            <w:sdtContent>
              <w:r>
                <w:rPr>
                  <w:rFonts w:hint="eastAsia" w:ascii="宋体" w:hAnsi="宋体" w:cs="宋体"/>
                  <w:color w:val="000000" w:themeColor="text1"/>
                  <w14:textFill>
                    <w14:solidFill>
                      <w14:schemeClr w14:val="tx1"/>
                    </w14:solidFill>
                  </w14:textFill>
                </w:rPr>
                <w:t>、</w:t>
              </w:r>
              <w:r>
                <w:rPr>
                  <w:rFonts w:ascii="宋体" w:hAnsi="宋体" w:cs="宋体"/>
                  <w:color w:val="000000" w:themeColor="text1"/>
                  <w14:textFill>
                    <w14:solidFill>
                      <w14:schemeClr w14:val="tx1"/>
                    </w14:solidFill>
                  </w14:textFill>
                </w:rPr>
                <w:t>监事</w:t>
              </w:r>
              <w:r>
                <w:rPr>
                  <w:rFonts w:hint="eastAsia" w:ascii="宋体" w:hAnsi="宋体" w:cs="宋体"/>
                  <w:color w:val="000000" w:themeColor="text1"/>
                  <w14:textFill>
                    <w14:solidFill>
                      <w14:schemeClr w14:val="tx1"/>
                    </w14:solidFill>
                  </w14:textFill>
                </w:rPr>
                <w:t>会</w:t>
              </w:r>
            </w:sdtContent>
          </w:sdt>
          <w:r>
            <w:rPr>
              <w:rFonts w:ascii="宋体" w:hAnsi="宋体" w:cs="宋体"/>
              <w:color w:val="000000" w:themeColor="text1"/>
              <w14:textFill>
                <w14:solidFill>
                  <w14:schemeClr w14:val="tx1"/>
                </w14:solidFill>
              </w14:textFill>
            </w:rPr>
            <w:t>及董事</w:t>
          </w:r>
          <w:sdt>
            <w:sdtPr>
              <w:tag w:val="_PLD_e24810e6950c4ac89d613277aed2bed8"/>
              <w:id w:val="147471611"/>
            </w:sdtPr>
            <w:sdtContent>
              <w:r>
                <w:rPr>
                  <w:rFonts w:ascii="宋体" w:hAnsi="宋体" w:cs="宋体"/>
                  <w:color w:val="000000" w:themeColor="text1"/>
                  <w14:textFill>
                    <w14:solidFill>
                      <w14:schemeClr w14:val="tx1"/>
                    </w14:solidFill>
                  </w14:textFill>
                </w:rPr>
                <w:t>、监事</w:t>
              </w:r>
            </w:sdtContent>
          </w:sdt>
          <w:r>
            <w:rPr>
              <w:rFonts w:ascii="宋体" w:hAnsi="宋体" w:cs="宋体"/>
              <w:color w:val="000000" w:themeColor="text1"/>
              <w14:textFill>
                <w14:solidFill>
                  <w14:schemeClr w14:val="tx1"/>
                </w14:solidFill>
              </w14:textFill>
            </w:rPr>
            <w:t>、高级管理人员保证</w:t>
          </w:r>
          <w:r>
            <w:rPr>
              <w:rFonts w:hint="eastAsia" w:ascii="宋体" w:hAnsi="宋体" w:cs="宋体"/>
              <w:color w:val="000000" w:themeColor="text1"/>
              <w14:textFill>
                <w14:solidFill>
                  <w14:schemeClr w14:val="tx1"/>
                </w14:solidFill>
              </w14:textFill>
            </w:rPr>
            <w:t>半</w:t>
          </w:r>
          <w:r>
            <w:rPr>
              <w:rFonts w:ascii="宋体" w:hAnsi="宋体" w:cs="宋体"/>
              <w:color w:val="000000" w:themeColor="text1"/>
              <w14:textFill>
                <w14:solidFill>
                  <w14:schemeClr w14:val="tx1"/>
                </w14:solidFill>
              </w14:textFill>
            </w:rPr>
            <w:t>年度报告内容的真实</w:t>
          </w:r>
          <w:r>
            <w:rPr>
              <w:rFonts w:hint="eastAsia" w:ascii="宋体" w:hAnsi="宋体" w:cs="宋体"/>
              <w:color w:val="000000" w:themeColor="text1"/>
              <w14:textFill>
                <w14:solidFill>
                  <w14:schemeClr w14:val="tx1"/>
                </w14:solidFill>
              </w14:textFill>
            </w:rPr>
            <w:t>性</w:t>
          </w:r>
          <w:r>
            <w:rPr>
              <w:rFonts w:ascii="宋体" w:hAnsi="宋体" w:cs="宋体"/>
              <w:color w:val="000000" w:themeColor="text1"/>
              <w14:textFill>
                <w14:solidFill>
                  <w14:schemeClr w14:val="tx1"/>
                </w14:solidFill>
              </w14:textFill>
            </w:rPr>
            <w:t>、准确</w:t>
          </w:r>
          <w:r>
            <w:rPr>
              <w:rFonts w:hint="eastAsia" w:ascii="宋体" w:hAnsi="宋体" w:cs="宋体"/>
              <w:color w:val="000000" w:themeColor="text1"/>
              <w14:textFill>
                <w14:solidFill>
                  <w14:schemeClr w14:val="tx1"/>
                </w14:solidFill>
              </w14:textFill>
            </w:rPr>
            <w:t>性</w:t>
          </w:r>
          <w:r>
            <w:rPr>
              <w:rFonts w:ascii="宋体" w:hAnsi="宋体" w:cs="宋体"/>
              <w:color w:val="000000" w:themeColor="text1"/>
              <w14:textFill>
                <w14:solidFill>
                  <w14:schemeClr w14:val="tx1"/>
                </w14:solidFill>
              </w14:textFill>
            </w:rPr>
            <w:t>、完整</w:t>
          </w:r>
          <w:r>
            <w:rPr>
              <w:rFonts w:hint="eastAsia" w:ascii="宋体" w:hAnsi="宋体" w:cs="宋体"/>
              <w:color w:val="000000" w:themeColor="text1"/>
              <w14:textFill>
                <w14:solidFill>
                  <w14:schemeClr w14:val="tx1"/>
                </w14:solidFill>
              </w14:textFill>
            </w:rPr>
            <w:t>性</w:t>
          </w:r>
          <w:r>
            <w:rPr>
              <w:rFonts w:ascii="宋体" w:hAnsi="宋体" w:cs="宋体"/>
              <w:color w:val="000000" w:themeColor="text1"/>
              <w14:textFill>
                <w14:solidFill>
                  <w14:schemeClr w14:val="tx1"/>
                </w14:solidFill>
              </w14:textFill>
            </w:rPr>
            <w:t>，不存在虚假记载、误导性陈述或重大遗漏，并承担个别和连带的法律责任。</w:t>
          </w:r>
        </w:p>
      </w:sdtContent>
    </w:sdt>
    <w:p w14:paraId="42AB4E0F">
      <w:pPr>
        <w:pStyle w:val="55"/>
      </w:pPr>
    </w:p>
    <w:p w14:paraId="05FD73DA">
      <w:pPr>
        <w:pStyle w:val="3"/>
        <w:numPr>
          <w:ilvl w:val="0"/>
          <w:numId w:val="2"/>
        </w:numPr>
        <w:tabs>
          <w:tab w:val="left" w:pos="434"/>
        </w:tabs>
        <w:spacing w:before="0" w:after="0" w:line="360" w:lineRule="auto"/>
        <w:ind w:left="0" w:firstLine="0"/>
        <w:rPr>
          <w:rFonts w:ascii="宋体" w:hAnsi="宋体"/>
          <w:color w:val="000000" w:themeColor="text1"/>
          <w14:textFill>
            <w14:solidFill>
              <w14:schemeClr w14:val="tx1"/>
            </w14:solidFill>
          </w14:textFill>
        </w:rPr>
      </w:pPr>
      <w:bookmarkStart w:id="1" w:name="_Hlk106871957"/>
      <w:bookmarkEnd w:id="1"/>
      <w:r>
        <w:rPr>
          <w:rFonts w:ascii="宋体" w:hAnsi="宋体" w:cs="宋体"/>
          <w:color w:val="000000" w:themeColor="text1"/>
          <w14:textFill>
            <w14:solidFill>
              <w14:schemeClr w14:val="tx1"/>
            </w14:solidFill>
          </w14:textFill>
        </w:rPr>
        <w:t>公司</w:t>
      </w:r>
      <w:sdt>
        <w:sdtPr>
          <w:tag w:val="_GBC_2e0ee33ebae04a83b92e8b1aa6754169"/>
          <w:id w:val="147466313"/>
        </w:sdtPr>
        <w:sdtContent>
          <w:r>
            <w:rPr>
              <w:rFonts w:ascii="宋体" w:hAnsi="宋体" w:cs="宋体"/>
              <w:color w:val="000000" w:themeColor="text1"/>
              <w14:textFill>
                <w14:solidFill>
                  <w14:schemeClr w14:val="tx1"/>
                </w14:solidFill>
              </w14:textFill>
            </w:rPr>
            <w:t>全体董事出席</w:t>
          </w:r>
        </w:sdtContent>
      </w:sdt>
      <w:r>
        <w:rPr>
          <w:rFonts w:ascii="宋体" w:hAnsi="宋体" w:cs="宋体"/>
          <w:color w:val="000000" w:themeColor="text1"/>
          <w14:textFill>
            <w14:solidFill>
              <w14:schemeClr w14:val="tx1"/>
            </w14:solidFill>
          </w14:textFill>
        </w:rPr>
        <w:t>董事会会议。</w:t>
      </w:r>
    </w:p>
    <w:p w14:paraId="11A390A5">
      <w:pPr>
        <w:rPr>
          <w:color w:val="000000" w:themeColor="text1"/>
          <w14:textFill>
            <w14:solidFill>
              <w14:schemeClr w14:val="tx1"/>
            </w14:solidFill>
          </w14:textFill>
        </w:rPr>
      </w:pPr>
    </w:p>
    <w:p w14:paraId="033736CD">
      <w:pPr>
        <w:pStyle w:val="3"/>
        <w:numPr>
          <w:ilvl w:val="0"/>
          <w:numId w:val="2"/>
        </w:numPr>
        <w:tabs>
          <w:tab w:val="left" w:pos="434"/>
        </w:tabs>
        <w:spacing w:before="0" w:after="0" w:line="360" w:lineRule="auto"/>
        <w:ind w:left="0" w:firstLine="0"/>
        <w:rPr>
          <w:rFonts w:ascii="宋体" w:hAnsi="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本半年度报告</w:t>
      </w:r>
      <w:sdt>
        <w:sdtPr>
          <w:tag w:val="_GBC_be15b7a71d95430e82193d4cab461623"/>
          <w:id w:val="147476919"/>
        </w:sdtPr>
        <w:sdtContent>
          <w:r>
            <w:rPr>
              <w:rFonts w:ascii="宋体" w:hAnsi="宋体" w:cs="宋体"/>
              <w:color w:val="000000" w:themeColor="text1"/>
              <w14:textFill>
                <w14:solidFill>
                  <w14:schemeClr w14:val="tx1"/>
                </w14:solidFill>
              </w14:textFill>
            </w:rPr>
            <w:t>未经审计</w:t>
          </w:r>
        </w:sdtContent>
      </w:sdt>
      <w:r>
        <w:rPr>
          <w:rFonts w:ascii="宋体" w:hAnsi="宋体" w:cs="宋体"/>
          <w:color w:val="000000" w:themeColor="text1"/>
          <w14:textFill>
            <w14:solidFill>
              <w14:schemeClr w14:val="tx1"/>
            </w14:solidFill>
          </w14:textFill>
        </w:rPr>
        <w:t>。</w:t>
      </w:r>
    </w:p>
    <w:p w14:paraId="03D6E2AD">
      <w:pPr>
        <w:rPr>
          <w:color w:val="000000" w:themeColor="text1"/>
          <w14:textFill>
            <w14:solidFill>
              <w14:schemeClr w14:val="tx1"/>
            </w14:solidFill>
          </w14:textFill>
        </w:rPr>
      </w:pPr>
    </w:p>
    <w:p w14:paraId="45B31B01">
      <w:pPr>
        <w:pStyle w:val="3"/>
        <w:numPr>
          <w:ilvl w:val="0"/>
          <w:numId w:val="2"/>
        </w:numPr>
        <w:tabs>
          <w:tab w:val="left" w:pos="434"/>
        </w:tabs>
        <w:spacing w:before="0" w:after="0" w:line="360" w:lineRule="auto"/>
        <w:ind w:left="0" w:firstLine="0"/>
        <w:rPr>
          <w:rFonts w:ascii="宋体" w:hAnsi="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董事会决议通过的本报告期利润分配预案或公积金转增股本预案</w:t>
      </w:r>
    </w:p>
    <w:sdt>
      <w:sdtPr>
        <w:rPr>
          <w:rFonts w:hint="eastAsia"/>
          <w:color w:val="000000" w:themeColor="text1"/>
          <w14:textFill>
            <w14:solidFill>
              <w14:schemeClr w14:val="tx1"/>
            </w14:solidFill>
          </w14:textFill>
        </w:rPr>
        <w:alias w:val="经董事会审议的报告期利润分配预案或公积金转增股本预案"/>
        <w:tag w:val="_GBC_7676626d447143468bebcc8d267ec746"/>
        <w:id w:val="147475358"/>
        <w:placeholder>
          <w:docPart w:val="GBC22222222222222222222222222222"/>
        </w:placeholder>
      </w:sdtPr>
      <w:sdtEndPr>
        <w:rPr>
          <w:rFonts w:hint="eastAsia"/>
          <w:color w:val="000000" w:themeColor="text1"/>
          <w14:textFill>
            <w14:solidFill>
              <w14:schemeClr w14:val="tx1"/>
            </w14:solidFill>
          </w14:textFill>
        </w:rPr>
      </w:sdtEndPr>
      <w:sdtContent>
        <w:p w14:paraId="6494A701">
          <w:pPr>
            <w:kinsoku w:val="0"/>
            <w:overflowPunct w:val="0"/>
            <w:autoSpaceDE w:val="0"/>
            <w:autoSpaceDN w:val="0"/>
            <w:adjustRightInd w:val="0"/>
            <w:snapToGrid w:val="0"/>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4CBF3529">
      <w:pPr>
        <w:kinsoku w:val="0"/>
        <w:overflowPunct w:val="0"/>
        <w:autoSpaceDE w:val="0"/>
        <w:autoSpaceDN w:val="0"/>
        <w:adjustRightInd w:val="0"/>
        <w:snapToGrid w:val="0"/>
        <w:spacing w:line="360" w:lineRule="exact"/>
        <w:rPr>
          <w:color w:val="000000" w:themeColor="text1"/>
          <w14:textFill>
            <w14:solidFill>
              <w14:schemeClr w14:val="tx1"/>
            </w14:solidFill>
          </w14:textFill>
        </w:rPr>
      </w:pPr>
    </w:p>
    <w:p w14:paraId="798C1FCA">
      <w:pPr>
        <w:pStyle w:val="3"/>
        <w:numPr>
          <w:ilvl w:val="0"/>
          <w:numId w:val="2"/>
        </w:numPr>
        <w:tabs>
          <w:tab w:val="left" w:pos="434"/>
        </w:tabs>
        <w:spacing w:before="0" w:after="0" w:line="360" w:lineRule="auto"/>
        <w:ind w:left="0" w:firstLine="0"/>
        <w:rPr>
          <w:rFonts w:ascii="宋体" w:hAnsi="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前瞻性陈述的风险声明</w:t>
      </w:r>
    </w:p>
    <w:sdt>
      <w:sdtPr>
        <w:rPr>
          <w:color w:val="000000" w:themeColor="text1"/>
          <w14:textFill>
            <w14:solidFill>
              <w14:schemeClr w14:val="tx1"/>
            </w14:solidFill>
          </w14:textFill>
        </w:rPr>
        <w:alias w:val="是否适用：前瞻性陈述的风险声明[双击切换]"/>
        <w:tag w:val="_GBC_6a28949332914149bda7cc0225d614b7"/>
        <w:id w:val="147477223"/>
        <w:placeholder>
          <w:docPart w:val="GBC22222222222222222222222222222"/>
        </w:placeholder>
      </w:sdtPr>
      <w:sdtEndPr>
        <w:rPr>
          <w:color w:val="000000" w:themeColor="text1"/>
          <w14:textFill>
            <w14:solidFill>
              <w14:schemeClr w14:val="tx1"/>
            </w14:solidFill>
          </w14:textFill>
        </w:rPr>
      </w:sdtEndPr>
      <w:sdtContent>
        <w:p w14:paraId="211BA85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公司对报告涉及未来计划等前瞻性陈述的声明"/>
        <w:tag w:val="_GBC_6511b5aecc604062ad93b5fbd25fd19b"/>
        <w:id w:val="147461985"/>
        <w:placeholder>
          <w:docPart w:val="GBC22222222222222222222222222222"/>
        </w:placeholder>
      </w:sdtPr>
      <w:sdtEndPr>
        <w:rPr>
          <w:rFonts w:hint="eastAsia"/>
          <w:color w:val="000000" w:themeColor="text1"/>
          <w14:textFill>
            <w14:solidFill>
              <w14:schemeClr w14:val="tx1"/>
            </w14:solidFill>
          </w14:textFill>
        </w:rPr>
      </w:sdtEndPr>
      <w:sdtContent>
        <w:p w14:paraId="69BBB6D9">
          <w:pPr>
            <w:kinsoku w:val="0"/>
            <w:overflowPunct w:val="0"/>
            <w:autoSpaceDE w:val="0"/>
            <w:autoSpaceDN w:val="0"/>
            <w:adjustRightInd w:val="0"/>
            <w:snapToGrid w:val="0"/>
            <w:spacing w:line="36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本报告中所涉及的未来计划、发展战略等前瞻性描述不构成公司对投资者的实质承诺，敬请 </w:t>
          </w:r>
        </w:p>
        <w:p w14:paraId="1E5BB6FE">
          <w:pPr>
            <w:kinsoku w:val="0"/>
            <w:overflowPunct w:val="0"/>
            <w:autoSpaceDE w:val="0"/>
            <w:autoSpaceDN w:val="0"/>
            <w:adjustRightInd w:val="0"/>
            <w:snapToGrid w:val="0"/>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投资者注意投资风险。</w:t>
          </w:r>
        </w:p>
      </w:sdtContent>
    </w:sdt>
    <w:p w14:paraId="5EDCA752">
      <w:pPr>
        <w:kinsoku w:val="0"/>
        <w:overflowPunct w:val="0"/>
        <w:autoSpaceDE w:val="0"/>
        <w:autoSpaceDN w:val="0"/>
        <w:adjustRightInd w:val="0"/>
        <w:snapToGrid w:val="0"/>
        <w:spacing w:line="360" w:lineRule="exact"/>
        <w:rPr>
          <w:color w:val="000000" w:themeColor="text1"/>
          <w14:textFill>
            <w14:solidFill>
              <w14:schemeClr w14:val="tx1"/>
            </w14:solidFill>
          </w14:textFill>
        </w:rPr>
      </w:pPr>
    </w:p>
    <w:p w14:paraId="57A09D68">
      <w:pPr>
        <w:pStyle w:val="3"/>
        <w:numPr>
          <w:ilvl w:val="0"/>
          <w:numId w:val="2"/>
        </w:numPr>
        <w:tabs>
          <w:tab w:val="left" w:pos="434"/>
        </w:tabs>
        <w:spacing w:before="0" w:after="0" w:line="360" w:lineRule="auto"/>
        <w:ind w:left="0" w:firstLine="0"/>
        <w:rPr>
          <w:rFonts w:ascii="宋体" w:hAnsi="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是否存在被控股股东及其他关联方非经营性占用资金情况</w:t>
      </w:r>
    </w:p>
    <w:sdt>
      <w:sdtPr>
        <w:rPr>
          <w:rFonts w:hint="eastAsia"/>
          <w:bCs w:val="0"/>
          <w:color w:val="000000" w:themeColor="text1"/>
          <w14:textFill>
            <w14:solidFill>
              <w14:schemeClr w14:val="tx1"/>
            </w14:solidFill>
          </w14:textFill>
        </w:rPr>
        <w:alias w:val="本公司是否存在大股东占用资金情况"/>
        <w:tag w:val="_GBC_a32400ff33ee44d89632e0d79a7f2c42"/>
        <w:id w:val="147476227"/>
        <w:placeholder>
          <w:docPart w:val="GBC22222222222222222222222222222"/>
        </w:placeholder>
        <w:comboBox>
          <w:listItem w:displayText="是" w:value="true"/>
          <w:listItem w:displayText="否" w:value="false"/>
        </w:comboBox>
      </w:sdtPr>
      <w:sdtEndPr>
        <w:rPr>
          <w:rFonts w:hint="eastAsia"/>
          <w:bCs w:val="0"/>
          <w:color w:val="000000" w:themeColor="text1"/>
          <w14:textFill>
            <w14:solidFill>
              <w14:schemeClr w14:val="tx1"/>
            </w14:solidFill>
          </w14:textFill>
        </w:rPr>
      </w:sdtEndPr>
      <w:sdtContent>
        <w:p w14:paraId="016A41DB">
          <w:pPr>
            <w:kinsoku w:val="0"/>
            <w:overflowPunct w:val="0"/>
            <w:autoSpaceDE w:val="0"/>
            <w:autoSpaceDN w:val="0"/>
            <w:adjustRightInd w:val="0"/>
            <w:snapToGrid w:val="0"/>
            <w:spacing w:line="360" w:lineRule="exact"/>
            <w:rPr>
              <w:bCs w:val="0"/>
              <w:color w:val="000000" w:themeColor="text1"/>
              <w14:textFill>
                <w14:solidFill>
                  <w14:schemeClr w14:val="tx1"/>
                </w14:solidFill>
              </w14:textFill>
            </w:rPr>
          </w:pPr>
          <w:r>
            <w:rPr>
              <w:rFonts w:hint="eastAsia"/>
              <w:bCs w:val="0"/>
              <w:color w:val="000000" w:themeColor="text1"/>
              <w14:textFill>
                <w14:solidFill>
                  <w14:schemeClr w14:val="tx1"/>
                </w14:solidFill>
              </w14:textFill>
            </w:rPr>
            <w:t>否</w:t>
          </w:r>
        </w:p>
      </w:sdtContent>
    </w:sdt>
    <w:p w14:paraId="08D1B165">
      <w:pPr>
        <w:kinsoku w:val="0"/>
        <w:overflowPunct w:val="0"/>
        <w:autoSpaceDE w:val="0"/>
        <w:autoSpaceDN w:val="0"/>
        <w:adjustRightInd w:val="0"/>
        <w:snapToGrid w:val="0"/>
        <w:spacing w:line="360" w:lineRule="exact"/>
        <w:rPr>
          <w:color w:val="000000" w:themeColor="text1"/>
          <w:shd w:val="pct10" w:color="auto" w:fill="FFFFFF"/>
          <w14:textFill>
            <w14:solidFill>
              <w14:schemeClr w14:val="tx1"/>
            </w14:solidFill>
          </w14:textFill>
        </w:rPr>
      </w:pPr>
    </w:p>
    <w:p w14:paraId="61008206">
      <w:pPr>
        <w:pStyle w:val="3"/>
        <w:numPr>
          <w:ilvl w:val="0"/>
          <w:numId w:val="2"/>
        </w:numPr>
        <w:tabs>
          <w:tab w:val="left" w:pos="434"/>
        </w:tabs>
        <w:spacing w:before="0" w:after="0" w:line="360" w:lineRule="auto"/>
        <w:ind w:left="0" w:firstLine="0"/>
        <w:rPr>
          <w:rFonts w:ascii="宋体" w:hAnsi="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是否存在违反规定决策程序对外提供担保的情况</w:t>
      </w:r>
    </w:p>
    <w:sdt>
      <w:sdtPr>
        <w:rPr>
          <w:rFonts w:hint="eastAsia"/>
          <w:color w:val="000000" w:themeColor="text1"/>
          <w14:textFill>
            <w14:solidFill>
              <w14:schemeClr w14:val="tx1"/>
            </w14:solidFill>
          </w14:textFill>
        </w:rPr>
        <w:alias w:val="本公司是否存在违反规定决策程序对外提供担保的情况"/>
        <w:tag w:val="_GBC_3bc3f02bd342494aa2858bb9a39d8458"/>
        <w:id w:val="147463360"/>
        <w:placeholder>
          <w:docPart w:val="GBC22222222222222222222222222222"/>
        </w:placeholder>
        <w:comboBox>
          <w:listItem w:displayText="是" w:value="true"/>
          <w:listItem w:displayText="否" w:value="false"/>
        </w:comboBox>
      </w:sdtPr>
      <w:sdtEndPr>
        <w:rPr>
          <w:rFonts w:hint="eastAsia"/>
          <w:color w:val="000000" w:themeColor="text1"/>
          <w14:textFill>
            <w14:solidFill>
              <w14:schemeClr w14:val="tx1"/>
            </w14:solidFill>
          </w14:textFill>
        </w:rPr>
      </w:sdtEndPr>
      <w:sdtContent>
        <w:p w14:paraId="7E4021D9">
          <w:pPr>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sdtContent>
    </w:sdt>
    <w:p w14:paraId="5C16EB4E">
      <w:pPr>
        <w:rPr>
          <w:color w:val="000000" w:themeColor="text1"/>
          <w14:textFill>
            <w14:solidFill>
              <w14:schemeClr w14:val="tx1"/>
            </w14:solidFill>
          </w14:textFill>
        </w:rPr>
      </w:pPr>
    </w:p>
    <w:p w14:paraId="1E3643BF">
      <w:pPr>
        <w:pStyle w:val="3"/>
        <w:numPr>
          <w:ilvl w:val="0"/>
          <w:numId w:val="2"/>
        </w:numPr>
        <w:tabs>
          <w:tab w:val="left" w:pos="434"/>
        </w:tabs>
        <w:spacing w:before="0" w:after="0" w:line="360" w:lineRule="auto"/>
        <w:ind w:left="0" w:firstLine="0"/>
        <w:rPr>
          <w:rFonts w:ascii="宋体" w:hAnsi="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公司负责人</w:t>
      </w:r>
      <w:bookmarkStart w:id="2" w:name="OLE_LINK1"/>
      <w:sdt>
        <w:sdtPr>
          <w:rPr>
            <w:rFonts w:hint="eastAsia" w:ascii="宋体" w:hAnsi="宋体"/>
            <w:color w:val="000000" w:themeColor="text1"/>
            <w14:textFill>
              <w14:solidFill>
                <w14:schemeClr w14:val="tx1"/>
              </w14:solidFill>
            </w14:textFill>
          </w:rPr>
          <w:alias w:val="公司负责人姓名"/>
          <w:tag w:val="_GBC_ee6b72f666bb497bbe8fc037096654d2"/>
          <w:id w:val="147458606"/>
          <w:placeholder>
            <w:docPart w:val="GBC22222222222222222222222222222"/>
          </w:placeholder>
          <w:dataBinding w:prefixMappings="xmlns:clcid-mr='clcid-mr'" w:xpath="/*/clcid-mr:GongSiFuZeRenXingMing[not(@periodRef)]" w:storeItemID="{89EBAB94-44A0-46A2-B712-30D997D04A6D}"/>
          <w:text/>
        </w:sdtPr>
        <w:sdtEndPr>
          <w:rPr>
            <w:rFonts w:hint="eastAsia" w:ascii="宋体" w:hAnsi="宋体"/>
            <w:color w:val="000000" w:themeColor="text1"/>
            <w14:textFill>
              <w14:solidFill>
                <w14:schemeClr w14:val="tx1"/>
              </w14:solidFill>
            </w14:textFill>
          </w:rPr>
        </w:sdtEndPr>
        <w:sdtContent>
          <w:r>
            <w:rPr>
              <w:rFonts w:ascii="宋体" w:hAnsi="宋体" w:cs="宋体"/>
              <w:color w:val="000000" w:themeColor="text1"/>
              <w14:textFill>
                <w14:solidFill>
                  <w14:schemeClr w14:val="tx1"/>
                </w14:solidFill>
              </w14:textFill>
            </w:rPr>
            <w:t>夏前军</w:t>
          </w:r>
        </w:sdtContent>
      </w:sdt>
      <w:bookmarkEnd w:id="2"/>
      <w:r>
        <w:rPr>
          <w:rFonts w:ascii="宋体" w:hAnsi="宋体" w:cs="宋体"/>
          <w:color w:val="000000" w:themeColor="text1"/>
          <w14:textFill>
            <w14:solidFill>
              <w14:schemeClr w14:val="tx1"/>
            </w14:solidFill>
          </w14:textFill>
        </w:rPr>
        <w:t>、主管会计工作负责人</w:t>
      </w:r>
      <w:sdt>
        <w:sdtPr>
          <w:rPr>
            <w:rFonts w:hint="eastAsia" w:ascii="宋体" w:hAnsi="宋体"/>
            <w:color w:val="000000" w:themeColor="text1"/>
            <w14:textFill>
              <w14:solidFill>
                <w14:schemeClr w14:val="tx1"/>
              </w14:solidFill>
            </w14:textFill>
          </w:rPr>
          <w:alias w:val="主管会计工作负责人姓名"/>
          <w:tag w:val="_GBC_51ed55c6ff134dadaa6756998c964cdf"/>
          <w:id w:val="147480646"/>
          <w:placeholder>
            <w:docPart w:val="GBC22222222222222222222222222222"/>
          </w:placeholder>
          <w:dataBinding w:prefixMappings="xmlns:clcid-mr='clcid-mr'" w:xpath="/*/clcid-mr:ZhuGuanKuaiJiGongZuoFuZeRenXingMing[not(@periodRef)]" w:storeItemID="{89EBAB94-44A0-46A2-B712-30D997D04A6D}"/>
          <w:text/>
        </w:sdtPr>
        <w:sdtEndPr>
          <w:rPr>
            <w:rFonts w:hint="eastAsia" w:ascii="宋体" w:hAnsi="宋体"/>
            <w:color w:val="000000" w:themeColor="text1"/>
            <w14:textFill>
              <w14:solidFill>
                <w14:schemeClr w14:val="tx1"/>
              </w14:solidFill>
            </w14:textFill>
          </w:rPr>
        </w:sdtEndPr>
        <w:sdtContent>
          <w:r>
            <w:rPr>
              <w:rFonts w:ascii="宋体" w:hAnsi="宋体" w:cs="宋体"/>
              <w:color w:val="000000" w:themeColor="text1"/>
              <w14:textFill>
                <w14:solidFill>
                  <w14:schemeClr w14:val="tx1"/>
                </w14:solidFill>
              </w14:textFill>
            </w:rPr>
            <w:t>刘改平</w:t>
          </w:r>
        </w:sdtContent>
      </w:sdt>
      <w:r>
        <w:rPr>
          <w:rFonts w:ascii="宋体" w:hAnsi="宋体" w:cs="宋体"/>
          <w:color w:val="000000" w:themeColor="text1"/>
          <w14:textFill>
            <w14:solidFill>
              <w14:schemeClr w14:val="tx1"/>
            </w14:solidFill>
          </w14:textFill>
        </w:rPr>
        <w:t>及会计机构负责人（会计主管人员）</w:t>
      </w:r>
      <w:sdt>
        <w:sdtPr>
          <w:rPr>
            <w:rFonts w:hint="eastAsia" w:ascii="宋体" w:hAnsi="宋体"/>
            <w:color w:val="000000" w:themeColor="text1"/>
            <w14:textFill>
              <w14:solidFill>
                <w14:schemeClr w14:val="tx1"/>
              </w14:solidFill>
            </w14:textFill>
          </w:rPr>
          <w:alias w:val="会计机构负责人姓名"/>
          <w:tag w:val="_GBC_aa7d9e44d6e64b9abdcdefb4a3968427"/>
          <w:id w:val="147479527"/>
          <w:placeholder>
            <w:docPart w:val="GBC22222222222222222222222222222"/>
          </w:placeholder>
          <w:dataBinding w:prefixMappings="xmlns:clcid-mr='clcid-mr'" w:xpath="/*/clcid-mr:KuaiJiJiGouFuZeRenXingMing[not(@periodRef)]" w:storeItemID="{89EBAB94-44A0-46A2-B712-30D997D04A6D}"/>
          <w:text/>
        </w:sdtPr>
        <w:sdtEndPr>
          <w:rPr>
            <w:rFonts w:hint="eastAsia" w:ascii="宋体" w:hAnsi="宋体"/>
            <w:color w:val="000000" w:themeColor="text1"/>
            <w14:textFill>
              <w14:solidFill>
                <w14:schemeClr w14:val="tx1"/>
              </w14:solidFill>
            </w14:textFill>
          </w:rPr>
        </w:sdtEndPr>
        <w:sdtContent>
          <w:r>
            <w:rPr>
              <w:rFonts w:ascii="宋体" w:hAnsi="宋体" w:cs="宋体"/>
              <w:color w:val="000000" w:themeColor="text1"/>
              <w14:textFill>
                <w14:solidFill>
                  <w14:schemeClr w14:val="tx1"/>
                </w14:solidFill>
              </w14:textFill>
            </w:rPr>
            <w:t>冯晓</w:t>
          </w:r>
        </w:sdtContent>
      </w:sdt>
      <w:r>
        <w:rPr>
          <w:rFonts w:ascii="宋体" w:hAnsi="宋体" w:cs="宋体"/>
          <w:color w:val="000000" w:themeColor="text1"/>
          <w14:textFill>
            <w14:solidFill>
              <w14:schemeClr w14:val="tx1"/>
            </w14:solidFill>
          </w14:textFill>
        </w:rPr>
        <w:t>声明：保证半年度报告中财务报告的真实、准确、完整。</w:t>
      </w:r>
    </w:p>
    <w:p w14:paraId="42EA42CF">
      <w:pPr>
        <w:rPr>
          <w:color w:val="000000" w:themeColor="text1"/>
          <w14:textFill>
            <w14:solidFill>
              <w14:schemeClr w14:val="tx1"/>
            </w14:solidFill>
          </w14:textFill>
        </w:rPr>
      </w:pPr>
    </w:p>
    <w:p w14:paraId="00751D9B">
      <w:pPr>
        <w:pStyle w:val="3"/>
        <w:numPr>
          <w:ilvl w:val="0"/>
          <w:numId w:val="2"/>
        </w:numPr>
        <w:tabs>
          <w:tab w:val="left" w:pos="434"/>
        </w:tabs>
        <w:spacing w:before="0" w:after="0" w:line="360" w:lineRule="auto"/>
        <w:ind w:left="0" w:firstLine="0"/>
        <w:rPr>
          <w:rFonts w:ascii="宋体" w:hAnsi="宋体"/>
          <w:color w:val="000000" w:themeColor="text1"/>
          <w14:textFill>
            <w14:solidFill>
              <w14:schemeClr w14:val="tx1"/>
            </w14:solidFill>
          </w14:textFill>
        </w:rPr>
      </w:pPr>
      <w:bookmarkStart w:id="3" w:name="_Hlk61881950"/>
      <w:bookmarkStart w:id="4" w:name="_Hlk72769553"/>
      <w:r>
        <w:rPr>
          <w:rFonts w:ascii="宋体" w:hAnsi="宋体" w:cs="宋体"/>
          <w:color w:val="000000" w:themeColor="text1"/>
          <w14:textFill>
            <w14:solidFill>
              <w14:schemeClr w14:val="tx1"/>
            </w14:solidFill>
          </w14:textFill>
        </w:rPr>
        <w:t>是否存在半数以上董事无法保证公司所披露半年度报告的真实性、准确性和完整性</w:t>
      </w:r>
      <w:bookmarkEnd w:id="3"/>
    </w:p>
    <w:sdt>
      <w:sdtPr>
        <w:rPr>
          <w:rFonts w:hint="eastAsia"/>
          <w:color w:val="000000" w:themeColor="text1"/>
          <w14:textFill>
            <w14:solidFill>
              <w14:schemeClr w14:val="tx1"/>
            </w14:solidFill>
          </w14:textFill>
        </w:rPr>
        <w:alias w:val="是否存在半数以上董事无法保证公司所披露年度报告的真实性、准确性和完整性"/>
        <w:tag w:val="_GBC_016ca2a0d8c2429a89679ee7fdc015c2"/>
        <w:id w:val="147465246"/>
        <w:lock w:val="sdtLocked"/>
        <w:placeholder>
          <w:docPart w:val="GBC22222222222222222222222222222"/>
        </w:placeholder>
        <w:comboBox>
          <w:listItem w:displayText="是" w:value="true"/>
          <w:listItem w:displayText="否" w:value="false"/>
        </w:comboBox>
      </w:sdtPr>
      <w:sdtEndPr>
        <w:rPr>
          <w:rFonts w:hint="eastAsia"/>
          <w:color w:val="000000" w:themeColor="text1"/>
          <w14:textFill>
            <w14:solidFill>
              <w14:schemeClr w14:val="tx1"/>
            </w14:solidFill>
          </w14:textFill>
        </w:rPr>
      </w:sdtEndPr>
      <w:sdtContent>
        <w:p w14:paraId="277B4BD8">
          <w:pPr>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sdtContent>
    </w:sdt>
    <w:p w14:paraId="186727FB">
      <w:pPr>
        <w:rPr>
          <w:color w:val="000000" w:themeColor="text1"/>
          <w14:textFill>
            <w14:solidFill>
              <w14:schemeClr w14:val="tx1"/>
            </w14:solidFill>
          </w14:textFill>
        </w:rPr>
      </w:pPr>
    </w:p>
    <w:bookmarkEnd w:id="4"/>
    <w:p w14:paraId="3167B193">
      <w:pPr>
        <w:pStyle w:val="3"/>
        <w:numPr>
          <w:ilvl w:val="0"/>
          <w:numId w:val="2"/>
        </w:numPr>
        <w:tabs>
          <w:tab w:val="left" w:pos="434"/>
        </w:tabs>
        <w:spacing w:before="0" w:after="0" w:line="360" w:lineRule="auto"/>
        <w:ind w:left="0" w:firstLine="0"/>
        <w:rPr>
          <w:rFonts w:ascii="宋体" w:hAnsi="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重大风险提示</w:t>
      </w:r>
    </w:p>
    <w:sdt>
      <w:sdtPr>
        <w:rPr>
          <w:rFonts w:hint="eastAsia"/>
        </w:rPr>
        <w:alias w:val="重大风险提示"/>
        <w:tag w:val="_GBC_d0220f8592e64dd1b898937e183da1e3"/>
        <w:id w:val="147471286"/>
        <w:placeholder>
          <w:docPart w:val="GBC22222222222222222222222222222"/>
        </w:placeholder>
      </w:sdtPr>
      <w:sdtEndPr>
        <w:rPr>
          <w:rFonts w:hint="eastAsia"/>
        </w:rPr>
      </w:sdtEndPr>
      <w:sdtContent>
        <w:p w14:paraId="75A33F2B">
          <w:pPr>
            <w:ind w:firstLine="420" w:firstLineChars="200"/>
          </w:pPr>
          <w:r>
            <w:rPr>
              <w:rFonts w:hint="eastAsia"/>
            </w:rPr>
            <w:t>公司有关风险因素内容与对策措施已在本报告中“第三节管理层讨论与分析”之“五、其他</w:t>
          </w:r>
        </w:p>
        <w:p w14:paraId="79ED3487">
          <w:r>
            <w:rPr>
              <w:rFonts w:hint="eastAsia"/>
            </w:rPr>
            <w:t>披露事项 ”之“(一)可能面对的风险”部分予以详细描述，敬请查阅相关内容。</w:t>
          </w:r>
        </w:p>
      </w:sdtContent>
    </w:sdt>
    <w:p w14:paraId="6C003D58"/>
    <w:p w14:paraId="5D863DE8">
      <w:pPr>
        <w:pStyle w:val="3"/>
        <w:numPr>
          <w:ilvl w:val="0"/>
          <w:numId w:val="2"/>
        </w:numPr>
        <w:tabs>
          <w:tab w:val="left" w:pos="434"/>
        </w:tabs>
        <w:spacing w:before="0" w:after="0" w:line="360" w:lineRule="auto"/>
        <w:ind w:left="0" w:firstLine="0"/>
        <w:rPr>
          <w:rFonts w:ascii="宋体" w:hAnsi="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其他</w:t>
      </w:r>
    </w:p>
    <w:sdt>
      <w:sdtPr>
        <w:alias w:val="是否适用：其他重要提示[双击切换]"/>
        <w:tag w:val="_GBC_3a91363d913942688077b069148debc5"/>
        <w:id w:val="147455876"/>
        <w:placeholder>
          <w:docPart w:val="GBC22222222222222222222222222222"/>
        </w:placeholder>
      </w:sdtPr>
      <w:sdtContent>
        <w:p w14:paraId="56B05634">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F8B042F">
      <w:pPr>
        <w:rPr>
          <w:color w:val="000000" w:themeColor="text1"/>
          <w14:textFill>
            <w14:solidFill>
              <w14:schemeClr w14:val="tx1"/>
            </w14:solidFill>
          </w14:textFill>
        </w:rPr>
      </w:pPr>
    </w:p>
    <w:p w14:paraId="52933F9E">
      <w:pPr>
        <w:rPr>
          <w:color w:val="000000" w:themeColor="text1"/>
          <w14:textFill>
            <w14:solidFill>
              <w14:schemeClr w14:val="tx1"/>
            </w14:solidFill>
          </w14:textFill>
        </w:rPr>
      </w:pPr>
    </w:p>
    <w:p w14:paraId="68FE8F8D">
      <w:pPr>
        <w:rPr>
          <w:color w:val="000000" w:themeColor="text1"/>
          <w14:textFill>
            <w14:solidFill>
              <w14:schemeClr w14:val="tx1"/>
            </w14:solidFill>
          </w14:textFill>
        </w:rPr>
        <w:sectPr>
          <w:headerReference r:id="rId3" w:type="default"/>
          <w:footerReference r:id="rId4" w:type="default"/>
          <w:pgSz w:w="11906" w:h="16838"/>
          <w:pgMar w:top="1525" w:right="1276" w:bottom="1440" w:left="1797" w:header="855" w:footer="992" w:gutter="0"/>
          <w:cols w:space="425" w:num="1"/>
          <w:docGrid w:linePitch="312" w:charSpace="0"/>
        </w:sectPr>
      </w:pPr>
    </w:p>
    <w:p w14:paraId="166198E6">
      <w:pPr>
        <w:rPr>
          <w:color w:val="000000" w:themeColor="text1"/>
          <w14:textFill>
            <w14:solidFill>
              <w14:schemeClr w14:val="tx1"/>
            </w14:solidFill>
          </w14:textFill>
        </w:rPr>
      </w:pPr>
    </w:p>
    <w:p w14:paraId="6CB43578">
      <w:pPr>
        <w:kinsoku w:val="0"/>
        <w:overflowPunct w:val="0"/>
        <w:autoSpaceDE w:val="0"/>
        <w:autoSpaceDN w:val="0"/>
        <w:adjustRightInd w:val="0"/>
        <w:snapToGrid w:val="0"/>
        <w:spacing w:line="360" w:lineRule="auto"/>
        <w:jc w:val="center"/>
      </w:pPr>
      <w:r>
        <w:rPr>
          <w:rFonts w:hint="eastAsia"/>
          <w:b/>
          <w:color w:val="000000" w:themeColor="text1"/>
          <w:sz w:val="32"/>
          <w:szCs w:val="32"/>
          <w14:textFill>
            <w14:solidFill>
              <w14:schemeClr w14:val="tx1"/>
            </w14:solidFill>
          </w14:textFill>
        </w:rPr>
        <w:t>目录</w:t>
      </w:r>
      <w:r>
        <w:rPr>
          <w:color w:val="000000" w:themeColor="text1"/>
          <w:shd w:val="pct10" w:color="auto" w:fill="FFFFFF"/>
          <w14:textFill>
            <w14:solidFill>
              <w14:schemeClr w14:val="tx1"/>
            </w14:solidFill>
          </w14:textFill>
        </w:rPr>
        <w:fldChar w:fldCharType="begin"/>
      </w:r>
      <w:r>
        <w:rPr>
          <w:color w:val="000000" w:themeColor="text1"/>
          <w:shd w:val="pct10" w:color="auto" w:fill="FFFFFF"/>
          <w14:textFill>
            <w14:solidFill>
              <w14:schemeClr w14:val="tx1"/>
            </w14:solidFill>
          </w14:textFill>
        </w:rPr>
        <w:instrText xml:space="preserve"> TOC \o "1-1" \h \z \u </w:instrText>
      </w:r>
      <w:r>
        <w:rPr>
          <w:color w:val="000000" w:themeColor="text1"/>
          <w:shd w:val="pct10" w:color="auto" w:fill="FFFFFF"/>
          <w14:textFill>
            <w14:solidFill>
              <w14:schemeClr w14:val="tx1"/>
            </w14:solidFill>
          </w14:textFill>
        </w:rPr>
        <w:fldChar w:fldCharType="separate"/>
      </w:r>
    </w:p>
    <w:p w14:paraId="429398A4">
      <w:pPr>
        <w:pStyle w:val="27"/>
        <w:tabs>
          <w:tab w:val="left" w:pos="1050"/>
          <w:tab w:val="right" w:leader="dot" w:pos="8823"/>
        </w:tabs>
        <w:ind w:left="422" w:hanging="422"/>
        <w:rPr>
          <w:rFonts w:asciiTheme="minorHAnsi" w:hAnsiTheme="minorHAnsi" w:eastAsiaTheme="minorEastAsia" w:cstheme="minorBidi"/>
          <w:b w:val="0"/>
          <w:bCs w:val="0"/>
          <w:caps w:val="0"/>
          <w:kern w:val="2"/>
          <w:sz w:val="22"/>
          <w:szCs w:val="24"/>
          <w14:ligatures w14:val="standardContextual"/>
        </w:rPr>
      </w:pPr>
      <w:r>
        <w:fldChar w:fldCharType="begin"/>
      </w:r>
      <w:r>
        <w:instrText xml:space="preserve"> HYPERLINK \l "_Toc200030539" </w:instrText>
      </w:r>
      <w:r>
        <w:fldChar w:fldCharType="separate"/>
      </w:r>
      <w:r>
        <w:rPr>
          <w:rFonts w:hint="eastAsia" w:ascii="黑体" w:hAnsi="黑体"/>
        </w:rPr>
        <w:t>第一节</w:t>
      </w:r>
      <w:r>
        <w:rPr>
          <w:rFonts w:hint="eastAsia" w:asciiTheme="minorHAnsi" w:hAnsiTheme="minorHAnsi" w:eastAsiaTheme="minorEastAsia" w:cstheme="minorBidi"/>
          <w:b w:val="0"/>
          <w:bCs w:val="0"/>
          <w:caps w:val="0"/>
          <w:kern w:val="2"/>
          <w:sz w:val="22"/>
          <w:szCs w:val="24"/>
          <w14:ligatures w14:val="standardContextual"/>
        </w:rPr>
        <w:tab/>
      </w:r>
      <w:r>
        <w:rPr>
          <w:rFonts w:hint="eastAsia" w:ascii="黑体" w:hAnsi="黑体"/>
        </w:rPr>
        <w:t>释义</w:t>
      </w:r>
      <w:r>
        <w:rPr>
          <w:rFonts w:hint="eastAsia"/>
        </w:rPr>
        <w:tab/>
      </w:r>
      <w:r>
        <w:rPr>
          <w:rFonts w:hint="eastAsia"/>
        </w:rPr>
        <w:fldChar w:fldCharType="begin"/>
      </w:r>
      <w:r>
        <w:rPr>
          <w:rFonts w:hint="eastAsia"/>
        </w:rPr>
        <w:instrText xml:space="preserve"> </w:instrText>
      </w:r>
      <w:r>
        <w:instrText xml:space="preserve">PAGEREF _Toc200030539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3620659C">
      <w:pPr>
        <w:pStyle w:val="27"/>
        <w:tabs>
          <w:tab w:val="left" w:pos="1050"/>
          <w:tab w:val="right" w:leader="dot" w:pos="8823"/>
        </w:tabs>
        <w:ind w:left="422" w:hanging="422"/>
        <w:rPr>
          <w:rFonts w:asciiTheme="minorHAnsi" w:hAnsiTheme="minorHAnsi" w:eastAsiaTheme="minorEastAsia" w:cstheme="minorBidi"/>
          <w:b w:val="0"/>
          <w:bCs w:val="0"/>
          <w:caps w:val="0"/>
          <w:kern w:val="2"/>
          <w:sz w:val="22"/>
          <w:szCs w:val="24"/>
          <w14:ligatures w14:val="standardContextual"/>
        </w:rPr>
      </w:pPr>
      <w:r>
        <w:fldChar w:fldCharType="begin"/>
      </w:r>
      <w:r>
        <w:instrText xml:space="preserve"> HYPERLINK \l "_Toc200030540" </w:instrText>
      </w:r>
      <w:r>
        <w:fldChar w:fldCharType="separate"/>
      </w:r>
      <w:r>
        <w:rPr>
          <w:rFonts w:hint="eastAsia" w:ascii="黑体" w:hAnsi="黑体"/>
        </w:rPr>
        <w:t>第二节</w:t>
      </w:r>
      <w:r>
        <w:rPr>
          <w:rFonts w:hint="eastAsia" w:asciiTheme="minorHAnsi" w:hAnsiTheme="minorHAnsi" w:eastAsiaTheme="minorEastAsia" w:cstheme="minorBidi"/>
          <w:b w:val="0"/>
          <w:bCs w:val="0"/>
          <w:caps w:val="0"/>
          <w:kern w:val="2"/>
          <w:sz w:val="22"/>
          <w:szCs w:val="24"/>
          <w14:ligatures w14:val="standardContextual"/>
        </w:rPr>
        <w:tab/>
      </w:r>
      <w:r>
        <w:rPr>
          <w:rFonts w:hint="eastAsia" w:ascii="黑体" w:hAnsi="黑体"/>
        </w:rPr>
        <w:t>公司简介和主要财务指标</w:t>
      </w:r>
      <w:r>
        <w:rPr>
          <w:rFonts w:hint="eastAsia"/>
        </w:rPr>
        <w:tab/>
      </w:r>
      <w:r>
        <w:rPr>
          <w:rFonts w:hint="eastAsia"/>
        </w:rPr>
        <w:fldChar w:fldCharType="begin"/>
      </w:r>
      <w:r>
        <w:rPr>
          <w:rFonts w:hint="eastAsia"/>
        </w:rPr>
        <w:instrText xml:space="preserve"> </w:instrText>
      </w:r>
      <w:r>
        <w:instrText xml:space="preserve">PAGEREF _Toc200030540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6B90EB05">
      <w:pPr>
        <w:pStyle w:val="27"/>
        <w:tabs>
          <w:tab w:val="left" w:pos="1050"/>
          <w:tab w:val="right" w:leader="dot" w:pos="8823"/>
        </w:tabs>
        <w:ind w:left="422" w:hanging="422"/>
        <w:rPr>
          <w:rFonts w:asciiTheme="minorHAnsi" w:hAnsiTheme="minorHAnsi" w:eastAsiaTheme="minorEastAsia" w:cstheme="minorBidi"/>
          <w:b w:val="0"/>
          <w:bCs w:val="0"/>
          <w:caps w:val="0"/>
          <w:kern w:val="2"/>
          <w:sz w:val="22"/>
          <w:szCs w:val="24"/>
          <w14:ligatures w14:val="standardContextual"/>
        </w:rPr>
      </w:pPr>
      <w:r>
        <w:fldChar w:fldCharType="begin"/>
      </w:r>
      <w:r>
        <w:instrText xml:space="preserve"> HYPERLINK \l "_Toc200030541" </w:instrText>
      </w:r>
      <w:r>
        <w:fldChar w:fldCharType="separate"/>
      </w:r>
      <w:r>
        <w:rPr>
          <w:rFonts w:hint="eastAsia" w:ascii="黑体" w:hAnsi="黑体"/>
        </w:rPr>
        <w:t>第三节</w:t>
      </w:r>
      <w:r>
        <w:rPr>
          <w:rFonts w:hint="eastAsia" w:asciiTheme="minorHAnsi" w:hAnsiTheme="minorHAnsi" w:eastAsiaTheme="minorEastAsia" w:cstheme="minorBidi"/>
          <w:b w:val="0"/>
          <w:bCs w:val="0"/>
          <w:caps w:val="0"/>
          <w:kern w:val="2"/>
          <w:sz w:val="22"/>
          <w:szCs w:val="24"/>
          <w14:ligatures w14:val="standardContextual"/>
        </w:rPr>
        <w:tab/>
      </w:r>
      <w:r>
        <w:rPr>
          <w:rFonts w:hint="eastAsia" w:ascii="黑体" w:hAnsi="黑体"/>
        </w:rPr>
        <w:t>管理层讨论与分析</w:t>
      </w:r>
      <w:r>
        <w:rPr>
          <w:rFonts w:hint="eastAsia"/>
        </w:rPr>
        <w:tab/>
      </w:r>
      <w:r>
        <w:rPr>
          <w:rFonts w:hint="eastAsia"/>
        </w:rPr>
        <w:fldChar w:fldCharType="begin"/>
      </w:r>
      <w:r>
        <w:rPr>
          <w:rFonts w:hint="eastAsia"/>
        </w:rPr>
        <w:instrText xml:space="preserve"> </w:instrText>
      </w:r>
      <w:r>
        <w:instrText xml:space="preserve">PAGEREF _Toc200030541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536FFED8">
      <w:pPr>
        <w:pStyle w:val="27"/>
        <w:tabs>
          <w:tab w:val="left" w:pos="1050"/>
          <w:tab w:val="right" w:leader="dot" w:pos="8823"/>
        </w:tabs>
        <w:ind w:left="422" w:hanging="422"/>
        <w:rPr>
          <w:rFonts w:asciiTheme="minorHAnsi" w:hAnsiTheme="minorHAnsi" w:eastAsiaTheme="minorEastAsia" w:cstheme="minorBidi"/>
          <w:b w:val="0"/>
          <w:bCs w:val="0"/>
          <w:caps w:val="0"/>
          <w:kern w:val="2"/>
          <w:sz w:val="22"/>
          <w:szCs w:val="24"/>
          <w14:ligatures w14:val="standardContextual"/>
        </w:rPr>
      </w:pPr>
      <w:r>
        <w:fldChar w:fldCharType="begin"/>
      </w:r>
      <w:r>
        <w:instrText xml:space="preserve"> HYPERLINK \l "_Toc200030542" </w:instrText>
      </w:r>
      <w:r>
        <w:fldChar w:fldCharType="separate"/>
      </w:r>
      <w:r>
        <w:rPr>
          <w:rFonts w:hint="eastAsia" w:ascii="黑体" w:hAnsi="黑体"/>
        </w:rPr>
        <w:t>第四节</w:t>
      </w:r>
      <w:r>
        <w:rPr>
          <w:rFonts w:hint="eastAsia" w:asciiTheme="minorHAnsi" w:hAnsiTheme="minorHAnsi" w:eastAsiaTheme="minorEastAsia" w:cstheme="minorBidi"/>
          <w:b w:val="0"/>
          <w:bCs w:val="0"/>
          <w:caps w:val="0"/>
          <w:kern w:val="2"/>
          <w:sz w:val="22"/>
          <w:szCs w:val="24"/>
          <w14:ligatures w14:val="standardContextual"/>
        </w:rPr>
        <w:tab/>
      </w:r>
      <w:r>
        <w:rPr>
          <w:rFonts w:hint="eastAsia" w:ascii="黑体" w:hAnsi="黑体"/>
        </w:rPr>
        <w:t>公司治理、环境和社会</w:t>
      </w:r>
      <w:r>
        <w:rPr>
          <w:rFonts w:hint="eastAsia"/>
        </w:rPr>
        <w:tab/>
      </w:r>
      <w:r>
        <w:rPr>
          <w:rFonts w:hint="eastAsia"/>
        </w:rPr>
        <w:fldChar w:fldCharType="begin"/>
      </w:r>
      <w:r>
        <w:rPr>
          <w:rFonts w:hint="eastAsia"/>
        </w:rPr>
        <w:instrText xml:space="preserve"> </w:instrText>
      </w:r>
      <w:r>
        <w:instrText xml:space="preserve">PAGEREF _Toc200030542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17861D53">
      <w:pPr>
        <w:pStyle w:val="27"/>
        <w:tabs>
          <w:tab w:val="left" w:pos="1050"/>
          <w:tab w:val="right" w:leader="dot" w:pos="8823"/>
        </w:tabs>
        <w:ind w:left="422" w:hanging="422"/>
        <w:rPr>
          <w:rFonts w:asciiTheme="minorHAnsi" w:hAnsiTheme="minorHAnsi" w:eastAsiaTheme="minorEastAsia" w:cstheme="minorBidi"/>
          <w:b w:val="0"/>
          <w:bCs w:val="0"/>
          <w:caps w:val="0"/>
          <w:kern w:val="2"/>
          <w:sz w:val="22"/>
          <w:szCs w:val="24"/>
          <w14:ligatures w14:val="standardContextual"/>
        </w:rPr>
      </w:pPr>
      <w:r>
        <w:fldChar w:fldCharType="begin"/>
      </w:r>
      <w:r>
        <w:instrText xml:space="preserve"> HYPERLINK \l "_Toc200030543" </w:instrText>
      </w:r>
      <w:r>
        <w:fldChar w:fldCharType="separate"/>
      </w:r>
      <w:r>
        <w:rPr>
          <w:rFonts w:hint="eastAsia" w:ascii="黑体" w:hAnsi="黑体"/>
        </w:rPr>
        <w:t>第五节</w:t>
      </w:r>
      <w:r>
        <w:rPr>
          <w:rFonts w:hint="eastAsia" w:asciiTheme="minorHAnsi" w:hAnsiTheme="minorHAnsi" w:eastAsiaTheme="minorEastAsia" w:cstheme="minorBidi"/>
          <w:b w:val="0"/>
          <w:bCs w:val="0"/>
          <w:caps w:val="0"/>
          <w:kern w:val="2"/>
          <w:sz w:val="22"/>
          <w:szCs w:val="24"/>
          <w14:ligatures w14:val="standardContextual"/>
        </w:rPr>
        <w:tab/>
      </w:r>
      <w:r>
        <w:rPr>
          <w:rFonts w:hint="eastAsia" w:ascii="黑体" w:hAnsi="黑体"/>
        </w:rPr>
        <w:t>重要事项</w:t>
      </w:r>
      <w:r>
        <w:rPr>
          <w:rFonts w:hint="eastAsia"/>
        </w:rPr>
        <w:tab/>
      </w:r>
      <w:r>
        <w:rPr>
          <w:rFonts w:hint="eastAsia"/>
        </w:rPr>
        <w:fldChar w:fldCharType="begin"/>
      </w:r>
      <w:r>
        <w:rPr>
          <w:rFonts w:hint="eastAsia"/>
        </w:rPr>
        <w:instrText xml:space="preserve"> </w:instrText>
      </w:r>
      <w:r>
        <w:instrText xml:space="preserve">PAGEREF _Toc200030543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69A52999">
      <w:pPr>
        <w:pStyle w:val="27"/>
        <w:tabs>
          <w:tab w:val="left" w:pos="1050"/>
          <w:tab w:val="right" w:leader="dot" w:pos="8823"/>
        </w:tabs>
        <w:ind w:left="422" w:hanging="422"/>
        <w:rPr>
          <w:rFonts w:asciiTheme="minorHAnsi" w:hAnsiTheme="minorHAnsi" w:eastAsiaTheme="minorEastAsia" w:cstheme="minorBidi"/>
          <w:b w:val="0"/>
          <w:bCs w:val="0"/>
          <w:caps w:val="0"/>
          <w:kern w:val="2"/>
          <w:sz w:val="22"/>
          <w:szCs w:val="24"/>
          <w14:ligatures w14:val="standardContextual"/>
        </w:rPr>
      </w:pPr>
      <w:r>
        <w:fldChar w:fldCharType="begin"/>
      </w:r>
      <w:r>
        <w:instrText xml:space="preserve"> HYPERLINK \l "_Toc200030544" </w:instrText>
      </w:r>
      <w:r>
        <w:fldChar w:fldCharType="separate"/>
      </w:r>
      <w:r>
        <w:rPr>
          <w:rFonts w:hint="eastAsia" w:ascii="黑体" w:hAnsi="黑体"/>
        </w:rPr>
        <w:t>第六节</w:t>
      </w:r>
      <w:r>
        <w:rPr>
          <w:rFonts w:hint="eastAsia" w:asciiTheme="minorHAnsi" w:hAnsiTheme="minorHAnsi" w:eastAsiaTheme="minorEastAsia" w:cstheme="minorBidi"/>
          <w:b w:val="0"/>
          <w:bCs w:val="0"/>
          <w:caps w:val="0"/>
          <w:kern w:val="2"/>
          <w:sz w:val="22"/>
          <w:szCs w:val="24"/>
          <w14:ligatures w14:val="standardContextual"/>
        </w:rPr>
        <w:tab/>
      </w:r>
      <w:r>
        <w:rPr>
          <w:rFonts w:hint="eastAsia" w:ascii="黑体" w:hAnsi="黑体"/>
        </w:rPr>
        <w:t>股份变动及股东情况</w:t>
      </w:r>
      <w:r>
        <w:rPr>
          <w:rFonts w:hint="eastAsia"/>
        </w:rPr>
        <w:tab/>
      </w:r>
      <w:r>
        <w:rPr>
          <w:rFonts w:hint="eastAsia"/>
        </w:rPr>
        <w:fldChar w:fldCharType="begin"/>
      </w:r>
      <w:r>
        <w:rPr>
          <w:rFonts w:hint="eastAsia"/>
        </w:rPr>
        <w:instrText xml:space="preserve"> </w:instrText>
      </w:r>
      <w:r>
        <w:instrText xml:space="preserve">PAGEREF _Toc200030544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14:paraId="5FF00411">
      <w:pPr>
        <w:pStyle w:val="27"/>
        <w:tabs>
          <w:tab w:val="left" w:pos="1050"/>
          <w:tab w:val="right" w:leader="dot" w:pos="8823"/>
        </w:tabs>
        <w:ind w:left="422" w:hanging="422"/>
        <w:rPr>
          <w:rFonts w:asciiTheme="minorHAnsi" w:hAnsiTheme="minorHAnsi" w:eastAsiaTheme="minorEastAsia" w:cstheme="minorBidi"/>
          <w:b w:val="0"/>
          <w:bCs w:val="0"/>
          <w:caps w:val="0"/>
          <w:kern w:val="2"/>
          <w:sz w:val="22"/>
          <w:szCs w:val="24"/>
          <w14:ligatures w14:val="standardContextual"/>
        </w:rPr>
      </w:pPr>
      <w:r>
        <w:fldChar w:fldCharType="begin"/>
      </w:r>
      <w:r>
        <w:instrText xml:space="preserve"> HYPERLINK \l "_Toc200030545" </w:instrText>
      </w:r>
      <w:r>
        <w:fldChar w:fldCharType="separate"/>
      </w:r>
      <w:r>
        <w:rPr>
          <w:rFonts w:hint="eastAsia" w:ascii="黑体" w:hAnsi="黑体"/>
        </w:rPr>
        <w:t>第七节</w:t>
      </w:r>
      <w:r>
        <w:rPr>
          <w:rFonts w:hint="eastAsia" w:asciiTheme="minorHAnsi" w:hAnsiTheme="minorHAnsi" w:eastAsiaTheme="minorEastAsia" w:cstheme="minorBidi"/>
          <w:b w:val="0"/>
          <w:bCs w:val="0"/>
          <w:caps w:val="0"/>
          <w:kern w:val="2"/>
          <w:sz w:val="22"/>
          <w:szCs w:val="24"/>
          <w14:ligatures w14:val="standardContextual"/>
        </w:rPr>
        <w:tab/>
      </w:r>
      <w:r>
        <w:rPr>
          <w:rFonts w:hint="eastAsia" w:ascii="黑体" w:hAnsi="黑体"/>
        </w:rPr>
        <w:t>债券相关情况</w:t>
      </w:r>
      <w:r>
        <w:rPr>
          <w:rFonts w:hint="eastAsia"/>
        </w:rPr>
        <w:tab/>
      </w:r>
      <w:r>
        <w:rPr>
          <w:rFonts w:hint="eastAsia"/>
        </w:rPr>
        <w:fldChar w:fldCharType="begin"/>
      </w:r>
      <w:r>
        <w:rPr>
          <w:rFonts w:hint="eastAsia"/>
        </w:rPr>
        <w:instrText xml:space="preserve"> </w:instrText>
      </w:r>
      <w:r>
        <w:instrText xml:space="preserve">PAGEREF _Toc200030545 \h</w:instrText>
      </w:r>
      <w:r>
        <w:rPr>
          <w:rFonts w:hint="eastAsia"/>
        </w:rPr>
        <w:instrText xml:space="preserve"> </w:instrText>
      </w:r>
      <w:r>
        <w:rPr>
          <w:rFonts w:hint="eastAsia"/>
        </w:rPr>
        <w:fldChar w:fldCharType="separate"/>
      </w:r>
      <w:r>
        <w:t>33</w:t>
      </w:r>
      <w:r>
        <w:rPr>
          <w:rFonts w:hint="eastAsia"/>
        </w:rPr>
        <w:fldChar w:fldCharType="end"/>
      </w:r>
      <w:r>
        <w:rPr>
          <w:rFonts w:hint="eastAsia"/>
        </w:rPr>
        <w:fldChar w:fldCharType="end"/>
      </w:r>
    </w:p>
    <w:p w14:paraId="4203516E">
      <w:pPr>
        <w:pStyle w:val="27"/>
        <w:tabs>
          <w:tab w:val="left" w:pos="1050"/>
          <w:tab w:val="right" w:leader="dot" w:pos="8823"/>
        </w:tabs>
        <w:ind w:left="422" w:hanging="422"/>
        <w:rPr>
          <w:rFonts w:asciiTheme="minorHAnsi" w:hAnsiTheme="minorHAnsi" w:eastAsiaTheme="minorEastAsia" w:cstheme="minorBidi"/>
          <w:b w:val="0"/>
          <w:bCs w:val="0"/>
          <w:caps w:val="0"/>
          <w:kern w:val="2"/>
          <w:sz w:val="22"/>
          <w:szCs w:val="24"/>
          <w14:ligatures w14:val="standardContextual"/>
        </w:rPr>
      </w:pPr>
      <w:r>
        <w:fldChar w:fldCharType="begin"/>
      </w:r>
      <w:r>
        <w:instrText xml:space="preserve"> HYPERLINK \l "_Toc200030546" </w:instrText>
      </w:r>
      <w:r>
        <w:fldChar w:fldCharType="separate"/>
      </w:r>
      <w:r>
        <w:rPr>
          <w:rFonts w:hint="eastAsia" w:ascii="黑体" w:hAnsi="黑体"/>
        </w:rPr>
        <w:t>第八节</w:t>
      </w:r>
      <w:r>
        <w:rPr>
          <w:rFonts w:hint="eastAsia" w:asciiTheme="minorHAnsi" w:hAnsiTheme="minorHAnsi" w:eastAsiaTheme="minorEastAsia" w:cstheme="minorBidi"/>
          <w:b w:val="0"/>
          <w:bCs w:val="0"/>
          <w:caps w:val="0"/>
          <w:kern w:val="2"/>
          <w:sz w:val="22"/>
          <w:szCs w:val="24"/>
          <w14:ligatures w14:val="standardContextual"/>
        </w:rPr>
        <w:tab/>
      </w:r>
      <w:r>
        <w:rPr>
          <w:rFonts w:hint="eastAsia" w:ascii="黑体" w:hAnsi="黑体"/>
        </w:rPr>
        <w:t>财务报告</w:t>
      </w:r>
      <w:r>
        <w:rPr>
          <w:rFonts w:hint="eastAsia"/>
        </w:rPr>
        <w:tab/>
      </w:r>
      <w:r>
        <w:rPr>
          <w:rFonts w:hint="eastAsia"/>
        </w:rPr>
        <w:fldChar w:fldCharType="begin"/>
      </w:r>
      <w:r>
        <w:rPr>
          <w:rFonts w:hint="eastAsia"/>
        </w:rPr>
        <w:instrText xml:space="preserve"> </w:instrText>
      </w:r>
      <w:r>
        <w:instrText xml:space="preserve">PAGEREF _Toc200030546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14:paraId="6CBBD030">
      <w:pPr>
        <w:kinsoku w:val="0"/>
        <w:overflowPunct w:val="0"/>
        <w:autoSpaceDE w:val="0"/>
        <w:autoSpaceDN w:val="0"/>
        <w:adjustRightInd w:val="0"/>
        <w:snapToGrid w:val="0"/>
        <w:spacing w:line="360" w:lineRule="auto"/>
        <w:jc w:val="center"/>
        <w:rPr>
          <w:color w:val="000000" w:themeColor="text1"/>
          <w:shd w:val="pct10" w:color="auto" w:fill="FFFFFF"/>
          <w14:textFill>
            <w14:solidFill>
              <w14:schemeClr w14:val="tx1"/>
            </w14:solidFill>
          </w14:textFill>
        </w:rPr>
      </w:pPr>
      <w:r>
        <w:rPr>
          <w:color w:val="000000" w:themeColor="text1"/>
          <w:shd w:val="pct10" w:color="auto" w:fill="FFFFFF"/>
          <w14:textFill>
            <w14:solidFill>
              <w14:schemeClr w14:val="tx1"/>
            </w14:solidFill>
          </w14:textFill>
        </w:rPr>
        <w:fldChar w:fldCharType="end"/>
      </w:r>
    </w:p>
    <w:p w14:paraId="793FB9BD">
      <w:pPr>
        <w:spacing w:line="360" w:lineRule="exact"/>
        <w:ind w:right="5"/>
        <w:rPr>
          <w:b/>
          <w:bCs w:val="0"/>
          <w:color w:val="000000" w:themeColor="text1"/>
          <w:sz w:val="24"/>
          <w14:textFill>
            <w14:solidFill>
              <w14:schemeClr w14:val="tx1"/>
            </w14:solidFill>
          </w14:textFill>
        </w:rPr>
      </w:pPr>
      <w:bookmarkStart w:id="5" w:name="_Hlk76111741"/>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294"/>
        <w:gridCol w:w="6599"/>
      </w:tblGrid>
      <w:sdt>
        <w:sdtPr>
          <w:rPr>
            <w:color w:val="000000" w:themeColor="text1"/>
            <w14:textFill>
              <w14:solidFill>
                <w14:schemeClr w14:val="tx1"/>
              </w14:solidFill>
            </w14:textFill>
          </w:rPr>
          <w:alias w:val="备查文件情况"/>
          <w:tag w:val="_TUP_d1defbbd2758417a8ea21948dd35feef"/>
          <w:id w:val="147471429"/>
          <w:placeholder>
            <w:docPart w:val="GBC11111111111111111111111111111"/>
          </w:placeholder>
        </w:sdtPr>
        <w:sdtEndPr>
          <w:rPr>
            <w:color w:val="000000" w:themeColor="text1"/>
            <w14:textFill>
              <w14:solidFill>
                <w14:schemeClr w14:val="tx1"/>
              </w14:solidFill>
            </w14:textFill>
          </w:rPr>
        </w:sdtEndPr>
        <w:sdtContent>
          <w:tr w14:paraId="09F3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0" w:type="pct"/>
                <w:vMerge w:val="restart"/>
                <w:tcBorders>
                  <w:top w:val="single" w:color="auto" w:sz="4" w:space="0"/>
                  <w:left w:val="single" w:color="auto" w:sz="4" w:space="0"/>
                  <w:bottom w:val="single" w:color="auto" w:sz="4" w:space="0"/>
                  <w:right w:val="single" w:color="auto" w:sz="4" w:space="0"/>
                </w:tcBorders>
                <w:vAlign w:val="center"/>
              </w:tcPr>
              <w:sdt>
                <w:sdtPr>
                  <w:tag w:val="_PLD_4dedc5664132424db8ffece735208815"/>
                  <w:id w:val="147473005"/>
                </w:sdtPr>
                <w:sdtContent>
                  <w:p w14:paraId="00FEDCBE">
                    <w:pPr>
                      <w:autoSpaceDE w:val="0"/>
                      <w:autoSpaceDN w:val="0"/>
                      <w:adjustRightInd w:val="0"/>
                      <w:jc w:val="center"/>
                      <w:rPr>
                        <w:color w:val="000000" w:themeColor="text1"/>
                        <w14:textFill>
                          <w14:solidFill>
                            <w14:schemeClr w14:val="tx1"/>
                          </w14:solidFill>
                        </w14:textFill>
                      </w:rPr>
                    </w:pPr>
                    <w:r>
                      <w:rPr>
                        <w:color w:val="000000" w:themeColor="text1"/>
                        <w14:textFill>
                          <w14:solidFill>
                            <w14:schemeClr w14:val="tx1"/>
                          </w14:solidFill>
                        </w14:textFill>
                      </w:rPr>
                      <w:t>备查文件目录</w:t>
                    </w:r>
                  </w:p>
                </w:sdtContent>
              </w:sdt>
            </w:tc>
            <w:sdt>
              <w:sdtPr>
                <w:rPr>
                  <w:color w:val="000000" w:themeColor="text1"/>
                  <w14:textFill>
                    <w14:solidFill>
                      <w14:schemeClr w14:val="tx1"/>
                    </w14:solidFill>
                  </w14:textFill>
                </w:rPr>
                <w:alias w:val="备查文件目录"/>
                <w:tag w:val="_GBC_b75b724a20654c669c9ce009a20dc247"/>
                <w:id w:val="147457159"/>
              </w:sdtPr>
              <w:sdtEndPr>
                <w:rPr>
                  <w:color w:val="000000" w:themeColor="text1"/>
                  <w14:textFill>
                    <w14:solidFill>
                      <w14:schemeClr w14:val="tx1"/>
                    </w14:solidFill>
                  </w14:textFill>
                </w:rPr>
              </w:sdtEndPr>
              <w:sdtContent>
                <w:tc>
                  <w:tcPr>
                    <w:tcW w:w="3710" w:type="pct"/>
                    <w:tcBorders>
                      <w:top w:val="single" w:color="auto" w:sz="4" w:space="0"/>
                      <w:left w:val="single" w:color="auto" w:sz="4" w:space="0"/>
                      <w:bottom w:val="single" w:color="auto" w:sz="4" w:space="0"/>
                      <w:right w:val="single" w:color="auto" w:sz="4" w:space="0"/>
                    </w:tcBorders>
                  </w:tcPr>
                  <w:p w14:paraId="01352396">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载有公司负责人、主管会计工作负责人、会计机构负责人签名并盖章的财务报表。</w:t>
                    </w:r>
                  </w:p>
                </w:tc>
              </w:sdtContent>
            </w:sdt>
          </w:tr>
        </w:sdtContent>
      </w:sdt>
      <w:tr w14:paraId="6352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0" w:type="pct"/>
            <w:vMerge w:val="continue"/>
            <w:tcBorders>
              <w:top w:val="single" w:color="auto" w:sz="4" w:space="0"/>
              <w:left w:val="single" w:color="auto" w:sz="4" w:space="0"/>
              <w:bottom w:val="single" w:color="auto" w:sz="4" w:space="0"/>
              <w:right w:val="single" w:color="auto" w:sz="4" w:space="0"/>
            </w:tcBorders>
            <w:vAlign w:val="center"/>
          </w:tcPr>
          <w:p w14:paraId="1EC6ED95">
            <w:pPr>
              <w:pStyle w:val="55"/>
            </w:pPr>
          </w:p>
        </w:tc>
        <w:tc>
          <w:tcPr>
            <w:tcW w:w="3710" w:type="pct"/>
            <w:tcBorders>
              <w:top w:val="single" w:color="auto" w:sz="4" w:space="0"/>
              <w:left w:val="single" w:color="auto" w:sz="4" w:space="0"/>
              <w:bottom w:val="single" w:color="auto" w:sz="4" w:space="0"/>
              <w:right w:val="single" w:color="auto" w:sz="4" w:space="0"/>
            </w:tcBorders>
          </w:tcPr>
          <w:p w14:paraId="048B6BB3">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报告期内公开披露过的所有公司文件的正本及公告的原稿</w:t>
            </w:r>
          </w:p>
        </w:tc>
      </w:tr>
      <w:tr w14:paraId="59604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0" w:type="pct"/>
            <w:vMerge w:val="continue"/>
            <w:tcBorders>
              <w:top w:val="single" w:color="auto" w:sz="4" w:space="0"/>
              <w:left w:val="single" w:color="auto" w:sz="4" w:space="0"/>
              <w:bottom w:val="single" w:color="auto" w:sz="4" w:space="0"/>
              <w:right w:val="single" w:color="auto" w:sz="4" w:space="0"/>
            </w:tcBorders>
            <w:vAlign w:val="center"/>
          </w:tcPr>
          <w:p w14:paraId="652FCBBD">
            <w:pPr>
              <w:pStyle w:val="55"/>
            </w:pPr>
          </w:p>
        </w:tc>
        <w:tc>
          <w:tcPr>
            <w:tcW w:w="3710" w:type="pct"/>
            <w:tcBorders>
              <w:top w:val="single" w:color="auto" w:sz="4" w:space="0"/>
              <w:left w:val="single" w:color="auto" w:sz="4" w:space="0"/>
              <w:bottom w:val="single" w:color="auto" w:sz="4" w:space="0"/>
              <w:right w:val="single" w:color="auto" w:sz="4" w:space="0"/>
            </w:tcBorders>
          </w:tcPr>
          <w:p w14:paraId="6760491A">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公司负责人签署的本次半年报全文及摘要</w:t>
            </w:r>
          </w:p>
        </w:tc>
      </w:tr>
    </w:tbl>
    <w:p w14:paraId="52826EC4">
      <w:pPr>
        <w:spacing w:line="360" w:lineRule="exact"/>
        <w:jc w:val="right"/>
        <w:rPr>
          <w:color w:val="000000" w:themeColor="text1"/>
          <w14:textFill>
            <w14:solidFill>
              <w14:schemeClr w14:val="tx1"/>
            </w14:solidFill>
          </w14:textFill>
        </w:rPr>
      </w:pPr>
    </w:p>
    <w:bookmarkEnd w:id="5"/>
    <w:p w14:paraId="0D9C9F42">
      <w:pPr>
        <w:kinsoku w:val="0"/>
        <w:overflowPunct w:val="0"/>
        <w:autoSpaceDE w:val="0"/>
        <w:autoSpaceDN w:val="0"/>
        <w:adjustRightInd w:val="0"/>
        <w:snapToGrid w:val="0"/>
        <w:spacing w:line="360" w:lineRule="exact"/>
        <w:rPr>
          <w:color w:val="000000" w:themeColor="text1"/>
          <w:shd w:val="pct10" w:color="auto" w:fill="FFFFFF"/>
          <w14:textFill>
            <w14:solidFill>
              <w14:schemeClr w14:val="tx1"/>
            </w14:solidFill>
          </w14:textFill>
        </w:rPr>
      </w:pPr>
    </w:p>
    <w:p w14:paraId="33B01C93">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27006772">
      <w:pPr>
        <w:pStyle w:val="2"/>
        <w:numPr>
          <w:ilvl w:val="0"/>
          <w:numId w:val="3"/>
        </w:numPr>
        <w:rPr>
          <w:rFonts w:ascii="黑体" w:hAnsi="黑体"/>
          <w:color w:val="000000" w:themeColor="text1"/>
          <w14:textFill>
            <w14:solidFill>
              <w14:schemeClr w14:val="tx1"/>
            </w14:solidFill>
          </w14:textFill>
        </w:rPr>
      </w:pPr>
      <w:bookmarkStart w:id="6" w:name="_Toc200030539"/>
      <w:bookmarkStart w:id="7" w:name="_Toc76114272"/>
      <w:bookmarkStart w:id="8" w:name="_Toc342565880"/>
      <w:r>
        <w:rPr>
          <w:rFonts w:hint="eastAsia" w:ascii="黑体" w:hAnsi="黑体"/>
          <w:color w:val="000000" w:themeColor="text1"/>
          <w14:textFill>
            <w14:solidFill>
              <w14:schemeClr w14:val="tx1"/>
            </w14:solidFill>
          </w14:textFill>
        </w:rPr>
        <w:t>释义</w:t>
      </w:r>
    </w:p>
    <w:bookmarkEnd w:id="6"/>
    <w:bookmarkEnd w:id="7"/>
    <w:p w14:paraId="0B0F070E">
      <w:pPr>
        <w:rPr>
          <w:color w:val="000000" w:themeColor="text1"/>
          <w14:textFill>
            <w14:solidFill>
              <w14:schemeClr w14:val="tx1"/>
            </w14:solidFill>
          </w14:textFill>
        </w:rPr>
      </w:pPr>
      <w:r>
        <w:rPr>
          <w:color w:val="000000" w:themeColor="text1"/>
          <w14:textFill>
            <w14:solidFill>
              <w14:schemeClr w14:val="tx1"/>
            </w14:solidFill>
          </w14:textFill>
        </w:rPr>
        <w:t>在本报告书中，除非文义另有所指，下列词语具有如下含义：</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6"/>
        <w:gridCol w:w="778"/>
        <w:gridCol w:w="5254"/>
      </w:tblGrid>
      <w:tr w14:paraId="155E5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73bff14187b49a1b1c86b56316c5e47"/>
            <w:id w:val="147476401"/>
          </w:sdtPr>
          <w:sdtContent>
            <w:tc>
              <w:tcPr>
                <w:tcW w:w="9048" w:type="dxa"/>
                <w:gridSpan w:val="3"/>
              </w:tcPr>
              <w:p w14:paraId="5E5A8942">
                <w:pPr>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常用词语释义</w:t>
                </w:r>
              </w:p>
            </w:tc>
          </w:sdtContent>
        </w:sdt>
      </w:tr>
      <w:sdt>
        <w:sdtPr>
          <w:rPr>
            <w:rFonts w:hint="eastAsia" w:ascii="宋体" w:hAnsi="宋体"/>
            <w:color w:val="000000" w:themeColor="text1"/>
            <w14:textFill>
              <w14:solidFill>
                <w14:schemeClr w14:val="tx1"/>
              </w14:solidFill>
            </w14:textFill>
          </w:rPr>
          <w:alias w:val="释义"/>
          <w:tag w:val="_GBC_ca5c2cb7a4e545e2b2d9d1b94b528746"/>
          <w:id w:val="147461702"/>
          <w:placeholder>
            <w:docPart w:val="75FCC87414EC4602AD9AE92B9FF2EFDC"/>
          </w:placeholder>
        </w:sdtPr>
        <w:sdtEndPr>
          <w:rPr>
            <w:rFonts w:hint="eastAsia" w:ascii="宋体" w:hAnsi="宋体"/>
            <w:color w:val="000000" w:themeColor="text1"/>
            <w14:textFill>
              <w14:solidFill>
                <w14:schemeClr w14:val="tx1"/>
              </w14:solidFill>
            </w14:textFill>
          </w:rPr>
        </w:sdtEndPr>
        <w:sdtContent>
          <w:tr w14:paraId="7554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0952EBBB">
                <w:pPr>
                  <w:widowControl w:val="0"/>
                  <w:jc w:val="both"/>
                </w:pPr>
                <w:r>
                  <w:rPr>
                    <w:rFonts w:hint="eastAsia"/>
                  </w:rPr>
                  <w:t>证监会</w:t>
                </w:r>
              </w:p>
            </w:tc>
            <w:tc>
              <w:tcPr>
                <w:tcW w:w="778" w:type="dxa"/>
              </w:tcPr>
              <w:sdt>
                <w:sdtPr>
                  <w:tag w:val="_PLD_289cf7e5c3a845d59c038a21dcd4a571"/>
                  <w:id w:val="147472206"/>
                </w:sdtPr>
                <w:sdtContent>
                  <w:p w14:paraId="6B3DA90A">
                    <w:pPr>
                      <w:widowControl w:val="0"/>
                      <w:jc w:val="center"/>
                      <w:rPr>
                        <w:color w:val="000000" w:themeColor="text1"/>
                        <w:highlight w:val="lightGray"/>
                        <w14:textFill>
                          <w14:solidFill>
                            <w14:schemeClr w14:val="tx1"/>
                          </w14:solidFill>
                        </w14:textFill>
                      </w:rPr>
                    </w:pPr>
                    <w:r>
                      <w:rPr>
                        <w:rFonts w:hint="eastAsia"/>
                        <w:color w:val="000000" w:themeColor="text1"/>
                        <w14:textFill>
                          <w14:solidFill>
                            <w14:schemeClr w14:val="tx1"/>
                          </w14:solidFill>
                        </w14:textFill>
                      </w:rPr>
                      <w:t>指</w:t>
                    </w:r>
                  </w:p>
                </w:sdtContent>
              </w:sdt>
            </w:tc>
            <w:sdt>
              <w:sdtPr>
                <w:rPr>
                  <w:rFonts w:hint="eastAsia"/>
                  <w:color w:val="000000" w:themeColor="text1"/>
                  <w14:textFill>
                    <w14:solidFill>
                      <w14:schemeClr w14:val="tx1"/>
                    </w14:solidFill>
                  </w14:textFill>
                </w:rPr>
                <w:alias w:val="常用词语释义"/>
                <w:tag w:val="_GBC_b625dd71b03542c3b074c2ce59de70ad"/>
                <w:id w:val="147477342"/>
              </w:sdtPr>
              <w:sdtEndPr>
                <w:rPr>
                  <w:rFonts w:hint="eastAsia"/>
                  <w:color w:val="000000" w:themeColor="text1"/>
                  <w14:textFill>
                    <w14:solidFill>
                      <w14:schemeClr w14:val="tx1"/>
                    </w14:solidFill>
                  </w14:textFill>
                </w:rPr>
              </w:sdtEndPr>
              <w:sdtContent>
                <w:tc>
                  <w:tcPr>
                    <w:tcW w:w="5254" w:type="dxa"/>
                    <w:vAlign w:val="center"/>
                  </w:tcPr>
                  <w:p w14:paraId="215C3209">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中国证券监督管理委员会</w:t>
                    </w:r>
                  </w:p>
                </w:tc>
              </w:sdtContent>
            </w:sdt>
          </w:tr>
        </w:sdtContent>
      </w:sdt>
      <w:sdt>
        <w:sdtPr>
          <w:rPr>
            <w:rFonts w:hint="eastAsia" w:ascii="宋体" w:hAnsi="宋体"/>
            <w:color w:val="000000" w:themeColor="text1"/>
            <w14:textFill>
              <w14:solidFill>
                <w14:schemeClr w14:val="tx1"/>
              </w14:solidFill>
            </w14:textFill>
          </w:rPr>
          <w:alias w:val="释义"/>
          <w:tag w:val="_GBC_ca5c2cb7a4e545e2b2d9d1b94b528746"/>
          <w:id w:val="147463874"/>
          <w:placeholder>
            <w:docPart w:val="75FCC87414EC4602AD9AE92B9FF2EFDC"/>
          </w:placeholder>
        </w:sdtPr>
        <w:sdtEndPr>
          <w:rPr>
            <w:rFonts w:hint="eastAsia" w:ascii="宋体" w:hAnsi="宋体"/>
            <w:color w:val="000000" w:themeColor="text1"/>
            <w14:textFill>
              <w14:solidFill>
                <w14:schemeClr w14:val="tx1"/>
              </w14:solidFill>
            </w14:textFill>
          </w:rPr>
        </w:sdtEndPr>
        <w:sdtContent>
          <w:tr w14:paraId="07F52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3F8FF7F1">
                <w:pPr>
                  <w:widowControl w:val="0"/>
                  <w:jc w:val="both"/>
                </w:pPr>
                <w:r>
                  <w:rPr>
                    <w:rFonts w:hint="eastAsia"/>
                  </w:rPr>
                  <w:t>上交所</w:t>
                </w:r>
              </w:p>
            </w:tc>
            <w:tc>
              <w:tcPr>
                <w:tcW w:w="778" w:type="dxa"/>
              </w:tcPr>
              <w:sdt>
                <w:sdtPr>
                  <w:tag w:val="_PLD_289cf7e5c3a845d59c038a21dcd4a571"/>
                  <w:id w:val="147462357"/>
                </w:sdtPr>
                <w:sdtContent>
                  <w:p w14:paraId="21D56D53">
                    <w:pPr>
                      <w:widowControl w:val="0"/>
                      <w:jc w:val="center"/>
                      <w:rPr>
                        <w:color w:val="000000" w:themeColor="text1"/>
                        <w:highlight w:val="lightGray"/>
                        <w14:textFill>
                          <w14:solidFill>
                            <w14:schemeClr w14:val="tx1"/>
                          </w14:solidFill>
                        </w14:textFill>
                      </w:rPr>
                    </w:pPr>
                    <w:r>
                      <w:rPr>
                        <w:rFonts w:hint="eastAsia"/>
                        <w:color w:val="000000" w:themeColor="text1"/>
                        <w14:textFill>
                          <w14:solidFill>
                            <w14:schemeClr w14:val="tx1"/>
                          </w14:solidFill>
                        </w14:textFill>
                      </w:rPr>
                      <w:t>指</w:t>
                    </w:r>
                  </w:p>
                </w:sdtContent>
              </w:sdt>
            </w:tc>
            <w:sdt>
              <w:sdtPr>
                <w:rPr>
                  <w:rFonts w:hint="eastAsia"/>
                  <w:color w:val="000000" w:themeColor="text1"/>
                  <w14:textFill>
                    <w14:solidFill>
                      <w14:schemeClr w14:val="tx1"/>
                    </w14:solidFill>
                  </w14:textFill>
                </w:rPr>
                <w:alias w:val="常用词语释义"/>
                <w:tag w:val="_GBC_b625dd71b03542c3b074c2ce59de70ad"/>
                <w:id w:val="147461543"/>
              </w:sdtPr>
              <w:sdtEndPr>
                <w:rPr>
                  <w:rFonts w:hint="eastAsia"/>
                  <w:color w:val="000000" w:themeColor="text1"/>
                  <w14:textFill>
                    <w14:solidFill>
                      <w14:schemeClr w14:val="tx1"/>
                    </w14:solidFill>
                  </w14:textFill>
                </w:rPr>
              </w:sdtEndPr>
              <w:sdtContent>
                <w:tc>
                  <w:tcPr>
                    <w:tcW w:w="5254" w:type="dxa"/>
                    <w:vAlign w:val="center"/>
                  </w:tcPr>
                  <w:p w14:paraId="68098148">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上海证券交易所</w:t>
                    </w:r>
                  </w:p>
                </w:tc>
              </w:sdtContent>
            </w:sdt>
          </w:tr>
        </w:sdtContent>
      </w:sdt>
      <w:sdt>
        <w:sdtPr>
          <w:rPr>
            <w:rFonts w:hint="eastAsia" w:ascii="宋体" w:hAnsi="宋体"/>
            <w:color w:val="000000" w:themeColor="text1"/>
            <w14:textFill>
              <w14:solidFill>
                <w14:schemeClr w14:val="tx1"/>
              </w14:solidFill>
            </w14:textFill>
          </w:rPr>
          <w:alias w:val="释义"/>
          <w:tag w:val="_GBC_ca5c2cb7a4e545e2b2d9d1b94b528746"/>
          <w:id w:val="147468747"/>
          <w:placeholder>
            <w:docPart w:val="75FCC87414EC4602AD9AE92B9FF2EFDC"/>
          </w:placeholder>
        </w:sdtPr>
        <w:sdtEndPr>
          <w:rPr>
            <w:rFonts w:hint="eastAsia" w:ascii="宋体" w:hAnsi="宋体"/>
            <w:color w:val="000000" w:themeColor="text1"/>
            <w14:textFill>
              <w14:solidFill>
                <w14:schemeClr w14:val="tx1"/>
              </w14:solidFill>
            </w14:textFill>
          </w:rPr>
        </w:sdtEndPr>
        <w:sdtContent>
          <w:tr w14:paraId="0E8B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00534FD2">
                <w:pPr>
                  <w:widowControl w:val="0"/>
                  <w:jc w:val="both"/>
                </w:pPr>
                <w:r>
                  <w:rPr>
                    <w:rFonts w:hint="eastAsia"/>
                  </w:rPr>
                  <w:t>公司，本公司，际华集团</w:t>
                </w:r>
              </w:p>
            </w:tc>
            <w:tc>
              <w:tcPr>
                <w:tcW w:w="778" w:type="dxa"/>
              </w:tcPr>
              <w:sdt>
                <w:sdtPr>
                  <w:tag w:val="_PLD_289cf7e5c3a845d59c038a21dcd4a571"/>
                  <w:id w:val="147463569"/>
                </w:sdtPr>
                <w:sdtContent>
                  <w:p w14:paraId="140E042D">
                    <w:pPr>
                      <w:widowControl w:val="0"/>
                      <w:jc w:val="center"/>
                      <w:rPr>
                        <w:color w:val="000000" w:themeColor="text1"/>
                        <w:highlight w:val="lightGray"/>
                        <w14:textFill>
                          <w14:solidFill>
                            <w14:schemeClr w14:val="tx1"/>
                          </w14:solidFill>
                        </w14:textFill>
                      </w:rPr>
                    </w:pPr>
                    <w:r>
                      <w:rPr>
                        <w:rFonts w:hint="eastAsia"/>
                        <w:color w:val="000000" w:themeColor="text1"/>
                        <w14:textFill>
                          <w14:solidFill>
                            <w14:schemeClr w14:val="tx1"/>
                          </w14:solidFill>
                        </w14:textFill>
                      </w:rPr>
                      <w:t>指</w:t>
                    </w:r>
                  </w:p>
                </w:sdtContent>
              </w:sdt>
            </w:tc>
            <w:sdt>
              <w:sdtPr>
                <w:rPr>
                  <w:rFonts w:hint="eastAsia"/>
                  <w:color w:val="000000" w:themeColor="text1"/>
                  <w14:textFill>
                    <w14:solidFill>
                      <w14:schemeClr w14:val="tx1"/>
                    </w14:solidFill>
                  </w14:textFill>
                </w:rPr>
                <w:alias w:val="常用词语释义"/>
                <w:tag w:val="_GBC_b625dd71b03542c3b074c2ce59de70ad"/>
                <w:id w:val="147474516"/>
              </w:sdtPr>
              <w:sdtEndPr>
                <w:rPr>
                  <w:rFonts w:hint="eastAsia"/>
                  <w:color w:val="000000" w:themeColor="text1"/>
                  <w14:textFill>
                    <w14:solidFill>
                      <w14:schemeClr w14:val="tx1"/>
                    </w14:solidFill>
                  </w14:textFill>
                </w:rPr>
              </w:sdtEndPr>
              <w:sdtContent>
                <w:tc>
                  <w:tcPr>
                    <w:tcW w:w="5254" w:type="dxa"/>
                    <w:vAlign w:val="center"/>
                  </w:tcPr>
                  <w:p w14:paraId="7626E8D2">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际华集团股份有限公司</w:t>
                    </w:r>
                  </w:p>
                </w:tc>
              </w:sdtContent>
            </w:sdt>
          </w:tr>
        </w:sdtContent>
      </w:sdt>
      <w:sdt>
        <w:sdtPr>
          <w:rPr>
            <w:rFonts w:hint="eastAsia" w:ascii="宋体" w:hAnsi="宋体"/>
            <w:color w:val="000000" w:themeColor="text1"/>
            <w14:textFill>
              <w14:solidFill>
                <w14:schemeClr w14:val="tx1"/>
              </w14:solidFill>
            </w14:textFill>
          </w:rPr>
          <w:alias w:val="释义"/>
          <w:tag w:val="_GBC_ca5c2cb7a4e545e2b2d9d1b94b528746"/>
          <w:id w:val="147465744"/>
          <w:placeholder>
            <w:docPart w:val="75FCC87414EC4602AD9AE92B9FF2EFDC"/>
          </w:placeholder>
        </w:sdtPr>
        <w:sdtEndPr>
          <w:rPr>
            <w:rFonts w:hint="eastAsia" w:ascii="宋体" w:hAnsi="宋体"/>
            <w:color w:val="000000" w:themeColor="text1"/>
            <w14:textFill>
              <w14:solidFill>
                <w14:schemeClr w14:val="tx1"/>
              </w14:solidFill>
            </w14:textFill>
          </w:rPr>
        </w:sdtEndPr>
        <w:sdtContent>
          <w:tr w14:paraId="0E02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21AC8B2B">
                <w:pPr>
                  <w:widowControl w:val="0"/>
                  <w:jc w:val="both"/>
                </w:pPr>
                <w:r>
                  <w:rPr>
                    <w:rFonts w:hint="eastAsia"/>
                  </w:rPr>
                  <w:t>新兴际华，新兴际华集团，控股股东</w:t>
                </w:r>
              </w:p>
            </w:tc>
            <w:tc>
              <w:tcPr>
                <w:tcW w:w="778" w:type="dxa"/>
              </w:tcPr>
              <w:sdt>
                <w:sdtPr>
                  <w:tag w:val="_PLD_289cf7e5c3a845d59c038a21dcd4a571"/>
                  <w:id w:val="147479090"/>
                </w:sdtPr>
                <w:sdtContent>
                  <w:p w14:paraId="3E8AEB5B">
                    <w:pPr>
                      <w:widowControl w:val="0"/>
                      <w:jc w:val="center"/>
                      <w:rPr>
                        <w:color w:val="000000" w:themeColor="text1"/>
                        <w:highlight w:val="lightGray"/>
                        <w14:textFill>
                          <w14:solidFill>
                            <w14:schemeClr w14:val="tx1"/>
                          </w14:solidFill>
                        </w14:textFill>
                      </w:rPr>
                    </w:pPr>
                    <w:r>
                      <w:rPr>
                        <w:rFonts w:hint="eastAsia"/>
                        <w:color w:val="000000" w:themeColor="text1"/>
                        <w14:textFill>
                          <w14:solidFill>
                            <w14:schemeClr w14:val="tx1"/>
                          </w14:solidFill>
                        </w14:textFill>
                      </w:rPr>
                      <w:t>指</w:t>
                    </w:r>
                  </w:p>
                </w:sdtContent>
              </w:sdt>
            </w:tc>
            <w:sdt>
              <w:sdtPr>
                <w:rPr>
                  <w:rFonts w:hint="eastAsia"/>
                  <w:color w:val="000000" w:themeColor="text1"/>
                  <w14:textFill>
                    <w14:solidFill>
                      <w14:schemeClr w14:val="tx1"/>
                    </w14:solidFill>
                  </w14:textFill>
                </w:rPr>
                <w:alias w:val="常用词语释义"/>
                <w:tag w:val="_GBC_b625dd71b03542c3b074c2ce59de70ad"/>
                <w:id w:val="147459178"/>
              </w:sdtPr>
              <w:sdtEndPr>
                <w:rPr>
                  <w:rFonts w:hint="eastAsia"/>
                  <w:color w:val="000000" w:themeColor="text1"/>
                  <w14:textFill>
                    <w14:solidFill>
                      <w14:schemeClr w14:val="tx1"/>
                    </w14:solidFill>
                  </w14:textFill>
                </w:rPr>
              </w:sdtEndPr>
              <w:sdtContent>
                <w:tc>
                  <w:tcPr>
                    <w:tcW w:w="5254" w:type="dxa"/>
                    <w:vAlign w:val="center"/>
                  </w:tcPr>
                  <w:p w14:paraId="4A4022DC">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新兴际华集团有限公司</w:t>
                    </w:r>
                  </w:p>
                </w:tc>
              </w:sdtContent>
            </w:sdt>
          </w:tr>
        </w:sdtContent>
      </w:sdt>
      <w:sdt>
        <w:sdtPr>
          <w:rPr>
            <w:rFonts w:hint="eastAsia" w:ascii="宋体" w:hAnsi="宋体"/>
            <w:color w:val="000000" w:themeColor="text1"/>
            <w14:textFill>
              <w14:solidFill>
                <w14:schemeClr w14:val="tx1"/>
              </w14:solidFill>
            </w14:textFill>
          </w:rPr>
          <w:alias w:val="释义"/>
          <w:tag w:val="_GBC_ca5c2cb7a4e545e2b2d9d1b94b528746"/>
          <w:id w:val="147461569"/>
          <w:placeholder>
            <w:docPart w:val="75FCC87414EC4602AD9AE92B9FF2EFDC"/>
          </w:placeholder>
        </w:sdtPr>
        <w:sdtEndPr>
          <w:rPr>
            <w:rFonts w:hint="eastAsia" w:ascii="宋体" w:hAnsi="宋体"/>
            <w:color w:val="000000" w:themeColor="text1"/>
            <w14:textFill>
              <w14:solidFill>
                <w14:schemeClr w14:val="tx1"/>
              </w14:solidFill>
            </w14:textFill>
          </w:rPr>
        </w:sdtEndPr>
        <w:sdtContent>
          <w:tr w14:paraId="5486B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6D37DB80">
                <w:pPr>
                  <w:widowControl w:val="0"/>
                  <w:jc w:val="both"/>
                </w:pPr>
                <w:r>
                  <w:rPr>
                    <w:rFonts w:hint="eastAsia"/>
                  </w:rPr>
                  <w:t>新兴铸管</w:t>
                </w:r>
              </w:p>
            </w:tc>
            <w:tc>
              <w:tcPr>
                <w:tcW w:w="778" w:type="dxa"/>
              </w:tcPr>
              <w:sdt>
                <w:sdtPr>
                  <w:tag w:val="_PLD_289cf7e5c3a845d59c038a21dcd4a571"/>
                  <w:id w:val="147452036"/>
                </w:sdtPr>
                <w:sdtContent>
                  <w:p w14:paraId="18C0A8F9">
                    <w:pPr>
                      <w:widowControl w:val="0"/>
                      <w:jc w:val="center"/>
                      <w:rPr>
                        <w:color w:val="000000" w:themeColor="text1"/>
                        <w:highlight w:val="lightGray"/>
                        <w14:textFill>
                          <w14:solidFill>
                            <w14:schemeClr w14:val="tx1"/>
                          </w14:solidFill>
                        </w14:textFill>
                      </w:rPr>
                    </w:pPr>
                    <w:r>
                      <w:rPr>
                        <w:rFonts w:hint="eastAsia"/>
                        <w:color w:val="000000" w:themeColor="text1"/>
                        <w14:textFill>
                          <w14:solidFill>
                            <w14:schemeClr w14:val="tx1"/>
                          </w14:solidFill>
                        </w14:textFill>
                      </w:rPr>
                      <w:t>指</w:t>
                    </w:r>
                  </w:p>
                </w:sdtContent>
              </w:sdt>
            </w:tc>
            <w:sdt>
              <w:sdtPr>
                <w:rPr>
                  <w:rFonts w:hint="eastAsia"/>
                  <w:color w:val="000000" w:themeColor="text1"/>
                  <w14:textFill>
                    <w14:solidFill>
                      <w14:schemeClr w14:val="tx1"/>
                    </w14:solidFill>
                  </w14:textFill>
                </w:rPr>
                <w:alias w:val="常用词语释义"/>
                <w:tag w:val="_GBC_b625dd71b03542c3b074c2ce59de70ad"/>
                <w:id w:val="147460611"/>
              </w:sdtPr>
              <w:sdtEndPr>
                <w:rPr>
                  <w:rFonts w:hint="eastAsia"/>
                  <w:color w:val="000000" w:themeColor="text1"/>
                  <w14:textFill>
                    <w14:solidFill>
                      <w14:schemeClr w14:val="tx1"/>
                    </w14:solidFill>
                  </w14:textFill>
                </w:rPr>
              </w:sdtEndPr>
              <w:sdtContent>
                <w:tc>
                  <w:tcPr>
                    <w:tcW w:w="5254" w:type="dxa"/>
                    <w:vAlign w:val="center"/>
                  </w:tcPr>
                  <w:p w14:paraId="03336756">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新兴铸管股份有限公司</w:t>
                    </w:r>
                  </w:p>
                </w:tc>
              </w:sdtContent>
            </w:sdt>
          </w:tr>
        </w:sdtContent>
      </w:sdt>
      <w:sdt>
        <w:sdtPr>
          <w:rPr>
            <w:rFonts w:hint="eastAsia" w:ascii="宋体" w:hAnsi="宋体"/>
            <w:color w:val="000000" w:themeColor="text1"/>
            <w14:textFill>
              <w14:solidFill>
                <w14:schemeClr w14:val="tx1"/>
              </w14:solidFill>
            </w14:textFill>
          </w:rPr>
          <w:alias w:val="释义"/>
          <w:tag w:val="_GBC_ca5c2cb7a4e545e2b2d9d1b94b528746"/>
          <w:id w:val="147461102"/>
          <w:placeholder>
            <w:docPart w:val="75FCC87414EC4602AD9AE92B9FF2EFDC"/>
          </w:placeholder>
        </w:sdtPr>
        <w:sdtEndPr>
          <w:rPr>
            <w:rFonts w:hint="eastAsia" w:ascii="宋体" w:hAnsi="宋体"/>
            <w:color w:val="000000" w:themeColor="text1"/>
            <w14:textFill>
              <w14:solidFill>
                <w14:schemeClr w14:val="tx1"/>
              </w14:solidFill>
            </w14:textFill>
          </w:rPr>
        </w:sdtEndPr>
        <w:sdtContent>
          <w:tr w14:paraId="253D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7A095EF4">
                <w:pPr>
                  <w:widowControl w:val="0"/>
                  <w:jc w:val="both"/>
                </w:pPr>
                <w:r>
                  <w:rPr>
                    <w:rFonts w:hint="eastAsia"/>
                  </w:rPr>
                  <w:t>新兴发展</w:t>
                </w:r>
              </w:p>
            </w:tc>
            <w:tc>
              <w:tcPr>
                <w:tcW w:w="778" w:type="dxa"/>
              </w:tcPr>
              <w:sdt>
                <w:sdtPr>
                  <w:tag w:val="_PLD_289cf7e5c3a845d59c038a21dcd4a571"/>
                  <w:id w:val="147476839"/>
                </w:sdtPr>
                <w:sdtContent>
                  <w:p w14:paraId="59141E8B">
                    <w:pPr>
                      <w:widowControl w:val="0"/>
                      <w:jc w:val="center"/>
                      <w:rPr>
                        <w:color w:val="000000" w:themeColor="text1"/>
                        <w:highlight w:val="lightGray"/>
                        <w14:textFill>
                          <w14:solidFill>
                            <w14:schemeClr w14:val="tx1"/>
                          </w14:solidFill>
                        </w14:textFill>
                      </w:rPr>
                    </w:pPr>
                    <w:r>
                      <w:rPr>
                        <w:rFonts w:hint="eastAsia"/>
                        <w:color w:val="000000" w:themeColor="text1"/>
                        <w14:textFill>
                          <w14:solidFill>
                            <w14:schemeClr w14:val="tx1"/>
                          </w14:solidFill>
                        </w14:textFill>
                      </w:rPr>
                      <w:t>指</w:t>
                    </w:r>
                  </w:p>
                </w:sdtContent>
              </w:sdt>
            </w:tc>
            <w:sdt>
              <w:sdtPr>
                <w:rPr>
                  <w:rFonts w:hint="eastAsia"/>
                  <w:color w:val="000000" w:themeColor="text1"/>
                  <w14:textFill>
                    <w14:solidFill>
                      <w14:schemeClr w14:val="tx1"/>
                    </w14:solidFill>
                  </w14:textFill>
                </w:rPr>
                <w:alias w:val="常用词语释义"/>
                <w:tag w:val="_GBC_b625dd71b03542c3b074c2ce59de70ad"/>
                <w:id w:val="147458852"/>
              </w:sdtPr>
              <w:sdtEndPr>
                <w:rPr>
                  <w:rFonts w:hint="eastAsia"/>
                  <w:color w:val="000000" w:themeColor="text1"/>
                  <w14:textFill>
                    <w14:solidFill>
                      <w14:schemeClr w14:val="tx1"/>
                    </w14:solidFill>
                  </w14:textFill>
                </w:rPr>
              </w:sdtEndPr>
              <w:sdtContent>
                <w:tc>
                  <w:tcPr>
                    <w:tcW w:w="5254" w:type="dxa"/>
                    <w:vAlign w:val="center"/>
                  </w:tcPr>
                  <w:p w14:paraId="2F73BAC0">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新兴发展集团有限公司</w:t>
                    </w:r>
                  </w:p>
                </w:tc>
              </w:sdtContent>
            </w:sdt>
          </w:tr>
        </w:sdtContent>
      </w:sdt>
      <w:sdt>
        <w:sdtPr>
          <w:rPr>
            <w:rFonts w:hint="eastAsia" w:ascii="宋体" w:hAnsi="宋体"/>
            <w:color w:val="000000" w:themeColor="text1"/>
            <w14:textFill>
              <w14:solidFill>
                <w14:schemeClr w14:val="tx1"/>
              </w14:solidFill>
            </w14:textFill>
          </w:rPr>
          <w:alias w:val="释义"/>
          <w:tag w:val="_GBC_ca5c2cb7a4e545e2b2d9d1b94b528746"/>
          <w:id w:val="147476116"/>
          <w:placeholder>
            <w:docPart w:val="75FCC87414EC4602AD9AE92B9FF2EFDC"/>
          </w:placeholder>
        </w:sdtPr>
        <w:sdtEndPr>
          <w:rPr>
            <w:rFonts w:hint="eastAsia" w:ascii="宋体" w:hAnsi="宋体"/>
            <w:color w:val="000000" w:themeColor="text1"/>
            <w14:textFill>
              <w14:solidFill>
                <w14:schemeClr w14:val="tx1"/>
              </w14:solidFill>
            </w14:textFill>
          </w:rPr>
        </w:sdtEndPr>
        <w:sdtContent>
          <w:tr w14:paraId="51432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0F730F9B">
                <w:pPr>
                  <w:widowControl w:val="0"/>
                  <w:jc w:val="both"/>
                </w:pPr>
                <w:r>
                  <w:rPr>
                    <w:rFonts w:hint="eastAsia"/>
                  </w:rPr>
                  <w:t>国资委</w:t>
                </w:r>
              </w:p>
            </w:tc>
            <w:tc>
              <w:tcPr>
                <w:tcW w:w="778" w:type="dxa"/>
              </w:tcPr>
              <w:sdt>
                <w:sdtPr>
                  <w:tag w:val="_PLD_289cf7e5c3a845d59c038a21dcd4a571"/>
                  <w:id w:val="147465055"/>
                </w:sdtPr>
                <w:sdtContent>
                  <w:p w14:paraId="4824B8B1">
                    <w:pPr>
                      <w:widowControl w:val="0"/>
                      <w:jc w:val="center"/>
                      <w:rPr>
                        <w:color w:val="000000" w:themeColor="text1"/>
                        <w:highlight w:val="lightGray"/>
                        <w14:textFill>
                          <w14:solidFill>
                            <w14:schemeClr w14:val="tx1"/>
                          </w14:solidFill>
                        </w14:textFill>
                      </w:rPr>
                    </w:pPr>
                    <w:r>
                      <w:rPr>
                        <w:rFonts w:hint="eastAsia"/>
                        <w:color w:val="000000" w:themeColor="text1"/>
                        <w14:textFill>
                          <w14:solidFill>
                            <w14:schemeClr w14:val="tx1"/>
                          </w14:solidFill>
                        </w14:textFill>
                      </w:rPr>
                      <w:t>指</w:t>
                    </w:r>
                  </w:p>
                </w:sdtContent>
              </w:sdt>
            </w:tc>
            <w:sdt>
              <w:sdtPr>
                <w:rPr>
                  <w:rFonts w:hint="eastAsia"/>
                  <w:color w:val="000000" w:themeColor="text1"/>
                  <w14:textFill>
                    <w14:solidFill>
                      <w14:schemeClr w14:val="tx1"/>
                    </w14:solidFill>
                  </w14:textFill>
                </w:rPr>
                <w:alias w:val="常用词语释义"/>
                <w:tag w:val="_GBC_b625dd71b03542c3b074c2ce59de70ad"/>
                <w:id w:val="147477555"/>
              </w:sdtPr>
              <w:sdtEndPr>
                <w:rPr>
                  <w:rFonts w:hint="eastAsia"/>
                  <w:color w:val="000000" w:themeColor="text1"/>
                  <w14:textFill>
                    <w14:solidFill>
                      <w14:schemeClr w14:val="tx1"/>
                    </w14:solidFill>
                  </w14:textFill>
                </w:rPr>
              </w:sdtEndPr>
              <w:sdtContent>
                <w:tc>
                  <w:tcPr>
                    <w:tcW w:w="5254" w:type="dxa"/>
                    <w:vAlign w:val="center"/>
                  </w:tcPr>
                  <w:p w14:paraId="46B441A5">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国务院国有资产监督管理委员会</w:t>
                    </w:r>
                  </w:p>
                </w:tc>
              </w:sdtContent>
            </w:sdt>
          </w:tr>
        </w:sdtContent>
      </w:sdt>
      <w:sdt>
        <w:sdtPr>
          <w:rPr>
            <w:rFonts w:hint="eastAsia" w:ascii="宋体" w:hAnsi="宋体"/>
            <w:color w:val="000000" w:themeColor="text1"/>
            <w14:textFill>
              <w14:solidFill>
                <w14:schemeClr w14:val="tx1"/>
              </w14:solidFill>
            </w14:textFill>
          </w:rPr>
          <w:alias w:val="释义"/>
          <w:tag w:val="_GBC_ca5c2cb7a4e545e2b2d9d1b94b528746"/>
          <w:id w:val="147481727"/>
          <w:placeholder>
            <w:docPart w:val="75FCC87414EC4602AD9AE92B9FF2EFDC"/>
          </w:placeholder>
        </w:sdtPr>
        <w:sdtEndPr>
          <w:rPr>
            <w:rFonts w:hint="eastAsia" w:ascii="宋体" w:hAnsi="宋体"/>
            <w:color w:val="000000" w:themeColor="text1"/>
            <w14:textFill>
              <w14:solidFill>
                <w14:schemeClr w14:val="tx1"/>
              </w14:solidFill>
            </w14:textFill>
          </w:rPr>
        </w:sdtEndPr>
        <w:sdtContent>
          <w:tr w14:paraId="28307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78324EDC">
                <w:pPr>
                  <w:widowControl w:val="0"/>
                  <w:jc w:val="both"/>
                </w:pPr>
                <w:r>
                  <w:rPr>
                    <w:rFonts w:hint="eastAsia"/>
                  </w:rPr>
                  <w:t>军队</w:t>
                </w:r>
              </w:p>
            </w:tc>
            <w:tc>
              <w:tcPr>
                <w:tcW w:w="778" w:type="dxa"/>
              </w:tcPr>
              <w:sdt>
                <w:sdtPr>
                  <w:tag w:val="_PLD_289cf7e5c3a845d59c038a21dcd4a571"/>
                  <w:id w:val="147454441"/>
                </w:sdtPr>
                <w:sdtContent>
                  <w:p w14:paraId="6309371A">
                    <w:pPr>
                      <w:widowControl w:val="0"/>
                      <w:jc w:val="center"/>
                      <w:rPr>
                        <w:color w:val="000000" w:themeColor="text1"/>
                        <w:highlight w:val="lightGray"/>
                        <w14:textFill>
                          <w14:solidFill>
                            <w14:schemeClr w14:val="tx1"/>
                          </w14:solidFill>
                        </w14:textFill>
                      </w:rPr>
                    </w:pPr>
                    <w:r>
                      <w:rPr>
                        <w:rFonts w:hint="eastAsia"/>
                        <w:color w:val="000000" w:themeColor="text1"/>
                        <w14:textFill>
                          <w14:solidFill>
                            <w14:schemeClr w14:val="tx1"/>
                          </w14:solidFill>
                        </w14:textFill>
                      </w:rPr>
                      <w:t>指</w:t>
                    </w:r>
                  </w:p>
                </w:sdtContent>
              </w:sdt>
            </w:tc>
            <w:sdt>
              <w:sdtPr>
                <w:rPr>
                  <w:rFonts w:hint="eastAsia"/>
                  <w:color w:val="000000" w:themeColor="text1"/>
                  <w14:textFill>
                    <w14:solidFill>
                      <w14:schemeClr w14:val="tx1"/>
                    </w14:solidFill>
                  </w14:textFill>
                </w:rPr>
                <w:alias w:val="常用词语释义"/>
                <w:tag w:val="_GBC_b625dd71b03542c3b074c2ce59de70ad"/>
                <w:id w:val="147465551"/>
              </w:sdtPr>
              <w:sdtEndPr>
                <w:rPr>
                  <w:rFonts w:hint="eastAsia"/>
                  <w:color w:val="000000" w:themeColor="text1"/>
                  <w14:textFill>
                    <w14:solidFill>
                      <w14:schemeClr w14:val="tx1"/>
                    </w14:solidFill>
                  </w14:textFill>
                </w:rPr>
              </w:sdtEndPr>
              <w:sdtContent>
                <w:tc>
                  <w:tcPr>
                    <w:tcW w:w="5254" w:type="dxa"/>
                    <w:vAlign w:val="center"/>
                  </w:tcPr>
                  <w:p w14:paraId="60566A5B">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中国人民解放军</w:t>
                    </w:r>
                  </w:p>
                </w:tc>
              </w:sdtContent>
            </w:sdt>
          </w:tr>
        </w:sdtContent>
      </w:sdt>
      <w:sdt>
        <w:sdtPr>
          <w:rPr>
            <w:rFonts w:hint="eastAsia" w:ascii="宋体" w:hAnsi="宋体"/>
            <w:color w:val="000000" w:themeColor="text1"/>
            <w14:textFill>
              <w14:solidFill>
                <w14:schemeClr w14:val="tx1"/>
              </w14:solidFill>
            </w14:textFill>
          </w:rPr>
          <w:alias w:val="释义"/>
          <w:tag w:val="_GBC_ca5c2cb7a4e545e2b2d9d1b94b528746"/>
          <w:id w:val="147452684"/>
          <w:placeholder>
            <w:docPart w:val="75FCC87414EC4602AD9AE92B9FF2EFDC"/>
          </w:placeholder>
        </w:sdtPr>
        <w:sdtEndPr>
          <w:rPr>
            <w:rFonts w:hint="eastAsia" w:ascii="宋体" w:hAnsi="宋体"/>
            <w:color w:val="000000" w:themeColor="text1"/>
            <w14:textFill>
              <w14:solidFill>
                <w14:schemeClr w14:val="tx1"/>
              </w14:solidFill>
            </w14:textFill>
          </w:rPr>
        </w:sdtEndPr>
        <w:sdtContent>
          <w:tr w14:paraId="51D4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4B1104D9">
                <w:pPr>
                  <w:widowControl w:val="0"/>
                  <w:jc w:val="both"/>
                </w:pPr>
                <w:r>
                  <w:rPr>
                    <w:rFonts w:hint="eastAsia"/>
                  </w:rPr>
                  <w:t>武警部队</w:t>
                </w:r>
              </w:p>
            </w:tc>
            <w:tc>
              <w:tcPr>
                <w:tcW w:w="778" w:type="dxa"/>
              </w:tcPr>
              <w:sdt>
                <w:sdtPr>
                  <w:tag w:val="_PLD_289cf7e5c3a845d59c038a21dcd4a571"/>
                  <w:id w:val="147473949"/>
                </w:sdtPr>
                <w:sdtContent>
                  <w:p w14:paraId="0B8B04EB">
                    <w:pPr>
                      <w:widowControl w:val="0"/>
                      <w:jc w:val="center"/>
                      <w:rPr>
                        <w:color w:val="000000" w:themeColor="text1"/>
                        <w:highlight w:val="lightGray"/>
                        <w14:textFill>
                          <w14:solidFill>
                            <w14:schemeClr w14:val="tx1"/>
                          </w14:solidFill>
                        </w14:textFill>
                      </w:rPr>
                    </w:pPr>
                    <w:r>
                      <w:rPr>
                        <w:rFonts w:hint="eastAsia"/>
                        <w:color w:val="000000" w:themeColor="text1"/>
                        <w14:textFill>
                          <w14:solidFill>
                            <w14:schemeClr w14:val="tx1"/>
                          </w14:solidFill>
                        </w14:textFill>
                      </w:rPr>
                      <w:t>指</w:t>
                    </w:r>
                  </w:p>
                </w:sdtContent>
              </w:sdt>
            </w:tc>
            <w:sdt>
              <w:sdtPr>
                <w:rPr>
                  <w:rFonts w:hint="eastAsia"/>
                  <w:color w:val="000000" w:themeColor="text1"/>
                  <w14:textFill>
                    <w14:solidFill>
                      <w14:schemeClr w14:val="tx1"/>
                    </w14:solidFill>
                  </w14:textFill>
                </w:rPr>
                <w:alias w:val="常用词语释义"/>
                <w:tag w:val="_GBC_b625dd71b03542c3b074c2ce59de70ad"/>
                <w:id w:val="147478982"/>
              </w:sdtPr>
              <w:sdtEndPr>
                <w:rPr>
                  <w:rFonts w:hint="eastAsia"/>
                  <w:color w:val="000000" w:themeColor="text1"/>
                  <w14:textFill>
                    <w14:solidFill>
                      <w14:schemeClr w14:val="tx1"/>
                    </w14:solidFill>
                  </w14:textFill>
                </w:rPr>
              </w:sdtEndPr>
              <w:sdtContent>
                <w:tc>
                  <w:tcPr>
                    <w:tcW w:w="5254" w:type="dxa"/>
                    <w:vAlign w:val="center"/>
                  </w:tcPr>
                  <w:p w14:paraId="30D234B2">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中国人民武装警察部队</w:t>
                    </w:r>
                  </w:p>
                </w:tc>
              </w:sdtContent>
            </w:sdt>
          </w:tr>
        </w:sdtContent>
      </w:sdt>
      <w:sdt>
        <w:sdtPr>
          <w:rPr>
            <w:rFonts w:hint="eastAsia" w:ascii="宋体" w:hAnsi="宋体"/>
            <w:color w:val="000000" w:themeColor="text1"/>
            <w14:textFill>
              <w14:solidFill>
                <w14:schemeClr w14:val="tx1"/>
              </w14:solidFill>
            </w14:textFill>
          </w:rPr>
          <w:alias w:val="释义"/>
          <w:tag w:val="_GBC_ca5c2cb7a4e545e2b2d9d1b94b528746"/>
          <w:id w:val="147461517"/>
          <w:placeholder>
            <w:docPart w:val="75FCC87414EC4602AD9AE92B9FF2EFDC"/>
          </w:placeholder>
        </w:sdtPr>
        <w:sdtEndPr>
          <w:rPr>
            <w:rFonts w:hint="eastAsia" w:ascii="宋体" w:hAnsi="宋体"/>
            <w:color w:val="000000" w:themeColor="text1"/>
            <w14:textFill>
              <w14:solidFill>
                <w14:schemeClr w14:val="tx1"/>
              </w14:solidFill>
            </w14:textFill>
          </w:rPr>
        </w:sdtEndPr>
        <w:sdtContent>
          <w:tr w14:paraId="7E26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3E70FE82">
                <w:pPr>
                  <w:widowControl w:val="0"/>
                  <w:jc w:val="both"/>
                </w:pPr>
                <w:r>
                  <w:rPr>
                    <w:rFonts w:hint="eastAsia"/>
                  </w:rPr>
                  <w:t>军品，军需品</w:t>
                </w:r>
              </w:p>
            </w:tc>
            <w:tc>
              <w:tcPr>
                <w:tcW w:w="778" w:type="dxa"/>
              </w:tcPr>
              <w:sdt>
                <w:sdtPr>
                  <w:tag w:val="_PLD_289cf7e5c3a845d59c038a21dcd4a571"/>
                  <w:id w:val="147452168"/>
                </w:sdtPr>
                <w:sdtContent>
                  <w:p w14:paraId="0B38FE64">
                    <w:pPr>
                      <w:widowControl w:val="0"/>
                      <w:jc w:val="center"/>
                      <w:rPr>
                        <w:color w:val="000000" w:themeColor="text1"/>
                        <w:highlight w:val="lightGray"/>
                        <w14:textFill>
                          <w14:solidFill>
                            <w14:schemeClr w14:val="tx1"/>
                          </w14:solidFill>
                        </w14:textFill>
                      </w:rPr>
                    </w:pPr>
                    <w:r>
                      <w:rPr>
                        <w:rFonts w:hint="eastAsia"/>
                        <w:color w:val="000000" w:themeColor="text1"/>
                        <w14:textFill>
                          <w14:solidFill>
                            <w14:schemeClr w14:val="tx1"/>
                          </w14:solidFill>
                        </w14:textFill>
                      </w:rPr>
                      <w:t>指</w:t>
                    </w:r>
                  </w:p>
                </w:sdtContent>
              </w:sdt>
            </w:tc>
            <w:sdt>
              <w:sdtPr>
                <w:rPr>
                  <w:rFonts w:hint="eastAsia"/>
                  <w:color w:val="000000" w:themeColor="text1"/>
                  <w14:textFill>
                    <w14:solidFill>
                      <w14:schemeClr w14:val="tx1"/>
                    </w14:solidFill>
                  </w14:textFill>
                </w:rPr>
                <w:alias w:val="常用词语释义"/>
                <w:tag w:val="_GBC_b625dd71b03542c3b074c2ce59de70ad"/>
                <w:id w:val="147457528"/>
              </w:sdtPr>
              <w:sdtEndPr>
                <w:rPr>
                  <w:rFonts w:hint="eastAsia"/>
                  <w:color w:val="000000" w:themeColor="text1"/>
                  <w14:textFill>
                    <w14:solidFill>
                      <w14:schemeClr w14:val="tx1"/>
                    </w14:solidFill>
                  </w14:textFill>
                </w:rPr>
              </w:sdtEndPr>
              <w:sdtContent>
                <w:tc>
                  <w:tcPr>
                    <w:tcW w:w="5254" w:type="dxa"/>
                    <w:vAlign w:val="center"/>
                  </w:tcPr>
                  <w:p w14:paraId="6AF7BA2C">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为军队、武警部队提供的各类军需被装、装备产品的总称</w:t>
                    </w:r>
                  </w:p>
                </w:tc>
              </w:sdtContent>
            </w:sdt>
          </w:tr>
        </w:sdtContent>
      </w:sdt>
      <w:sdt>
        <w:sdtPr>
          <w:rPr>
            <w:rFonts w:hint="eastAsia" w:ascii="宋体" w:hAnsi="宋体"/>
            <w:color w:val="000000" w:themeColor="text1"/>
            <w14:textFill>
              <w14:solidFill>
                <w14:schemeClr w14:val="tx1"/>
              </w14:solidFill>
            </w14:textFill>
          </w:rPr>
          <w:alias w:val="释义"/>
          <w:tag w:val="_GBC_ca5c2cb7a4e545e2b2d9d1b94b528746"/>
          <w:id w:val="147456407"/>
          <w:placeholder>
            <w:docPart w:val="75FCC87414EC4602AD9AE92B9FF2EFDC"/>
          </w:placeholder>
        </w:sdtPr>
        <w:sdtEndPr>
          <w:rPr>
            <w:rFonts w:hint="eastAsia" w:ascii="宋体" w:hAnsi="宋体"/>
            <w:color w:val="000000" w:themeColor="text1"/>
            <w14:textFill>
              <w14:solidFill>
                <w14:schemeClr w14:val="tx1"/>
              </w14:solidFill>
            </w14:textFill>
          </w:rPr>
        </w:sdtEndPr>
        <w:sdtContent>
          <w:tr w14:paraId="18C3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6970825B">
                <w:pPr>
                  <w:widowControl w:val="0"/>
                  <w:jc w:val="both"/>
                </w:pPr>
                <w:r>
                  <w:rPr>
                    <w:rFonts w:hint="eastAsia"/>
                  </w:rPr>
                  <w:t>民品</w:t>
                </w:r>
              </w:p>
            </w:tc>
            <w:tc>
              <w:tcPr>
                <w:tcW w:w="778" w:type="dxa"/>
              </w:tcPr>
              <w:sdt>
                <w:sdtPr>
                  <w:tag w:val="_PLD_289cf7e5c3a845d59c038a21dcd4a571"/>
                  <w:id w:val="147475055"/>
                </w:sdtPr>
                <w:sdtContent>
                  <w:p w14:paraId="7D89F7DA">
                    <w:pPr>
                      <w:widowControl w:val="0"/>
                      <w:jc w:val="center"/>
                      <w:rPr>
                        <w:color w:val="000000" w:themeColor="text1"/>
                        <w:highlight w:val="lightGray"/>
                        <w14:textFill>
                          <w14:solidFill>
                            <w14:schemeClr w14:val="tx1"/>
                          </w14:solidFill>
                        </w14:textFill>
                      </w:rPr>
                    </w:pPr>
                    <w:r>
                      <w:rPr>
                        <w:rFonts w:hint="eastAsia"/>
                        <w:color w:val="000000" w:themeColor="text1"/>
                        <w14:textFill>
                          <w14:solidFill>
                            <w14:schemeClr w14:val="tx1"/>
                          </w14:solidFill>
                        </w14:textFill>
                      </w:rPr>
                      <w:t>指</w:t>
                    </w:r>
                  </w:p>
                </w:sdtContent>
              </w:sdt>
            </w:tc>
            <w:sdt>
              <w:sdtPr>
                <w:rPr>
                  <w:rFonts w:hint="eastAsia"/>
                  <w:color w:val="000000" w:themeColor="text1"/>
                  <w14:textFill>
                    <w14:solidFill>
                      <w14:schemeClr w14:val="tx1"/>
                    </w14:solidFill>
                  </w14:textFill>
                </w:rPr>
                <w:alias w:val="常用词语释义"/>
                <w:tag w:val="_GBC_b625dd71b03542c3b074c2ce59de70ad"/>
                <w:id w:val="147477626"/>
              </w:sdtPr>
              <w:sdtEndPr>
                <w:rPr>
                  <w:rFonts w:hint="eastAsia"/>
                  <w:color w:val="000000" w:themeColor="text1"/>
                  <w14:textFill>
                    <w14:solidFill>
                      <w14:schemeClr w14:val="tx1"/>
                    </w14:solidFill>
                  </w14:textFill>
                </w:rPr>
              </w:sdtEndPr>
              <w:sdtContent>
                <w:tc>
                  <w:tcPr>
                    <w:tcW w:w="5254" w:type="dxa"/>
                    <w:vAlign w:val="center"/>
                  </w:tcPr>
                  <w:p w14:paraId="3DB0B9A3">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除军品之外的其他产品</w:t>
                    </w:r>
                  </w:p>
                </w:tc>
              </w:sdtContent>
            </w:sdt>
          </w:tr>
        </w:sdtContent>
      </w:sdt>
      <w:sdt>
        <w:sdtPr>
          <w:rPr>
            <w:rFonts w:hint="eastAsia" w:ascii="宋体" w:hAnsi="宋体"/>
            <w:color w:val="000000" w:themeColor="text1"/>
            <w14:textFill>
              <w14:solidFill>
                <w14:schemeClr w14:val="tx1"/>
              </w14:solidFill>
            </w14:textFill>
          </w:rPr>
          <w:alias w:val="释义"/>
          <w:tag w:val="_GBC_ca5c2cb7a4e545e2b2d9d1b94b528746"/>
          <w:id w:val="147475302"/>
          <w:placeholder>
            <w:docPart w:val="75FCC87414EC4602AD9AE92B9FF2EFDC"/>
          </w:placeholder>
        </w:sdtPr>
        <w:sdtEndPr>
          <w:rPr>
            <w:rFonts w:hint="eastAsia" w:ascii="宋体" w:hAnsi="宋体"/>
            <w:color w:val="000000" w:themeColor="text1"/>
            <w14:textFill>
              <w14:solidFill>
                <w14:schemeClr w14:val="tx1"/>
              </w14:solidFill>
            </w14:textFill>
          </w:rPr>
        </w:sdtEndPr>
        <w:sdtContent>
          <w:tr w14:paraId="1E252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276E66D9">
                <w:pPr>
                  <w:widowControl w:val="0"/>
                  <w:jc w:val="both"/>
                </w:pPr>
                <w:r>
                  <w:rPr>
                    <w:rFonts w:hint="eastAsia"/>
                  </w:rPr>
                  <w:t>上海证券交易所网站</w:t>
                </w:r>
              </w:p>
            </w:tc>
            <w:tc>
              <w:tcPr>
                <w:tcW w:w="778" w:type="dxa"/>
              </w:tcPr>
              <w:sdt>
                <w:sdtPr>
                  <w:tag w:val="_PLD_289cf7e5c3a845d59c038a21dcd4a571"/>
                  <w:id w:val="147458201"/>
                </w:sdtPr>
                <w:sdtContent>
                  <w:p w14:paraId="054B76B0">
                    <w:pPr>
                      <w:widowControl w:val="0"/>
                      <w:jc w:val="center"/>
                      <w:rPr>
                        <w:color w:val="000000" w:themeColor="text1"/>
                        <w:highlight w:val="lightGray"/>
                        <w14:textFill>
                          <w14:solidFill>
                            <w14:schemeClr w14:val="tx1"/>
                          </w14:solidFill>
                        </w14:textFill>
                      </w:rPr>
                    </w:pPr>
                    <w:r>
                      <w:rPr>
                        <w:rFonts w:hint="eastAsia"/>
                        <w:color w:val="000000" w:themeColor="text1"/>
                        <w14:textFill>
                          <w14:solidFill>
                            <w14:schemeClr w14:val="tx1"/>
                          </w14:solidFill>
                        </w14:textFill>
                      </w:rPr>
                      <w:t>指</w:t>
                    </w:r>
                  </w:p>
                </w:sdtContent>
              </w:sdt>
            </w:tc>
            <w:sdt>
              <w:sdtPr>
                <w:rPr>
                  <w:rFonts w:hint="eastAsia"/>
                  <w:color w:val="000000" w:themeColor="text1"/>
                  <w14:textFill>
                    <w14:solidFill>
                      <w14:schemeClr w14:val="tx1"/>
                    </w14:solidFill>
                  </w14:textFill>
                </w:rPr>
                <w:alias w:val="常用词语释义"/>
                <w:tag w:val="_GBC_b625dd71b03542c3b074c2ce59de70ad"/>
                <w:id w:val="147470422"/>
              </w:sdtPr>
              <w:sdtEndPr>
                <w:rPr>
                  <w:rFonts w:hint="eastAsia"/>
                  <w:color w:val="000000" w:themeColor="text1"/>
                  <w14:textFill>
                    <w14:solidFill>
                      <w14:schemeClr w14:val="tx1"/>
                    </w14:solidFill>
                  </w14:textFill>
                </w:rPr>
              </w:sdtEndPr>
              <w:sdtContent>
                <w:tc>
                  <w:tcPr>
                    <w:tcW w:w="5254" w:type="dxa"/>
                    <w:vAlign w:val="center"/>
                  </w:tcPr>
                  <w:p w14:paraId="344CBF94">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http://www.sse.com.cn</w:t>
                    </w:r>
                  </w:p>
                </w:tc>
              </w:sdtContent>
            </w:sdt>
          </w:tr>
        </w:sdtContent>
      </w:sdt>
      <w:sdt>
        <w:sdtPr>
          <w:rPr>
            <w:rFonts w:hint="eastAsia" w:ascii="宋体" w:hAnsi="宋体"/>
            <w:color w:val="000000" w:themeColor="text1"/>
            <w14:textFill>
              <w14:solidFill>
                <w14:schemeClr w14:val="tx1"/>
              </w14:solidFill>
            </w14:textFill>
          </w:rPr>
          <w:alias w:val="释义"/>
          <w:tag w:val="_GBC_ca5c2cb7a4e545e2b2d9d1b94b528746"/>
          <w:id w:val="147453716"/>
          <w:placeholder>
            <w:docPart w:val="75FCC87414EC4602AD9AE92B9FF2EFDC"/>
          </w:placeholder>
        </w:sdtPr>
        <w:sdtEndPr>
          <w:rPr>
            <w:rFonts w:hint="eastAsia" w:ascii="宋体" w:hAnsi="宋体"/>
            <w:color w:val="000000" w:themeColor="text1"/>
            <w14:textFill>
              <w14:solidFill>
                <w14:schemeClr w14:val="tx1"/>
              </w14:solidFill>
            </w14:textFill>
          </w:rPr>
        </w:sdtEndPr>
        <w:sdtContent>
          <w:tr w14:paraId="6155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0A1D047B">
                <w:pPr>
                  <w:widowControl w:val="0"/>
                  <w:jc w:val="both"/>
                </w:pPr>
                <w:r>
                  <w:rPr>
                    <w:rFonts w:hint="eastAsia"/>
                  </w:rPr>
                  <w:t>公司章程</w:t>
                </w:r>
              </w:p>
            </w:tc>
            <w:tc>
              <w:tcPr>
                <w:tcW w:w="778" w:type="dxa"/>
              </w:tcPr>
              <w:sdt>
                <w:sdtPr>
                  <w:tag w:val="_PLD_289cf7e5c3a845d59c038a21dcd4a571"/>
                  <w:id w:val="147462576"/>
                </w:sdtPr>
                <w:sdtContent>
                  <w:p w14:paraId="1642B403">
                    <w:pPr>
                      <w:widowControl w:val="0"/>
                      <w:jc w:val="center"/>
                      <w:rPr>
                        <w:color w:val="000000" w:themeColor="text1"/>
                        <w:highlight w:val="lightGray"/>
                        <w14:textFill>
                          <w14:solidFill>
                            <w14:schemeClr w14:val="tx1"/>
                          </w14:solidFill>
                        </w14:textFill>
                      </w:rPr>
                    </w:pPr>
                    <w:r>
                      <w:rPr>
                        <w:rFonts w:hint="eastAsia"/>
                        <w:color w:val="000000" w:themeColor="text1"/>
                        <w14:textFill>
                          <w14:solidFill>
                            <w14:schemeClr w14:val="tx1"/>
                          </w14:solidFill>
                        </w14:textFill>
                      </w:rPr>
                      <w:t>指</w:t>
                    </w:r>
                  </w:p>
                </w:sdtContent>
              </w:sdt>
            </w:tc>
            <w:sdt>
              <w:sdtPr>
                <w:rPr>
                  <w:rFonts w:hint="eastAsia"/>
                  <w:color w:val="000000" w:themeColor="text1"/>
                  <w14:textFill>
                    <w14:solidFill>
                      <w14:schemeClr w14:val="tx1"/>
                    </w14:solidFill>
                  </w14:textFill>
                </w:rPr>
                <w:alias w:val="常用词语释义"/>
                <w:tag w:val="_GBC_b625dd71b03542c3b074c2ce59de70ad"/>
                <w:id w:val="147459443"/>
              </w:sdtPr>
              <w:sdtEndPr>
                <w:rPr>
                  <w:rFonts w:hint="eastAsia"/>
                  <w:color w:val="000000" w:themeColor="text1"/>
                  <w14:textFill>
                    <w14:solidFill>
                      <w14:schemeClr w14:val="tx1"/>
                    </w14:solidFill>
                  </w14:textFill>
                </w:rPr>
              </w:sdtEndPr>
              <w:sdtContent>
                <w:tc>
                  <w:tcPr>
                    <w:tcW w:w="5254" w:type="dxa"/>
                    <w:vAlign w:val="center"/>
                  </w:tcPr>
                  <w:p w14:paraId="74832F85">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际华集团股份有限公司章程</w:t>
                    </w:r>
                  </w:p>
                </w:tc>
              </w:sdtContent>
            </w:sdt>
          </w:tr>
        </w:sdtContent>
      </w:sdt>
      <w:sdt>
        <w:sdtPr>
          <w:rPr>
            <w:rFonts w:hint="eastAsia" w:ascii="宋体" w:hAnsi="宋体"/>
            <w:color w:val="000000" w:themeColor="text1"/>
            <w14:textFill>
              <w14:solidFill>
                <w14:schemeClr w14:val="tx1"/>
              </w14:solidFill>
            </w14:textFill>
          </w:rPr>
          <w:alias w:val="释义"/>
          <w:tag w:val="_GBC_ca5c2cb7a4e545e2b2d9d1b94b528746"/>
          <w:id w:val="147462257"/>
          <w:placeholder>
            <w:docPart w:val="75FCC87414EC4602AD9AE92B9FF2EFDC"/>
          </w:placeholder>
        </w:sdtPr>
        <w:sdtEndPr>
          <w:rPr>
            <w:rFonts w:hint="eastAsia" w:ascii="宋体" w:hAnsi="宋体"/>
            <w:color w:val="000000" w:themeColor="text1"/>
            <w14:textFill>
              <w14:solidFill>
                <w14:schemeClr w14:val="tx1"/>
              </w14:solidFill>
            </w14:textFill>
          </w:rPr>
        </w:sdtEndPr>
        <w:sdtContent>
          <w:tr w14:paraId="18C8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5B94436F">
                <w:pPr>
                  <w:widowControl w:val="0"/>
                  <w:jc w:val="both"/>
                </w:pPr>
                <w:r>
                  <w:rPr>
                    <w:rFonts w:hint="eastAsia"/>
                  </w:rPr>
                  <w:t>报告期</w:t>
                </w:r>
              </w:p>
            </w:tc>
            <w:tc>
              <w:tcPr>
                <w:tcW w:w="778" w:type="dxa"/>
              </w:tcPr>
              <w:sdt>
                <w:sdtPr>
                  <w:tag w:val="_PLD_289cf7e5c3a845d59c038a21dcd4a571"/>
                  <w:id w:val="147458308"/>
                </w:sdtPr>
                <w:sdtContent>
                  <w:p w14:paraId="6B9FCEDF">
                    <w:pPr>
                      <w:widowControl w:val="0"/>
                      <w:jc w:val="center"/>
                      <w:rPr>
                        <w:color w:val="000000" w:themeColor="text1"/>
                        <w:highlight w:val="lightGray"/>
                        <w14:textFill>
                          <w14:solidFill>
                            <w14:schemeClr w14:val="tx1"/>
                          </w14:solidFill>
                        </w14:textFill>
                      </w:rPr>
                    </w:pPr>
                    <w:r>
                      <w:rPr>
                        <w:rFonts w:hint="eastAsia"/>
                        <w:color w:val="000000" w:themeColor="text1"/>
                        <w14:textFill>
                          <w14:solidFill>
                            <w14:schemeClr w14:val="tx1"/>
                          </w14:solidFill>
                        </w14:textFill>
                      </w:rPr>
                      <w:t>指</w:t>
                    </w:r>
                  </w:p>
                </w:sdtContent>
              </w:sdt>
            </w:tc>
            <w:sdt>
              <w:sdtPr>
                <w:rPr>
                  <w:rFonts w:hint="eastAsia"/>
                  <w:color w:val="000000" w:themeColor="text1"/>
                  <w14:textFill>
                    <w14:solidFill>
                      <w14:schemeClr w14:val="tx1"/>
                    </w14:solidFill>
                  </w14:textFill>
                </w:rPr>
                <w:alias w:val="常用词语释义"/>
                <w:tag w:val="_GBC_b625dd71b03542c3b074c2ce59de70ad"/>
                <w:id w:val="147475981"/>
              </w:sdtPr>
              <w:sdtEndPr>
                <w:rPr>
                  <w:rFonts w:hint="eastAsia"/>
                  <w:color w:val="000000" w:themeColor="text1"/>
                  <w14:textFill>
                    <w14:solidFill>
                      <w14:schemeClr w14:val="tx1"/>
                    </w14:solidFill>
                  </w14:textFill>
                </w:rPr>
              </w:sdtEndPr>
              <w:sdtContent>
                <w:tc>
                  <w:tcPr>
                    <w:tcW w:w="5254" w:type="dxa"/>
                    <w:vAlign w:val="center"/>
                  </w:tcPr>
                  <w:p w14:paraId="29A7119B">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2025年1月1日至2025年6月30日</w:t>
                    </w:r>
                  </w:p>
                </w:tc>
              </w:sdtContent>
            </w:sdt>
          </w:tr>
        </w:sdtContent>
      </w:sdt>
      <w:sdt>
        <w:sdtPr>
          <w:rPr>
            <w:rFonts w:hint="eastAsia" w:ascii="宋体" w:hAnsi="宋体"/>
            <w:color w:val="000000" w:themeColor="text1"/>
            <w14:textFill>
              <w14:solidFill>
                <w14:schemeClr w14:val="tx1"/>
              </w14:solidFill>
            </w14:textFill>
          </w:rPr>
          <w:alias w:val="释义"/>
          <w:tag w:val="_GBC_ca5c2cb7a4e545e2b2d9d1b94b528746"/>
          <w:id w:val="147472149"/>
          <w:placeholder>
            <w:docPart w:val="75FCC87414EC4602AD9AE92B9FF2EFDC"/>
          </w:placeholder>
        </w:sdtPr>
        <w:sdtEndPr>
          <w:rPr>
            <w:rFonts w:hint="eastAsia" w:ascii="宋体" w:hAnsi="宋体"/>
            <w:color w:val="000000" w:themeColor="text1"/>
            <w14:textFill>
              <w14:solidFill>
                <w14:schemeClr w14:val="tx1"/>
              </w14:solidFill>
            </w14:textFill>
          </w:rPr>
        </w:sdtEndPr>
        <w:sdtContent>
          <w:tr w14:paraId="64469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6D7B1507">
                <w:pPr>
                  <w:widowControl w:val="0"/>
                  <w:jc w:val="both"/>
                </w:pPr>
                <w:r>
                  <w:rPr>
                    <w:rFonts w:hint="eastAsia"/>
                  </w:rPr>
                  <w:t>所属企业</w:t>
                </w:r>
              </w:p>
            </w:tc>
            <w:tc>
              <w:tcPr>
                <w:tcW w:w="778" w:type="dxa"/>
              </w:tcPr>
              <w:sdt>
                <w:sdtPr>
                  <w:tag w:val="_PLD_289cf7e5c3a845d59c038a21dcd4a571"/>
                  <w:id w:val="147459739"/>
                </w:sdtPr>
                <w:sdtContent>
                  <w:p w14:paraId="0DDF7E68">
                    <w:pPr>
                      <w:widowControl w:val="0"/>
                      <w:jc w:val="center"/>
                      <w:rPr>
                        <w:color w:val="000000" w:themeColor="text1"/>
                        <w:highlight w:val="lightGray"/>
                        <w14:textFill>
                          <w14:solidFill>
                            <w14:schemeClr w14:val="tx1"/>
                          </w14:solidFill>
                        </w14:textFill>
                      </w:rPr>
                    </w:pPr>
                    <w:r>
                      <w:rPr>
                        <w:rFonts w:hint="eastAsia"/>
                        <w:color w:val="000000" w:themeColor="text1"/>
                        <w14:textFill>
                          <w14:solidFill>
                            <w14:schemeClr w14:val="tx1"/>
                          </w14:solidFill>
                        </w14:textFill>
                      </w:rPr>
                      <w:t>指</w:t>
                    </w:r>
                  </w:p>
                </w:sdtContent>
              </w:sdt>
            </w:tc>
            <w:sdt>
              <w:sdtPr>
                <w:rPr>
                  <w:rFonts w:hint="eastAsia"/>
                  <w:color w:val="000000" w:themeColor="text1"/>
                  <w14:textFill>
                    <w14:solidFill>
                      <w14:schemeClr w14:val="tx1"/>
                    </w14:solidFill>
                  </w14:textFill>
                </w:rPr>
                <w:alias w:val="常用词语释义"/>
                <w:tag w:val="_GBC_b625dd71b03542c3b074c2ce59de70ad"/>
                <w:id w:val="147457710"/>
              </w:sdtPr>
              <w:sdtEndPr>
                <w:rPr>
                  <w:rFonts w:hint="eastAsia"/>
                  <w:color w:val="000000" w:themeColor="text1"/>
                  <w14:textFill>
                    <w14:solidFill>
                      <w14:schemeClr w14:val="tx1"/>
                    </w14:solidFill>
                  </w14:textFill>
                </w:rPr>
              </w:sdtEndPr>
              <w:sdtContent>
                <w:tc>
                  <w:tcPr>
                    <w:tcW w:w="5254" w:type="dxa"/>
                    <w:vAlign w:val="center"/>
                  </w:tcPr>
                  <w:p w14:paraId="24A62453">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纳入本公司合并财务报表范围的子公司</w:t>
                    </w:r>
                  </w:p>
                </w:tc>
              </w:sdtContent>
            </w:sdt>
          </w:tr>
        </w:sdtContent>
      </w:sdt>
    </w:tbl>
    <w:p w14:paraId="3C52BAAA">
      <w:pPr>
        <w:rPr>
          <w:color w:val="000000" w:themeColor="text1"/>
          <w14:textFill>
            <w14:solidFill>
              <w14:schemeClr w14:val="tx1"/>
            </w14:solidFill>
          </w14:textFill>
        </w:rPr>
      </w:pPr>
    </w:p>
    <w:p w14:paraId="33281E54">
      <w:pPr>
        <w:rPr>
          <w:color w:val="000000" w:themeColor="text1"/>
          <w14:textFill>
            <w14:solidFill>
              <w14:schemeClr w14:val="tx1"/>
            </w14:solidFill>
          </w14:textFill>
        </w:rPr>
      </w:pPr>
    </w:p>
    <w:p w14:paraId="78E86A8B">
      <w:pPr>
        <w:pStyle w:val="2"/>
        <w:numPr>
          <w:ilvl w:val="0"/>
          <w:numId w:val="3"/>
        </w:numPr>
        <w:rPr>
          <w:rFonts w:ascii="黑体" w:hAnsi="黑体"/>
          <w:color w:val="000000" w:themeColor="text1"/>
          <w14:textFill>
            <w14:solidFill>
              <w14:schemeClr w14:val="tx1"/>
            </w14:solidFill>
          </w14:textFill>
        </w:rPr>
      </w:pPr>
      <w:bookmarkStart w:id="9" w:name="_Toc76114273"/>
      <w:bookmarkStart w:id="10" w:name="_Toc200030540"/>
      <w:r>
        <w:rPr>
          <w:rFonts w:hint="eastAsia" w:ascii="黑体" w:hAnsi="黑体"/>
          <w:color w:val="000000" w:themeColor="text1"/>
          <w14:textFill>
            <w14:solidFill>
              <w14:schemeClr w14:val="tx1"/>
            </w14:solidFill>
          </w14:textFill>
        </w:rPr>
        <w:t>公司简介</w:t>
      </w:r>
      <w:bookmarkEnd w:id="8"/>
      <w:r>
        <w:rPr>
          <w:rFonts w:hint="eastAsia" w:ascii="黑体" w:hAnsi="黑体"/>
          <w:color w:val="000000" w:themeColor="text1"/>
          <w14:textFill>
            <w14:solidFill>
              <w14:schemeClr w14:val="tx1"/>
            </w14:solidFill>
          </w14:textFill>
        </w:rPr>
        <w:t>和主要财务指标</w:t>
      </w:r>
    </w:p>
    <w:bookmarkEnd w:id="9"/>
    <w:bookmarkEnd w:id="10"/>
    <w:p w14:paraId="486F89BA">
      <w:pPr>
        <w:pStyle w:val="3"/>
        <w:numPr>
          <w:ilvl w:val="0"/>
          <w:numId w:val="4"/>
        </w:numPr>
        <w:ind w:left="0" w:firstLine="0"/>
        <w:rPr>
          <w:color w:val="000000" w:themeColor="text1"/>
          <w14:textFill>
            <w14:solidFill>
              <w14:schemeClr w14:val="tx1"/>
            </w14:solidFill>
          </w14:textFill>
        </w:rPr>
      </w:pPr>
      <w:bookmarkStart w:id="11" w:name="_Toc342565881"/>
      <w:bookmarkStart w:id="12" w:name="_Toc342051041"/>
      <w:r>
        <w:rPr>
          <w:rFonts w:hint="eastAsia"/>
          <w:color w:val="000000" w:themeColor="text1"/>
          <w14:textFill>
            <w14:solidFill>
              <w14:schemeClr w14:val="tx1"/>
            </w14:solidFill>
          </w14:textFill>
        </w:rPr>
        <w:t>公司信息</w:t>
      </w:r>
      <w:bookmarkEnd w:id="11"/>
      <w:bookmarkEnd w:id="12"/>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858"/>
        <w:gridCol w:w="5035"/>
      </w:tblGrid>
      <w:tr w14:paraId="31286F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372cd7a5ecc1420488735479d42bf939"/>
            <w:id w:val="147483417"/>
          </w:sdtPr>
          <w:sdtContent>
            <w:tc>
              <w:tcPr>
                <w:tcW w:w="2169" w:type="pct"/>
                <w:tcBorders>
                  <w:top w:val="single" w:color="auto" w:sz="4" w:space="0"/>
                  <w:bottom w:val="single" w:color="auto" w:sz="4" w:space="0"/>
                  <w:right w:val="single" w:color="auto" w:sz="4" w:space="0"/>
                </w:tcBorders>
              </w:tcPr>
              <w:p w14:paraId="09AF403F">
                <w:pPr>
                  <w:kinsoku w:val="0"/>
                  <w:overflowPunct w:val="0"/>
                  <w:autoSpaceDE w:val="0"/>
                  <w:autoSpaceDN w:val="0"/>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公司的中文名称</w:t>
                </w:r>
              </w:p>
            </w:tc>
          </w:sdtContent>
        </w:sdt>
        <w:sdt>
          <w:sdtPr>
            <w:rPr>
              <w:rFonts w:hint="eastAsia"/>
              <w:color w:val="000000" w:themeColor="text1"/>
              <w14:textFill>
                <w14:solidFill>
                  <w14:schemeClr w14:val="tx1"/>
                </w14:solidFill>
              </w14:textFill>
            </w:rPr>
            <w:alias w:val="公司法定中文名称"/>
            <w:tag w:val="_GBC_6f7f4fb261c84402a309f1371502ca4f"/>
            <w:id w:val="147481606"/>
            <w:dataBinding w:prefixMappings="xmlns:clcid-cgi='clcid-cgi'" w:xpath="/*/clcid-cgi:GongSiFaDingZhongWenMingCheng[not(@periodRef)]" w:storeItemID="{89EBAB94-44A0-46A2-B712-30D997D04A6D}"/>
            <w:text/>
          </w:sdtPr>
          <w:sdtEndPr>
            <w:rPr>
              <w:rFonts w:hint="eastAsia"/>
              <w:color w:val="000000" w:themeColor="text1"/>
              <w14:textFill>
                <w14:solidFill>
                  <w14:schemeClr w14:val="tx1"/>
                </w14:solidFill>
              </w14:textFill>
            </w:rPr>
          </w:sdtEndPr>
          <w:sdtContent>
            <w:tc>
              <w:tcPr>
                <w:tcW w:w="2831" w:type="pct"/>
                <w:tcBorders>
                  <w:top w:val="single" w:color="auto" w:sz="4" w:space="0"/>
                  <w:left w:val="single" w:color="auto" w:sz="4" w:space="0"/>
                  <w:bottom w:val="single" w:color="auto" w:sz="4" w:space="0"/>
                </w:tcBorders>
              </w:tcPr>
              <w:p w14:paraId="6DB4917B">
                <w:pPr>
                  <w:kinsoku w:val="0"/>
                  <w:overflowPunct w:val="0"/>
                  <w:autoSpaceDE w:val="0"/>
                  <w:autoSpaceDN w:val="0"/>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际华集团股份有限公司</w:t>
                </w:r>
              </w:p>
            </w:tc>
          </w:sdtContent>
        </w:sdt>
      </w:tr>
      <w:tr w14:paraId="0F66A9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tcPr>
          <w:p w14:paraId="7EDFB818">
            <w:pPr>
              <w:kinsoku w:val="0"/>
              <w:overflowPunct w:val="0"/>
              <w:autoSpaceDE w:val="0"/>
              <w:autoSpaceDN w:val="0"/>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公司的中文简称</w:t>
            </w:r>
          </w:p>
        </w:tc>
        <w:tc>
          <w:tcPr>
            <w:tcW w:w="2831" w:type="pct"/>
            <w:tcBorders>
              <w:top w:val="single" w:color="auto" w:sz="4" w:space="0"/>
              <w:left w:val="single" w:color="auto" w:sz="4" w:space="0"/>
              <w:bottom w:val="single" w:color="auto" w:sz="4" w:space="0"/>
            </w:tcBorders>
          </w:tcPr>
          <w:p w14:paraId="2FFBBB8A">
            <w:pPr>
              <w:kinsoku w:val="0"/>
              <w:overflowPunct w:val="0"/>
              <w:autoSpaceDE w:val="0"/>
              <w:autoSpaceDN w:val="0"/>
              <w:adjustRightInd w:val="0"/>
              <w:snapToGrid w:val="0"/>
            </w:pPr>
            <w:r>
              <w:rPr>
                <w:rFonts w:hint="eastAsia" w:cs="Times New Roman"/>
              </w:rPr>
              <w:t>际华集团</w:t>
            </w:r>
          </w:p>
        </w:tc>
      </w:tr>
      <w:tr w14:paraId="0BB0E8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tcPr>
          <w:p w14:paraId="4A02B44B">
            <w:pPr>
              <w:kinsoku w:val="0"/>
              <w:overflowPunct w:val="0"/>
              <w:autoSpaceDE w:val="0"/>
              <w:autoSpaceDN w:val="0"/>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公司的外文名称</w:t>
            </w:r>
          </w:p>
        </w:tc>
        <w:tc>
          <w:tcPr>
            <w:tcW w:w="2831" w:type="pct"/>
            <w:tcBorders>
              <w:top w:val="single" w:color="auto" w:sz="4" w:space="0"/>
              <w:left w:val="single" w:color="auto" w:sz="4" w:space="0"/>
              <w:bottom w:val="single" w:color="auto" w:sz="4" w:space="0"/>
            </w:tcBorders>
          </w:tcPr>
          <w:p w14:paraId="4810248F">
            <w:pPr>
              <w:kinsoku w:val="0"/>
              <w:overflowPunct w:val="0"/>
              <w:autoSpaceDE w:val="0"/>
              <w:autoSpaceDN w:val="0"/>
              <w:adjustRightInd w:val="0"/>
              <w:snapToGrid w:val="0"/>
            </w:pPr>
            <w:r>
              <w:rPr>
                <w:rFonts w:hint="eastAsia" w:cs="Times New Roman"/>
              </w:rPr>
              <w:t>Jihua Group Corporation Limited</w:t>
            </w:r>
          </w:p>
        </w:tc>
      </w:tr>
      <w:tr w14:paraId="510310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tcPr>
          <w:p w14:paraId="15F04333">
            <w:pPr>
              <w:kinsoku w:val="0"/>
              <w:overflowPunct w:val="0"/>
              <w:autoSpaceDE w:val="0"/>
              <w:autoSpaceDN w:val="0"/>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公司的外文名称缩写</w:t>
            </w:r>
          </w:p>
        </w:tc>
        <w:tc>
          <w:tcPr>
            <w:tcW w:w="2831" w:type="pct"/>
            <w:tcBorders>
              <w:top w:val="single" w:color="auto" w:sz="4" w:space="0"/>
              <w:left w:val="single" w:color="auto" w:sz="4" w:space="0"/>
              <w:bottom w:val="single" w:color="auto" w:sz="4" w:space="0"/>
            </w:tcBorders>
          </w:tcPr>
          <w:p w14:paraId="11D0FBF2">
            <w:pPr>
              <w:kinsoku w:val="0"/>
              <w:overflowPunct w:val="0"/>
              <w:autoSpaceDE w:val="0"/>
              <w:autoSpaceDN w:val="0"/>
              <w:adjustRightInd w:val="0"/>
              <w:snapToGrid w:val="0"/>
            </w:pPr>
            <w:r>
              <w:rPr>
                <w:rFonts w:hint="eastAsia" w:cs="Times New Roman"/>
              </w:rPr>
              <w:t>Jihua Group</w:t>
            </w:r>
          </w:p>
        </w:tc>
      </w:tr>
      <w:tr w14:paraId="0D5C0B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tcPr>
          <w:p w14:paraId="36F531E8">
            <w:pPr>
              <w:kinsoku w:val="0"/>
              <w:overflowPunct w:val="0"/>
              <w:autoSpaceDE w:val="0"/>
              <w:autoSpaceDN w:val="0"/>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公司的</w:t>
            </w:r>
            <w:r>
              <w:rPr>
                <w:rFonts w:hint="eastAsia"/>
                <w:color w:val="000000" w:themeColor="text1"/>
                <w14:textFill>
                  <w14:solidFill>
                    <w14:schemeClr w14:val="tx1"/>
                  </w14:solidFill>
                </w14:textFill>
              </w:rPr>
              <w:t>法定代表人</w:t>
            </w:r>
          </w:p>
        </w:tc>
        <w:tc>
          <w:tcPr>
            <w:tcW w:w="2831" w:type="pct"/>
            <w:tcBorders>
              <w:top w:val="single" w:color="auto" w:sz="4" w:space="0"/>
              <w:left w:val="single" w:color="auto" w:sz="4" w:space="0"/>
              <w:bottom w:val="single" w:color="auto" w:sz="4" w:space="0"/>
            </w:tcBorders>
          </w:tcPr>
          <w:sdt>
            <w:sdtPr>
              <w:rPr>
                <w:rFonts w:hint="eastAsia" w:cs="Times New Roman"/>
                <w:bCs w:val="0"/>
                <w:sz w:val="20"/>
                <w:szCs w:val="20"/>
              </w:rPr>
              <w:alias w:val="公司法定代表人"/>
              <w:tag w:val="_GBC_71327a0d8afa49e1aba9d42a68663413"/>
              <w:id w:val="147462454"/>
              <w:text/>
            </w:sdtPr>
            <w:sdtEndPr>
              <w:rPr>
                <w:rFonts w:hint="eastAsia" w:cs="Times New Roman"/>
                <w:bCs w:val="0"/>
                <w:sz w:val="20"/>
                <w:szCs w:val="20"/>
              </w:rPr>
            </w:sdtEndPr>
            <w:sdtContent>
              <w:p w14:paraId="0DF706BC">
                <w:pPr>
                  <w:kinsoku w:val="0"/>
                  <w:overflowPunct w:val="0"/>
                  <w:autoSpaceDE w:val="0"/>
                  <w:autoSpaceDN w:val="0"/>
                  <w:adjustRightInd w:val="0"/>
                  <w:snapToGrid w:val="0"/>
                  <w:rPr>
                    <w:color w:val="000000" w:themeColor="text1"/>
                    <w14:textFill>
                      <w14:solidFill>
                        <w14:schemeClr w14:val="tx1"/>
                      </w14:solidFill>
                    </w14:textFill>
                  </w:rPr>
                </w:pPr>
                <w:r>
                  <w:rPr>
                    <w:rFonts w:hint="eastAsia" w:cs="Times New Roman"/>
                    <w:bCs w:val="0"/>
                    <w:sz w:val="20"/>
                    <w:szCs w:val="20"/>
                  </w:rPr>
                  <w:t>夏前军</w:t>
                </w:r>
              </w:p>
            </w:sdtContent>
          </w:sdt>
        </w:tc>
      </w:tr>
    </w:tbl>
    <w:p w14:paraId="6E109E99">
      <w:pPr>
        <w:rPr>
          <w:color w:val="000000" w:themeColor="text1"/>
          <w14:textFill>
            <w14:solidFill>
              <w14:schemeClr w14:val="tx1"/>
            </w14:solidFill>
          </w14:textFill>
        </w:rPr>
      </w:pPr>
    </w:p>
    <w:p w14:paraId="6BB6165E">
      <w:pPr>
        <w:pStyle w:val="3"/>
        <w:numPr>
          <w:ilvl w:val="0"/>
          <w:numId w:val="4"/>
        </w:numPr>
        <w:ind w:left="0" w:firstLine="0"/>
        <w:rPr>
          <w:color w:val="000000" w:themeColor="text1"/>
          <w14:textFill>
            <w14:solidFill>
              <w14:schemeClr w14:val="tx1"/>
            </w14:solidFill>
          </w14:textFill>
        </w:rPr>
      </w:pPr>
      <w:bookmarkStart w:id="13" w:name="_Toc342565882"/>
      <w:bookmarkStart w:id="14" w:name="_Toc342051042"/>
      <w:r>
        <w:rPr>
          <w:rFonts w:hint="eastAsia"/>
          <w:color w:val="000000" w:themeColor="text1"/>
          <w14:textFill>
            <w14:solidFill>
              <w14:schemeClr w14:val="tx1"/>
            </w14:solidFill>
          </w14:textFill>
        </w:rPr>
        <w:t>联系人和联系方式</w:t>
      </w:r>
      <w:bookmarkEnd w:id="13"/>
      <w:bookmarkEnd w:id="14"/>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2962"/>
        <w:gridCol w:w="2965"/>
        <w:gridCol w:w="2965"/>
      </w:tblGrid>
      <w:tr w14:paraId="54A347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666" w:type="pct"/>
            <w:tcBorders>
              <w:top w:val="single" w:color="auto" w:sz="4" w:space="0"/>
              <w:bottom w:val="single" w:color="auto" w:sz="4" w:space="0"/>
              <w:right w:val="single" w:color="auto" w:sz="4" w:space="0"/>
            </w:tcBorders>
          </w:tcPr>
          <w:p w14:paraId="63E0ECB2">
            <w:pPr>
              <w:kinsoku w:val="0"/>
              <w:overflowPunct w:val="0"/>
              <w:autoSpaceDE w:val="0"/>
              <w:autoSpaceDN w:val="0"/>
              <w:adjustRightInd w:val="0"/>
              <w:snapToGrid w:val="0"/>
              <w:rPr>
                <w:color w:val="000000" w:themeColor="text1"/>
                <w14:textFill>
                  <w14:solidFill>
                    <w14:schemeClr w14:val="tx1"/>
                  </w14:solidFill>
                </w14:textFill>
              </w:rPr>
            </w:pPr>
          </w:p>
        </w:tc>
        <w:tc>
          <w:tcPr>
            <w:tcW w:w="1667" w:type="pct"/>
            <w:tcBorders>
              <w:top w:val="single" w:color="auto" w:sz="4" w:space="0"/>
              <w:left w:val="single" w:color="auto" w:sz="4" w:space="0"/>
              <w:bottom w:val="single" w:color="auto" w:sz="4" w:space="0"/>
              <w:right w:val="single" w:color="auto" w:sz="4" w:space="0"/>
            </w:tcBorders>
          </w:tcPr>
          <w:p w14:paraId="69F546CB">
            <w:pPr>
              <w:pStyle w:val="15"/>
              <w:kinsoku w:val="0"/>
              <w:overflowPunct w:val="0"/>
              <w:autoSpaceDE w:val="0"/>
              <w:autoSpaceDN w:val="0"/>
              <w:adjustRightInd w:val="0"/>
              <w:snapToGrid w:val="0"/>
              <w:jc w:val="center"/>
              <w:rPr>
                <w:rFonts w:ascii="宋体" w:hAnsi="宋体"/>
                <w:color w:val="000000" w:themeColor="text1"/>
                <w14:textFill>
                  <w14:solidFill>
                    <w14:schemeClr w14:val="tx1"/>
                  </w14:solidFill>
                </w14:textFill>
              </w:rPr>
            </w:pPr>
            <w:sdt>
              <w:sdtPr>
                <w:tag w:val="_PLD_d0432012a3f249c3b4fdd759ff340e86"/>
                <w:id w:val="147463758"/>
              </w:sdtPr>
              <w:sdtContent>
                <w:r>
                  <w:rPr>
                    <w:rFonts w:hint="eastAsia" w:ascii="宋体" w:hAnsi="宋体" w:cs="宋体"/>
                    <w:color w:val="000000" w:themeColor="text1"/>
                    <w14:textFill>
                      <w14:solidFill>
                        <w14:schemeClr w14:val="tx1"/>
                      </w14:solidFill>
                    </w14:textFill>
                  </w:rPr>
                  <w:t>董事会秘书</w:t>
                </w:r>
              </w:sdtContent>
            </w:sdt>
            <w:r>
              <w:rPr>
                <w:rFonts w:ascii="宋体" w:hAnsi="宋体"/>
                <w:color w:val="000000" w:themeColor="text1"/>
                <w14:textFill>
                  <w14:solidFill>
                    <w14:schemeClr w14:val="tx1"/>
                  </w14:solidFill>
                </w14:textFill>
              </w:rPr>
              <w:t xml:space="preserve"> </w:t>
            </w:r>
          </w:p>
        </w:tc>
        <w:sdt>
          <w:sdtPr>
            <w:tag w:val="_PLD_3a25396416c14d2cb0688ae0ac8a1d4d"/>
            <w:id w:val="147460152"/>
          </w:sdtPr>
          <w:sdtContent>
            <w:tc>
              <w:tcPr>
                <w:tcW w:w="1667" w:type="pct"/>
                <w:tcBorders>
                  <w:top w:val="single" w:color="auto" w:sz="4" w:space="0"/>
                  <w:left w:val="single" w:color="auto" w:sz="4" w:space="0"/>
                  <w:bottom w:val="single" w:color="auto" w:sz="4" w:space="0"/>
                </w:tcBorders>
              </w:tcPr>
              <w:p w14:paraId="4DA01CA2">
                <w:pPr>
                  <w:pStyle w:val="15"/>
                  <w:kinsoku w:val="0"/>
                  <w:overflowPunct w:val="0"/>
                  <w:autoSpaceDE w:val="0"/>
                  <w:autoSpaceDN w:val="0"/>
                  <w:adjustRightInd w:val="0"/>
                  <w:snapToGrid w:val="0"/>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证券事务代表</w:t>
                </w:r>
              </w:p>
            </w:tc>
          </w:sdtContent>
        </w:sdt>
      </w:tr>
      <w:tr w14:paraId="53E971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666" w:type="pct"/>
            <w:tcBorders>
              <w:top w:val="single" w:color="auto" w:sz="4" w:space="0"/>
              <w:bottom w:val="single" w:color="auto" w:sz="4" w:space="0"/>
              <w:right w:val="single" w:color="auto" w:sz="4" w:space="0"/>
            </w:tcBorders>
          </w:tcPr>
          <w:p w14:paraId="6441B426">
            <w:pPr>
              <w:kinsoku w:val="0"/>
              <w:overflowPunct w:val="0"/>
              <w:autoSpaceDE w:val="0"/>
              <w:autoSpaceDN w:val="0"/>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姓名</w:t>
            </w:r>
          </w:p>
        </w:tc>
        <w:tc>
          <w:tcPr>
            <w:tcW w:w="1667" w:type="pct"/>
            <w:tcBorders>
              <w:top w:val="single" w:color="auto" w:sz="4" w:space="0"/>
              <w:left w:val="single" w:color="auto" w:sz="4" w:space="0"/>
              <w:bottom w:val="single" w:color="auto" w:sz="4" w:space="0"/>
              <w:right w:val="single" w:color="auto" w:sz="4" w:space="0"/>
            </w:tcBorders>
          </w:tcPr>
          <w:p w14:paraId="52FD8306">
            <w:pPr>
              <w:kinsoku w:val="0"/>
              <w:overflowPunct w:val="0"/>
              <w:autoSpaceDE w:val="0"/>
              <w:autoSpaceDN w:val="0"/>
              <w:adjustRightInd w:val="0"/>
              <w:snapToGrid w:val="0"/>
            </w:pPr>
            <w:r>
              <w:rPr>
                <w:rFonts w:hint="eastAsia" w:cs="Times New Roman"/>
              </w:rPr>
              <w:t>冯晓</w:t>
            </w:r>
          </w:p>
        </w:tc>
        <w:tc>
          <w:tcPr>
            <w:tcW w:w="1667" w:type="pct"/>
            <w:tcBorders>
              <w:top w:val="single" w:color="auto" w:sz="4" w:space="0"/>
              <w:left w:val="single" w:color="auto" w:sz="4" w:space="0"/>
              <w:bottom w:val="single" w:color="auto" w:sz="4" w:space="0"/>
            </w:tcBorders>
          </w:tcPr>
          <w:p w14:paraId="5E3B28E4">
            <w:pPr>
              <w:kinsoku w:val="0"/>
              <w:overflowPunct w:val="0"/>
              <w:autoSpaceDE w:val="0"/>
              <w:autoSpaceDN w:val="0"/>
              <w:adjustRightInd w:val="0"/>
              <w:snapToGrid w:val="0"/>
            </w:pPr>
            <w:r>
              <w:rPr>
                <w:rFonts w:hint="eastAsia" w:cs="Times New Roman"/>
              </w:rPr>
              <w:t>李丹</w:t>
            </w:r>
          </w:p>
        </w:tc>
      </w:tr>
      <w:tr w14:paraId="60E157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666" w:type="pct"/>
            <w:tcBorders>
              <w:top w:val="single" w:color="auto" w:sz="4" w:space="0"/>
              <w:bottom w:val="single" w:color="auto" w:sz="4" w:space="0"/>
              <w:right w:val="single" w:color="auto" w:sz="4" w:space="0"/>
            </w:tcBorders>
          </w:tcPr>
          <w:p w14:paraId="26E84842">
            <w:pPr>
              <w:kinsoku w:val="0"/>
              <w:overflowPunct w:val="0"/>
              <w:autoSpaceDE w:val="0"/>
              <w:autoSpaceDN w:val="0"/>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联系地址</w:t>
            </w:r>
          </w:p>
        </w:tc>
        <w:tc>
          <w:tcPr>
            <w:tcW w:w="1667" w:type="pct"/>
            <w:tcBorders>
              <w:top w:val="single" w:color="auto" w:sz="4" w:space="0"/>
              <w:left w:val="single" w:color="auto" w:sz="4" w:space="0"/>
              <w:bottom w:val="single" w:color="auto" w:sz="4" w:space="0"/>
              <w:right w:val="single" w:color="auto" w:sz="4" w:space="0"/>
            </w:tcBorders>
          </w:tcPr>
          <w:p w14:paraId="655F12CF">
            <w:pPr>
              <w:kinsoku w:val="0"/>
              <w:overflowPunct w:val="0"/>
              <w:autoSpaceDE w:val="0"/>
              <w:autoSpaceDN w:val="0"/>
              <w:adjustRightInd w:val="0"/>
              <w:snapToGrid w:val="0"/>
            </w:pPr>
            <w:sdt>
              <w:sdtPr>
                <w:rPr>
                  <w:rFonts w:hint="eastAsia" w:cs="Times New Roman"/>
                </w:rPr>
                <w:alias w:val="公司注册地址"/>
                <w:tag w:val="_GBC_176149bee7bf41819b29097eb854f331"/>
                <w:id w:val="147458650"/>
              </w:sdtPr>
              <w:sdtEndPr>
                <w:rPr>
                  <w:rFonts w:hint="eastAsia" w:cs="Times New Roman"/>
                </w:rPr>
              </w:sdtEndPr>
              <w:sdtContent>
                <w:r>
                  <w:rPr>
                    <w:rFonts w:hint="eastAsia" w:cs="Times New Roman"/>
                  </w:rPr>
                  <w:t>北京市大兴区广茂大街44号院2号楼</w:t>
                </w:r>
              </w:sdtContent>
            </w:sdt>
            <w:r>
              <w:rPr>
                <w:rFonts w:hint="eastAsia" w:cs="Times New Roman"/>
              </w:rPr>
              <w:t>4层</w:t>
            </w:r>
          </w:p>
        </w:tc>
        <w:tc>
          <w:tcPr>
            <w:tcW w:w="1667" w:type="pct"/>
            <w:tcBorders>
              <w:top w:val="single" w:color="auto" w:sz="4" w:space="0"/>
              <w:left w:val="single" w:color="auto" w:sz="4" w:space="0"/>
              <w:bottom w:val="single" w:color="auto" w:sz="4" w:space="0"/>
            </w:tcBorders>
          </w:tcPr>
          <w:p w14:paraId="5E7C7024">
            <w:pPr>
              <w:kinsoku w:val="0"/>
              <w:overflowPunct w:val="0"/>
              <w:autoSpaceDE w:val="0"/>
              <w:autoSpaceDN w:val="0"/>
              <w:adjustRightInd w:val="0"/>
              <w:snapToGrid w:val="0"/>
            </w:pPr>
            <w:r>
              <w:rPr>
                <w:rFonts w:hint="eastAsia" w:cs="Times New Roman"/>
              </w:rPr>
              <w:t>北京市大兴区广茂大街44号院2号楼4层</w:t>
            </w:r>
          </w:p>
        </w:tc>
      </w:tr>
      <w:tr w14:paraId="297978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666" w:type="pct"/>
            <w:tcBorders>
              <w:top w:val="single" w:color="auto" w:sz="4" w:space="0"/>
              <w:bottom w:val="single" w:color="auto" w:sz="4" w:space="0"/>
              <w:right w:val="single" w:color="auto" w:sz="4" w:space="0"/>
            </w:tcBorders>
          </w:tcPr>
          <w:p w14:paraId="7CD6FDFD">
            <w:pPr>
              <w:kinsoku w:val="0"/>
              <w:overflowPunct w:val="0"/>
              <w:autoSpaceDE w:val="0"/>
              <w:autoSpaceDN w:val="0"/>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电话</w:t>
            </w:r>
          </w:p>
        </w:tc>
        <w:tc>
          <w:tcPr>
            <w:tcW w:w="1667" w:type="pct"/>
            <w:tcBorders>
              <w:top w:val="single" w:color="auto" w:sz="4" w:space="0"/>
              <w:left w:val="single" w:color="auto" w:sz="4" w:space="0"/>
              <w:bottom w:val="single" w:color="auto" w:sz="4" w:space="0"/>
              <w:right w:val="single" w:color="auto" w:sz="4" w:space="0"/>
            </w:tcBorders>
          </w:tcPr>
          <w:p w14:paraId="6369A14B">
            <w:pPr>
              <w:kinsoku w:val="0"/>
              <w:overflowPunct w:val="0"/>
              <w:autoSpaceDE w:val="0"/>
              <w:autoSpaceDN w:val="0"/>
              <w:adjustRightInd w:val="0"/>
              <w:snapToGrid w:val="0"/>
            </w:pPr>
            <w:r>
              <w:rPr>
                <w:rFonts w:hint="eastAsia" w:cs="Times New Roman"/>
              </w:rPr>
              <w:t>010-87601718</w:t>
            </w:r>
          </w:p>
        </w:tc>
        <w:tc>
          <w:tcPr>
            <w:tcW w:w="1667" w:type="pct"/>
            <w:tcBorders>
              <w:top w:val="single" w:color="auto" w:sz="4" w:space="0"/>
              <w:left w:val="single" w:color="auto" w:sz="4" w:space="0"/>
              <w:bottom w:val="single" w:color="auto" w:sz="4" w:space="0"/>
            </w:tcBorders>
          </w:tcPr>
          <w:p w14:paraId="28148486">
            <w:pPr>
              <w:kinsoku w:val="0"/>
              <w:overflowPunct w:val="0"/>
              <w:autoSpaceDE w:val="0"/>
              <w:autoSpaceDN w:val="0"/>
              <w:adjustRightInd w:val="0"/>
              <w:snapToGrid w:val="0"/>
            </w:pPr>
            <w:r>
              <w:rPr>
                <w:rFonts w:hint="eastAsia" w:cs="Times New Roman"/>
              </w:rPr>
              <w:t>010-87601718</w:t>
            </w:r>
          </w:p>
        </w:tc>
      </w:tr>
      <w:tr w14:paraId="103051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666" w:type="pct"/>
            <w:tcBorders>
              <w:top w:val="single" w:color="auto" w:sz="4" w:space="0"/>
              <w:bottom w:val="single" w:color="auto" w:sz="4" w:space="0"/>
              <w:right w:val="single" w:color="auto" w:sz="4" w:space="0"/>
            </w:tcBorders>
          </w:tcPr>
          <w:p w14:paraId="6AD4C51C">
            <w:pPr>
              <w:kinsoku w:val="0"/>
              <w:overflowPunct w:val="0"/>
              <w:autoSpaceDE w:val="0"/>
              <w:autoSpaceDN w:val="0"/>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传真</w:t>
            </w:r>
          </w:p>
        </w:tc>
        <w:tc>
          <w:tcPr>
            <w:tcW w:w="1667" w:type="pct"/>
            <w:tcBorders>
              <w:top w:val="single" w:color="auto" w:sz="4" w:space="0"/>
              <w:left w:val="single" w:color="auto" w:sz="4" w:space="0"/>
              <w:bottom w:val="single" w:color="auto" w:sz="4" w:space="0"/>
              <w:right w:val="single" w:color="auto" w:sz="4" w:space="0"/>
            </w:tcBorders>
          </w:tcPr>
          <w:p w14:paraId="198C67CC">
            <w:pPr>
              <w:kinsoku w:val="0"/>
              <w:overflowPunct w:val="0"/>
              <w:autoSpaceDE w:val="0"/>
              <w:autoSpaceDN w:val="0"/>
              <w:adjustRightInd w:val="0"/>
              <w:snapToGrid w:val="0"/>
            </w:pPr>
            <w:r>
              <w:rPr>
                <w:rFonts w:hint="eastAsia" w:cs="Times New Roman"/>
              </w:rPr>
              <w:t>010-87601718</w:t>
            </w:r>
          </w:p>
        </w:tc>
        <w:tc>
          <w:tcPr>
            <w:tcW w:w="1667" w:type="pct"/>
            <w:tcBorders>
              <w:top w:val="single" w:color="auto" w:sz="4" w:space="0"/>
              <w:left w:val="single" w:color="auto" w:sz="4" w:space="0"/>
              <w:bottom w:val="single" w:color="auto" w:sz="4" w:space="0"/>
            </w:tcBorders>
          </w:tcPr>
          <w:p w14:paraId="45E4D5AB">
            <w:pPr>
              <w:kinsoku w:val="0"/>
              <w:overflowPunct w:val="0"/>
              <w:autoSpaceDE w:val="0"/>
              <w:autoSpaceDN w:val="0"/>
              <w:adjustRightInd w:val="0"/>
              <w:snapToGrid w:val="0"/>
            </w:pPr>
            <w:r>
              <w:rPr>
                <w:rFonts w:hint="eastAsia" w:cs="Times New Roman"/>
              </w:rPr>
              <w:t>010-87601718</w:t>
            </w:r>
          </w:p>
        </w:tc>
      </w:tr>
      <w:tr w14:paraId="489686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666" w:type="pct"/>
            <w:tcBorders>
              <w:top w:val="single" w:color="auto" w:sz="4" w:space="0"/>
              <w:bottom w:val="single" w:color="auto" w:sz="4" w:space="0"/>
              <w:right w:val="single" w:color="auto" w:sz="4" w:space="0"/>
            </w:tcBorders>
          </w:tcPr>
          <w:p w14:paraId="37D29BDB">
            <w:pPr>
              <w:kinsoku w:val="0"/>
              <w:overflowPunct w:val="0"/>
              <w:autoSpaceDE w:val="0"/>
              <w:autoSpaceDN w:val="0"/>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电子信箱</w:t>
            </w:r>
          </w:p>
        </w:tc>
        <w:tc>
          <w:tcPr>
            <w:tcW w:w="1667" w:type="pct"/>
            <w:tcBorders>
              <w:top w:val="single" w:color="auto" w:sz="4" w:space="0"/>
              <w:left w:val="single" w:color="auto" w:sz="4" w:space="0"/>
              <w:bottom w:val="single" w:color="auto" w:sz="4" w:space="0"/>
              <w:right w:val="single" w:color="auto" w:sz="4" w:space="0"/>
            </w:tcBorders>
          </w:tcPr>
          <w:p w14:paraId="359F3238">
            <w:pPr>
              <w:kinsoku w:val="0"/>
              <w:overflowPunct w:val="0"/>
              <w:autoSpaceDE w:val="0"/>
              <w:autoSpaceDN w:val="0"/>
              <w:adjustRightInd w:val="0"/>
              <w:snapToGrid w:val="0"/>
            </w:pPr>
            <w:r>
              <w:rPr>
                <w:rFonts w:hint="eastAsia" w:cs="Times New Roman"/>
              </w:rPr>
              <w:t>ir@jihuachina.com</w:t>
            </w:r>
          </w:p>
        </w:tc>
        <w:tc>
          <w:tcPr>
            <w:tcW w:w="1667" w:type="pct"/>
            <w:tcBorders>
              <w:top w:val="single" w:color="auto" w:sz="4" w:space="0"/>
              <w:left w:val="single" w:color="auto" w:sz="4" w:space="0"/>
              <w:bottom w:val="single" w:color="auto" w:sz="4" w:space="0"/>
            </w:tcBorders>
          </w:tcPr>
          <w:p w14:paraId="1ABE05FC">
            <w:pPr>
              <w:kinsoku w:val="0"/>
              <w:overflowPunct w:val="0"/>
              <w:autoSpaceDE w:val="0"/>
              <w:autoSpaceDN w:val="0"/>
              <w:adjustRightInd w:val="0"/>
              <w:snapToGrid w:val="0"/>
            </w:pPr>
            <w:r>
              <w:rPr>
                <w:rFonts w:hint="eastAsia" w:cs="Times New Roman"/>
              </w:rPr>
              <w:t>ir@jihuachina.com</w:t>
            </w:r>
          </w:p>
        </w:tc>
      </w:tr>
    </w:tbl>
    <w:p w14:paraId="3EB21428">
      <w:pPr>
        <w:rPr>
          <w:color w:val="000000" w:themeColor="text1"/>
          <w14:textFill>
            <w14:solidFill>
              <w14:schemeClr w14:val="tx1"/>
            </w14:solidFill>
          </w14:textFill>
        </w:rPr>
      </w:pPr>
    </w:p>
    <w:p w14:paraId="09BD849C">
      <w:pPr>
        <w:pStyle w:val="3"/>
        <w:numPr>
          <w:ilvl w:val="0"/>
          <w:numId w:val="4"/>
        </w:numPr>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基本情况变更简介</w:t>
      </w:r>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858"/>
        <w:gridCol w:w="5035"/>
      </w:tblGrid>
      <w:tr w14:paraId="2A1A76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85d89a4aa7974727a1dc32c53cb7ca26"/>
            <w:id w:val="147454837"/>
          </w:sdtPr>
          <w:sdtContent>
            <w:tc>
              <w:tcPr>
                <w:tcW w:w="2169" w:type="pct"/>
                <w:tcBorders>
                  <w:top w:val="single" w:color="auto" w:sz="4" w:space="0"/>
                  <w:bottom w:val="single" w:color="auto" w:sz="4" w:space="0"/>
                  <w:right w:val="single" w:color="auto" w:sz="4" w:space="0"/>
                </w:tcBorders>
              </w:tcPr>
              <w:p w14:paraId="1EEC6758">
                <w:pPr>
                  <w:kinsoku w:val="0"/>
                  <w:overflowPunct w:val="0"/>
                  <w:autoSpaceDE w:val="0"/>
                  <w:autoSpaceDN w:val="0"/>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公司注册地址</w:t>
                </w:r>
              </w:p>
            </w:tc>
          </w:sdtContent>
        </w:sdt>
        <w:tc>
          <w:tcPr>
            <w:tcW w:w="2831" w:type="pct"/>
            <w:tcBorders>
              <w:top w:val="single" w:color="auto" w:sz="4" w:space="0"/>
              <w:left w:val="single" w:color="auto" w:sz="4" w:space="0"/>
              <w:bottom w:val="single" w:color="auto" w:sz="4" w:space="0"/>
            </w:tcBorders>
            <w:vAlign w:val="center"/>
          </w:tcPr>
          <w:sdt>
            <w:sdtPr>
              <w:rPr>
                <w:rFonts w:cs="Times New Roman"/>
                <w:bCs w:val="0"/>
                <w:sz w:val="20"/>
                <w:szCs w:val="20"/>
              </w:rPr>
              <w:alias w:val="公司注册地址"/>
              <w:tag w:val="_GBC_176149bee7bf41819b29097eb854f331"/>
              <w:id w:val="147453166"/>
              <w:lock w:val="sdtLocked"/>
            </w:sdtPr>
            <w:sdtEndPr>
              <w:rPr>
                <w:rFonts w:cs="Times New Roman"/>
                <w:bCs w:val="0"/>
                <w:sz w:val="20"/>
                <w:szCs w:val="20"/>
              </w:rPr>
            </w:sdtEndPr>
            <w:sdtContent>
              <w:p w14:paraId="4D44D4BC">
                <w:pPr>
                  <w:kinsoku w:val="0"/>
                  <w:overflowPunct w:val="0"/>
                  <w:autoSpaceDE w:val="0"/>
                  <w:autoSpaceDN w:val="0"/>
                  <w:adjustRightInd w:val="0"/>
                  <w:snapToGrid w:val="0"/>
                  <w:rPr>
                    <w:color w:val="000000" w:themeColor="text1"/>
                    <w14:textFill>
                      <w14:solidFill>
                        <w14:schemeClr w14:val="tx1"/>
                      </w14:solidFill>
                    </w14:textFill>
                  </w:rPr>
                </w:pPr>
                <w:r>
                  <w:rPr>
                    <w:rFonts w:hint="eastAsia" w:cs="Times New Roman"/>
                  </w:rPr>
                  <w:t>北京市大兴区广茂大街44号院2号楼</w:t>
                </w:r>
              </w:p>
            </w:sdtContent>
          </w:sdt>
        </w:tc>
      </w:tr>
      <w:tr w14:paraId="76F39D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tcPr>
          <w:p w14:paraId="5721C2DA">
            <w:pPr>
              <w:kinsoku w:val="0"/>
              <w:overflowPunct w:val="0"/>
              <w:autoSpaceDE w:val="0"/>
              <w:autoSpaceDN w:val="0"/>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公司注册地址的历史变更情况</w:t>
            </w:r>
          </w:p>
        </w:tc>
        <w:tc>
          <w:tcPr>
            <w:tcW w:w="2831" w:type="pct"/>
            <w:tcBorders>
              <w:top w:val="single" w:color="auto" w:sz="4" w:space="0"/>
              <w:left w:val="single" w:color="auto" w:sz="4" w:space="0"/>
              <w:bottom w:val="single" w:color="auto" w:sz="4" w:space="0"/>
            </w:tcBorders>
            <w:vAlign w:val="center"/>
          </w:tcPr>
          <w:sdt>
            <w:sdtPr>
              <w:rPr>
                <w:rFonts w:cs="Times New Roman"/>
                <w:bCs w:val="0"/>
                <w:sz w:val="20"/>
                <w:szCs w:val="20"/>
              </w:rPr>
              <w:alias w:val="公司注册地址的历史变更情况"/>
              <w:tag w:val="_GBC_1ae6dbe87be04682949409d4dbd0335e"/>
              <w:id w:val="147464250"/>
              <w:lock w:val="sdtLocked"/>
            </w:sdtPr>
            <w:sdtEndPr>
              <w:rPr>
                <w:rFonts w:cs="Times New Roman"/>
                <w:bCs w:val="0"/>
                <w:sz w:val="20"/>
                <w:szCs w:val="20"/>
              </w:rPr>
            </w:sdtEndPr>
            <w:sdtContent>
              <w:p w14:paraId="041588D5">
                <w:pPr>
                  <w:kinsoku w:val="0"/>
                  <w:overflowPunct w:val="0"/>
                  <w:autoSpaceDE w:val="0"/>
                  <w:autoSpaceDN w:val="0"/>
                  <w:adjustRightInd w:val="0"/>
                  <w:snapToGrid w:val="0"/>
                  <w:rPr>
                    <w:color w:val="000000" w:themeColor="text1"/>
                    <w14:textFill>
                      <w14:solidFill>
                        <w14:schemeClr w14:val="tx1"/>
                      </w14:solidFill>
                    </w14:textFill>
                  </w:rPr>
                </w:pPr>
                <w:r>
                  <w:rPr>
                    <w:rFonts w:hint="eastAsia" w:cs="Times New Roman"/>
                  </w:rPr>
                  <w:t>2022年11月17日，公司注册地址由“北京市丰台区南四环西路188号十五区6号楼”变更为“北京市大兴区广茂大街44号院2号楼”。</w:t>
                </w:r>
              </w:p>
            </w:sdtContent>
          </w:sdt>
        </w:tc>
      </w:tr>
      <w:tr w14:paraId="282561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tcPr>
          <w:p w14:paraId="72ABA409">
            <w:pPr>
              <w:kinsoku w:val="0"/>
              <w:overflowPunct w:val="0"/>
              <w:autoSpaceDE w:val="0"/>
              <w:autoSpaceDN w:val="0"/>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公司办公地址</w:t>
            </w:r>
          </w:p>
        </w:tc>
        <w:tc>
          <w:tcPr>
            <w:tcW w:w="2831" w:type="pct"/>
            <w:tcBorders>
              <w:top w:val="single" w:color="auto" w:sz="4" w:space="0"/>
              <w:left w:val="single" w:color="auto" w:sz="4" w:space="0"/>
              <w:bottom w:val="single" w:color="auto" w:sz="4" w:space="0"/>
            </w:tcBorders>
            <w:vAlign w:val="center"/>
          </w:tcPr>
          <w:sdt>
            <w:sdtPr>
              <w:rPr>
                <w:rFonts w:cs="Times New Roman"/>
                <w:bCs w:val="0"/>
                <w:sz w:val="20"/>
                <w:szCs w:val="20"/>
              </w:rPr>
              <w:alias w:val="公司办公地址"/>
              <w:tag w:val="_GBC_5d7ed1a91af0489a99a8b9a1eb39057e"/>
              <w:id w:val="147463424"/>
              <w:lock w:val="sdtLocked"/>
            </w:sdtPr>
            <w:sdtEndPr>
              <w:rPr>
                <w:rFonts w:cs="Times New Roman"/>
                <w:bCs w:val="0"/>
                <w:sz w:val="20"/>
                <w:szCs w:val="20"/>
              </w:rPr>
            </w:sdtEndPr>
            <w:sdtContent>
              <w:p w14:paraId="1BF60B84">
                <w:pPr>
                  <w:kinsoku w:val="0"/>
                  <w:overflowPunct w:val="0"/>
                  <w:autoSpaceDE w:val="0"/>
                  <w:autoSpaceDN w:val="0"/>
                  <w:adjustRightInd w:val="0"/>
                  <w:snapToGrid w:val="0"/>
                  <w:rPr>
                    <w:color w:val="000000" w:themeColor="text1"/>
                    <w14:textFill>
                      <w14:solidFill>
                        <w14:schemeClr w14:val="tx1"/>
                      </w14:solidFill>
                    </w14:textFill>
                  </w:rPr>
                </w:pPr>
                <w:r>
                  <w:rPr>
                    <w:rFonts w:hint="eastAsia" w:cs="Times New Roman"/>
                  </w:rPr>
                  <w:t>北京市大兴区广茂大街44号院2号楼</w:t>
                </w:r>
              </w:p>
            </w:sdtContent>
          </w:sdt>
        </w:tc>
      </w:tr>
      <w:tr w14:paraId="67DEA4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tcPr>
          <w:p w14:paraId="3B67B2C7">
            <w:pPr>
              <w:kinsoku w:val="0"/>
              <w:overflowPunct w:val="0"/>
              <w:autoSpaceDE w:val="0"/>
              <w:autoSpaceDN w:val="0"/>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公司办公地址的邮政编码</w:t>
            </w:r>
          </w:p>
        </w:tc>
        <w:tc>
          <w:tcPr>
            <w:tcW w:w="2831" w:type="pct"/>
            <w:tcBorders>
              <w:top w:val="single" w:color="auto" w:sz="4" w:space="0"/>
              <w:left w:val="single" w:color="auto" w:sz="4" w:space="0"/>
              <w:bottom w:val="single" w:color="auto" w:sz="4" w:space="0"/>
            </w:tcBorders>
            <w:vAlign w:val="center"/>
          </w:tcPr>
          <w:sdt>
            <w:sdtPr>
              <w:rPr>
                <w:rFonts w:cs="Times New Roman"/>
                <w:bCs w:val="0"/>
                <w:sz w:val="20"/>
                <w:szCs w:val="20"/>
              </w:rPr>
              <w:alias w:val="公司办公地址邮政编码"/>
              <w:tag w:val="_GBC_0b586d6a76e74eb5bfd69803dd5b3f21"/>
              <w:id w:val="147462464"/>
              <w:lock w:val="sdtLocked"/>
            </w:sdtPr>
            <w:sdtEndPr>
              <w:rPr>
                <w:rFonts w:cs="Times New Roman"/>
                <w:bCs w:val="0"/>
                <w:sz w:val="20"/>
                <w:szCs w:val="20"/>
              </w:rPr>
            </w:sdtEndPr>
            <w:sdtContent>
              <w:p w14:paraId="3C02CF6C">
                <w:pPr>
                  <w:kinsoku w:val="0"/>
                  <w:overflowPunct w:val="0"/>
                  <w:autoSpaceDE w:val="0"/>
                  <w:autoSpaceDN w:val="0"/>
                  <w:adjustRightInd w:val="0"/>
                  <w:snapToGrid w:val="0"/>
                  <w:rPr>
                    <w:color w:val="000000" w:themeColor="text1"/>
                    <w14:textFill>
                      <w14:solidFill>
                        <w14:schemeClr w14:val="tx1"/>
                      </w14:solidFill>
                    </w14:textFill>
                  </w:rPr>
                </w:pPr>
                <w:r>
                  <w:rPr>
                    <w:rFonts w:hint="eastAsia" w:cs="Times New Roman"/>
                  </w:rPr>
                  <w:t>102627</w:t>
                </w:r>
              </w:p>
            </w:sdtContent>
          </w:sdt>
        </w:tc>
      </w:tr>
      <w:tr w14:paraId="5792DB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tcPr>
          <w:p w14:paraId="16057591">
            <w:pPr>
              <w:kinsoku w:val="0"/>
              <w:overflowPunct w:val="0"/>
              <w:autoSpaceDE w:val="0"/>
              <w:autoSpaceDN w:val="0"/>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公司网址</w:t>
            </w:r>
          </w:p>
        </w:tc>
        <w:tc>
          <w:tcPr>
            <w:tcW w:w="2831" w:type="pct"/>
            <w:tcBorders>
              <w:top w:val="single" w:color="auto" w:sz="4" w:space="0"/>
              <w:left w:val="single" w:color="auto" w:sz="4" w:space="0"/>
              <w:bottom w:val="single" w:color="auto" w:sz="4" w:space="0"/>
            </w:tcBorders>
            <w:vAlign w:val="center"/>
          </w:tcPr>
          <w:sdt>
            <w:sdtPr>
              <w:rPr>
                <w:rFonts w:cs="Times New Roman"/>
                <w:bCs w:val="0"/>
                <w:sz w:val="20"/>
                <w:szCs w:val="20"/>
              </w:rPr>
              <w:alias w:val="公司国际互联网网址"/>
              <w:tag w:val="_GBC_7230b5ca49734fc2ad410245ff685045"/>
              <w:id w:val="147472669"/>
              <w:lock w:val="sdtLocked"/>
            </w:sdtPr>
            <w:sdtEndPr>
              <w:rPr>
                <w:rFonts w:cs="Times New Roman"/>
                <w:bCs w:val="0"/>
                <w:sz w:val="20"/>
                <w:szCs w:val="20"/>
              </w:rPr>
            </w:sdtEndPr>
            <w:sdtContent>
              <w:p w14:paraId="09BC65BE">
                <w:pPr>
                  <w:kinsoku w:val="0"/>
                  <w:overflowPunct w:val="0"/>
                  <w:autoSpaceDE w:val="0"/>
                  <w:autoSpaceDN w:val="0"/>
                  <w:adjustRightInd w:val="0"/>
                  <w:snapToGrid w:val="0"/>
                  <w:rPr>
                    <w:color w:val="000000" w:themeColor="text1"/>
                    <w14:textFill>
                      <w14:solidFill>
                        <w14:schemeClr w14:val="tx1"/>
                      </w14:solidFill>
                    </w14:textFill>
                  </w:rPr>
                </w:pPr>
                <w:r>
                  <w:rPr>
                    <w:rFonts w:hint="eastAsia" w:cs="Times New Roman"/>
                  </w:rPr>
                  <w:t>http://www.jihuachina.com</w:t>
                </w:r>
              </w:p>
            </w:sdtContent>
          </w:sdt>
        </w:tc>
      </w:tr>
      <w:tr w14:paraId="396936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tcPr>
          <w:p w14:paraId="7E0AFBC4">
            <w:pPr>
              <w:kinsoku w:val="0"/>
              <w:overflowPunct w:val="0"/>
              <w:autoSpaceDE w:val="0"/>
              <w:autoSpaceDN w:val="0"/>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电子信箱</w:t>
            </w:r>
          </w:p>
        </w:tc>
        <w:tc>
          <w:tcPr>
            <w:tcW w:w="2831" w:type="pct"/>
            <w:tcBorders>
              <w:top w:val="single" w:color="auto" w:sz="4" w:space="0"/>
              <w:left w:val="single" w:color="auto" w:sz="4" w:space="0"/>
              <w:bottom w:val="single" w:color="auto" w:sz="4" w:space="0"/>
            </w:tcBorders>
            <w:vAlign w:val="center"/>
          </w:tcPr>
          <w:sdt>
            <w:sdtPr>
              <w:rPr>
                <w:rFonts w:cs="Times New Roman"/>
                <w:bCs w:val="0"/>
                <w:sz w:val="20"/>
                <w:szCs w:val="20"/>
              </w:rPr>
              <w:alias w:val="公司电子信箱"/>
              <w:tag w:val="_GBC_229dc578e23341bbaf9302c6a1aaeb1e"/>
              <w:id w:val="147478203"/>
              <w:lock w:val="sdtLocked"/>
            </w:sdtPr>
            <w:sdtEndPr>
              <w:rPr>
                <w:rFonts w:cs="Times New Roman"/>
                <w:bCs w:val="0"/>
                <w:sz w:val="20"/>
                <w:szCs w:val="20"/>
              </w:rPr>
            </w:sdtEndPr>
            <w:sdtContent>
              <w:p w14:paraId="0F1CE651">
                <w:pPr>
                  <w:kinsoku w:val="0"/>
                  <w:overflowPunct w:val="0"/>
                  <w:autoSpaceDE w:val="0"/>
                  <w:autoSpaceDN w:val="0"/>
                  <w:adjustRightInd w:val="0"/>
                  <w:snapToGrid w:val="0"/>
                  <w:rPr>
                    <w:color w:val="000000" w:themeColor="text1"/>
                    <w14:textFill>
                      <w14:solidFill>
                        <w14:schemeClr w14:val="tx1"/>
                      </w14:solidFill>
                    </w14:textFill>
                  </w:rPr>
                </w:pPr>
                <w:r>
                  <w:rPr>
                    <w:rFonts w:hint="eastAsia" w:cs="Times New Roman"/>
                  </w:rPr>
                  <w:t>ir@jihuachina.com</w:t>
                </w:r>
              </w:p>
            </w:sdtContent>
          </w:sdt>
        </w:tc>
      </w:tr>
      <w:tr w14:paraId="3D0D02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tcPr>
          <w:p w14:paraId="0CA8EEB5">
            <w:pPr>
              <w:kinsoku w:val="0"/>
              <w:overflowPunct w:val="0"/>
              <w:autoSpaceDE w:val="0"/>
              <w:autoSpaceDN w:val="0"/>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报告期内变更情况查询索引</w:t>
            </w:r>
          </w:p>
        </w:tc>
        <w:tc>
          <w:tcPr>
            <w:tcW w:w="2831" w:type="pct"/>
            <w:tcBorders>
              <w:top w:val="single" w:color="auto" w:sz="4" w:space="0"/>
              <w:left w:val="single" w:color="auto" w:sz="4" w:space="0"/>
              <w:bottom w:val="single" w:color="auto" w:sz="4" w:space="0"/>
            </w:tcBorders>
            <w:vAlign w:val="center"/>
          </w:tcPr>
          <w:sdt>
            <w:sdtPr>
              <w:rPr>
                <w:rFonts w:cs="Times New Roman"/>
                <w:bCs w:val="0"/>
                <w:sz w:val="20"/>
                <w:szCs w:val="20"/>
              </w:rPr>
              <w:alias w:val="公司基本情况报告期内变更查询索引"/>
              <w:tag w:val="_GBC_faa254795096437fb73ed03d5cbc1c7e"/>
              <w:id w:val="147457291"/>
              <w:lock w:val="sdtLocked"/>
            </w:sdtPr>
            <w:sdtEndPr>
              <w:rPr>
                <w:rFonts w:cs="Times New Roman"/>
                <w:bCs w:val="0"/>
                <w:sz w:val="20"/>
                <w:szCs w:val="20"/>
              </w:rPr>
            </w:sdtEndPr>
            <w:sdtContent>
              <w:p w14:paraId="218C2BB0">
                <w:pPr>
                  <w:kinsoku w:val="0"/>
                  <w:overflowPunct w:val="0"/>
                  <w:autoSpaceDE w:val="0"/>
                  <w:autoSpaceDN w:val="0"/>
                  <w:adjustRightInd w:val="0"/>
                  <w:snapToGrid w:val="0"/>
                  <w:rPr>
                    <w:color w:val="000000" w:themeColor="text1"/>
                    <w14:textFill>
                      <w14:solidFill>
                        <w14:schemeClr w14:val="tx1"/>
                      </w14:solidFill>
                    </w14:textFill>
                  </w:rPr>
                </w:pPr>
                <w:r>
                  <w:rPr>
                    <w:rFonts w:hint="eastAsia" w:cs="Times New Roman"/>
                  </w:rPr>
                  <w:t>不适用</w:t>
                </w:r>
              </w:p>
            </w:sdtContent>
          </w:sdt>
        </w:tc>
      </w:tr>
    </w:tbl>
    <w:p w14:paraId="059AF79D">
      <w:pPr>
        <w:kinsoku w:val="0"/>
        <w:overflowPunct w:val="0"/>
        <w:autoSpaceDE w:val="0"/>
        <w:autoSpaceDN w:val="0"/>
        <w:adjustRightInd w:val="0"/>
        <w:snapToGrid w:val="0"/>
        <w:rPr>
          <w:color w:val="000000" w:themeColor="text1"/>
          <w14:textFill>
            <w14:solidFill>
              <w14:schemeClr w14:val="tx1"/>
            </w14:solidFill>
          </w14:textFill>
        </w:rPr>
      </w:pPr>
    </w:p>
    <w:p w14:paraId="03B82799">
      <w:pPr>
        <w:pStyle w:val="3"/>
        <w:numPr>
          <w:ilvl w:val="0"/>
          <w:numId w:val="4"/>
        </w:numPr>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信息披露及备置地点变更情况简介</w:t>
      </w:r>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858"/>
        <w:gridCol w:w="5035"/>
      </w:tblGrid>
      <w:tr w14:paraId="3C0E23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5a9e1277ac2b48eb8d7aa1b69c532d31"/>
            <w:id w:val="147466286"/>
          </w:sdtPr>
          <w:sdtContent>
            <w:tc>
              <w:tcPr>
                <w:tcW w:w="2169" w:type="pct"/>
                <w:tcBorders>
                  <w:top w:val="single" w:color="auto" w:sz="4" w:space="0"/>
                  <w:bottom w:val="single" w:color="auto" w:sz="4" w:space="0"/>
                  <w:right w:val="single" w:color="auto" w:sz="4" w:space="0"/>
                </w:tcBorders>
              </w:tcPr>
              <w:p w14:paraId="6E7B6532">
                <w:pPr>
                  <w:kinsoku w:val="0"/>
                  <w:overflowPunct w:val="0"/>
                  <w:autoSpaceDE w:val="0"/>
                  <w:autoSpaceDN w:val="0"/>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公司选定的信息披露报纸名称</w:t>
                </w:r>
              </w:p>
            </w:tc>
          </w:sdtContent>
        </w:sdt>
        <w:tc>
          <w:tcPr>
            <w:tcW w:w="2831" w:type="pct"/>
            <w:tcBorders>
              <w:top w:val="single" w:color="auto" w:sz="4" w:space="0"/>
              <w:left w:val="single" w:color="auto" w:sz="4" w:space="0"/>
              <w:bottom w:val="single" w:color="auto" w:sz="4" w:space="0"/>
            </w:tcBorders>
            <w:vAlign w:val="center"/>
          </w:tcPr>
          <w:sdt>
            <w:sdtPr>
              <w:rPr>
                <w:rFonts w:cs="Times New Roman"/>
                <w:bCs w:val="0"/>
                <w:sz w:val="20"/>
                <w:szCs w:val="20"/>
              </w:rPr>
              <w:alias w:val="公司选定的信息披露报纸名称"/>
              <w:tag w:val="_GBC_ea25303a54e24033a0a9a380e9688e98"/>
              <w:id w:val="147456477"/>
              <w:lock w:val="sdtLocked"/>
            </w:sdtPr>
            <w:sdtEndPr>
              <w:rPr>
                <w:rFonts w:cs="Times New Roman"/>
                <w:bCs w:val="0"/>
                <w:sz w:val="20"/>
                <w:szCs w:val="20"/>
              </w:rPr>
            </w:sdtEndPr>
            <w:sdtContent>
              <w:p w14:paraId="0904D188">
                <w:pPr>
                  <w:kinsoku w:val="0"/>
                  <w:overflowPunct w:val="0"/>
                  <w:autoSpaceDE w:val="0"/>
                  <w:autoSpaceDN w:val="0"/>
                  <w:adjustRightInd w:val="0"/>
                  <w:snapToGrid w:val="0"/>
                  <w:rPr>
                    <w:color w:val="000000" w:themeColor="text1"/>
                    <w14:textFill>
                      <w14:solidFill>
                        <w14:schemeClr w14:val="tx1"/>
                      </w14:solidFill>
                    </w14:textFill>
                  </w:rPr>
                </w:pPr>
                <w:r>
                  <w:rPr>
                    <w:rFonts w:hint="eastAsia" w:cs="Times New Roman"/>
                  </w:rPr>
                  <w:t>中国证券报</w:t>
                </w:r>
              </w:p>
            </w:sdtContent>
          </w:sdt>
        </w:tc>
      </w:tr>
      <w:tr w14:paraId="33B666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tcPr>
          <w:p w14:paraId="423408A8">
            <w:pPr>
              <w:kinsoku w:val="0"/>
              <w:overflowPunct w:val="0"/>
              <w:autoSpaceDE w:val="0"/>
              <w:autoSpaceDN w:val="0"/>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登载半年度报告的</w:t>
            </w:r>
            <w:r>
              <w:rPr>
                <w:rFonts w:hint="eastAsia"/>
                <w:color w:val="000000" w:themeColor="text1"/>
                <w14:textFill>
                  <w14:solidFill>
                    <w14:schemeClr w14:val="tx1"/>
                  </w14:solidFill>
                </w14:textFill>
              </w:rPr>
              <w:t>网站地</w:t>
            </w:r>
            <w:r>
              <w:rPr>
                <w:color w:val="000000" w:themeColor="text1"/>
                <w14:textFill>
                  <w14:solidFill>
                    <w14:schemeClr w14:val="tx1"/>
                  </w14:solidFill>
                </w14:textFill>
              </w:rPr>
              <w:t>址</w:t>
            </w:r>
          </w:p>
        </w:tc>
        <w:tc>
          <w:tcPr>
            <w:tcW w:w="2831" w:type="pct"/>
            <w:tcBorders>
              <w:top w:val="single" w:color="auto" w:sz="4" w:space="0"/>
              <w:left w:val="single" w:color="auto" w:sz="4" w:space="0"/>
              <w:bottom w:val="single" w:color="auto" w:sz="4" w:space="0"/>
            </w:tcBorders>
            <w:vAlign w:val="center"/>
          </w:tcPr>
          <w:p w14:paraId="433CFFE5">
            <w:pPr>
              <w:kinsoku w:val="0"/>
              <w:overflowPunct w:val="0"/>
              <w:autoSpaceDE w:val="0"/>
              <w:autoSpaceDN w:val="0"/>
              <w:adjustRightInd w:val="0"/>
              <w:snapToGrid w:val="0"/>
            </w:pPr>
            <w:r>
              <w:rPr>
                <w:rFonts w:hint="eastAsia" w:cs="Times New Roman"/>
              </w:rPr>
              <w:t>http://www.sse.com.cn</w:t>
            </w:r>
          </w:p>
        </w:tc>
      </w:tr>
      <w:tr w14:paraId="0C1227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tcPr>
          <w:p w14:paraId="6D83D77D">
            <w:pPr>
              <w:kinsoku w:val="0"/>
              <w:overflowPunct w:val="0"/>
              <w:autoSpaceDE w:val="0"/>
              <w:autoSpaceDN w:val="0"/>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公司半年度报告备置地点</w:t>
            </w:r>
          </w:p>
        </w:tc>
        <w:tc>
          <w:tcPr>
            <w:tcW w:w="2831" w:type="pct"/>
            <w:tcBorders>
              <w:top w:val="single" w:color="auto" w:sz="4" w:space="0"/>
              <w:left w:val="single" w:color="auto" w:sz="4" w:space="0"/>
              <w:bottom w:val="single" w:color="auto" w:sz="4" w:space="0"/>
            </w:tcBorders>
            <w:vAlign w:val="center"/>
          </w:tcPr>
          <w:p w14:paraId="4A812E2A">
            <w:pPr>
              <w:kinsoku w:val="0"/>
              <w:overflowPunct w:val="0"/>
              <w:autoSpaceDE w:val="0"/>
              <w:autoSpaceDN w:val="0"/>
              <w:adjustRightInd w:val="0"/>
              <w:snapToGrid w:val="0"/>
            </w:pPr>
            <w:r>
              <w:rPr>
                <w:rFonts w:hint="eastAsia" w:cs="Times New Roman"/>
              </w:rPr>
              <w:t>公司董事会办公室</w:t>
            </w:r>
          </w:p>
        </w:tc>
      </w:tr>
      <w:tr w14:paraId="2B39CA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tcPr>
          <w:p w14:paraId="594AEC7A">
            <w:pPr>
              <w:kinsoku w:val="0"/>
              <w:overflowPunct w:val="0"/>
              <w:autoSpaceDE w:val="0"/>
              <w:autoSpaceDN w:val="0"/>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报告期内变更情况查询索引</w:t>
            </w:r>
          </w:p>
        </w:tc>
        <w:tc>
          <w:tcPr>
            <w:tcW w:w="2831" w:type="pct"/>
            <w:tcBorders>
              <w:top w:val="single" w:color="auto" w:sz="4" w:space="0"/>
              <w:left w:val="single" w:color="auto" w:sz="4" w:space="0"/>
              <w:bottom w:val="single" w:color="auto" w:sz="4" w:space="0"/>
            </w:tcBorders>
            <w:vAlign w:val="center"/>
          </w:tcPr>
          <w:p w14:paraId="207C144B">
            <w:pPr>
              <w:kinsoku w:val="0"/>
              <w:overflowPunct w:val="0"/>
              <w:autoSpaceDE w:val="0"/>
              <w:autoSpaceDN w:val="0"/>
              <w:adjustRightInd w:val="0"/>
              <w:snapToGrid w:val="0"/>
            </w:pPr>
            <w:r>
              <w:rPr>
                <w:rFonts w:hint="eastAsia" w:cs="Times New Roman"/>
              </w:rPr>
              <w:t>不适用</w:t>
            </w:r>
          </w:p>
        </w:tc>
      </w:tr>
    </w:tbl>
    <w:p w14:paraId="35097132">
      <w:pPr>
        <w:rPr>
          <w:color w:val="000000" w:themeColor="text1"/>
          <w14:textFill>
            <w14:solidFill>
              <w14:schemeClr w14:val="tx1"/>
            </w14:solidFill>
          </w14:textFill>
        </w:rPr>
      </w:pPr>
    </w:p>
    <w:p w14:paraId="339529F8">
      <w:pPr>
        <w:pStyle w:val="3"/>
        <w:numPr>
          <w:ilvl w:val="0"/>
          <w:numId w:val="4"/>
        </w:numPr>
        <w:ind w:left="0" w:firstLine="0"/>
        <w:rPr>
          <w:color w:val="000000" w:themeColor="text1"/>
          <w14:textFill>
            <w14:solidFill>
              <w14:schemeClr w14:val="tx1"/>
            </w14:solidFill>
          </w14:textFill>
        </w:rPr>
      </w:pPr>
      <w:bookmarkStart w:id="15" w:name="_Toc342051045"/>
      <w:bookmarkStart w:id="16" w:name="_Toc342565885"/>
      <w:r>
        <w:rPr>
          <w:rFonts w:hint="eastAsia"/>
          <w:color w:val="000000" w:themeColor="text1"/>
          <w14:textFill>
            <w14:solidFill>
              <w14:schemeClr w14:val="tx1"/>
            </w14:solidFill>
          </w14:textFill>
        </w:rPr>
        <w:t>公司股票简况</w:t>
      </w:r>
      <w:bookmarkEnd w:id="15"/>
      <w:bookmarkEnd w:id="16"/>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2222"/>
        <w:gridCol w:w="2224"/>
        <w:gridCol w:w="2224"/>
        <w:gridCol w:w="2224"/>
      </w:tblGrid>
      <w:tr w14:paraId="547C9F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136d907086394f5eaee0ec7d22ac5510"/>
            <w:id w:val="147456924"/>
          </w:sdtPr>
          <w:sdtContent>
            <w:tc>
              <w:tcPr>
                <w:tcW w:w="1250" w:type="pct"/>
                <w:tcBorders>
                  <w:top w:val="single" w:color="auto" w:sz="4" w:space="0"/>
                  <w:bottom w:val="single" w:color="auto" w:sz="4" w:space="0"/>
                  <w:right w:val="single" w:color="auto" w:sz="4" w:space="0"/>
                </w:tcBorders>
              </w:tcPr>
              <w:p w14:paraId="13F1898F">
                <w:pPr>
                  <w:kinsoku w:val="0"/>
                  <w:overflowPunct w:val="0"/>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股票种类</w:t>
                </w:r>
              </w:p>
            </w:tc>
          </w:sdtContent>
        </w:sdt>
        <w:sdt>
          <w:sdtPr>
            <w:tag w:val="_PLD_6a843bcbb5a24c0aa6b5fa899c00d11d"/>
            <w:id w:val="147458507"/>
          </w:sdtPr>
          <w:sdtContent>
            <w:tc>
              <w:tcPr>
                <w:tcW w:w="1250" w:type="pct"/>
                <w:tcBorders>
                  <w:top w:val="single" w:color="auto" w:sz="4" w:space="0"/>
                  <w:left w:val="single" w:color="auto" w:sz="4" w:space="0"/>
                  <w:bottom w:val="single" w:color="auto" w:sz="4" w:space="0"/>
                  <w:right w:val="single" w:color="auto" w:sz="4" w:space="0"/>
                </w:tcBorders>
              </w:tcPr>
              <w:p w14:paraId="18DDF6B9">
                <w:pPr>
                  <w:kinsoku w:val="0"/>
                  <w:overflowPunct w:val="0"/>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股票上市交易所</w:t>
                </w:r>
              </w:p>
            </w:tc>
          </w:sdtContent>
        </w:sdt>
        <w:sdt>
          <w:sdtPr>
            <w:tag w:val="_PLD_c012a58bb3cc4bbd9a7de1f52bd17553"/>
            <w:id w:val="147451273"/>
          </w:sdtPr>
          <w:sdtContent>
            <w:tc>
              <w:tcPr>
                <w:tcW w:w="1250" w:type="pct"/>
                <w:tcBorders>
                  <w:top w:val="single" w:color="auto" w:sz="4" w:space="0"/>
                  <w:left w:val="single" w:color="auto" w:sz="4" w:space="0"/>
                  <w:bottom w:val="single" w:color="auto" w:sz="4" w:space="0"/>
                  <w:right w:val="single" w:color="auto" w:sz="4" w:space="0"/>
                </w:tcBorders>
              </w:tcPr>
              <w:p w14:paraId="41ECCDCE">
                <w:pPr>
                  <w:kinsoku w:val="0"/>
                  <w:overflowPunct w:val="0"/>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股票简称</w:t>
                </w:r>
              </w:p>
            </w:tc>
          </w:sdtContent>
        </w:sdt>
        <w:sdt>
          <w:sdtPr>
            <w:tag w:val="_PLD_9fa1e8781b094b29b21027138e9f63e8"/>
            <w:id w:val="147477953"/>
          </w:sdtPr>
          <w:sdtContent>
            <w:tc>
              <w:tcPr>
                <w:tcW w:w="1250" w:type="pct"/>
                <w:tcBorders>
                  <w:top w:val="single" w:color="auto" w:sz="4" w:space="0"/>
                  <w:left w:val="single" w:color="auto" w:sz="4" w:space="0"/>
                  <w:bottom w:val="single" w:color="auto" w:sz="4" w:space="0"/>
                  <w:right w:val="single" w:color="auto" w:sz="4" w:space="0"/>
                </w:tcBorders>
              </w:tcPr>
              <w:p w14:paraId="67F6D07B">
                <w:pPr>
                  <w:kinsoku w:val="0"/>
                  <w:overflowPunct w:val="0"/>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股票代码</w:t>
                </w:r>
              </w:p>
            </w:tc>
          </w:sdtContent>
        </w:sdt>
      </w:tr>
      <w:tr w14:paraId="4A307B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1250" w:type="pct"/>
            <w:tcBorders>
              <w:top w:val="single" w:color="auto" w:sz="4" w:space="0"/>
              <w:bottom w:val="single" w:color="auto" w:sz="4" w:space="0"/>
              <w:right w:val="single" w:color="auto" w:sz="4" w:space="0"/>
            </w:tcBorders>
            <w:vAlign w:val="center"/>
          </w:tcPr>
          <w:p w14:paraId="2520DD23">
            <w:pPr>
              <w:kinsoku w:val="0"/>
              <w:overflowPunct w:val="0"/>
              <w:autoSpaceDE w:val="0"/>
              <w:autoSpaceDN w:val="0"/>
              <w:adjustRightInd w:val="0"/>
              <w:snapToGrid w:val="0"/>
              <w:jc w:val="center"/>
            </w:pPr>
            <w:r>
              <w:rPr>
                <w:rFonts w:hint="eastAsia" w:cs="Times New Roman"/>
              </w:rPr>
              <w:t>A股</w:t>
            </w:r>
          </w:p>
        </w:tc>
        <w:tc>
          <w:tcPr>
            <w:tcW w:w="1250" w:type="pct"/>
            <w:tcBorders>
              <w:top w:val="single" w:color="auto" w:sz="4" w:space="0"/>
              <w:left w:val="single" w:color="auto" w:sz="4" w:space="0"/>
              <w:bottom w:val="single" w:color="auto" w:sz="4" w:space="0"/>
              <w:right w:val="single" w:color="auto" w:sz="4" w:space="0"/>
            </w:tcBorders>
            <w:vAlign w:val="center"/>
          </w:tcPr>
          <w:p w14:paraId="782E2C7F">
            <w:pPr>
              <w:kinsoku w:val="0"/>
              <w:overflowPunct w:val="0"/>
              <w:autoSpaceDE w:val="0"/>
              <w:autoSpaceDN w:val="0"/>
              <w:adjustRightInd w:val="0"/>
              <w:snapToGrid w:val="0"/>
              <w:jc w:val="center"/>
            </w:pPr>
            <w:r>
              <w:rPr>
                <w:rFonts w:hint="eastAsia" w:cs="Times New Roman"/>
              </w:rPr>
              <w:t>上海证券交易所</w:t>
            </w:r>
          </w:p>
        </w:tc>
        <w:tc>
          <w:tcPr>
            <w:tcW w:w="1250" w:type="pct"/>
            <w:tcBorders>
              <w:top w:val="single" w:color="auto" w:sz="4" w:space="0"/>
              <w:left w:val="single" w:color="auto" w:sz="4" w:space="0"/>
              <w:bottom w:val="single" w:color="auto" w:sz="4" w:space="0"/>
              <w:right w:val="single" w:color="auto" w:sz="4" w:space="0"/>
            </w:tcBorders>
            <w:vAlign w:val="center"/>
          </w:tcPr>
          <w:p w14:paraId="190A18A7">
            <w:pPr>
              <w:kinsoku w:val="0"/>
              <w:overflowPunct w:val="0"/>
              <w:autoSpaceDE w:val="0"/>
              <w:autoSpaceDN w:val="0"/>
              <w:adjustRightInd w:val="0"/>
              <w:snapToGrid w:val="0"/>
              <w:jc w:val="center"/>
            </w:pPr>
            <w:r>
              <w:rPr>
                <w:rFonts w:hint="eastAsia" w:cs="Times New Roman"/>
              </w:rPr>
              <w:t>际华集团</w:t>
            </w:r>
          </w:p>
        </w:tc>
        <w:tc>
          <w:tcPr>
            <w:tcW w:w="1250" w:type="pct"/>
            <w:tcBorders>
              <w:top w:val="single" w:color="auto" w:sz="4" w:space="0"/>
              <w:left w:val="single" w:color="auto" w:sz="4" w:space="0"/>
              <w:bottom w:val="single" w:color="auto" w:sz="4" w:space="0"/>
              <w:right w:val="single" w:color="auto" w:sz="4" w:space="0"/>
            </w:tcBorders>
            <w:vAlign w:val="center"/>
          </w:tcPr>
          <w:p w14:paraId="1512B662">
            <w:pPr>
              <w:kinsoku w:val="0"/>
              <w:overflowPunct w:val="0"/>
              <w:autoSpaceDE w:val="0"/>
              <w:autoSpaceDN w:val="0"/>
              <w:adjustRightInd w:val="0"/>
              <w:snapToGrid w:val="0"/>
              <w:jc w:val="center"/>
            </w:pPr>
            <w:r>
              <w:rPr>
                <w:rFonts w:hint="eastAsia" w:cs="Times New Roman"/>
              </w:rPr>
              <w:t>601718</w:t>
            </w:r>
          </w:p>
        </w:tc>
      </w:tr>
    </w:tbl>
    <w:p w14:paraId="6ECBFEDC">
      <w:pPr>
        <w:pStyle w:val="55"/>
      </w:pPr>
    </w:p>
    <w:p w14:paraId="2CFE29C3">
      <w:pPr>
        <w:pStyle w:val="3"/>
        <w:numPr>
          <w:ilvl w:val="0"/>
          <w:numId w:val="4"/>
        </w:numPr>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其他有关资料</w:t>
      </w:r>
    </w:p>
    <w:sdt>
      <w:sdtPr>
        <w:rPr>
          <w:color w:val="000000" w:themeColor="text1"/>
          <w14:textFill>
            <w14:solidFill>
              <w14:schemeClr w14:val="tx1"/>
            </w14:solidFill>
          </w14:textFill>
        </w:rPr>
        <w:alias w:val="是否适用：其他有关资料[双击切换]"/>
        <w:tag w:val="_GBC_78c3cc115c0d4dd3bf5e7c57142e5e68"/>
        <w:id w:val="147472333"/>
        <w:placeholder>
          <w:docPart w:val="GBC22222222222222222222222222222"/>
        </w:placeholder>
      </w:sdtPr>
      <w:sdtEndPr>
        <w:rPr>
          <w:color w:val="000000" w:themeColor="text1"/>
          <w14:textFill>
            <w14:solidFill>
              <w14:schemeClr w14:val="tx1"/>
            </w14:solidFill>
          </w14:textFill>
        </w:rPr>
      </w:sdtEndPr>
      <w:sdtContent>
        <w:p w14:paraId="310CB7C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E17BABF">
      <w:pPr>
        <w:rPr>
          <w:color w:val="000000" w:themeColor="text1"/>
          <w:bdr w:val="single" w:color="auto" w:sz="4" w:space="0"/>
          <w14:textFill>
            <w14:solidFill>
              <w14:schemeClr w14:val="tx1"/>
            </w14:solidFill>
          </w14:textFill>
        </w:rPr>
      </w:pPr>
    </w:p>
    <w:p w14:paraId="2085125E">
      <w:pPr>
        <w:pStyle w:val="3"/>
        <w:numPr>
          <w:ilvl w:val="0"/>
          <w:numId w:val="4"/>
        </w:numPr>
        <w:ind w:left="0" w:firstLine="0"/>
        <w:rPr>
          <w:color w:val="000000" w:themeColor="text1"/>
          <w14:textFill>
            <w14:solidFill>
              <w14:schemeClr w14:val="tx1"/>
            </w14:solidFill>
          </w14:textFill>
        </w:rPr>
      </w:pPr>
      <w:bookmarkStart w:id="17" w:name="_Toc342565889"/>
      <w:bookmarkStart w:id="18" w:name="_Toc342056397"/>
      <w:r>
        <w:rPr>
          <w:rFonts w:hint="eastAsia"/>
          <w:color w:val="000000" w:themeColor="text1"/>
          <w14:textFill>
            <w14:solidFill>
              <w14:schemeClr w14:val="tx1"/>
            </w14:solidFill>
          </w14:textFill>
        </w:rPr>
        <w:t>公司主要会计数据和财务指标</w:t>
      </w:r>
    </w:p>
    <w:bookmarkEnd w:id="17"/>
    <w:bookmarkEnd w:id="18"/>
    <w:p w14:paraId="1E355F68">
      <w:pPr>
        <w:pStyle w:val="4"/>
        <w:numPr>
          <w:ilvl w:val="1"/>
          <w:numId w:val="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主要会计数据</w:t>
      </w:r>
    </w:p>
    <w:p w14:paraId="19CC644C">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报告期末公司前三年主要会计数据和财务指标"/>
          <w:tag w:val="_GBC_c7cd0dd826b247dbba8cc8b1a811aefb"/>
          <w:id w:val="1474636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报告期末公司前三年主要会计数据和财务指标"/>
          <w:tag w:val="_GBC_2df6a5d441324c13bcf6c4c54ac41eb0"/>
          <w:id w:val="1474529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77"/>
        <w:gridCol w:w="1821"/>
        <w:gridCol w:w="1792"/>
        <w:gridCol w:w="1759"/>
      </w:tblGrid>
      <w:tr w14:paraId="57E2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sdt>
          <w:sdtPr>
            <w:tag w:val="_PLD_e63d02b963714237aa4678b1878c888d"/>
            <w:id w:val="-1587214299"/>
          </w:sdtPr>
          <w:sdtContent>
            <w:tc>
              <w:tcPr>
                <w:tcW w:w="2031" w:type="pct"/>
                <w:vAlign w:val="center"/>
              </w:tcPr>
              <w:p w14:paraId="23A2D4D4">
                <w:pPr>
                  <w:widowControl w:val="0"/>
                  <w:kinsoku w:val="0"/>
                  <w:overflowPunct w:val="0"/>
                  <w:autoSpaceDE w:val="0"/>
                  <w:autoSpaceDN w:val="0"/>
                  <w:adjustRightInd w:val="0"/>
                  <w:snapToGrid w:val="0"/>
                  <w:jc w:val="center"/>
                  <w:rPr>
                    <w:color w:val="000000" w:themeColor="text1"/>
                    <w14:textFill>
                      <w14:solidFill>
                        <w14:schemeClr w14:val="tx1"/>
                      </w14:solidFill>
                    </w14:textFill>
                  </w:rPr>
                </w:pPr>
                <w:bookmarkStart w:id="19" w:name="_Hlk72769913"/>
                <w:r>
                  <w:rPr>
                    <w:rFonts w:hint="eastAsia"/>
                    <w:color w:val="000000" w:themeColor="text1"/>
                    <w14:textFill>
                      <w14:solidFill>
                        <w14:schemeClr w14:val="tx1"/>
                      </w14:solidFill>
                    </w14:textFill>
                  </w:rPr>
                  <w:t>主要会计数据</w:t>
                </w:r>
              </w:p>
            </w:tc>
          </w:sdtContent>
        </w:sdt>
        <w:sdt>
          <w:sdtPr>
            <w:tag w:val="_PLD_913ae157f7e74eee947ea98d96be3599"/>
            <w:id w:val="-927426803"/>
          </w:sdtPr>
          <w:sdtContent>
            <w:tc>
              <w:tcPr>
                <w:tcW w:w="1006" w:type="pct"/>
                <w:vAlign w:val="center"/>
              </w:tcPr>
              <w:p w14:paraId="29F3C3FC">
                <w:pPr>
                  <w:widowControl w:val="0"/>
                  <w:kinsoku w:val="0"/>
                  <w:overflowPunct w:val="0"/>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w:t>
                </w:r>
                <w:r>
                  <w:rPr>
                    <w:color w:val="000000" w:themeColor="text1"/>
                    <w14:textFill>
                      <w14:solidFill>
                        <w14:schemeClr w14:val="tx1"/>
                      </w14:solidFill>
                    </w14:textFill>
                  </w:rPr>
                  <w:t>报告期</w:t>
                </w:r>
              </w:p>
              <w:p w14:paraId="1878D2F6">
                <w:pPr>
                  <w:widowControl w:val="0"/>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（1－6月）</w:t>
                </w:r>
              </w:p>
            </w:tc>
          </w:sdtContent>
        </w:sdt>
        <w:sdt>
          <w:sdtPr>
            <w:tag w:val="_PLD_0f32665f64034720b1ecd674058f4d8b"/>
            <w:id w:val="606473388"/>
          </w:sdtPr>
          <w:sdtContent>
            <w:tc>
              <w:tcPr>
                <w:tcW w:w="990" w:type="pct"/>
                <w:vAlign w:val="center"/>
              </w:tcPr>
              <w:p w14:paraId="4983C834">
                <w:pPr>
                  <w:widowControl w:val="0"/>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上年同期</w:t>
                </w:r>
              </w:p>
            </w:tc>
          </w:sdtContent>
        </w:sdt>
        <w:sdt>
          <w:sdtPr>
            <w:tag w:val="_PLD_e634aa67fe8c44038b152224d8a245d6"/>
            <w:id w:val="2039775224"/>
          </w:sdtPr>
          <w:sdtContent>
            <w:tc>
              <w:tcPr>
                <w:tcW w:w="971" w:type="pct"/>
                <w:vAlign w:val="center"/>
              </w:tcPr>
              <w:p w14:paraId="3ABB939C">
                <w:pPr>
                  <w:widowControl w:val="0"/>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本报告期比上年同期增减(%)</w:t>
                </w:r>
              </w:p>
            </w:tc>
          </w:sdtContent>
        </w:sdt>
      </w:tr>
      <w:tr w14:paraId="5C8A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601d7d8438f74f1c9abca1ce60a4f163"/>
            <w:id w:val="-1315177053"/>
          </w:sdtPr>
          <w:sdtContent>
            <w:tc>
              <w:tcPr>
                <w:tcW w:w="2031" w:type="pct"/>
              </w:tcPr>
              <w:p w14:paraId="2E3899C7">
                <w:pPr>
                  <w:widowControl w:val="0"/>
                  <w:kinsoku w:val="0"/>
                  <w:overflowPunct w:val="0"/>
                  <w:autoSpaceDE w:val="0"/>
                  <w:autoSpaceDN w:val="0"/>
                  <w:adjustRightInd w:val="0"/>
                  <w:snapToGrid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营业收入</w:t>
                </w:r>
              </w:p>
            </w:tc>
          </w:sdtContent>
        </w:sdt>
        <w:tc>
          <w:tcPr>
            <w:tcW w:w="1006" w:type="pct"/>
            <w:vAlign w:val="center"/>
          </w:tcPr>
          <w:p w14:paraId="7C59D20A">
            <w:pPr>
              <w:widowControl w:val="0"/>
              <w:kinsoku w:val="0"/>
              <w:overflowPunct w:val="0"/>
              <w:autoSpaceDE w:val="0"/>
              <w:autoSpaceDN w:val="0"/>
              <w:adjustRightInd w:val="0"/>
              <w:snapToGrid w:val="0"/>
              <w:jc w:val="right"/>
            </w:pPr>
            <w:r>
              <w:rPr>
                <w:rFonts w:hint="eastAsia"/>
              </w:rPr>
              <w:t>3,207,731,942.85</w:t>
            </w:r>
          </w:p>
        </w:tc>
        <w:tc>
          <w:tcPr>
            <w:tcW w:w="990" w:type="pct"/>
            <w:vAlign w:val="center"/>
          </w:tcPr>
          <w:p w14:paraId="33D9EDA2">
            <w:pPr>
              <w:widowControl w:val="0"/>
              <w:kinsoku w:val="0"/>
              <w:overflowPunct w:val="0"/>
              <w:autoSpaceDE w:val="0"/>
              <w:autoSpaceDN w:val="0"/>
              <w:adjustRightInd w:val="0"/>
              <w:snapToGrid w:val="0"/>
              <w:jc w:val="right"/>
              <w:rPr>
                <w:bCs w:val="0"/>
              </w:rPr>
            </w:pPr>
            <w:r>
              <w:rPr>
                <w:rFonts w:hint="eastAsia"/>
              </w:rPr>
              <w:t>5,204,229,384.76</w:t>
            </w:r>
          </w:p>
        </w:tc>
        <w:tc>
          <w:tcPr>
            <w:tcW w:w="971" w:type="pct"/>
            <w:vAlign w:val="center"/>
          </w:tcPr>
          <w:p w14:paraId="3163A4CF">
            <w:pPr>
              <w:widowControl w:val="0"/>
              <w:kinsoku w:val="0"/>
              <w:overflowPunct w:val="0"/>
              <w:autoSpaceDE w:val="0"/>
              <w:autoSpaceDN w:val="0"/>
              <w:adjustRightInd w:val="0"/>
              <w:snapToGrid w:val="0"/>
              <w:jc w:val="right"/>
            </w:pPr>
            <w:r>
              <w:rPr>
                <w:rFonts w:hint="eastAsia"/>
              </w:rPr>
              <w:t>-38.36</w:t>
            </w:r>
          </w:p>
        </w:tc>
      </w:tr>
      <w:tr w14:paraId="5A5A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31" w:type="pct"/>
          </w:tcPr>
          <w:sdt>
            <w:sdtPr>
              <w:tag w:val="_PLD_481bf739c56b45a8a7307a26a5c45b0a"/>
              <w:id w:val="-791738400"/>
            </w:sdtPr>
            <w:sdtContent>
              <w:p w14:paraId="4E91B3F4">
                <w:pPr>
                  <w:widowControl w:val="0"/>
                  <w:kinsoku w:val="0"/>
                  <w:overflowPunct w:val="0"/>
                  <w:autoSpaceDE w:val="0"/>
                  <w:autoSpaceDN w:val="0"/>
                  <w:adjustRightInd w:val="0"/>
                  <w:snapToGrid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利润总额</w:t>
                </w:r>
              </w:p>
            </w:sdtContent>
          </w:sdt>
        </w:tc>
        <w:tc>
          <w:tcPr>
            <w:tcW w:w="1006" w:type="pct"/>
            <w:vAlign w:val="center"/>
          </w:tcPr>
          <w:p w14:paraId="49BE49C5">
            <w:pPr>
              <w:widowControl w:val="0"/>
              <w:kinsoku w:val="0"/>
              <w:overflowPunct w:val="0"/>
              <w:autoSpaceDE w:val="0"/>
              <w:autoSpaceDN w:val="0"/>
              <w:adjustRightInd w:val="0"/>
              <w:snapToGrid w:val="0"/>
              <w:jc w:val="right"/>
            </w:pPr>
            <w:r>
              <w:t>-55,817,783.71</w:t>
            </w:r>
          </w:p>
        </w:tc>
        <w:tc>
          <w:tcPr>
            <w:tcW w:w="990" w:type="pct"/>
            <w:vAlign w:val="center"/>
          </w:tcPr>
          <w:p w14:paraId="0070F82D">
            <w:pPr>
              <w:widowControl w:val="0"/>
              <w:kinsoku w:val="0"/>
              <w:overflowPunct w:val="0"/>
              <w:autoSpaceDE w:val="0"/>
              <w:autoSpaceDN w:val="0"/>
              <w:adjustRightInd w:val="0"/>
              <w:snapToGrid w:val="0"/>
              <w:jc w:val="right"/>
              <w:rPr>
                <w:bCs w:val="0"/>
              </w:rPr>
            </w:pPr>
            <w:r>
              <w:t>-7,937,984.70</w:t>
            </w:r>
          </w:p>
        </w:tc>
        <w:tc>
          <w:tcPr>
            <w:tcW w:w="971" w:type="pct"/>
            <w:vAlign w:val="center"/>
          </w:tcPr>
          <w:p w14:paraId="05B42488">
            <w:pPr>
              <w:widowControl w:val="0"/>
              <w:kinsoku w:val="0"/>
              <w:overflowPunct w:val="0"/>
              <w:autoSpaceDE w:val="0"/>
              <w:autoSpaceDN w:val="0"/>
              <w:adjustRightInd w:val="0"/>
              <w:snapToGrid w:val="0"/>
              <w:jc w:val="right"/>
            </w:pPr>
            <w:r>
              <w:t>不适用</w:t>
            </w:r>
          </w:p>
        </w:tc>
      </w:tr>
      <w:tr w14:paraId="6C27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1825ec6c60fc481f877063c3cecfffca"/>
            <w:id w:val="1640610185"/>
          </w:sdtPr>
          <w:sdtContent>
            <w:tc>
              <w:tcPr>
                <w:tcW w:w="2031" w:type="pct"/>
              </w:tcPr>
              <w:p w14:paraId="071C2DF6">
                <w:pPr>
                  <w:widowControl w:val="0"/>
                  <w:kinsoku w:val="0"/>
                  <w:overflowPunct w:val="0"/>
                  <w:autoSpaceDE w:val="0"/>
                  <w:autoSpaceDN w:val="0"/>
                  <w:adjustRightInd w:val="0"/>
                  <w:snapToGrid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归属于上市公司股东的净利润</w:t>
                </w:r>
              </w:p>
            </w:tc>
          </w:sdtContent>
        </w:sdt>
        <w:tc>
          <w:tcPr>
            <w:tcW w:w="1006" w:type="pct"/>
            <w:vAlign w:val="center"/>
          </w:tcPr>
          <w:p w14:paraId="0B8686DC">
            <w:pPr>
              <w:widowControl w:val="0"/>
              <w:kinsoku w:val="0"/>
              <w:overflowPunct w:val="0"/>
              <w:autoSpaceDE w:val="0"/>
              <w:autoSpaceDN w:val="0"/>
              <w:adjustRightInd w:val="0"/>
              <w:snapToGrid w:val="0"/>
              <w:jc w:val="right"/>
            </w:pPr>
            <w:r>
              <w:rPr>
                <w:rFonts w:hint="eastAsia"/>
              </w:rPr>
              <w:t>-79,031,846.24</w:t>
            </w:r>
          </w:p>
        </w:tc>
        <w:tc>
          <w:tcPr>
            <w:tcW w:w="990" w:type="pct"/>
            <w:vAlign w:val="center"/>
          </w:tcPr>
          <w:p w14:paraId="4E3E0FCC">
            <w:pPr>
              <w:widowControl w:val="0"/>
              <w:kinsoku w:val="0"/>
              <w:overflowPunct w:val="0"/>
              <w:autoSpaceDE w:val="0"/>
              <w:autoSpaceDN w:val="0"/>
              <w:adjustRightInd w:val="0"/>
              <w:snapToGrid w:val="0"/>
              <w:jc w:val="right"/>
              <w:rPr>
                <w:bCs w:val="0"/>
              </w:rPr>
            </w:pPr>
            <w:r>
              <w:rPr>
                <w:rFonts w:hint="eastAsia"/>
              </w:rPr>
              <w:t>-18,828,390.85</w:t>
            </w:r>
          </w:p>
        </w:tc>
        <w:tc>
          <w:tcPr>
            <w:tcW w:w="971" w:type="pct"/>
            <w:vAlign w:val="center"/>
          </w:tcPr>
          <w:p w14:paraId="435FCFC6">
            <w:pPr>
              <w:widowControl w:val="0"/>
              <w:kinsoku w:val="0"/>
              <w:overflowPunct w:val="0"/>
              <w:autoSpaceDE w:val="0"/>
              <w:autoSpaceDN w:val="0"/>
              <w:adjustRightInd w:val="0"/>
              <w:snapToGrid w:val="0"/>
              <w:jc w:val="right"/>
            </w:pPr>
            <w:r>
              <w:rPr>
                <w:rFonts w:hint="eastAsia"/>
              </w:rPr>
              <w:t>不适用</w:t>
            </w:r>
          </w:p>
        </w:tc>
      </w:tr>
      <w:tr w14:paraId="6844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f59cc08add024388b79135816e85f0a1"/>
            <w:id w:val="440570432"/>
          </w:sdtPr>
          <w:sdtContent>
            <w:tc>
              <w:tcPr>
                <w:tcW w:w="2031" w:type="pct"/>
              </w:tcPr>
              <w:p w14:paraId="05E6E504">
                <w:pPr>
                  <w:widowControl w:val="0"/>
                  <w:kinsoku w:val="0"/>
                  <w:overflowPunct w:val="0"/>
                  <w:autoSpaceDE w:val="0"/>
                  <w:autoSpaceDN w:val="0"/>
                  <w:adjustRightInd w:val="0"/>
                  <w:snapToGrid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归属于上市公司股东的扣除非经常性损益的净利润</w:t>
                </w:r>
              </w:p>
            </w:tc>
          </w:sdtContent>
        </w:sdt>
        <w:tc>
          <w:tcPr>
            <w:tcW w:w="1006" w:type="pct"/>
            <w:vAlign w:val="center"/>
          </w:tcPr>
          <w:p w14:paraId="406EA36F">
            <w:pPr>
              <w:widowControl w:val="0"/>
              <w:kinsoku w:val="0"/>
              <w:overflowPunct w:val="0"/>
              <w:autoSpaceDE w:val="0"/>
              <w:autoSpaceDN w:val="0"/>
              <w:adjustRightInd w:val="0"/>
              <w:snapToGrid w:val="0"/>
              <w:jc w:val="right"/>
            </w:pPr>
            <w:r>
              <w:rPr>
                <w:rFonts w:hint="eastAsia"/>
              </w:rPr>
              <w:t>-145,785,600.38</w:t>
            </w:r>
          </w:p>
        </w:tc>
        <w:tc>
          <w:tcPr>
            <w:tcW w:w="990" w:type="pct"/>
            <w:vAlign w:val="center"/>
          </w:tcPr>
          <w:p w14:paraId="343503D8">
            <w:pPr>
              <w:widowControl w:val="0"/>
              <w:kinsoku w:val="0"/>
              <w:overflowPunct w:val="0"/>
              <w:autoSpaceDE w:val="0"/>
              <w:autoSpaceDN w:val="0"/>
              <w:adjustRightInd w:val="0"/>
              <w:snapToGrid w:val="0"/>
              <w:jc w:val="right"/>
              <w:rPr>
                <w:bCs w:val="0"/>
              </w:rPr>
            </w:pPr>
            <w:r>
              <w:rPr>
                <w:rFonts w:hint="eastAsia"/>
              </w:rPr>
              <w:t>-8,715,761.51</w:t>
            </w:r>
          </w:p>
        </w:tc>
        <w:tc>
          <w:tcPr>
            <w:tcW w:w="971" w:type="pct"/>
            <w:vAlign w:val="center"/>
          </w:tcPr>
          <w:p w14:paraId="0A364919">
            <w:pPr>
              <w:widowControl w:val="0"/>
              <w:kinsoku w:val="0"/>
              <w:overflowPunct w:val="0"/>
              <w:autoSpaceDE w:val="0"/>
              <w:autoSpaceDN w:val="0"/>
              <w:adjustRightInd w:val="0"/>
              <w:snapToGrid w:val="0"/>
              <w:jc w:val="right"/>
            </w:pPr>
            <w:r>
              <w:rPr>
                <w:rFonts w:hint="eastAsia"/>
              </w:rPr>
              <w:t>不适用</w:t>
            </w:r>
          </w:p>
        </w:tc>
      </w:tr>
      <w:tr w14:paraId="2BD3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895da6708d8042d69e93b2530ead8964"/>
            <w:id w:val="-46684196"/>
          </w:sdtPr>
          <w:sdtContent>
            <w:tc>
              <w:tcPr>
                <w:tcW w:w="2031" w:type="pct"/>
              </w:tcPr>
              <w:p w14:paraId="51046A4D">
                <w:pPr>
                  <w:widowControl w:val="0"/>
                  <w:kinsoku w:val="0"/>
                  <w:overflowPunct w:val="0"/>
                  <w:autoSpaceDE w:val="0"/>
                  <w:autoSpaceDN w:val="0"/>
                  <w:adjustRightInd w:val="0"/>
                  <w:snapToGrid w:val="0"/>
                  <w:jc w:val="both"/>
                  <w:rPr>
                    <w:color w:val="000000" w:themeColor="text1"/>
                    <w:highlight w:val="magenta"/>
                    <w14:textFill>
                      <w14:solidFill>
                        <w14:schemeClr w14:val="tx1"/>
                      </w14:solidFill>
                    </w14:textFill>
                  </w:rPr>
                </w:pPr>
                <w:r>
                  <w:rPr>
                    <w:rFonts w:hint="eastAsia"/>
                    <w:color w:val="000000" w:themeColor="text1"/>
                    <w14:textFill>
                      <w14:solidFill>
                        <w14:schemeClr w14:val="tx1"/>
                      </w14:solidFill>
                    </w14:textFill>
                  </w:rPr>
                  <w:t>经营活动产生的现金流量净额</w:t>
                </w:r>
              </w:p>
            </w:tc>
          </w:sdtContent>
        </w:sdt>
        <w:tc>
          <w:tcPr>
            <w:tcW w:w="1006" w:type="pct"/>
            <w:vAlign w:val="center"/>
          </w:tcPr>
          <w:p w14:paraId="434FF09F">
            <w:pPr>
              <w:widowControl w:val="0"/>
              <w:kinsoku w:val="0"/>
              <w:overflowPunct w:val="0"/>
              <w:autoSpaceDE w:val="0"/>
              <w:autoSpaceDN w:val="0"/>
              <w:adjustRightInd w:val="0"/>
              <w:snapToGrid w:val="0"/>
              <w:jc w:val="right"/>
            </w:pPr>
            <w:r>
              <w:rPr>
                <w:rFonts w:hint="eastAsia"/>
              </w:rPr>
              <w:t>-896,712,065.16</w:t>
            </w:r>
          </w:p>
        </w:tc>
        <w:tc>
          <w:tcPr>
            <w:tcW w:w="990" w:type="pct"/>
            <w:vAlign w:val="center"/>
          </w:tcPr>
          <w:p w14:paraId="39E5596C">
            <w:pPr>
              <w:widowControl w:val="0"/>
              <w:kinsoku w:val="0"/>
              <w:overflowPunct w:val="0"/>
              <w:autoSpaceDE w:val="0"/>
              <w:autoSpaceDN w:val="0"/>
              <w:adjustRightInd w:val="0"/>
              <w:snapToGrid w:val="0"/>
              <w:jc w:val="right"/>
            </w:pPr>
            <w:r>
              <w:rPr>
                <w:rFonts w:hint="eastAsia"/>
              </w:rPr>
              <w:t>-1,618,356,756.77</w:t>
            </w:r>
          </w:p>
        </w:tc>
        <w:tc>
          <w:tcPr>
            <w:tcW w:w="971" w:type="pct"/>
            <w:vAlign w:val="center"/>
          </w:tcPr>
          <w:p w14:paraId="7BC1A0A2">
            <w:pPr>
              <w:widowControl w:val="0"/>
              <w:kinsoku w:val="0"/>
              <w:overflowPunct w:val="0"/>
              <w:autoSpaceDE w:val="0"/>
              <w:autoSpaceDN w:val="0"/>
              <w:adjustRightInd w:val="0"/>
              <w:snapToGrid w:val="0"/>
              <w:jc w:val="right"/>
            </w:pPr>
            <w:r>
              <w:rPr>
                <w:rFonts w:hint="eastAsia"/>
              </w:rPr>
              <w:t>不适用</w:t>
            </w:r>
          </w:p>
        </w:tc>
      </w:tr>
      <w:sdt>
        <w:sdtPr>
          <w:alias w:val="主要时期数会计数据"/>
          <w:tag w:val="_GBC_4b6455b0069141d59ef27889062d8c76"/>
          <w:id w:val="419996112"/>
          <w:placeholder>
            <w:docPart w:val="{ed865f5d-8d72-4c4d-bd97-136fffbf140a}"/>
          </w:placeholder>
        </w:sdtPr>
        <w:sdtContent>
          <w:sdt>
            <w:sdtPr>
              <w:alias w:val="主要时期数会计数据"/>
              <w:tag w:val="_GBC_4b6455b0069141d59ef27889062d8c76"/>
              <w:id w:val="1770498400"/>
              <w:placeholder>
                <w:docPart w:val="{ed865f5d-8d72-4c4d-bd97-136fffbf140a}"/>
              </w:placeholder>
            </w:sdtPr>
            <w:sdtContent>
              <w:tr w14:paraId="7C37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031" w:type="pct"/>
                    <w:vAlign w:val="center"/>
                  </w:tcPr>
                  <w:p w14:paraId="34DA754B">
                    <w:pPr>
                      <w:widowControl w:val="0"/>
                      <w:kinsoku w:val="0"/>
                      <w:overflowPunct w:val="0"/>
                      <w:autoSpaceDE w:val="0"/>
                      <w:autoSpaceDN w:val="0"/>
                      <w:adjustRightInd w:val="0"/>
                      <w:snapToGrid w:val="0"/>
                      <w:jc w:val="center"/>
                      <w:rPr>
                        <w:color w:val="000000" w:themeColor="text1"/>
                        <w14:textFill>
                          <w14:solidFill>
                            <w14:schemeClr w14:val="tx1"/>
                          </w14:solidFill>
                        </w14:textFill>
                      </w:rPr>
                    </w:pPr>
                  </w:p>
                </w:tc>
                <w:sdt>
                  <w:sdtPr>
                    <w:tag w:val="_PLD_b75e9aa554cc48539ab9de572d244f45"/>
                    <w:id w:val="1383531750"/>
                  </w:sdtPr>
                  <w:sdtContent>
                    <w:tc>
                      <w:tcPr>
                        <w:tcW w:w="1006" w:type="pct"/>
                        <w:vAlign w:val="center"/>
                      </w:tcPr>
                      <w:p w14:paraId="4D32BC48">
                        <w:pPr>
                          <w:widowControl w:val="0"/>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本报告期末</w:t>
                        </w:r>
                      </w:p>
                    </w:tc>
                  </w:sdtContent>
                </w:sdt>
                <w:sdt>
                  <w:sdtPr>
                    <w:tag w:val="_PLD_7425b2bc6a39452296814978a781ba72"/>
                    <w:id w:val="747926670"/>
                  </w:sdtPr>
                  <w:sdtContent>
                    <w:tc>
                      <w:tcPr>
                        <w:tcW w:w="990" w:type="pct"/>
                        <w:vAlign w:val="center"/>
                      </w:tcPr>
                      <w:p w14:paraId="308B200A">
                        <w:pPr>
                          <w:widowControl w:val="0"/>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上年度末</w:t>
                        </w:r>
                      </w:p>
                    </w:tc>
                  </w:sdtContent>
                </w:sdt>
                <w:sdt>
                  <w:sdtPr>
                    <w:tag w:val="_PLD_7a1ba9a6d9b54e51bd320f47b6233184"/>
                    <w:id w:val="-995406892"/>
                  </w:sdtPr>
                  <w:sdtContent>
                    <w:tc>
                      <w:tcPr>
                        <w:tcW w:w="971" w:type="pct"/>
                        <w:vAlign w:val="center"/>
                      </w:tcPr>
                      <w:p w14:paraId="0A9AB9D1">
                        <w:pPr>
                          <w:widowControl w:val="0"/>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本报告期末比上年度末增减(%)</w:t>
                        </w:r>
                      </w:p>
                    </w:tc>
                  </w:sdtContent>
                </w:sdt>
              </w:tr>
            </w:sdtContent>
          </w:sdt>
        </w:sdtContent>
      </w:sdt>
      <w:tr w14:paraId="627D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c12ab31af03f46e4bd02eb659877c070"/>
            <w:id w:val="484056766"/>
          </w:sdtPr>
          <w:sdtContent>
            <w:tc>
              <w:tcPr>
                <w:tcW w:w="2031" w:type="pct"/>
              </w:tcPr>
              <w:p w14:paraId="60B02766">
                <w:pPr>
                  <w:widowControl w:val="0"/>
                  <w:kinsoku w:val="0"/>
                  <w:overflowPunct w:val="0"/>
                  <w:autoSpaceDE w:val="0"/>
                  <w:autoSpaceDN w:val="0"/>
                  <w:adjustRightInd w:val="0"/>
                  <w:snapToGrid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归属于上市公司股东的净资产</w:t>
                </w:r>
              </w:p>
            </w:tc>
          </w:sdtContent>
        </w:sdt>
        <w:tc>
          <w:tcPr>
            <w:tcW w:w="1006" w:type="pct"/>
            <w:vAlign w:val="center"/>
          </w:tcPr>
          <w:p w14:paraId="70FEE23B">
            <w:pPr>
              <w:widowControl w:val="0"/>
              <w:kinsoku w:val="0"/>
              <w:overflowPunct w:val="0"/>
              <w:autoSpaceDE w:val="0"/>
              <w:autoSpaceDN w:val="0"/>
              <w:adjustRightInd w:val="0"/>
              <w:snapToGrid w:val="0"/>
              <w:jc w:val="right"/>
            </w:pPr>
            <w:r>
              <w:rPr>
                <w:rFonts w:hint="eastAsia"/>
              </w:rPr>
              <w:t>12,494,090,072.05</w:t>
            </w:r>
          </w:p>
        </w:tc>
        <w:tc>
          <w:tcPr>
            <w:tcW w:w="990" w:type="pct"/>
            <w:vAlign w:val="center"/>
          </w:tcPr>
          <w:p w14:paraId="47A87C28">
            <w:pPr>
              <w:widowControl w:val="0"/>
              <w:kinsoku w:val="0"/>
              <w:overflowPunct w:val="0"/>
              <w:autoSpaceDE w:val="0"/>
              <w:autoSpaceDN w:val="0"/>
              <w:adjustRightInd w:val="0"/>
              <w:snapToGrid w:val="0"/>
              <w:jc w:val="right"/>
              <w:rPr>
                <w:bCs w:val="0"/>
              </w:rPr>
            </w:pPr>
            <w:r>
              <w:rPr>
                <w:rFonts w:hint="eastAsia"/>
              </w:rPr>
              <w:t>12,613,688,608.06</w:t>
            </w:r>
          </w:p>
        </w:tc>
        <w:tc>
          <w:tcPr>
            <w:tcW w:w="971" w:type="pct"/>
            <w:vAlign w:val="center"/>
          </w:tcPr>
          <w:p w14:paraId="3D1B388C">
            <w:pPr>
              <w:widowControl w:val="0"/>
              <w:kinsoku w:val="0"/>
              <w:overflowPunct w:val="0"/>
              <w:autoSpaceDE w:val="0"/>
              <w:autoSpaceDN w:val="0"/>
              <w:adjustRightInd w:val="0"/>
              <w:snapToGrid w:val="0"/>
              <w:jc w:val="right"/>
            </w:pPr>
            <w:r>
              <w:rPr>
                <w:rFonts w:hint="eastAsia"/>
              </w:rPr>
              <w:t>-0.95</w:t>
            </w:r>
          </w:p>
        </w:tc>
      </w:tr>
      <w:tr w14:paraId="79133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c9e79cad72304cada434a9145656a31f"/>
            <w:id w:val="-1570799666"/>
          </w:sdtPr>
          <w:sdtContent>
            <w:tc>
              <w:tcPr>
                <w:tcW w:w="2031" w:type="pct"/>
              </w:tcPr>
              <w:p w14:paraId="4C68BAF3">
                <w:pPr>
                  <w:widowControl w:val="0"/>
                  <w:kinsoku w:val="0"/>
                  <w:overflowPunct w:val="0"/>
                  <w:autoSpaceDE w:val="0"/>
                  <w:autoSpaceDN w:val="0"/>
                  <w:adjustRightInd w:val="0"/>
                  <w:snapToGrid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总资产</w:t>
                </w:r>
              </w:p>
            </w:tc>
          </w:sdtContent>
        </w:sdt>
        <w:tc>
          <w:tcPr>
            <w:tcW w:w="1006" w:type="pct"/>
            <w:vAlign w:val="center"/>
          </w:tcPr>
          <w:p w14:paraId="50873919">
            <w:pPr>
              <w:widowControl w:val="0"/>
              <w:kinsoku w:val="0"/>
              <w:overflowPunct w:val="0"/>
              <w:autoSpaceDE w:val="0"/>
              <w:autoSpaceDN w:val="0"/>
              <w:adjustRightInd w:val="0"/>
              <w:snapToGrid w:val="0"/>
              <w:jc w:val="right"/>
            </w:pPr>
            <w:r>
              <w:rPr>
                <w:rFonts w:hint="eastAsia"/>
              </w:rPr>
              <w:t>21,663,866,816.93</w:t>
            </w:r>
          </w:p>
        </w:tc>
        <w:tc>
          <w:tcPr>
            <w:tcW w:w="990" w:type="pct"/>
            <w:vAlign w:val="center"/>
          </w:tcPr>
          <w:p w14:paraId="3913A286">
            <w:pPr>
              <w:widowControl w:val="0"/>
              <w:kinsoku w:val="0"/>
              <w:overflowPunct w:val="0"/>
              <w:autoSpaceDE w:val="0"/>
              <w:autoSpaceDN w:val="0"/>
              <w:adjustRightInd w:val="0"/>
              <w:snapToGrid w:val="0"/>
              <w:jc w:val="right"/>
              <w:rPr>
                <w:bCs w:val="0"/>
              </w:rPr>
            </w:pPr>
            <w:r>
              <w:rPr>
                <w:rFonts w:hint="eastAsia"/>
              </w:rPr>
              <w:t>21,172,865,094.07</w:t>
            </w:r>
          </w:p>
        </w:tc>
        <w:tc>
          <w:tcPr>
            <w:tcW w:w="971" w:type="pct"/>
            <w:vAlign w:val="center"/>
          </w:tcPr>
          <w:p w14:paraId="22FB0B30">
            <w:pPr>
              <w:widowControl w:val="0"/>
              <w:kinsoku w:val="0"/>
              <w:overflowPunct w:val="0"/>
              <w:autoSpaceDE w:val="0"/>
              <w:autoSpaceDN w:val="0"/>
              <w:adjustRightInd w:val="0"/>
              <w:snapToGrid w:val="0"/>
              <w:jc w:val="right"/>
            </w:pPr>
            <w:r>
              <w:rPr>
                <w:rFonts w:hint="eastAsia"/>
              </w:rPr>
              <w:t>2.32</w:t>
            </w:r>
          </w:p>
        </w:tc>
      </w:tr>
    </w:tbl>
    <w:p w14:paraId="4311FE12">
      <w:pPr>
        <w:rPr>
          <w:color w:val="000000" w:themeColor="text1"/>
          <w14:textFill>
            <w14:solidFill>
              <w14:schemeClr w14:val="tx1"/>
            </w14:solidFill>
          </w14:textFill>
        </w:rPr>
      </w:pPr>
    </w:p>
    <w:bookmarkEnd w:id="19"/>
    <w:p w14:paraId="196881C3">
      <w:pPr>
        <w:pStyle w:val="4"/>
        <w:numPr>
          <w:ilvl w:val="1"/>
          <w:numId w:val="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主要财务指标</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2"/>
        <w:gridCol w:w="1701"/>
        <w:gridCol w:w="1843"/>
        <w:gridCol w:w="1852"/>
      </w:tblGrid>
      <w:tr w14:paraId="162E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12e929543994adfbc7a21fe743cd125"/>
            <w:id w:val="1789475943"/>
          </w:sdtPr>
          <w:sdtContent>
            <w:tc>
              <w:tcPr>
                <w:tcW w:w="3652" w:type="dxa"/>
                <w:vAlign w:val="center"/>
              </w:tcPr>
              <w:p w14:paraId="3CACB9F6">
                <w:pPr>
                  <w:widowControl w:val="0"/>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主要财务指标</w:t>
                </w:r>
              </w:p>
            </w:tc>
          </w:sdtContent>
        </w:sdt>
        <w:sdt>
          <w:sdtPr>
            <w:tag w:val="_PLD_d04f89449ff14c5fa39e871117b7e9e2"/>
            <w:id w:val="-1923095148"/>
          </w:sdtPr>
          <w:sdtContent>
            <w:tc>
              <w:tcPr>
                <w:tcW w:w="1701" w:type="dxa"/>
                <w:vAlign w:val="center"/>
              </w:tcPr>
              <w:p w14:paraId="388A5E4F">
                <w:pPr>
                  <w:widowControl w:val="0"/>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本报告期</w:t>
                </w:r>
              </w:p>
              <w:p w14:paraId="4E5F5669">
                <w:pPr>
                  <w:widowControl w:val="0"/>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（1－6月）</w:t>
                </w:r>
              </w:p>
            </w:tc>
          </w:sdtContent>
        </w:sdt>
        <w:sdt>
          <w:sdtPr>
            <w:tag w:val="_PLD_bdb91a2a58254a0e945eecc5aef91521"/>
            <w:id w:val="-818425961"/>
          </w:sdtPr>
          <w:sdtContent>
            <w:tc>
              <w:tcPr>
                <w:tcW w:w="1843" w:type="dxa"/>
                <w:vAlign w:val="center"/>
              </w:tcPr>
              <w:p w14:paraId="6906E820">
                <w:pPr>
                  <w:widowControl w:val="0"/>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上年同期</w:t>
                </w:r>
              </w:p>
            </w:tc>
          </w:sdtContent>
        </w:sdt>
        <w:sdt>
          <w:sdtPr>
            <w:tag w:val="_PLD_08306889e5b040aa83784b3f6db386f1"/>
            <w:id w:val="785625329"/>
          </w:sdtPr>
          <w:sdtContent>
            <w:tc>
              <w:tcPr>
                <w:tcW w:w="1852" w:type="dxa"/>
                <w:vAlign w:val="center"/>
              </w:tcPr>
              <w:p w14:paraId="322917C9">
                <w:pPr>
                  <w:widowControl w:val="0"/>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本报告期比上年同期增减(%)</w:t>
                </w:r>
              </w:p>
            </w:tc>
          </w:sdtContent>
        </w:sdt>
      </w:tr>
      <w:tr w14:paraId="7AEF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89671b43cd048bda3f42f7ff187200a"/>
            <w:id w:val="1658731204"/>
          </w:sdtPr>
          <w:sdtContent>
            <w:tc>
              <w:tcPr>
                <w:tcW w:w="3652" w:type="dxa"/>
              </w:tcPr>
              <w:p w14:paraId="35C2055D">
                <w:pPr>
                  <w:widowControl w:val="0"/>
                  <w:kinsoku w:val="0"/>
                  <w:overflowPunct w:val="0"/>
                  <w:autoSpaceDE w:val="0"/>
                  <w:autoSpaceDN w:val="0"/>
                  <w:adjustRightInd w:val="0"/>
                  <w:snapToGrid w:val="0"/>
                  <w:jc w:val="both"/>
                  <w:rPr>
                    <w:color w:val="000000" w:themeColor="text1"/>
                    <w14:textFill>
                      <w14:solidFill>
                        <w14:schemeClr w14:val="tx1"/>
                      </w14:solidFill>
                    </w14:textFill>
                  </w:rPr>
                </w:pPr>
                <w:r>
                  <w:rPr>
                    <w:color w:val="000000" w:themeColor="text1"/>
                    <w14:textFill>
                      <w14:solidFill>
                        <w14:schemeClr w14:val="tx1"/>
                      </w14:solidFill>
                    </w14:textFill>
                  </w:rPr>
                  <w:t>基本每股收益（元／股）</w:t>
                </w:r>
              </w:p>
            </w:tc>
          </w:sdtContent>
        </w:sdt>
        <w:tc>
          <w:tcPr>
            <w:tcW w:w="1701" w:type="dxa"/>
            <w:vAlign w:val="center"/>
          </w:tcPr>
          <w:p w14:paraId="53106707">
            <w:pPr>
              <w:widowControl w:val="0"/>
              <w:kinsoku w:val="0"/>
              <w:overflowPunct w:val="0"/>
              <w:autoSpaceDE w:val="0"/>
              <w:autoSpaceDN w:val="0"/>
              <w:adjustRightInd w:val="0"/>
              <w:snapToGrid w:val="0"/>
              <w:jc w:val="right"/>
            </w:pPr>
            <w:r>
              <w:rPr>
                <w:rFonts w:hint="eastAsia"/>
              </w:rPr>
              <w:t>-0.018</w:t>
            </w:r>
          </w:p>
        </w:tc>
        <w:tc>
          <w:tcPr>
            <w:tcW w:w="1843" w:type="dxa"/>
            <w:vAlign w:val="center"/>
          </w:tcPr>
          <w:p w14:paraId="5D5A9FED">
            <w:pPr>
              <w:widowControl w:val="0"/>
              <w:kinsoku w:val="0"/>
              <w:overflowPunct w:val="0"/>
              <w:autoSpaceDE w:val="0"/>
              <w:autoSpaceDN w:val="0"/>
              <w:adjustRightInd w:val="0"/>
              <w:snapToGrid w:val="0"/>
              <w:jc w:val="right"/>
            </w:pPr>
            <w:r>
              <w:rPr>
                <w:rFonts w:hint="eastAsia"/>
              </w:rPr>
              <w:t>-0.004</w:t>
            </w:r>
          </w:p>
        </w:tc>
        <w:tc>
          <w:tcPr>
            <w:tcW w:w="1852" w:type="dxa"/>
            <w:vAlign w:val="center"/>
          </w:tcPr>
          <w:p w14:paraId="63B554E7">
            <w:pPr>
              <w:widowControl w:val="0"/>
              <w:kinsoku w:val="0"/>
              <w:overflowPunct w:val="0"/>
              <w:autoSpaceDE w:val="0"/>
              <w:autoSpaceDN w:val="0"/>
              <w:adjustRightInd w:val="0"/>
              <w:snapToGrid w:val="0"/>
              <w:jc w:val="right"/>
            </w:pPr>
            <w:r>
              <w:rPr>
                <w:rFonts w:hint="eastAsia"/>
              </w:rPr>
              <w:t>不适用</w:t>
            </w:r>
          </w:p>
        </w:tc>
      </w:tr>
      <w:tr w14:paraId="0928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53c618810f6494198af9022cf5f9c92"/>
            <w:id w:val="-949551187"/>
          </w:sdtPr>
          <w:sdtContent>
            <w:tc>
              <w:tcPr>
                <w:tcW w:w="3652" w:type="dxa"/>
              </w:tcPr>
              <w:p w14:paraId="31721E66">
                <w:pPr>
                  <w:widowControl w:val="0"/>
                  <w:kinsoku w:val="0"/>
                  <w:overflowPunct w:val="0"/>
                  <w:autoSpaceDE w:val="0"/>
                  <w:autoSpaceDN w:val="0"/>
                  <w:adjustRightInd w:val="0"/>
                  <w:snapToGrid w:val="0"/>
                  <w:jc w:val="both"/>
                  <w:rPr>
                    <w:color w:val="000000" w:themeColor="text1"/>
                    <w14:textFill>
                      <w14:solidFill>
                        <w14:schemeClr w14:val="tx1"/>
                      </w14:solidFill>
                    </w14:textFill>
                  </w:rPr>
                </w:pPr>
                <w:r>
                  <w:rPr>
                    <w:color w:val="000000" w:themeColor="text1"/>
                    <w14:textFill>
                      <w14:solidFill>
                        <w14:schemeClr w14:val="tx1"/>
                      </w14:solidFill>
                    </w14:textFill>
                  </w:rPr>
                  <w:t>稀释每股收益（元／股）</w:t>
                </w:r>
              </w:p>
            </w:tc>
          </w:sdtContent>
        </w:sdt>
        <w:tc>
          <w:tcPr>
            <w:tcW w:w="1701" w:type="dxa"/>
            <w:vAlign w:val="center"/>
          </w:tcPr>
          <w:p w14:paraId="0115F49F">
            <w:pPr>
              <w:widowControl w:val="0"/>
              <w:kinsoku w:val="0"/>
              <w:overflowPunct w:val="0"/>
              <w:autoSpaceDE w:val="0"/>
              <w:autoSpaceDN w:val="0"/>
              <w:adjustRightInd w:val="0"/>
              <w:snapToGrid w:val="0"/>
              <w:jc w:val="right"/>
            </w:pPr>
            <w:r>
              <w:rPr>
                <w:rFonts w:hint="eastAsia"/>
              </w:rPr>
              <w:t>-0.018</w:t>
            </w:r>
          </w:p>
        </w:tc>
        <w:tc>
          <w:tcPr>
            <w:tcW w:w="1843" w:type="dxa"/>
            <w:vAlign w:val="center"/>
          </w:tcPr>
          <w:p w14:paraId="42ED5E24">
            <w:pPr>
              <w:widowControl w:val="0"/>
              <w:kinsoku w:val="0"/>
              <w:overflowPunct w:val="0"/>
              <w:autoSpaceDE w:val="0"/>
              <w:autoSpaceDN w:val="0"/>
              <w:adjustRightInd w:val="0"/>
              <w:snapToGrid w:val="0"/>
              <w:jc w:val="right"/>
            </w:pPr>
            <w:r>
              <w:rPr>
                <w:rFonts w:hint="eastAsia"/>
              </w:rPr>
              <w:t>-0.004</w:t>
            </w:r>
          </w:p>
        </w:tc>
        <w:tc>
          <w:tcPr>
            <w:tcW w:w="1852" w:type="dxa"/>
            <w:vAlign w:val="center"/>
          </w:tcPr>
          <w:p w14:paraId="483C58DB">
            <w:pPr>
              <w:widowControl w:val="0"/>
              <w:kinsoku w:val="0"/>
              <w:overflowPunct w:val="0"/>
              <w:autoSpaceDE w:val="0"/>
              <w:autoSpaceDN w:val="0"/>
              <w:adjustRightInd w:val="0"/>
              <w:snapToGrid w:val="0"/>
              <w:jc w:val="right"/>
            </w:pPr>
            <w:r>
              <w:rPr>
                <w:rFonts w:hint="eastAsia"/>
              </w:rPr>
              <w:t>不适用</w:t>
            </w:r>
          </w:p>
        </w:tc>
      </w:tr>
      <w:tr w14:paraId="0914D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995656a90ee4448a470f6a06fe39000"/>
            <w:id w:val="-143591273"/>
          </w:sdtPr>
          <w:sdtContent>
            <w:tc>
              <w:tcPr>
                <w:tcW w:w="3652" w:type="dxa"/>
              </w:tcPr>
              <w:p w14:paraId="3B2E839E">
                <w:pPr>
                  <w:widowControl w:val="0"/>
                  <w:kinsoku w:val="0"/>
                  <w:overflowPunct w:val="0"/>
                  <w:autoSpaceDE w:val="0"/>
                  <w:autoSpaceDN w:val="0"/>
                  <w:adjustRightInd w:val="0"/>
                  <w:snapToGrid w:val="0"/>
                  <w:jc w:val="both"/>
                  <w:rPr>
                    <w:color w:val="000000" w:themeColor="text1"/>
                    <w14:textFill>
                      <w14:solidFill>
                        <w14:schemeClr w14:val="tx1"/>
                      </w14:solidFill>
                    </w14:textFill>
                  </w:rPr>
                </w:pPr>
                <w:r>
                  <w:rPr>
                    <w:color w:val="000000" w:themeColor="text1"/>
                    <w14:textFill>
                      <w14:solidFill>
                        <w14:schemeClr w14:val="tx1"/>
                      </w14:solidFill>
                    </w14:textFill>
                  </w:rPr>
                  <w:t>扣除非经常性损益后的基本每股收益（元／股）</w:t>
                </w:r>
              </w:p>
            </w:tc>
          </w:sdtContent>
        </w:sdt>
        <w:tc>
          <w:tcPr>
            <w:tcW w:w="1701" w:type="dxa"/>
            <w:vAlign w:val="center"/>
          </w:tcPr>
          <w:p w14:paraId="04A20261">
            <w:pPr>
              <w:widowControl w:val="0"/>
              <w:kinsoku w:val="0"/>
              <w:overflowPunct w:val="0"/>
              <w:autoSpaceDE w:val="0"/>
              <w:autoSpaceDN w:val="0"/>
              <w:adjustRightInd w:val="0"/>
              <w:snapToGrid w:val="0"/>
              <w:jc w:val="right"/>
            </w:pPr>
            <w:r>
              <w:rPr>
                <w:rFonts w:hint="eastAsia"/>
              </w:rPr>
              <w:t>-0.033</w:t>
            </w:r>
          </w:p>
        </w:tc>
        <w:tc>
          <w:tcPr>
            <w:tcW w:w="1843" w:type="dxa"/>
            <w:vAlign w:val="center"/>
          </w:tcPr>
          <w:p w14:paraId="481D4FEF">
            <w:pPr>
              <w:widowControl w:val="0"/>
              <w:kinsoku w:val="0"/>
              <w:overflowPunct w:val="0"/>
              <w:autoSpaceDE w:val="0"/>
              <w:autoSpaceDN w:val="0"/>
              <w:adjustRightInd w:val="0"/>
              <w:snapToGrid w:val="0"/>
              <w:jc w:val="right"/>
            </w:pPr>
            <w:r>
              <w:rPr>
                <w:rFonts w:hint="eastAsia"/>
              </w:rPr>
              <w:t>-0.002</w:t>
            </w:r>
          </w:p>
        </w:tc>
        <w:tc>
          <w:tcPr>
            <w:tcW w:w="1852" w:type="dxa"/>
            <w:vAlign w:val="center"/>
          </w:tcPr>
          <w:p w14:paraId="60FDB49C">
            <w:pPr>
              <w:widowControl w:val="0"/>
              <w:kinsoku w:val="0"/>
              <w:overflowPunct w:val="0"/>
              <w:autoSpaceDE w:val="0"/>
              <w:autoSpaceDN w:val="0"/>
              <w:adjustRightInd w:val="0"/>
              <w:snapToGrid w:val="0"/>
              <w:jc w:val="right"/>
            </w:pPr>
            <w:r>
              <w:rPr>
                <w:rFonts w:hint="eastAsia"/>
              </w:rPr>
              <w:t>不适用</w:t>
            </w:r>
          </w:p>
        </w:tc>
      </w:tr>
      <w:tr w14:paraId="60EC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ae3fa8992794ff1bdf49e4e770ce96d"/>
            <w:id w:val="689417096"/>
          </w:sdtPr>
          <w:sdtContent>
            <w:tc>
              <w:tcPr>
                <w:tcW w:w="3652" w:type="dxa"/>
              </w:tcPr>
              <w:p w14:paraId="525FDDFA">
                <w:pPr>
                  <w:widowControl w:val="0"/>
                  <w:kinsoku w:val="0"/>
                  <w:overflowPunct w:val="0"/>
                  <w:autoSpaceDE w:val="0"/>
                  <w:autoSpaceDN w:val="0"/>
                  <w:adjustRightInd w:val="0"/>
                  <w:snapToGrid w:val="0"/>
                  <w:jc w:val="both"/>
                  <w:rPr>
                    <w:color w:val="000000" w:themeColor="text1"/>
                    <w14:textFill>
                      <w14:solidFill>
                        <w14:schemeClr w14:val="tx1"/>
                      </w14:solidFill>
                    </w14:textFill>
                  </w:rPr>
                </w:pPr>
                <w:r>
                  <w:rPr>
                    <w:color w:val="000000" w:themeColor="text1"/>
                    <w14:textFill>
                      <w14:solidFill>
                        <w14:schemeClr w14:val="tx1"/>
                      </w14:solidFill>
                    </w14:textFill>
                  </w:rPr>
                  <w:t>加权平均净资产收益率（%）</w:t>
                </w:r>
              </w:p>
            </w:tc>
          </w:sdtContent>
        </w:sdt>
        <w:tc>
          <w:tcPr>
            <w:tcW w:w="1701" w:type="dxa"/>
            <w:vAlign w:val="center"/>
          </w:tcPr>
          <w:p w14:paraId="5FAC8683">
            <w:pPr>
              <w:widowControl w:val="0"/>
              <w:kinsoku w:val="0"/>
              <w:overflowPunct w:val="0"/>
              <w:autoSpaceDE w:val="0"/>
              <w:autoSpaceDN w:val="0"/>
              <w:adjustRightInd w:val="0"/>
              <w:snapToGrid w:val="0"/>
              <w:jc w:val="right"/>
            </w:pPr>
            <w:r>
              <w:rPr>
                <w:rFonts w:hint="eastAsia"/>
              </w:rPr>
              <w:t>-0.63</w:t>
            </w:r>
          </w:p>
        </w:tc>
        <w:tc>
          <w:tcPr>
            <w:tcW w:w="1843" w:type="dxa"/>
            <w:vAlign w:val="center"/>
          </w:tcPr>
          <w:p w14:paraId="5B7F1B66">
            <w:pPr>
              <w:widowControl w:val="0"/>
              <w:kinsoku w:val="0"/>
              <w:overflowPunct w:val="0"/>
              <w:autoSpaceDE w:val="0"/>
              <w:autoSpaceDN w:val="0"/>
              <w:adjustRightInd w:val="0"/>
              <w:snapToGrid w:val="0"/>
              <w:jc w:val="right"/>
            </w:pPr>
            <w:r>
              <w:rPr>
                <w:rFonts w:hint="eastAsia"/>
              </w:rPr>
              <w:t>-0.11</w:t>
            </w:r>
          </w:p>
        </w:tc>
        <w:tc>
          <w:tcPr>
            <w:tcW w:w="1852" w:type="dxa"/>
            <w:vAlign w:val="center"/>
          </w:tcPr>
          <w:p w14:paraId="240F263B">
            <w:pPr>
              <w:widowControl w:val="0"/>
              <w:kinsoku w:val="0"/>
              <w:overflowPunct w:val="0"/>
              <w:autoSpaceDE w:val="0"/>
              <w:autoSpaceDN w:val="0"/>
              <w:adjustRightInd w:val="0"/>
              <w:snapToGrid w:val="0"/>
              <w:jc w:val="right"/>
            </w:pPr>
            <w:r>
              <w:rPr>
                <w:rFonts w:hint="eastAsia"/>
              </w:rPr>
              <w:t>减少0.52个百分点</w:t>
            </w:r>
          </w:p>
        </w:tc>
      </w:tr>
      <w:tr w14:paraId="20046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7d92f3112bf450196ad8233f93a5237"/>
            <w:id w:val="-196320162"/>
          </w:sdtPr>
          <w:sdtContent>
            <w:tc>
              <w:tcPr>
                <w:tcW w:w="3652" w:type="dxa"/>
              </w:tcPr>
              <w:p w14:paraId="530C17B0">
                <w:pPr>
                  <w:widowControl w:val="0"/>
                  <w:kinsoku w:val="0"/>
                  <w:overflowPunct w:val="0"/>
                  <w:autoSpaceDE w:val="0"/>
                  <w:autoSpaceDN w:val="0"/>
                  <w:adjustRightInd w:val="0"/>
                  <w:snapToGrid w:val="0"/>
                  <w:jc w:val="both"/>
                  <w:rPr>
                    <w:color w:val="000000" w:themeColor="text1"/>
                    <w14:textFill>
                      <w14:solidFill>
                        <w14:schemeClr w14:val="tx1"/>
                      </w14:solidFill>
                    </w14:textFill>
                  </w:rPr>
                </w:pPr>
                <w:r>
                  <w:rPr>
                    <w:color w:val="000000" w:themeColor="text1"/>
                    <w14:textFill>
                      <w14:solidFill>
                        <w14:schemeClr w14:val="tx1"/>
                      </w14:solidFill>
                    </w14:textFill>
                  </w:rPr>
                  <w:t>扣除非经常性损益后的加权平均净资产收益率（%）</w:t>
                </w:r>
              </w:p>
            </w:tc>
          </w:sdtContent>
        </w:sdt>
        <w:tc>
          <w:tcPr>
            <w:tcW w:w="1701" w:type="dxa"/>
            <w:vAlign w:val="center"/>
          </w:tcPr>
          <w:p w14:paraId="154183B2">
            <w:pPr>
              <w:widowControl w:val="0"/>
              <w:kinsoku w:val="0"/>
              <w:overflowPunct w:val="0"/>
              <w:autoSpaceDE w:val="0"/>
              <w:autoSpaceDN w:val="0"/>
              <w:adjustRightInd w:val="0"/>
              <w:snapToGrid w:val="0"/>
              <w:jc w:val="right"/>
            </w:pPr>
            <w:r>
              <w:rPr>
                <w:rFonts w:hint="eastAsia"/>
              </w:rPr>
              <w:t>-1.16</w:t>
            </w:r>
          </w:p>
        </w:tc>
        <w:tc>
          <w:tcPr>
            <w:tcW w:w="1843" w:type="dxa"/>
            <w:vAlign w:val="center"/>
          </w:tcPr>
          <w:p w14:paraId="5493E36F">
            <w:pPr>
              <w:widowControl w:val="0"/>
              <w:kinsoku w:val="0"/>
              <w:overflowPunct w:val="0"/>
              <w:autoSpaceDE w:val="0"/>
              <w:autoSpaceDN w:val="0"/>
              <w:adjustRightInd w:val="0"/>
              <w:snapToGrid w:val="0"/>
              <w:jc w:val="right"/>
            </w:pPr>
            <w:r>
              <w:rPr>
                <w:rFonts w:hint="eastAsia"/>
              </w:rPr>
              <w:t>-0.05</w:t>
            </w:r>
          </w:p>
        </w:tc>
        <w:tc>
          <w:tcPr>
            <w:tcW w:w="1852" w:type="dxa"/>
            <w:vAlign w:val="center"/>
          </w:tcPr>
          <w:p w14:paraId="1E51CB84">
            <w:pPr>
              <w:widowControl w:val="0"/>
              <w:kinsoku w:val="0"/>
              <w:overflowPunct w:val="0"/>
              <w:autoSpaceDE w:val="0"/>
              <w:autoSpaceDN w:val="0"/>
              <w:adjustRightInd w:val="0"/>
              <w:snapToGrid w:val="0"/>
              <w:jc w:val="right"/>
            </w:pPr>
            <w:r>
              <w:rPr>
                <w:rFonts w:hint="eastAsia"/>
              </w:rPr>
              <w:t>减少1.11个百分点</w:t>
            </w:r>
          </w:p>
        </w:tc>
      </w:tr>
    </w:tbl>
    <w:p w14:paraId="7CF49437">
      <w:pPr>
        <w:rPr>
          <w:color w:val="000000" w:themeColor="text1"/>
          <w14:textFill>
            <w14:solidFill>
              <w14:schemeClr w14:val="tx1"/>
            </w14:solidFill>
          </w14:textFill>
        </w:rPr>
      </w:pPr>
    </w:p>
    <w:p w14:paraId="6712E7A0">
      <w:pPr>
        <w:rPr>
          <w:color w:val="000000" w:themeColor="text1"/>
          <w14:textFill>
            <w14:solidFill>
              <w14:schemeClr w14:val="tx1"/>
            </w14:solidFill>
          </w14:textFill>
        </w:rPr>
      </w:pPr>
      <w:bookmarkStart w:id="20" w:name="_Toc342056398"/>
      <w:bookmarkStart w:id="21" w:name="_Toc342565890"/>
      <w:r>
        <w:rPr>
          <w:color w:val="000000" w:themeColor="text1"/>
          <w14:textFill>
            <w14:solidFill>
              <w14:schemeClr w14:val="tx1"/>
            </w14:solidFill>
          </w14:textFill>
        </w:rPr>
        <w:t>公司主要会计数据和财务指标的说明</w:t>
      </w:r>
    </w:p>
    <w:sdt>
      <w:sdtPr>
        <w:rPr>
          <w:color w:val="000000" w:themeColor="text1"/>
          <w14:textFill>
            <w14:solidFill>
              <w14:schemeClr w14:val="tx1"/>
            </w14:solidFill>
          </w14:textFill>
        </w:rPr>
        <w:alias w:val="是否适用：公司主要会计数据和财务指标的说明[双击切换]"/>
        <w:tag w:val="_GBC_cfe99dae5f804f6f8f02eb429483f98a"/>
        <w:id w:val="147463706"/>
        <w:placeholder>
          <w:docPart w:val="GBC22222222222222222222222222222"/>
        </w:placeholder>
      </w:sdtPr>
      <w:sdtEndPr>
        <w:rPr>
          <w:color w:val="000000" w:themeColor="text1"/>
          <w14:textFill>
            <w14:solidFill>
              <w14:schemeClr w14:val="tx1"/>
            </w14:solidFill>
          </w14:textFill>
        </w:rPr>
      </w:sdtEndPr>
      <w:sdtContent>
        <w:p w14:paraId="1FAE596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7889239">
      <w:pPr>
        <w:rPr>
          <w:color w:val="000000" w:themeColor="text1"/>
          <w14:textFill>
            <w14:solidFill>
              <w14:schemeClr w14:val="tx1"/>
            </w14:solidFill>
          </w14:textFill>
        </w:rPr>
      </w:pPr>
    </w:p>
    <w:p w14:paraId="1E187F14">
      <w:pPr>
        <w:pStyle w:val="3"/>
        <w:numPr>
          <w:ilvl w:val="0"/>
          <w:numId w:val="4"/>
        </w:numPr>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境内外会计准则下会计数据差异</w:t>
      </w:r>
      <w:bookmarkEnd w:id="20"/>
      <w:bookmarkEnd w:id="21"/>
    </w:p>
    <w:sdt>
      <w:sdtPr>
        <w:rPr>
          <w:color w:val="000000" w:themeColor="text1"/>
          <w14:textFill>
            <w14:solidFill>
              <w14:schemeClr w14:val="tx1"/>
            </w14:solidFill>
          </w14:textFill>
        </w:rPr>
        <w:alias w:val="是否适用：境内外会计准则下会计数据差异[双击切换]"/>
        <w:tag w:val="_GBC_bdabc18d82504a7696c49b78e67b7ce4"/>
        <w:id w:val="147456017"/>
        <w:placeholder>
          <w:docPart w:val="GBC22222222222222222222222222222"/>
        </w:placeholder>
      </w:sdtPr>
      <w:sdtEndPr>
        <w:rPr>
          <w:color w:val="000000" w:themeColor="text1"/>
          <w14:textFill>
            <w14:solidFill>
              <w14:schemeClr w14:val="tx1"/>
            </w14:solidFill>
          </w14:textFill>
        </w:rPr>
      </w:sdtEndPr>
      <w:sdtContent>
        <w:p w14:paraId="0E564C0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FBD9DDC">
      <w:pPr>
        <w:rPr>
          <w:color w:val="000000" w:themeColor="text1"/>
          <w14:textFill>
            <w14:solidFill>
              <w14:schemeClr w14:val="tx1"/>
            </w14:solidFill>
          </w14:textFill>
        </w:rPr>
      </w:pPr>
    </w:p>
    <w:p w14:paraId="779BF833">
      <w:pPr>
        <w:pStyle w:val="3"/>
        <w:numPr>
          <w:ilvl w:val="0"/>
          <w:numId w:val="4"/>
        </w:numPr>
        <w:ind w:left="0" w:firstLine="0"/>
        <w:rPr>
          <w:color w:val="000000" w:themeColor="text1"/>
          <w14:textFill>
            <w14:solidFill>
              <w14:schemeClr w14:val="tx1"/>
            </w14:solidFill>
          </w14:textFill>
        </w:rPr>
      </w:pPr>
      <w:bookmarkStart w:id="22" w:name="_Hlk24640273"/>
      <w:bookmarkEnd w:id="22"/>
      <w:bookmarkStart w:id="23" w:name="_Hlk167796974"/>
      <w:r>
        <w:rPr>
          <w:rFonts w:hint="eastAsia"/>
          <w:color w:val="000000" w:themeColor="text1"/>
          <w14:textFill>
            <w14:solidFill>
              <w14:schemeClr w14:val="tx1"/>
            </w14:solidFill>
          </w14:textFill>
        </w:rPr>
        <w:t>非经常性损益项目和金额</w:t>
      </w:r>
    </w:p>
    <w:sdt>
      <w:sdtPr>
        <w:rPr>
          <w:color w:val="000000" w:themeColor="text1"/>
          <w14:textFill>
            <w14:solidFill>
              <w14:schemeClr w14:val="tx1"/>
            </w14:solidFill>
          </w14:textFill>
        </w:rPr>
        <w:alias w:val="是否适用：扣除非经常性损益项目和金额[双击切换]"/>
        <w:tag w:val="_GBC_43f94504cb3d48cbbe81a75d50663c2d"/>
        <w:id w:val="-999876400"/>
      </w:sdtPr>
      <w:sdtEndPr>
        <w:rPr>
          <w:color w:val="000000" w:themeColor="text1"/>
          <w14:textFill>
            <w14:solidFill>
              <w14:schemeClr w14:val="tx1"/>
            </w14:solidFill>
          </w14:textFill>
        </w:rPr>
      </w:sdtEndPr>
      <w:sdtContent>
        <w:p w14:paraId="170509F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1600C576">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扣除非经常性损益项目和金额"/>
          <w:tag w:val="_GBC_f9e43a30b40946c08985f868a2ba3b74"/>
          <w:id w:val="939950101"/>
          <w:dataBinding w:prefixMappings="xmlns:clcid-ci-ar='clcid-ci-ar'" w:xpath="/*/clcid-ci-ar:DanWeiKouChuFeiJingChangXingSunYiXiangMuHeJinE[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扣除非经常性损益项目和金额"/>
          <w:tag w:val="_GBC_81dc93f6f5e14511b89edb8661fa84fd"/>
          <w:id w:val="201902008"/>
          <w:dataBinding w:prefixMappings="xmlns:clcid-ci-ar='clcid-ci-ar'" w:xpath="/*/clcid-ci-ar:BiZhongKouChuFeiJingChangXingSunYiXiangMuHeJinE[not(@periodRef)]" w:storeItemID="{89EBAB94-44A0-46A2-B712-30D997D04A6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4"/>
        <w:gridCol w:w="1800"/>
      </w:tblGrid>
      <w:tr w14:paraId="3507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5c3787071e446ebb752a5626cdbd723"/>
            <w:id w:val="1410355167"/>
          </w:sdtPr>
          <w:sdtContent>
            <w:tc>
              <w:tcPr>
                <w:tcW w:w="4005" w:type="pct"/>
                <w:vAlign w:val="center"/>
              </w:tcPr>
              <w:p w14:paraId="19D276E7">
                <w:pPr>
                  <w:pStyle w:val="50"/>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非经常性损益项目</w:t>
                </w:r>
              </w:p>
            </w:tc>
          </w:sdtContent>
        </w:sdt>
        <w:sdt>
          <w:sdtPr>
            <w:tag w:val="_PLD_819237cfe12b4f9b95d296101869571d"/>
            <w:id w:val="1785074073"/>
          </w:sdtPr>
          <w:sdtContent>
            <w:tc>
              <w:tcPr>
                <w:tcW w:w="995" w:type="pct"/>
                <w:vAlign w:val="center"/>
              </w:tcPr>
              <w:p w14:paraId="5353B063">
                <w:pPr>
                  <w:pStyle w:val="50"/>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金额</w:t>
                </w:r>
              </w:p>
            </w:tc>
          </w:sdtContent>
        </w:sdt>
      </w:tr>
      <w:tr w14:paraId="391B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0e4cc56d5ce4ab8995fe31d29cad831"/>
            <w:id w:val="1471249329"/>
          </w:sdtPr>
          <w:sdtContent>
            <w:tc>
              <w:tcPr>
                <w:tcW w:w="4005" w:type="pct"/>
              </w:tcPr>
              <w:p w14:paraId="098AED93">
                <w:pPr>
                  <w:pStyle w:val="5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非流动</w:t>
                </w:r>
                <w:r>
                  <w:rPr>
                    <w:rFonts w:hint="eastAsia"/>
                    <w:color w:val="000000" w:themeColor="text1"/>
                    <w14:textFill>
                      <w14:solidFill>
                        <w14:schemeClr w14:val="tx1"/>
                      </w14:solidFill>
                    </w14:textFill>
                  </w:rPr>
                  <w:t>性</w:t>
                </w:r>
                <w:r>
                  <w:rPr>
                    <w:color w:val="000000" w:themeColor="text1"/>
                    <w14:textFill>
                      <w14:solidFill>
                        <w14:schemeClr w14:val="tx1"/>
                      </w14:solidFill>
                    </w14:textFill>
                  </w:rPr>
                  <w:t>资产处置损益</w:t>
                </w:r>
                <w:r>
                  <w:rPr>
                    <w:rFonts w:hint="eastAsia"/>
                    <w:color w:val="000000" w:themeColor="text1"/>
                    <w14:textFill>
                      <w14:solidFill>
                        <w14:schemeClr w14:val="tx1"/>
                      </w14:solidFill>
                    </w14:textFill>
                  </w:rPr>
                  <w:t>，包括已计提资产减值准备的冲销部分</w:t>
                </w:r>
              </w:p>
            </w:tc>
          </w:sdtContent>
        </w:sdt>
        <w:tc>
          <w:tcPr>
            <w:tcW w:w="995" w:type="pct"/>
            <w:vAlign w:val="center"/>
          </w:tcPr>
          <w:p w14:paraId="7E43C60E">
            <w:pPr>
              <w:widowControl w:val="0"/>
              <w:jc w:val="right"/>
            </w:pPr>
            <w:r>
              <w:t>34,664,918.68</w:t>
            </w:r>
          </w:p>
        </w:tc>
      </w:tr>
      <w:tr w14:paraId="39D9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dc41639099c4efbada9d625228e2b63"/>
            <w:id w:val="1931073936"/>
          </w:sdtPr>
          <w:sdtContent>
            <w:tc>
              <w:tcPr>
                <w:tcW w:w="4005" w:type="pct"/>
              </w:tcPr>
              <w:p w14:paraId="6900B1C2">
                <w:pPr>
                  <w:pStyle w:val="5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计入当期损益的政府补助</w:t>
                </w:r>
                <w:r>
                  <w:rPr>
                    <w:rFonts w:hint="eastAsia"/>
                    <w:color w:val="000000" w:themeColor="text1"/>
                    <w14:textFill>
                      <w14:solidFill>
                        <w14:schemeClr w14:val="tx1"/>
                      </w14:solidFill>
                    </w14:textFill>
                  </w:rPr>
                  <w:t>，但与公司正常经营业务密切相关、符合国家政策规定、按照确定的标准享有、对公司损益产生持续影响的政府补助除外</w:t>
                </w:r>
              </w:p>
            </w:tc>
          </w:sdtContent>
        </w:sdt>
        <w:tc>
          <w:tcPr>
            <w:tcW w:w="995" w:type="pct"/>
            <w:vAlign w:val="center"/>
          </w:tcPr>
          <w:p w14:paraId="0D68EBF8">
            <w:pPr>
              <w:widowControl w:val="0"/>
              <w:jc w:val="right"/>
            </w:pPr>
            <w:r>
              <w:t>28,704,879.12</w:t>
            </w:r>
          </w:p>
        </w:tc>
      </w:tr>
      <w:tr w14:paraId="4910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pct"/>
          </w:tcPr>
          <w:sdt>
            <w:sdtPr>
              <w:tag w:val="_PLD_021b0c05f7054e8686df7c6abbe49304"/>
              <w:id w:val="4484472"/>
            </w:sdtPr>
            <w:sdtContent>
              <w:p w14:paraId="6080DE20">
                <w:pPr>
                  <w:pStyle w:val="50"/>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单独进行减值测试的应收款项减值准备转回</w:t>
                </w:r>
              </w:p>
            </w:sdtContent>
          </w:sdt>
        </w:tc>
        <w:tc>
          <w:tcPr>
            <w:tcW w:w="995" w:type="pct"/>
            <w:vAlign w:val="center"/>
          </w:tcPr>
          <w:p w14:paraId="528D5A5B">
            <w:pPr>
              <w:widowControl w:val="0"/>
              <w:jc w:val="right"/>
            </w:pPr>
            <w:r>
              <w:t>1,250,268.22</w:t>
            </w:r>
          </w:p>
        </w:tc>
      </w:tr>
      <w:tr w14:paraId="5F150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9b564a6d2bf4df0aec19390517af601"/>
            <w:id w:val="788480023"/>
          </w:sdtPr>
          <w:sdtContent>
            <w:tc>
              <w:tcPr>
                <w:tcW w:w="4005" w:type="pct"/>
              </w:tcPr>
              <w:p w14:paraId="12A5B790">
                <w:pPr>
                  <w:pStyle w:val="5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除上述各项之外的其他营业外收入和支出</w:t>
                </w:r>
              </w:p>
            </w:tc>
          </w:sdtContent>
        </w:sdt>
        <w:tc>
          <w:tcPr>
            <w:tcW w:w="995" w:type="pct"/>
            <w:vAlign w:val="center"/>
          </w:tcPr>
          <w:p w14:paraId="11CC14C2">
            <w:pPr>
              <w:widowControl w:val="0"/>
              <w:jc w:val="right"/>
            </w:pPr>
            <w:r>
              <w:t>3,163,928.95</w:t>
            </w:r>
          </w:p>
        </w:tc>
      </w:tr>
      <w:tr w14:paraId="1BD71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55ddc768cfb437c81d35267aad13bdd"/>
            <w:id w:val="754173383"/>
          </w:sdtPr>
          <w:sdtContent>
            <w:tc>
              <w:tcPr>
                <w:tcW w:w="4005" w:type="pct"/>
              </w:tcPr>
              <w:p w14:paraId="64BB2B48">
                <w:pPr>
                  <w:pStyle w:val="5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其他符合非经常性损益定义的损益项目</w:t>
                </w:r>
              </w:p>
            </w:tc>
          </w:sdtContent>
        </w:sdt>
        <w:tc>
          <w:tcPr>
            <w:tcW w:w="995" w:type="pct"/>
            <w:vAlign w:val="center"/>
          </w:tcPr>
          <w:p w14:paraId="33B4A4BD">
            <w:pPr>
              <w:widowControl w:val="0"/>
              <w:jc w:val="right"/>
            </w:pPr>
            <w:r>
              <w:t>303,743.60</w:t>
            </w:r>
          </w:p>
        </w:tc>
      </w:tr>
      <w:tr w14:paraId="4A3E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b738fe002d14c64858348a9a2636c25"/>
            <w:id w:val="997925187"/>
          </w:sdtPr>
          <w:sdtContent>
            <w:tc>
              <w:tcPr>
                <w:tcW w:w="4005" w:type="pct"/>
              </w:tcPr>
              <w:p w14:paraId="48D92D3D">
                <w:pPr>
                  <w:pStyle w:val="50"/>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减：</w:t>
                </w:r>
                <w:r>
                  <w:rPr>
                    <w:color w:val="000000" w:themeColor="text1"/>
                    <w14:textFill>
                      <w14:solidFill>
                        <w14:schemeClr w14:val="tx1"/>
                      </w14:solidFill>
                    </w14:textFill>
                  </w:rPr>
                  <w:t>所得税影响额</w:t>
                </w:r>
              </w:p>
            </w:tc>
          </w:sdtContent>
        </w:sdt>
        <w:tc>
          <w:tcPr>
            <w:tcW w:w="995" w:type="pct"/>
            <w:vAlign w:val="center"/>
          </w:tcPr>
          <w:p w14:paraId="70FB6ADD">
            <w:pPr>
              <w:widowControl w:val="0"/>
              <w:jc w:val="right"/>
            </w:pPr>
            <w:r>
              <w:t>3,494,132.04</w:t>
            </w:r>
          </w:p>
        </w:tc>
      </w:tr>
      <w:tr w14:paraId="47059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b514295ca8e4bd8bbade989452c2d1a"/>
            <w:id w:val="-1986152014"/>
          </w:sdtPr>
          <w:sdtContent>
            <w:tc>
              <w:tcPr>
                <w:tcW w:w="4005" w:type="pct"/>
              </w:tcPr>
              <w:p w14:paraId="510B332C">
                <w:pPr>
                  <w:pStyle w:val="50"/>
                  <w:jc w:val="left"/>
                  <w:rPr>
                    <w:color w:val="000000" w:themeColor="text1"/>
                    <w14:textFill>
                      <w14:solidFill>
                        <w14:schemeClr w14:val="tx1"/>
                      </w14:solidFill>
                    </w14:textFill>
                  </w:rPr>
                </w:pPr>
                <w:r>
                  <w:rPr>
                    <w:color w:val="000000" w:themeColor="text1"/>
                    <w14:textFill>
                      <w14:solidFill>
                        <w14:schemeClr w14:val="tx1"/>
                      </w14:solidFill>
                    </w14:textFill>
                  </w:rPr>
                  <w:t>少数股东权益影响额</w:t>
                </w:r>
                <w:r>
                  <w:rPr>
                    <w:rFonts w:hint="eastAsia"/>
                    <w:color w:val="000000" w:themeColor="text1"/>
                    <w14:textFill>
                      <w14:solidFill>
                        <w14:schemeClr w14:val="tx1"/>
                      </w14:solidFill>
                    </w14:textFill>
                  </w:rPr>
                  <w:t>（税后）</w:t>
                </w:r>
              </w:p>
            </w:tc>
          </w:sdtContent>
        </w:sdt>
        <w:tc>
          <w:tcPr>
            <w:tcW w:w="995" w:type="pct"/>
            <w:vAlign w:val="center"/>
          </w:tcPr>
          <w:p w14:paraId="3812A160">
            <w:pPr>
              <w:widowControl w:val="0"/>
              <w:jc w:val="right"/>
            </w:pPr>
            <w:r>
              <w:t>-2,160,147.61</w:t>
            </w:r>
          </w:p>
        </w:tc>
      </w:tr>
      <w:tr w14:paraId="0DD7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35cb722fb83497eb61ff0bc8a52d2d1"/>
            <w:id w:val="-604808793"/>
          </w:sdtPr>
          <w:sdtContent>
            <w:tc>
              <w:tcPr>
                <w:tcW w:w="4005" w:type="pct"/>
                <w:vAlign w:val="center"/>
              </w:tcPr>
              <w:p w14:paraId="3F4D4957">
                <w:pPr>
                  <w:pStyle w:val="50"/>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合计</w:t>
                </w:r>
              </w:p>
            </w:tc>
          </w:sdtContent>
        </w:sdt>
        <w:tc>
          <w:tcPr>
            <w:tcW w:w="995" w:type="pct"/>
            <w:vAlign w:val="center"/>
          </w:tcPr>
          <w:p w14:paraId="600159D1">
            <w:pPr>
              <w:widowControl w:val="0"/>
              <w:jc w:val="right"/>
            </w:pPr>
            <w:r>
              <w:t>66,753,754.14</w:t>
            </w:r>
          </w:p>
        </w:tc>
      </w:tr>
    </w:tbl>
    <w:p w14:paraId="5F6C539C">
      <w:pPr>
        <w:rPr>
          <w:color w:val="000000" w:themeColor="text1"/>
          <w14:textFill>
            <w14:solidFill>
              <w14:schemeClr w14:val="tx1"/>
            </w14:solidFill>
          </w14:textFill>
        </w:rPr>
      </w:pPr>
    </w:p>
    <w:bookmarkEnd w:id="23"/>
    <w:p w14:paraId="34CA365F">
      <w:pPr>
        <w:pStyle w:val="20"/>
        <w:adjustRightInd w:val="0"/>
        <w:snapToGrid w:val="0"/>
        <w:spacing w:line="200" w:lineRule="atLeast"/>
        <w:rPr>
          <w:rFonts w:hAnsi="宋体"/>
          <w:color w:val="000000" w:themeColor="text1"/>
          <w:kern w:val="0"/>
          <w:szCs w:val="21"/>
          <w14:textFill>
            <w14:solidFill>
              <w14:schemeClr w14:val="tx1"/>
            </w14:solidFill>
          </w14:textFill>
        </w:rPr>
      </w:pPr>
      <w:bookmarkStart w:id="24" w:name="_Hlk89096484"/>
      <w:bookmarkStart w:id="25" w:name="_Hlk137045432"/>
      <w:bookmarkStart w:id="26" w:name="_Hlk41379873"/>
      <w:bookmarkStart w:id="27" w:name="_Hlk105685044"/>
      <w:r>
        <w:rPr>
          <w:rFonts w:hint="eastAsia" w:hAnsi="宋体" w:cs="宋体"/>
          <w:color w:val="000000" w:themeColor="text1"/>
          <w:kern w:val="0"/>
          <w:szCs w:val="21"/>
          <w14:textFill>
            <w14:solidFill>
              <w14:schemeClr w14:val="tx1"/>
            </w14:solidFill>
          </w14:textFill>
        </w:rPr>
        <w:t>对公司将《公开发行证券的公司信息披露解释性公告第</w:t>
      </w:r>
      <w:r>
        <w:rPr>
          <w:rFonts w:hAnsi="宋体" w:cs="宋体"/>
          <w:color w:val="000000" w:themeColor="text1"/>
          <w:kern w:val="0"/>
          <w:szCs w:val="21"/>
          <w14:textFill>
            <w14:solidFill>
              <w14:schemeClr w14:val="tx1"/>
            </w14:solidFill>
          </w14:textFill>
        </w:rPr>
        <w:t>1号——非经常性损益》未列举的项目认定为非经常性损益项目且金额重大的，以及将《公开发行证券的公司信息披露解释性公告第1号——非经常性损益》中列举的非经常性损益项目界定为经常性损益的项目，应说明原因</w:t>
      </w:r>
      <w:r>
        <w:rPr>
          <w:rFonts w:hint="eastAsia" w:hAnsi="宋体" w:cs="宋体"/>
          <w:color w:val="000000" w:themeColor="text1"/>
          <w:kern w:val="0"/>
          <w:szCs w:val="21"/>
          <w14:textFill>
            <w14:solidFill>
              <w14:schemeClr w14:val="tx1"/>
            </w14:solidFill>
          </w14:textFill>
        </w:rPr>
        <w:t>。</w:t>
      </w:r>
    </w:p>
    <w:sdt>
      <w:sdtPr>
        <w:rPr>
          <w:color w:val="000000" w:themeColor="text1"/>
          <w14:textFill>
            <w14:solidFill>
              <w14:schemeClr w14:val="tx1"/>
            </w14:solidFill>
          </w14:textFill>
        </w:rPr>
        <w:alias w:val="是否适用：将非经常性损益项目界定为经常性损益项目[双击切换]"/>
        <w:tag w:val="_GBC_2fced4d4c7b049209a471cd2040fe574"/>
        <w:id w:val="147475057"/>
        <w:placeholder>
          <w:docPart w:val="GBC22222222222222222222222222222"/>
        </w:placeholder>
      </w:sdtPr>
      <w:sdtEndPr>
        <w:rPr>
          <w:color w:val="000000" w:themeColor="text1"/>
          <w14:textFill>
            <w14:solidFill>
              <w14:schemeClr w14:val="tx1"/>
            </w14:solidFill>
          </w14:textFill>
        </w:rPr>
      </w:sdtEndPr>
      <w:sdtContent>
        <w:p w14:paraId="18B7CED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0113742">
      <w:pPr>
        <w:rPr>
          <w:color w:val="000000" w:themeColor="text1"/>
          <w14:textFill>
            <w14:solidFill>
              <w14:schemeClr w14:val="tx1"/>
            </w14:solidFill>
          </w14:textFill>
        </w:rPr>
      </w:pPr>
    </w:p>
    <w:bookmarkEnd w:id="24"/>
    <w:bookmarkEnd w:id="25"/>
    <w:bookmarkEnd w:id="26"/>
    <w:p w14:paraId="056E6557">
      <w:pPr>
        <w:pStyle w:val="3"/>
        <w:numPr>
          <w:ilvl w:val="0"/>
          <w:numId w:val="4"/>
        </w:numPr>
        <w:ind w:left="0" w:firstLine="0"/>
        <w:rPr>
          <w:color w:val="000000" w:themeColor="text1"/>
          <w14:textFill>
            <w14:solidFill>
              <w14:schemeClr w14:val="tx1"/>
            </w14:solidFill>
          </w14:textFill>
        </w:rPr>
      </w:pPr>
      <w:bookmarkStart w:id="28" w:name="_Hlk199506011"/>
      <w:bookmarkStart w:id="29" w:name="_Hlk200097037"/>
      <w:r>
        <w:rPr>
          <w:rFonts w:hint="eastAsia"/>
          <w:color w:val="000000" w:themeColor="text1"/>
          <w14:textFill>
            <w14:solidFill>
              <w14:schemeClr w14:val="tx1"/>
            </w14:solidFill>
          </w14:textFill>
        </w:rPr>
        <w:t>存在股权激励、员工持股计划的公司可选择披露扣除股份支付影响后的净利润</w:t>
      </w:r>
    </w:p>
    <w:sdt>
      <w:sdtPr>
        <w:rPr>
          <w:rFonts w:hint="eastAsia"/>
        </w:rPr>
        <w:alias w:val="是否适用：扣除股份支付影响后的净利润[双击切换]"/>
        <w:tag w:val="_GBC_0800bd28016b47e5b3f7d0b40ad325dc"/>
        <w:id w:val="147467590"/>
        <w:placeholder>
          <w:docPart w:val="GBC22222222222222222222222222222"/>
        </w:placeholder>
      </w:sdtPr>
      <w:sdtEndPr>
        <w:rPr>
          <w:rFonts w:hint="eastAsia"/>
        </w:rPr>
      </w:sdtEndPr>
      <w:sdtContent>
        <w:p w14:paraId="0C488D68">
          <w:pPr>
            <w:pStyle w:val="55"/>
          </w:pPr>
          <w:r>
            <w:rPr>
              <w:rFonts w:hint="eastAsia" w:ascii="宋体" w:hAnsi="宋体"/>
            </w:rPr>
            <w:fldChar w:fldCharType="begin"/>
          </w:r>
          <w:r>
            <w:rPr>
              <w:rFonts w:hint="eastAsia" w:ascii="宋体" w:hAnsi="宋体"/>
            </w:rPr>
            <w:instrText xml:space="preserve"> MACROBUTTON  SnrToggleCheckbox □适用 </w:instrText>
          </w:r>
          <w:r>
            <w:rPr>
              <w:rFonts w:hint="eastAsia" w:ascii="宋体" w:hAnsi="宋体"/>
            </w:rPr>
            <w:fldChar w:fldCharType="end"/>
          </w:r>
          <w:r>
            <w:rPr>
              <w:rFonts w:hint="eastAsia" w:ascii="宋体" w:hAnsi="宋体"/>
            </w:rPr>
            <w:fldChar w:fldCharType="begin"/>
          </w:r>
          <w:r>
            <w:rPr>
              <w:rFonts w:hint="eastAsia" w:ascii="宋体" w:hAnsi="宋体"/>
            </w:rPr>
            <w:instrText xml:space="preserve"> MACROBUTTON  SnrToggleCheckbox √不适用 </w:instrText>
          </w:r>
          <w:r>
            <w:rPr>
              <w:rFonts w:hint="eastAsia" w:ascii="宋体" w:hAnsi="宋体"/>
            </w:rPr>
            <w:fldChar w:fldCharType="end"/>
          </w:r>
        </w:p>
      </w:sdtContent>
    </w:sdt>
    <w:bookmarkEnd w:id="27"/>
    <w:bookmarkEnd w:id="28"/>
    <w:bookmarkEnd w:id="29"/>
    <w:p w14:paraId="3814AF1B">
      <w:pPr>
        <w:pStyle w:val="3"/>
        <w:numPr>
          <w:ilvl w:val="0"/>
          <w:numId w:val="4"/>
        </w:numPr>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sdt>
      <w:sdtPr>
        <w:rPr>
          <w:color w:val="000000" w:themeColor="text1"/>
          <w14:textFill>
            <w14:solidFill>
              <w14:schemeClr w14:val="tx1"/>
            </w14:solidFill>
          </w14:textFill>
        </w:rPr>
        <w:alias w:val="是否适用：公司简介和主要财务指标其他说明[双击切换]"/>
        <w:tag w:val="_GBC_5b4104dc5c2c4501bc2420c70be30c2a"/>
        <w:id w:val="147454136"/>
        <w:placeholder>
          <w:docPart w:val="GBC22222222222222222222222222222"/>
        </w:placeholder>
      </w:sdtPr>
      <w:sdtEndPr>
        <w:rPr>
          <w:color w:val="000000" w:themeColor="text1"/>
          <w14:textFill>
            <w14:solidFill>
              <w14:schemeClr w14:val="tx1"/>
            </w14:solidFill>
          </w14:textFill>
        </w:rPr>
      </w:sdtEndPr>
      <w:sdtContent>
        <w:p w14:paraId="56C14E8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C805E78">
      <w:pPr>
        <w:kinsoku w:val="0"/>
        <w:overflowPunct w:val="0"/>
        <w:autoSpaceDE w:val="0"/>
        <w:autoSpaceDN w:val="0"/>
        <w:adjustRightInd w:val="0"/>
        <w:snapToGrid w:val="0"/>
        <w:rPr>
          <w:color w:val="000000" w:themeColor="text1"/>
          <w14:textFill>
            <w14:solidFill>
              <w14:schemeClr w14:val="tx1"/>
            </w14:solidFill>
          </w14:textFill>
        </w:rPr>
      </w:pPr>
    </w:p>
    <w:p w14:paraId="385F4421">
      <w:pPr>
        <w:pStyle w:val="2"/>
        <w:numPr>
          <w:ilvl w:val="0"/>
          <w:numId w:val="3"/>
        </w:numPr>
        <w:rPr>
          <w:rFonts w:ascii="黑体" w:hAnsi="黑体"/>
          <w:color w:val="000000" w:themeColor="text1"/>
          <w14:textFill>
            <w14:solidFill>
              <w14:schemeClr w14:val="tx1"/>
            </w14:solidFill>
          </w14:textFill>
        </w:rPr>
      </w:pPr>
      <w:bookmarkStart w:id="30" w:name="_Toc200030541"/>
      <w:bookmarkStart w:id="31" w:name="_Toc76114274"/>
      <w:r>
        <w:rPr>
          <w:rFonts w:hint="eastAsia" w:ascii="黑体" w:hAnsi="黑体"/>
          <w:color w:val="000000" w:themeColor="text1"/>
          <w14:textFill>
            <w14:solidFill>
              <w14:schemeClr w14:val="tx1"/>
            </w14:solidFill>
          </w14:textFill>
        </w:rPr>
        <w:t>管理层讨论与分析</w:t>
      </w:r>
    </w:p>
    <w:bookmarkEnd w:id="30"/>
    <w:bookmarkEnd w:id="31"/>
    <w:p w14:paraId="0F3BA831">
      <w:pPr>
        <w:pStyle w:val="3"/>
        <w:numPr>
          <w:ilvl w:val="0"/>
          <w:numId w:val="6"/>
        </w:numPr>
        <w:tabs>
          <w:tab w:val="left" w:pos="426"/>
        </w:tabs>
        <w:ind w:left="0" w:firstLine="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报告期内公司所属行业及主营业务情况说明</w:t>
      </w:r>
    </w:p>
    <w:sdt>
      <w:sdtPr>
        <w:rPr>
          <w:rFonts w:hint="eastAsia"/>
          <w:color w:val="000000" w:themeColor="text1"/>
          <w14:textFill>
            <w14:solidFill>
              <w14:schemeClr w14:val="tx1"/>
            </w14:solidFill>
          </w14:textFill>
        </w:rPr>
        <w:alias w:val="报告期内公司所从事的主要业务、经营模式及行业情况说明"/>
        <w:tag w:val="_GBC_5c28d6f46eea48f892bed0c5fc99ab60"/>
        <w:id w:val="147468787"/>
        <w:placeholder>
          <w:docPart w:val="GBC22222222222222222222222222222"/>
        </w:placeholder>
      </w:sdtPr>
      <w:sdtEndPr>
        <w:rPr>
          <w:rFonts w:hint="eastAsia"/>
          <w:color w:val="000000" w:themeColor="text1"/>
          <w14:textFill>
            <w14:solidFill>
              <w14:schemeClr w14:val="tx1"/>
            </w14:solidFill>
          </w14:textFill>
        </w:rPr>
      </w:sdtEndPr>
      <w:sdtContent>
        <w:p w14:paraId="5DCB51D5">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根据证监会上市公司行业分类，公司整体被划分到“制造业——纺织服装、服饰业”。</w:t>
          </w:r>
        </w:p>
        <w:p w14:paraId="6AE31CD7">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国家统计局数据，2025年1-6月全国规模以上工业企业纺织业利润总额301.8亿元，同比下降8.1%；纺织服装、服饰业同比下降12.9%；皮革、毛皮、羽毛及其制品和制鞋业同比下降8.7%。根据海关总署统计情况，2025年1-6月全国纺织品出口705.2亿美元，同比增长1.8%；服装出口738.3亿美元，与上年同期基本持平。</w:t>
          </w:r>
        </w:p>
        <w:p w14:paraId="7271058B">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的产品市场包括军品市场和民品市场，主要客户为中国军队、武警部队，国家统一着装部门，央企、大中型企业以及个人消费者。根据公司“十四五”规划和各业务板块对公司收入、利润的贡献程度，职业装、职业鞋靴、纺织印染、防护装具及装备业务是公司目前的核心业务。</w:t>
          </w:r>
        </w:p>
        <w:p w14:paraId="49D1A3D7">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（一）职业装</w:t>
          </w:r>
        </w:p>
        <w:p w14:paraId="1D75DB85">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公司部分子公司从事职业装的研发、生产和销售，主要产品包括军服类、行业制服类、职业工装、品牌服装及特种功能性服装和配套产品。</w:t>
          </w:r>
        </w:p>
        <w:p w14:paraId="68CE2408">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（二）职业鞋靴</w:t>
          </w:r>
        </w:p>
        <w:p w14:paraId="3BBAB914">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公司部分子公司从事职业鞋靴的研发、生产和销售，主要产品包括皮鞋、皮革、毛皮、服装革、两用毛革及其制品，防护功能性鞋、军用胶鞋、橡胶大底等。</w:t>
          </w:r>
        </w:p>
        <w:p w14:paraId="17A81EFF">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（三）纺织印染</w:t>
          </w:r>
        </w:p>
        <w:p w14:paraId="4DF73FC6">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公司部分子公司从事纺织印染产品的研发、生产和销售，主要产品包括棉纱、棉线、棉布、染色布、针织面料、针织成衣、服饰产品、家纺制品等。</w:t>
          </w:r>
        </w:p>
        <w:p w14:paraId="11B7B605">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（四）防护装具及装备</w:t>
          </w:r>
        </w:p>
        <w:p w14:paraId="3C331C06">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部分子公司从事功能性防护装具及装备、环保滤材等产品的研发、生产和销售，其中防护装备主要产品包括防弹衣、防弹头盔、防弹插板、防弹护具及其他功能器件等；功能性装具主要产品包括帐篷、携行具等；环保滤材主要产品包括PPS、P84、PTFE复合、NOMEX、ZMS系列、玻璃纤维滤料等。</w:t>
          </w:r>
        </w:p>
        <w:p w14:paraId="6E0B758C">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（五）商贸物流业务</w:t>
          </w:r>
        </w:p>
        <w:p w14:paraId="1A0C4E7F">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公司主要开展以军需品出口为主的国际贸易，主要从事服装、鞋靴、面料、装具等产品的贸易业务。</w:t>
          </w:r>
        </w:p>
      </w:sdtContent>
    </w:sdt>
    <w:p w14:paraId="690F1D8B">
      <w:pPr>
        <w:rPr>
          <w:color w:val="000000" w:themeColor="text1"/>
          <w14:textFill>
            <w14:solidFill>
              <w14:schemeClr w14:val="tx1"/>
            </w14:solidFill>
          </w14:textFill>
        </w:rPr>
      </w:pPr>
    </w:p>
    <w:p w14:paraId="6B65EDBE">
      <w:pPr>
        <w:rPr>
          <w:rFonts w:ascii="Calibri" w:hAnsi="Calibri" w:cs="Times New Roman"/>
          <w:bCs w:val="0"/>
          <w:kern w:val="2"/>
        </w:rPr>
      </w:pPr>
      <w:bookmarkStart w:id="32" w:name="_Hlk188285089"/>
      <w:bookmarkStart w:id="33" w:name="_Hlk199506625"/>
      <w:r>
        <w:rPr>
          <w:rFonts w:hint="eastAsia" w:ascii="Calibri" w:hAnsi="Calibri" w:cs="Times New Roman"/>
          <w:kern w:val="2"/>
        </w:rPr>
        <w:t>报告期内公司新增重要非主营业务的说明</w:t>
      </w:r>
    </w:p>
    <w:sdt>
      <w:sdtPr>
        <w:rPr>
          <w:rFonts w:hint="eastAsia"/>
        </w:rPr>
        <w:alias w:val="是否适用：报告期内公司新增重要非主营业务的说明[双击切换]"/>
        <w:tag w:val="_GBC_c777ca3f625d446a99f6adbd4267c48a"/>
        <w:id w:val="147479943"/>
        <w:placeholder>
          <w:docPart w:val="GBC22222222222222222222222222222"/>
        </w:placeholder>
      </w:sdtPr>
      <w:sdtEndPr>
        <w:rPr>
          <w:rFonts w:hint="eastAsia"/>
        </w:rPr>
      </w:sdtEndPr>
      <w:sdtContent>
        <w:p w14:paraId="22759F54">
          <w:pPr>
            <w:pStyle w:val="55"/>
          </w:pPr>
          <w:r>
            <w:rPr>
              <w:rFonts w:hint="eastAsia" w:ascii="宋体" w:hAnsi="宋体"/>
            </w:rPr>
            <w:fldChar w:fldCharType="begin"/>
          </w:r>
          <w:r>
            <w:rPr>
              <w:rFonts w:ascii="宋体" w:hAnsi="宋体"/>
            </w:rPr>
            <w:instrText xml:space="preserve"> MACROBUTTON  SnrToggleCheckbox □适用 </w:instrText>
          </w:r>
          <w:r>
            <w:rPr>
              <w:rFonts w:hint="eastAsia" w:ascii="宋体" w:hAnsi="宋体"/>
            </w:rPr>
            <w:fldChar w:fldCharType="end"/>
          </w:r>
          <w:r>
            <w:rPr>
              <w:rFonts w:hint="eastAsia" w:ascii="宋体" w:hAnsi="宋体"/>
            </w:rPr>
            <w:fldChar w:fldCharType="begin"/>
          </w:r>
          <w:r>
            <w:rPr>
              <w:rFonts w:ascii="宋体" w:hAnsi="宋体"/>
            </w:rPr>
            <w:instrText xml:space="preserve"> MACROBUTTON  SnrToggleCheckbox √不适用 </w:instrText>
          </w:r>
          <w:r>
            <w:rPr>
              <w:rFonts w:hint="eastAsia" w:ascii="宋体" w:hAnsi="宋体"/>
            </w:rPr>
            <w:fldChar w:fldCharType="end"/>
          </w:r>
        </w:p>
      </w:sdtContent>
    </w:sdt>
    <w:bookmarkEnd w:id="32"/>
    <w:bookmarkEnd w:id="33"/>
    <w:p w14:paraId="011C4843">
      <w:pPr>
        <w:pStyle w:val="3"/>
        <w:numPr>
          <w:ilvl w:val="0"/>
          <w:numId w:val="6"/>
        </w:numPr>
        <w:tabs>
          <w:tab w:val="left" w:pos="426"/>
        </w:tabs>
        <w:ind w:left="0" w:firstLine="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经营情况的讨论与分析</w:t>
      </w:r>
    </w:p>
    <w:sdt>
      <w:sdtPr>
        <w:rPr>
          <w:rFonts w:hint="eastAsia"/>
          <w:color w:val="000000" w:themeColor="text1"/>
          <w14:textFill>
            <w14:solidFill>
              <w14:schemeClr w14:val="tx1"/>
            </w14:solidFill>
          </w14:textFill>
        </w:rPr>
        <w:alias w:val="管理层讨论与分析"/>
        <w:tag w:val="_GBC_886258ec69e240da99b57ac102afbda6"/>
        <w:id w:val="147482696"/>
        <w:placeholder>
          <w:docPart w:val="GBC22222222222222222222222222222"/>
        </w:placeholder>
      </w:sdtPr>
      <w:sdtEndPr>
        <w:rPr>
          <w:rFonts w:hint="eastAsia"/>
          <w:color w:val="000000" w:themeColor="text1"/>
          <w14:textFill>
            <w14:solidFill>
              <w14:schemeClr w14:val="tx1"/>
            </w14:solidFill>
          </w14:textFill>
        </w:rPr>
      </w:sdtEndPr>
      <w:sdtContent>
        <w:p w14:paraId="20E7E315">
          <w:pPr>
            <w:ind w:firstLine="420" w:firstLineChars="200"/>
          </w:pPr>
          <w:r>
            <w:rPr>
              <w:rFonts w:hint="eastAsia"/>
              <w:color w:val="000000" w:themeColor="text1"/>
              <w14:textFill>
                <w14:solidFill>
                  <w14:schemeClr w14:val="tx1"/>
                </w14:solidFill>
              </w14:textFill>
            </w:rPr>
            <w:t>报告期内，公司实现营业收</w:t>
          </w:r>
          <w:r>
            <w:rPr>
              <w:rFonts w:hint="eastAsia"/>
            </w:rPr>
            <w:t>入32.08亿元，同比下降38.36%，实现归属于上市公司股东的净利润为-7,903万元。收入及利润下降</w:t>
          </w:r>
          <w:r>
            <w:rPr>
              <w:rFonts w:hint="eastAsia"/>
              <w:color w:val="000000" w:themeColor="text1"/>
              <w14:textFill>
                <w14:solidFill>
                  <w14:schemeClr w14:val="tx1"/>
                </w14:solidFill>
              </w14:textFill>
            </w:rPr>
            <w:t>主要系重点客户上半年产品订单减少，导致营业收入降幅较大；因订单收入减少带来的产能利用不足，固定费用较高，毛利额下降影响了利润。</w:t>
          </w:r>
          <w:r>
            <w:rPr>
              <w:rFonts w:hint="eastAsia"/>
            </w:rPr>
            <w:t>报告期内，尽管公司整体收入有所下滑，但公司围绕战略性新兴产业，在高强尼龙、玄武岩纤维、防水透湿膜等新材料成果转化以及单兵产品、野营装备、消防装备等新产品开发方面加快布局，全力推动传统产业转型升级和战新产业部署落地。</w:t>
          </w:r>
        </w:p>
        <w:p w14:paraId="06811671">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报告期内，公司积极履行“保军”首责，深度推进产品结构战略性调整：一是积极梳理所属企业主力产品，构建“军品、应急、民品”三位一体产品谱系——军品领域加速由基础防护、隐身功能向多功能系统集成升级，提升单兵保障能力与战场适应性；应急领域聚焦消防抢险、灾害救援、工业防护四大核心场景，打造模块化专业解决方案；民品领域聚焦行政司法制服、央国企工装集采、高端定制服务、电商快反供应链及国际品牌代工五大赛道，形成多层次市场布局，三大板块协同强化主业核心竞争力。二是强化产能建设通过推进智能化改造、数字化转型和优化用工结构等措施提升保障能力。三是重塑营销体系，公司开展营销体系提升工作，完善营销体系架构，加强营销队伍市场化竞争能力建设。四是培育新质动能，打造高级定制“JH1912” 品牌，开发系列高端商务定制产品，配套建成国内一流全流程数字化柔性智能西装生产线，形成研发、设计、生产、售后快速反应能力。五是战新产业如期开展，“双国产”（国产原材料+国产装备）高性能尼龙66纤维完成中试验证，成功打通纺丝-应用全链路制备技术，成为国内少数具备军警防护装备、消防救援服装及高端民用功能性面料全产业链供应能力的企业，为业务板块提供高附加值材料支撑。</w:t>
          </w:r>
        </w:p>
      </w:sdtContent>
    </w:sdt>
    <w:p w14:paraId="612FA3BD">
      <w:pPr>
        <w:rPr>
          <w:color w:val="000000" w:themeColor="text1"/>
          <w14:textFill>
            <w14:solidFill>
              <w14:schemeClr w14:val="tx1"/>
            </w14:solidFill>
          </w14:textFill>
        </w:rPr>
      </w:pPr>
    </w:p>
    <w:p w14:paraId="45F48F4F">
      <w:pPr>
        <w:rPr>
          <w:b/>
          <w:bCs w:val="0"/>
          <w:color w:val="000000" w:themeColor="text1"/>
          <w14:textFill>
            <w14:solidFill>
              <w14:schemeClr w14:val="tx1"/>
            </w14:solidFill>
          </w14:textFill>
        </w:rPr>
      </w:pPr>
      <w:r>
        <w:rPr>
          <w:rFonts w:hint="eastAsia"/>
          <w:b/>
          <w:color w:val="000000" w:themeColor="text1"/>
          <w14:textFill>
            <w14:solidFill>
              <w14:schemeClr w14:val="tx1"/>
            </w14:solidFill>
          </w14:textFill>
        </w:rPr>
        <w:t>报告期内公司经营情况的重大变化，以及报告期内发生的对公司经营情况有重大影响和预计未来会有重大影响的事项</w:t>
      </w:r>
    </w:p>
    <w:sdt>
      <w:sdtPr>
        <w:rPr>
          <w:rFonts w:hint="eastAsia"/>
          <w:color w:val="000000" w:themeColor="text1"/>
          <w14:textFill>
            <w14:solidFill>
              <w14:schemeClr w14:val="tx1"/>
            </w14:solidFill>
          </w14:textFill>
        </w:rPr>
        <w:alias w:val="是否适用：报告期内公司经营情况的重大变化，以及报告期内发生的对公司经营情况有重大影响和预计未来会有重大影响的事项[双击切换]"/>
        <w:tag w:val="_GBC_0f91ff55b5a9406ea662149119d7e23c"/>
        <w:id w:val="147459355"/>
        <w:placeholder>
          <w:docPart w:val="GBC22222222222222222222222222222"/>
        </w:placeholder>
      </w:sdtPr>
      <w:sdtEndPr>
        <w:rPr>
          <w:rFonts w:hint="eastAsia"/>
          <w:color w:val="000000" w:themeColor="text1"/>
          <w14:textFill>
            <w14:solidFill>
              <w14:schemeClr w14:val="tx1"/>
            </w14:solidFill>
          </w14:textFill>
        </w:rPr>
      </w:sdtEndPr>
      <w:sdtContent>
        <w:p w14:paraId="721DAC1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E4DC4D7">
      <w:pPr>
        <w:rPr>
          <w:color w:val="000000" w:themeColor="text1"/>
          <w14:textFill>
            <w14:solidFill>
              <w14:schemeClr w14:val="tx1"/>
            </w14:solidFill>
          </w14:textFill>
        </w:rPr>
      </w:pPr>
    </w:p>
    <w:p w14:paraId="6AC08E44">
      <w:pPr>
        <w:pStyle w:val="3"/>
        <w:numPr>
          <w:ilvl w:val="0"/>
          <w:numId w:val="6"/>
        </w:numPr>
        <w:tabs>
          <w:tab w:val="left" w:pos="426"/>
        </w:tabs>
        <w:ind w:left="0" w:firstLine="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报告期内核心竞争力分析</w:t>
      </w:r>
    </w:p>
    <w:sdt>
      <w:sdtPr>
        <w:rPr>
          <w:color w:val="000000" w:themeColor="text1"/>
          <w14:textFill>
            <w14:solidFill>
              <w14:schemeClr w14:val="tx1"/>
            </w14:solidFill>
          </w14:textFill>
        </w:rPr>
        <w:alias w:val="是否适用：报告期内核心竞争力分析[双击切换]"/>
        <w:tag w:val="_GBC_f5e4beedb06c4dedb1da9c7f429d840e"/>
        <w:id w:val="147474098"/>
        <w:placeholder>
          <w:docPart w:val="GBC22222222222222222222222222222"/>
        </w:placeholder>
      </w:sdtPr>
      <w:sdtEndPr>
        <w:rPr>
          <w:color w:val="000000" w:themeColor="text1"/>
          <w14:textFill>
            <w14:solidFill>
              <w14:schemeClr w14:val="tx1"/>
            </w14:solidFill>
          </w14:textFill>
        </w:rPr>
      </w:sdtEndPr>
      <w:sdtContent>
        <w:p w14:paraId="20EF61F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报告期内核心竞争力分析"/>
        <w:tag w:val="_GBC_2aded0644185447a9ec788ba0b35ac4f"/>
        <w:id w:val="147454926"/>
        <w:placeholder>
          <w:docPart w:val="GBC22222222222222222222222222222"/>
        </w:placeholder>
      </w:sdtPr>
      <w:sdtEndPr>
        <w:rPr>
          <w:rFonts w:hint="eastAsia"/>
          <w:color w:val="000000" w:themeColor="text1"/>
          <w14:textFill>
            <w14:solidFill>
              <w14:schemeClr w14:val="tx1"/>
            </w14:solidFill>
          </w14:textFill>
        </w:rPr>
      </w:sdtEndPr>
      <w:sdtContent>
        <w:p w14:paraId="695FACA7">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（一）领先的行业市场地位</w:t>
          </w:r>
        </w:p>
        <w:p w14:paraId="7BC3D78E">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是中国军队、武警部队军需品采购的主要供应商，是中国军需品、职业装、职业鞋靴的重要研发和生产基地，在军需品（包括服装、鞋、帽、配饰等）市场占据领先的市场份额；公司是国家统一着装部门和单位以及其他职业装着装行业的主要供应商，在消防、公安、司法、检察院、法院、工商、税务、铁路、交通等国家统一着装部门制服市场占有较大市场份额；公司拥有军需品出口资质，具有全产品系列的综合保障能力。</w:t>
          </w:r>
        </w:p>
        <w:p w14:paraId="16BD5FD5">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（二）良好的产业协同能力</w:t>
          </w:r>
        </w:p>
        <w:p w14:paraId="503180E7">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拥有纺纱、织布、印染、制衣、服饰、防护装具的完整产业链，具备从研发设计、生产制造到销售、服务的协同优势。公司所属企业分布在全国23个省、自治区和直辖市，区位优势明显，在产品研发、原料供应、生产组织和销售渠道方面具有良好产业协同能力。</w:t>
          </w:r>
        </w:p>
        <w:p w14:paraId="549A69DF">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（三）快速提升的研发创新能力</w:t>
          </w:r>
        </w:p>
        <w:p w14:paraId="6539B79A">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逐步形成了以际华研究总院为牵引，以职业装、职业鞋靴、纺织印染、防护装具等4个专业研究院为支撑的上下协同、高效联动的研发创新体系。公司共拥有2个国家级企业技术中心、3个国家级工业设计中心、1个博士后科研工作站，1个博士后科研流动站协作研发中心、19个省级企业技术中心、7个省级工程技术研究中心、3个省级工程研究中心、9个省级工业设计中心、2个省级重点实验室、3家省级产业技术研究院。拥有有效专利2208项，其中有效发明专利509项，参与制定国家标准39个。公司成立高级定制、工程技术、时尚设计“三中心”，提升专业能力建设。打造设计师特色研发体系，挂牌多个设计师命名的工作室。研发创新体系的不断完善和研发创新能力的提升为公司重大项目研发设计、关键材料和技术攻关以及保持产品质量和性能提升提供了强力支撑和保障。</w:t>
          </w:r>
        </w:p>
        <w:p w14:paraId="5707E587">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（四）较强的行业品牌影响力</w:t>
          </w:r>
        </w:p>
        <w:p w14:paraId="59D7D392">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建立了以“际华”品牌作为母品牌的多元化业务母子品牌架构体系,多年位列亚洲品牌前500强。公司是中国军队、武警部队军需品采购的主要供应商，“际华”品牌在国内军需品市场具有强大的影响力。依托在军需品市场的影响力和产品品质，公司在民用职业服饰市场的影响力也在不断提升，公司科技时尚职业装、商务休闲鞋靴等先后亮相中国国际时装周等产品发布会，在市场上产生较好反响。公司积极践行“保军、应急、为民”使命宗旨，发挥了服务国防、保障军需、应急救援的主力军作用，在历次阅兵等重大保障、抗震防洪救灾等急难险重任务中彰显了央企“国家队”的重要地位，提升了行业地位和品牌形象。</w:t>
          </w:r>
        </w:p>
      </w:sdtContent>
    </w:sdt>
    <w:p w14:paraId="5B221396">
      <w:pPr>
        <w:rPr>
          <w:color w:val="000000" w:themeColor="text1"/>
          <w14:textFill>
            <w14:solidFill>
              <w14:schemeClr w14:val="tx1"/>
            </w14:solidFill>
          </w14:textFill>
        </w:rPr>
      </w:pPr>
    </w:p>
    <w:p w14:paraId="7F7F3EC5">
      <w:pPr>
        <w:pStyle w:val="3"/>
        <w:numPr>
          <w:ilvl w:val="0"/>
          <w:numId w:val="6"/>
        </w:numPr>
        <w:tabs>
          <w:tab w:val="left" w:pos="426"/>
        </w:tabs>
        <w:ind w:left="0" w:firstLine="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报告期内主要经营情况</w:t>
      </w:r>
    </w:p>
    <w:p w14:paraId="369809F7">
      <w:pPr>
        <w:pStyle w:val="57"/>
        <w:numPr>
          <w:ilvl w:val="0"/>
          <w:numId w:val="7"/>
        </w:numPr>
        <w:rPr>
          <w:rFonts w:ascii="宋体" w:hAnsi="宋体"/>
          <w:color w:val="000000" w:themeColor="text1"/>
          <w14:textFill>
            <w14:solidFill>
              <w14:schemeClr w14:val="tx1"/>
            </w14:solidFill>
          </w14:textFill>
        </w:rPr>
      </w:pPr>
      <w:bookmarkStart w:id="34" w:name="_Toc342559738"/>
      <w:bookmarkStart w:id="35" w:name="_Toc342565895"/>
      <w:r>
        <w:rPr>
          <w:rFonts w:hint="eastAsia" w:ascii="宋体" w:hAnsi="宋体"/>
          <w:color w:val="000000" w:themeColor="text1"/>
          <w14:textFill>
            <w14:solidFill>
              <w14:schemeClr w14:val="tx1"/>
            </w14:solidFill>
          </w14:textFill>
        </w:rPr>
        <w:t>主营业务分析</w:t>
      </w:r>
      <w:bookmarkEnd w:id="34"/>
      <w:bookmarkEnd w:id="35"/>
    </w:p>
    <w:p w14:paraId="2C3BEFA0">
      <w:pPr>
        <w:pStyle w:val="58"/>
        <w:numPr>
          <w:ilvl w:val="0"/>
          <w:numId w:val="8"/>
        </w:numPr>
        <w:rPr>
          <w:rFonts w:ascii="宋体" w:hAnsi="宋体"/>
          <w:color w:val="000000" w:themeColor="text1"/>
          <w14:textFill>
            <w14:solidFill>
              <w14:schemeClr w14:val="tx1"/>
            </w14:solidFill>
          </w14:textFill>
        </w:rPr>
      </w:pPr>
      <w:bookmarkStart w:id="36" w:name="_Toc342559739"/>
      <w:bookmarkStart w:id="37" w:name="_Toc342565896"/>
      <w:r>
        <w:rPr>
          <w:rFonts w:hint="eastAsia" w:ascii="宋体" w:hAnsi="宋体"/>
          <w:color w:val="000000" w:themeColor="text1"/>
          <w14:textFill>
            <w14:solidFill>
              <w14:schemeClr w14:val="tx1"/>
            </w14:solidFill>
          </w14:textFill>
        </w:rPr>
        <w:t>财务报表相关科目变动分析表</w:t>
      </w:r>
      <w:bookmarkEnd w:id="36"/>
      <w:bookmarkEnd w:id="37"/>
    </w:p>
    <w:p w14:paraId="5980A726">
      <w:pPr>
        <w:pStyle w:val="50"/>
        <w:ind w:left="360" w:firstLine="0" w:firstLineChars="0"/>
        <w:jc w:val="right"/>
        <w:rPr>
          <w:rFonts w:ascii="宋体" w:hAnsi="宋体"/>
          <w:color w:val="000000" w:themeColor="text1"/>
          <w14:textFill>
            <w14:solidFill>
              <w14:schemeClr w14:val="tx1"/>
            </w14:solidFill>
          </w14:textFill>
        </w:rPr>
      </w:pPr>
      <w:bookmarkStart w:id="38" w:name="_Toc342565903"/>
      <w:r>
        <w:rPr>
          <w:rFonts w:hint="eastAsia" w:ascii="宋体" w:hAnsi="宋体"/>
          <w:color w:val="000000" w:themeColor="text1"/>
          <w:szCs w:val="21"/>
          <w14:textFill>
            <w14:solidFill>
              <w14:schemeClr w14:val="tx1"/>
            </w14:solidFill>
          </w14:textFill>
        </w:rPr>
        <w:t>单位</w:t>
      </w:r>
      <w:r>
        <w:rPr>
          <w:rFonts w:ascii="宋体" w:hAnsi="宋体"/>
          <w:color w:val="000000" w:themeColor="text1"/>
          <w:szCs w:val="21"/>
          <w14:textFill>
            <w14:solidFill>
              <w14:schemeClr w14:val="tx1"/>
            </w14:solidFill>
          </w14:textFill>
        </w:rPr>
        <w:t>：</w:t>
      </w:r>
      <w:sdt>
        <w:sdtPr>
          <w:rPr>
            <w:rFonts w:ascii="宋体" w:hAnsi="宋体"/>
            <w:color w:val="000000" w:themeColor="text1"/>
            <w:szCs w:val="21"/>
            <w14:textFill>
              <w14:solidFill>
                <w14:schemeClr w14:val="tx1"/>
              </w14:solidFill>
            </w14:textFill>
          </w:rPr>
          <w:alias w:val="单位：利润表及现金流量表相关科目变动分析表"/>
          <w:tag w:val="_GBC_ece1a77905b94e6db0c76206578fe2db"/>
          <w:id w:val="-1308853541"/>
          <w:comboBox>
            <w:listItem w:displayText="元" w:value="1"/>
            <w:listItem w:displayText="千元" w:value="1000"/>
            <w:listItem w:displayText="万元" w:value="10000"/>
            <w:listItem w:displayText="百万元" w:value="1000000"/>
            <w:listItem w:displayText="亿元" w:value="100000000"/>
          </w:comboBox>
        </w:sdtPr>
        <w:sdtEndPr>
          <w:rPr>
            <w:rFonts w:ascii="宋体" w:hAnsi="宋体"/>
            <w:color w:val="000000" w:themeColor="text1"/>
            <w:szCs w:val="21"/>
            <w14:textFill>
              <w14:solidFill>
                <w14:schemeClr w14:val="tx1"/>
              </w14:solidFill>
            </w14:textFill>
          </w:rPr>
        </w:sdtEndPr>
        <w:sdtContent>
          <w:r>
            <w:rPr>
              <w:rFonts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r>
        <w:rPr>
          <w:rFonts w:ascii="宋体" w:hAnsi="宋体"/>
          <w:color w:val="000000" w:themeColor="text1"/>
          <w:szCs w:val="21"/>
          <w14:textFill>
            <w14:solidFill>
              <w14:schemeClr w14:val="tx1"/>
            </w14:solidFill>
          </w14:textFill>
        </w:rPr>
        <w:t>：</w:t>
      </w:r>
      <w:sdt>
        <w:sdtPr>
          <w:rPr>
            <w:rFonts w:ascii="宋体" w:hAnsi="宋体"/>
            <w:color w:val="000000" w:themeColor="text1"/>
            <w:szCs w:val="21"/>
            <w14:textFill>
              <w14:solidFill>
                <w14:schemeClr w14:val="tx1"/>
              </w14:solidFill>
            </w14:textFill>
          </w:rPr>
          <w:alias w:val="币种：利润表及现金流量表相关科目变动分析表"/>
          <w:tag w:val="_GBC_6c86f79f9e2349b09f37ad908cd43f73"/>
          <w:id w:val="-206139315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hAnsi="宋体"/>
            <w:color w:val="000000" w:themeColor="text1"/>
            <w:szCs w:val="21"/>
            <w14:textFill>
              <w14:solidFill>
                <w14:schemeClr w14:val="tx1"/>
              </w14:solidFill>
            </w14:textFill>
          </w:rPr>
        </w:sdtEndPr>
        <w:sdtContent>
          <w:r>
            <w:rPr>
              <w:rFonts w:ascii="宋体" w:hAnsi="宋体"/>
              <w:color w:val="000000" w:themeColor="text1"/>
              <w:szCs w:val="21"/>
              <w14:textFill>
                <w14:solidFill>
                  <w14:schemeClr w14:val="tx1"/>
                </w14:solidFill>
              </w14:textFill>
            </w:rPr>
            <w:t>人民币</w:t>
          </w:r>
        </w:sdtContent>
      </w:sdt>
    </w:p>
    <w:tbl>
      <w:tblPr>
        <w:tblStyle w:val="38"/>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3"/>
        <w:gridCol w:w="2126"/>
        <w:gridCol w:w="1985"/>
        <w:gridCol w:w="1842"/>
      </w:tblGrid>
      <w:tr w14:paraId="44E8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e2e0d1bb8d44a278061305ea6808979"/>
            <w:id w:val="2129197261"/>
          </w:sdtPr>
          <w:sdtContent>
            <w:tc>
              <w:tcPr>
                <w:tcW w:w="1706" w:type="pct"/>
                <w:vAlign w:val="center"/>
              </w:tcPr>
              <w:p w14:paraId="07049838">
                <w:pPr>
                  <w:pStyle w:val="50"/>
                  <w:ind w:firstLine="0" w:firstLineChars="0"/>
                  <w:rPr>
                    <w:rFonts w:ascii="宋体" w:hAnsi="宋体"/>
                    <w:color w:val="000000" w:themeColor="text1"/>
                    <w:szCs w:val="21"/>
                    <w14:textFill>
                      <w14:solidFill>
                        <w14:schemeClr w14:val="tx1"/>
                      </w14:solidFill>
                    </w14:textFill>
                  </w:rPr>
                </w:pPr>
                <w:bookmarkStart w:id="39" w:name="_Hlk10208057"/>
                <w:r>
                  <w:rPr>
                    <w:rFonts w:hint="eastAsia" w:ascii="宋体" w:hAnsi="宋体"/>
                    <w:color w:val="000000" w:themeColor="text1"/>
                    <w:szCs w:val="21"/>
                    <w14:textFill>
                      <w14:solidFill>
                        <w14:schemeClr w14:val="tx1"/>
                      </w14:solidFill>
                    </w14:textFill>
                  </w:rPr>
                  <w:t>科目</w:t>
                </w:r>
              </w:p>
            </w:tc>
          </w:sdtContent>
        </w:sdt>
        <w:sdt>
          <w:sdtPr>
            <w:tag w:val="_PLD_37391874ab08430b841a55f53c4d20e6"/>
            <w:id w:val="818695264"/>
          </w:sdtPr>
          <w:sdtContent>
            <w:tc>
              <w:tcPr>
                <w:tcW w:w="1176" w:type="pct"/>
                <w:vAlign w:val="center"/>
              </w:tcPr>
              <w:p w14:paraId="7EA17765">
                <w:pPr>
                  <w:pStyle w:val="50"/>
                  <w:ind w:firstLine="0" w:firstLineChars="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本期数</w:t>
                </w:r>
              </w:p>
            </w:tc>
          </w:sdtContent>
        </w:sdt>
        <w:sdt>
          <w:sdtPr>
            <w:tag w:val="_PLD_d061bf6d7e824e93a5540d2e36feb15d"/>
            <w:id w:val="1555348509"/>
          </w:sdtPr>
          <w:sdtContent>
            <w:tc>
              <w:tcPr>
                <w:tcW w:w="1098" w:type="pct"/>
                <w:vAlign w:val="center"/>
              </w:tcPr>
              <w:p w14:paraId="5C5BE8D1">
                <w:pPr>
                  <w:pStyle w:val="50"/>
                  <w:ind w:firstLine="0" w:firstLineChars="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上年同期数</w:t>
                </w:r>
              </w:p>
            </w:tc>
          </w:sdtContent>
        </w:sdt>
        <w:sdt>
          <w:sdtPr>
            <w:tag w:val="_PLD_1792b71106c34c75af22292391c96e49"/>
            <w:id w:val="425842889"/>
          </w:sdtPr>
          <w:sdtContent>
            <w:tc>
              <w:tcPr>
                <w:tcW w:w="1019" w:type="pct"/>
                <w:vAlign w:val="center"/>
              </w:tcPr>
              <w:p w14:paraId="00047473">
                <w:pPr>
                  <w:pStyle w:val="50"/>
                  <w:ind w:firstLine="0" w:firstLineChars="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变动比例（%）</w:t>
                </w:r>
              </w:p>
            </w:tc>
          </w:sdtContent>
        </w:sdt>
      </w:tr>
      <w:tr w14:paraId="60D2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7aabd73356d4df6ad6c67395e690823"/>
            <w:id w:val="329804669"/>
          </w:sdtPr>
          <w:sdtContent>
            <w:tc>
              <w:tcPr>
                <w:tcW w:w="1706" w:type="pct"/>
              </w:tcPr>
              <w:p w14:paraId="38A58643">
                <w:pPr>
                  <w:pStyle w:val="50"/>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营业收入</w:t>
                </w:r>
              </w:p>
            </w:tc>
          </w:sdtContent>
        </w:sdt>
        <w:tc>
          <w:tcPr>
            <w:tcW w:w="1176" w:type="pct"/>
            <w:vAlign w:val="bottom"/>
          </w:tcPr>
          <w:p w14:paraId="63522EBB">
            <w:pPr>
              <w:pStyle w:val="50"/>
              <w:ind w:firstLine="0" w:firstLineChars="0"/>
              <w:jc w:val="right"/>
              <w:rPr>
                <w:rFonts w:ascii="Times New Roman" w:hAnsi="Times New Roman"/>
                <w:szCs w:val="21"/>
              </w:rPr>
            </w:pPr>
            <w:r>
              <w:rPr>
                <w:rFonts w:hint="eastAsia" w:ascii="Times New Roman" w:hAnsi="Times New Roman"/>
                <w:szCs w:val="21"/>
              </w:rPr>
              <w:t>3,207,731,942.85</w:t>
            </w:r>
          </w:p>
        </w:tc>
        <w:tc>
          <w:tcPr>
            <w:tcW w:w="1098" w:type="pct"/>
            <w:vAlign w:val="bottom"/>
          </w:tcPr>
          <w:p w14:paraId="6A349BBB">
            <w:pPr>
              <w:pStyle w:val="50"/>
              <w:ind w:firstLine="0" w:firstLineChars="0"/>
              <w:jc w:val="right"/>
              <w:rPr>
                <w:rFonts w:ascii="Times New Roman" w:hAnsi="Times New Roman"/>
                <w:szCs w:val="21"/>
              </w:rPr>
            </w:pPr>
            <w:r>
              <w:rPr>
                <w:rFonts w:hint="eastAsia" w:ascii="Times New Roman" w:hAnsi="Times New Roman"/>
                <w:szCs w:val="21"/>
              </w:rPr>
              <w:t>5,204,229,384.76</w:t>
            </w:r>
          </w:p>
        </w:tc>
        <w:tc>
          <w:tcPr>
            <w:tcW w:w="1019" w:type="pct"/>
            <w:vAlign w:val="bottom"/>
          </w:tcPr>
          <w:p w14:paraId="069F2BF3">
            <w:pPr>
              <w:pStyle w:val="50"/>
              <w:ind w:firstLine="0" w:firstLineChars="0"/>
              <w:jc w:val="right"/>
              <w:rPr>
                <w:rFonts w:ascii="Times New Roman" w:hAnsi="Times New Roman"/>
                <w:szCs w:val="21"/>
              </w:rPr>
            </w:pPr>
            <w:r>
              <w:rPr>
                <w:rFonts w:hint="eastAsia" w:ascii="Times New Roman" w:hAnsi="Times New Roman"/>
                <w:szCs w:val="21"/>
              </w:rPr>
              <w:t>-38.36</w:t>
            </w:r>
          </w:p>
        </w:tc>
      </w:tr>
      <w:tr w14:paraId="127F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43930b444784190b0545eacad3472d8"/>
            <w:id w:val="-359968539"/>
          </w:sdtPr>
          <w:sdtContent>
            <w:tc>
              <w:tcPr>
                <w:tcW w:w="1706" w:type="pct"/>
              </w:tcPr>
              <w:p w14:paraId="0EF1FE1E">
                <w:pPr>
                  <w:pStyle w:val="50"/>
                  <w:ind w:firstLine="0" w:firstLineChars="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营业成本</w:t>
                </w:r>
              </w:p>
            </w:tc>
          </w:sdtContent>
        </w:sdt>
        <w:tc>
          <w:tcPr>
            <w:tcW w:w="1176" w:type="pct"/>
            <w:vAlign w:val="bottom"/>
          </w:tcPr>
          <w:p w14:paraId="6C8E3F63">
            <w:pPr>
              <w:pStyle w:val="50"/>
              <w:ind w:firstLine="0" w:firstLineChars="0"/>
              <w:jc w:val="right"/>
              <w:rPr>
                <w:rFonts w:ascii="Times New Roman" w:hAnsi="Times New Roman"/>
                <w:szCs w:val="21"/>
              </w:rPr>
            </w:pPr>
            <w:r>
              <w:rPr>
                <w:rFonts w:hint="eastAsia" w:ascii="Times New Roman" w:hAnsi="Times New Roman"/>
                <w:szCs w:val="21"/>
              </w:rPr>
              <w:t>2,758,166,135.56</w:t>
            </w:r>
          </w:p>
        </w:tc>
        <w:tc>
          <w:tcPr>
            <w:tcW w:w="1098" w:type="pct"/>
            <w:vAlign w:val="bottom"/>
          </w:tcPr>
          <w:p w14:paraId="210DDD7D">
            <w:pPr>
              <w:pStyle w:val="50"/>
              <w:ind w:firstLine="0" w:firstLineChars="0"/>
              <w:jc w:val="right"/>
              <w:rPr>
                <w:rFonts w:ascii="Times New Roman" w:hAnsi="Times New Roman"/>
                <w:szCs w:val="21"/>
              </w:rPr>
            </w:pPr>
            <w:r>
              <w:rPr>
                <w:rFonts w:hint="eastAsia" w:ascii="Times New Roman" w:hAnsi="Times New Roman"/>
                <w:szCs w:val="21"/>
              </w:rPr>
              <w:t>4,519,705,718.89</w:t>
            </w:r>
          </w:p>
        </w:tc>
        <w:tc>
          <w:tcPr>
            <w:tcW w:w="1019" w:type="pct"/>
            <w:vAlign w:val="bottom"/>
          </w:tcPr>
          <w:p w14:paraId="6A179ED4">
            <w:pPr>
              <w:pStyle w:val="50"/>
              <w:ind w:firstLine="0" w:firstLineChars="0"/>
              <w:jc w:val="right"/>
              <w:rPr>
                <w:rFonts w:ascii="Times New Roman" w:hAnsi="Times New Roman"/>
                <w:szCs w:val="21"/>
              </w:rPr>
            </w:pPr>
            <w:r>
              <w:rPr>
                <w:rFonts w:hint="eastAsia" w:ascii="Times New Roman" w:hAnsi="Times New Roman"/>
                <w:szCs w:val="21"/>
              </w:rPr>
              <w:t>-38.97</w:t>
            </w:r>
          </w:p>
        </w:tc>
      </w:tr>
      <w:tr w14:paraId="1A71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140de3631dd486996919c00b7b71b20"/>
            <w:id w:val="-1518459136"/>
          </w:sdtPr>
          <w:sdtContent>
            <w:tc>
              <w:tcPr>
                <w:tcW w:w="1706" w:type="pct"/>
              </w:tcPr>
              <w:p w14:paraId="17D2CDB3">
                <w:pPr>
                  <w:pStyle w:val="50"/>
                  <w:ind w:firstLine="0" w:firstLineChars="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销售费用</w:t>
                </w:r>
              </w:p>
            </w:tc>
          </w:sdtContent>
        </w:sdt>
        <w:tc>
          <w:tcPr>
            <w:tcW w:w="1176" w:type="pct"/>
            <w:vAlign w:val="bottom"/>
          </w:tcPr>
          <w:p w14:paraId="3809E026">
            <w:pPr>
              <w:pStyle w:val="50"/>
              <w:ind w:firstLine="0" w:firstLineChars="0"/>
              <w:jc w:val="right"/>
              <w:rPr>
                <w:rFonts w:ascii="Times New Roman" w:hAnsi="Times New Roman"/>
                <w:szCs w:val="21"/>
              </w:rPr>
            </w:pPr>
            <w:r>
              <w:rPr>
                <w:rFonts w:hint="eastAsia" w:ascii="Times New Roman" w:hAnsi="Times New Roman"/>
                <w:szCs w:val="21"/>
              </w:rPr>
              <w:t>114,303,971.14</w:t>
            </w:r>
          </w:p>
        </w:tc>
        <w:tc>
          <w:tcPr>
            <w:tcW w:w="1098" w:type="pct"/>
            <w:vAlign w:val="bottom"/>
          </w:tcPr>
          <w:p w14:paraId="2D5518D8">
            <w:pPr>
              <w:pStyle w:val="50"/>
              <w:ind w:firstLine="0" w:firstLineChars="0"/>
              <w:jc w:val="right"/>
              <w:rPr>
                <w:rFonts w:ascii="Times New Roman" w:hAnsi="Times New Roman"/>
                <w:szCs w:val="21"/>
              </w:rPr>
            </w:pPr>
            <w:r>
              <w:rPr>
                <w:rFonts w:hint="eastAsia" w:ascii="Times New Roman" w:hAnsi="Times New Roman"/>
                <w:szCs w:val="21"/>
              </w:rPr>
              <w:t>172,992,168.56</w:t>
            </w:r>
          </w:p>
        </w:tc>
        <w:tc>
          <w:tcPr>
            <w:tcW w:w="1019" w:type="pct"/>
            <w:vAlign w:val="bottom"/>
          </w:tcPr>
          <w:p w14:paraId="7AC31360">
            <w:pPr>
              <w:pStyle w:val="50"/>
              <w:ind w:firstLine="0" w:firstLineChars="0"/>
              <w:jc w:val="right"/>
              <w:rPr>
                <w:rFonts w:ascii="Times New Roman" w:hAnsi="Times New Roman"/>
                <w:szCs w:val="21"/>
              </w:rPr>
            </w:pPr>
            <w:r>
              <w:rPr>
                <w:rFonts w:hint="eastAsia" w:ascii="Times New Roman" w:hAnsi="Times New Roman"/>
                <w:szCs w:val="21"/>
              </w:rPr>
              <w:t>-33.93</w:t>
            </w:r>
          </w:p>
        </w:tc>
      </w:tr>
      <w:tr w14:paraId="0ED11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448b6c19be4461084a37286c6a46673"/>
            <w:id w:val="1872021522"/>
          </w:sdtPr>
          <w:sdtContent>
            <w:tc>
              <w:tcPr>
                <w:tcW w:w="1706" w:type="pct"/>
              </w:tcPr>
              <w:p w14:paraId="51255329">
                <w:pPr>
                  <w:pStyle w:val="50"/>
                  <w:ind w:firstLine="0" w:firstLineChars="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管理费用</w:t>
                </w:r>
              </w:p>
            </w:tc>
          </w:sdtContent>
        </w:sdt>
        <w:tc>
          <w:tcPr>
            <w:tcW w:w="1176" w:type="pct"/>
            <w:vAlign w:val="bottom"/>
          </w:tcPr>
          <w:p w14:paraId="2B8CC17E">
            <w:pPr>
              <w:pStyle w:val="50"/>
              <w:ind w:firstLine="0" w:firstLineChars="0"/>
              <w:jc w:val="right"/>
              <w:rPr>
                <w:rFonts w:ascii="Times New Roman" w:hAnsi="Times New Roman"/>
                <w:szCs w:val="21"/>
              </w:rPr>
            </w:pPr>
            <w:r>
              <w:rPr>
                <w:rFonts w:hint="eastAsia" w:ascii="Times New Roman" w:hAnsi="Times New Roman"/>
                <w:szCs w:val="21"/>
              </w:rPr>
              <w:t>277,091,465.72</w:t>
            </w:r>
          </w:p>
        </w:tc>
        <w:tc>
          <w:tcPr>
            <w:tcW w:w="1098" w:type="pct"/>
            <w:vAlign w:val="bottom"/>
          </w:tcPr>
          <w:p w14:paraId="3F87B3C5">
            <w:pPr>
              <w:pStyle w:val="50"/>
              <w:ind w:firstLine="0" w:firstLineChars="0"/>
              <w:jc w:val="right"/>
              <w:rPr>
                <w:rFonts w:ascii="Times New Roman" w:hAnsi="Times New Roman"/>
                <w:szCs w:val="21"/>
              </w:rPr>
            </w:pPr>
            <w:r>
              <w:rPr>
                <w:rFonts w:hint="eastAsia" w:ascii="Times New Roman" w:hAnsi="Times New Roman"/>
                <w:szCs w:val="21"/>
              </w:rPr>
              <w:t>306,136,331.59</w:t>
            </w:r>
          </w:p>
        </w:tc>
        <w:tc>
          <w:tcPr>
            <w:tcW w:w="1019" w:type="pct"/>
            <w:vAlign w:val="bottom"/>
          </w:tcPr>
          <w:p w14:paraId="2F1C49C6">
            <w:pPr>
              <w:pStyle w:val="50"/>
              <w:ind w:firstLine="0" w:firstLineChars="0"/>
              <w:jc w:val="right"/>
              <w:rPr>
                <w:rFonts w:ascii="Times New Roman" w:hAnsi="Times New Roman"/>
                <w:szCs w:val="21"/>
              </w:rPr>
            </w:pPr>
            <w:r>
              <w:rPr>
                <w:rFonts w:hint="eastAsia" w:ascii="Times New Roman" w:hAnsi="Times New Roman"/>
                <w:szCs w:val="21"/>
              </w:rPr>
              <w:t>-9.49</w:t>
            </w:r>
          </w:p>
        </w:tc>
      </w:tr>
      <w:tr w14:paraId="181F9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989f363470245b8a8044d51af95f876"/>
            <w:id w:val="-1280717182"/>
          </w:sdtPr>
          <w:sdtContent>
            <w:tc>
              <w:tcPr>
                <w:tcW w:w="1706" w:type="pct"/>
              </w:tcPr>
              <w:p w14:paraId="51DA22E2">
                <w:pPr>
                  <w:pStyle w:val="50"/>
                  <w:ind w:firstLine="0" w:firstLineChars="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财务费用</w:t>
                </w:r>
              </w:p>
            </w:tc>
          </w:sdtContent>
        </w:sdt>
        <w:tc>
          <w:tcPr>
            <w:tcW w:w="1176" w:type="pct"/>
            <w:vAlign w:val="bottom"/>
          </w:tcPr>
          <w:p w14:paraId="6F3805AC">
            <w:pPr>
              <w:pStyle w:val="50"/>
              <w:ind w:firstLine="0" w:firstLineChars="0"/>
              <w:jc w:val="right"/>
              <w:rPr>
                <w:rFonts w:ascii="Times New Roman" w:hAnsi="Times New Roman"/>
                <w:szCs w:val="21"/>
              </w:rPr>
            </w:pPr>
            <w:r>
              <w:rPr>
                <w:rFonts w:hint="eastAsia" w:ascii="Times New Roman" w:hAnsi="Times New Roman"/>
                <w:szCs w:val="21"/>
              </w:rPr>
              <w:t>-14,188,414.87</w:t>
            </w:r>
          </w:p>
        </w:tc>
        <w:tc>
          <w:tcPr>
            <w:tcW w:w="1098" w:type="pct"/>
            <w:vAlign w:val="bottom"/>
          </w:tcPr>
          <w:p w14:paraId="3E906ACE">
            <w:pPr>
              <w:pStyle w:val="50"/>
              <w:ind w:firstLine="0" w:firstLineChars="0"/>
              <w:jc w:val="right"/>
              <w:rPr>
                <w:rFonts w:ascii="Times New Roman" w:hAnsi="Times New Roman"/>
                <w:szCs w:val="21"/>
              </w:rPr>
            </w:pPr>
            <w:r>
              <w:rPr>
                <w:rFonts w:hint="eastAsia" w:ascii="Times New Roman" w:hAnsi="Times New Roman"/>
                <w:szCs w:val="21"/>
              </w:rPr>
              <w:t>-15,626,551.17</w:t>
            </w:r>
          </w:p>
        </w:tc>
        <w:tc>
          <w:tcPr>
            <w:tcW w:w="1019" w:type="pct"/>
            <w:vAlign w:val="bottom"/>
          </w:tcPr>
          <w:p w14:paraId="0E414A9D">
            <w:pPr>
              <w:pStyle w:val="50"/>
              <w:ind w:firstLine="0" w:firstLineChars="0"/>
              <w:jc w:val="right"/>
              <w:rPr>
                <w:rFonts w:ascii="Times New Roman" w:hAnsi="Times New Roman"/>
                <w:szCs w:val="21"/>
              </w:rPr>
            </w:pPr>
            <w:r>
              <w:rPr>
                <w:rFonts w:hint="eastAsia" w:ascii="Times New Roman" w:hAnsi="Times New Roman"/>
                <w:szCs w:val="21"/>
              </w:rPr>
              <w:t>不适用</w:t>
            </w:r>
          </w:p>
        </w:tc>
      </w:tr>
      <w:tr w14:paraId="396F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9aac573eb414fcbb6f291d963446057"/>
            <w:id w:val="-1131479145"/>
          </w:sdtPr>
          <w:sdtContent>
            <w:tc>
              <w:tcPr>
                <w:tcW w:w="1706" w:type="pct"/>
              </w:tcPr>
              <w:p w14:paraId="7A44C676">
                <w:pPr>
                  <w:pStyle w:val="50"/>
                  <w:ind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研发费用</w:t>
                </w:r>
              </w:p>
            </w:tc>
          </w:sdtContent>
        </w:sdt>
        <w:tc>
          <w:tcPr>
            <w:tcW w:w="1176" w:type="pct"/>
            <w:vAlign w:val="bottom"/>
          </w:tcPr>
          <w:p w14:paraId="61E79458">
            <w:pPr>
              <w:pStyle w:val="50"/>
              <w:ind w:firstLine="0" w:firstLineChars="0"/>
              <w:jc w:val="right"/>
              <w:rPr>
                <w:rFonts w:ascii="Times New Roman" w:hAnsi="Times New Roman"/>
                <w:szCs w:val="21"/>
              </w:rPr>
            </w:pPr>
            <w:r>
              <w:rPr>
                <w:rFonts w:hint="eastAsia" w:ascii="Times New Roman" w:hAnsi="Times New Roman"/>
                <w:szCs w:val="21"/>
              </w:rPr>
              <w:t>118,775,901.52</w:t>
            </w:r>
          </w:p>
        </w:tc>
        <w:tc>
          <w:tcPr>
            <w:tcW w:w="1098" w:type="pct"/>
            <w:vAlign w:val="bottom"/>
          </w:tcPr>
          <w:p w14:paraId="24560D75">
            <w:pPr>
              <w:pStyle w:val="50"/>
              <w:ind w:firstLine="0" w:firstLineChars="0"/>
              <w:jc w:val="right"/>
              <w:rPr>
                <w:rFonts w:ascii="Times New Roman" w:hAnsi="Times New Roman"/>
                <w:szCs w:val="21"/>
              </w:rPr>
            </w:pPr>
            <w:r>
              <w:rPr>
                <w:rFonts w:hint="eastAsia" w:ascii="Times New Roman" w:hAnsi="Times New Roman"/>
                <w:szCs w:val="21"/>
              </w:rPr>
              <w:t>158,017,862.43</w:t>
            </w:r>
          </w:p>
        </w:tc>
        <w:tc>
          <w:tcPr>
            <w:tcW w:w="1019" w:type="pct"/>
            <w:vAlign w:val="bottom"/>
          </w:tcPr>
          <w:p w14:paraId="57FF0262">
            <w:pPr>
              <w:pStyle w:val="50"/>
              <w:ind w:firstLine="0" w:firstLineChars="0"/>
              <w:jc w:val="right"/>
              <w:rPr>
                <w:rFonts w:ascii="Times New Roman" w:hAnsi="Times New Roman"/>
                <w:szCs w:val="21"/>
              </w:rPr>
            </w:pPr>
            <w:r>
              <w:rPr>
                <w:rFonts w:hint="eastAsia" w:ascii="Times New Roman" w:hAnsi="Times New Roman"/>
                <w:szCs w:val="21"/>
              </w:rPr>
              <w:t>-24.83</w:t>
            </w:r>
          </w:p>
        </w:tc>
      </w:tr>
      <w:tr w14:paraId="6470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e652539acb44f708b4f7202c302af4f"/>
            <w:id w:val="-1355413049"/>
          </w:sdtPr>
          <w:sdtContent>
            <w:tc>
              <w:tcPr>
                <w:tcW w:w="1706" w:type="pct"/>
              </w:tcPr>
              <w:p w14:paraId="1986554B">
                <w:pPr>
                  <w:pStyle w:val="50"/>
                  <w:ind w:firstLine="0" w:firstLineChars="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经营活动产生的现金流量净额</w:t>
                </w:r>
              </w:p>
            </w:tc>
          </w:sdtContent>
        </w:sdt>
        <w:tc>
          <w:tcPr>
            <w:tcW w:w="1176" w:type="pct"/>
            <w:vAlign w:val="bottom"/>
          </w:tcPr>
          <w:p w14:paraId="7C2C80C6">
            <w:pPr>
              <w:pStyle w:val="50"/>
              <w:ind w:firstLine="0" w:firstLineChars="0"/>
              <w:jc w:val="right"/>
              <w:rPr>
                <w:rFonts w:ascii="Times New Roman" w:hAnsi="Times New Roman"/>
                <w:szCs w:val="21"/>
              </w:rPr>
            </w:pPr>
            <w:r>
              <w:rPr>
                <w:rFonts w:hint="eastAsia" w:ascii="Times New Roman" w:hAnsi="Times New Roman"/>
                <w:szCs w:val="21"/>
              </w:rPr>
              <w:t>-896,712,065.16</w:t>
            </w:r>
          </w:p>
        </w:tc>
        <w:tc>
          <w:tcPr>
            <w:tcW w:w="1098" w:type="pct"/>
            <w:vAlign w:val="bottom"/>
          </w:tcPr>
          <w:p w14:paraId="628B83EB">
            <w:pPr>
              <w:pStyle w:val="50"/>
              <w:ind w:firstLine="0" w:firstLineChars="0"/>
              <w:jc w:val="right"/>
              <w:rPr>
                <w:rFonts w:ascii="Times New Roman" w:hAnsi="Times New Roman"/>
                <w:szCs w:val="21"/>
              </w:rPr>
            </w:pPr>
            <w:r>
              <w:rPr>
                <w:rFonts w:hint="eastAsia" w:ascii="Times New Roman" w:hAnsi="Times New Roman"/>
                <w:szCs w:val="21"/>
              </w:rPr>
              <w:t>-1,618,356,756.77</w:t>
            </w:r>
          </w:p>
        </w:tc>
        <w:tc>
          <w:tcPr>
            <w:tcW w:w="1019" w:type="pct"/>
            <w:vAlign w:val="bottom"/>
          </w:tcPr>
          <w:p w14:paraId="5D95ADAF">
            <w:pPr>
              <w:pStyle w:val="50"/>
              <w:ind w:firstLine="0" w:firstLineChars="0"/>
              <w:jc w:val="right"/>
              <w:rPr>
                <w:rFonts w:ascii="Times New Roman" w:hAnsi="Times New Roman"/>
                <w:szCs w:val="21"/>
              </w:rPr>
            </w:pPr>
            <w:r>
              <w:rPr>
                <w:rFonts w:hint="eastAsia" w:ascii="Times New Roman" w:hAnsi="Times New Roman"/>
                <w:szCs w:val="21"/>
              </w:rPr>
              <w:t>不适用</w:t>
            </w:r>
          </w:p>
        </w:tc>
      </w:tr>
      <w:tr w14:paraId="41925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3331660aee640afb46a84edc7e2d2a4"/>
            <w:id w:val="1546177478"/>
          </w:sdtPr>
          <w:sdtContent>
            <w:tc>
              <w:tcPr>
                <w:tcW w:w="1706" w:type="pct"/>
              </w:tcPr>
              <w:p w14:paraId="24082349">
                <w:pPr>
                  <w:pStyle w:val="50"/>
                  <w:ind w:firstLine="0" w:firstLineChars="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投资活动产生的现金流量净额</w:t>
                </w:r>
              </w:p>
            </w:tc>
          </w:sdtContent>
        </w:sdt>
        <w:tc>
          <w:tcPr>
            <w:tcW w:w="1176" w:type="pct"/>
            <w:vAlign w:val="bottom"/>
          </w:tcPr>
          <w:p w14:paraId="181F8552">
            <w:pPr>
              <w:pStyle w:val="50"/>
              <w:ind w:firstLine="0" w:firstLineChars="0"/>
              <w:jc w:val="right"/>
              <w:rPr>
                <w:rFonts w:ascii="Times New Roman" w:hAnsi="Times New Roman"/>
                <w:szCs w:val="21"/>
              </w:rPr>
            </w:pPr>
            <w:r>
              <w:rPr>
                <w:rFonts w:hint="eastAsia" w:ascii="Times New Roman" w:hAnsi="Times New Roman"/>
                <w:szCs w:val="21"/>
              </w:rPr>
              <w:t>-367,489,454.81</w:t>
            </w:r>
          </w:p>
        </w:tc>
        <w:tc>
          <w:tcPr>
            <w:tcW w:w="1098" w:type="pct"/>
            <w:vAlign w:val="bottom"/>
          </w:tcPr>
          <w:p w14:paraId="15D0A7AB">
            <w:pPr>
              <w:pStyle w:val="50"/>
              <w:ind w:firstLine="0" w:firstLineChars="0"/>
              <w:jc w:val="right"/>
              <w:rPr>
                <w:rFonts w:ascii="Times New Roman" w:hAnsi="Times New Roman"/>
                <w:szCs w:val="21"/>
              </w:rPr>
            </w:pPr>
            <w:r>
              <w:rPr>
                <w:rFonts w:hint="eastAsia" w:ascii="Times New Roman" w:hAnsi="Times New Roman"/>
                <w:szCs w:val="21"/>
              </w:rPr>
              <w:t>-160,025,239.13</w:t>
            </w:r>
          </w:p>
        </w:tc>
        <w:tc>
          <w:tcPr>
            <w:tcW w:w="1019" w:type="pct"/>
            <w:vAlign w:val="bottom"/>
          </w:tcPr>
          <w:p w14:paraId="221E30E1">
            <w:pPr>
              <w:pStyle w:val="50"/>
              <w:ind w:firstLine="0" w:firstLineChars="0"/>
              <w:jc w:val="right"/>
              <w:rPr>
                <w:rFonts w:ascii="Times New Roman" w:hAnsi="Times New Roman"/>
                <w:szCs w:val="21"/>
              </w:rPr>
            </w:pPr>
            <w:r>
              <w:rPr>
                <w:rFonts w:hint="eastAsia" w:ascii="Times New Roman" w:hAnsi="Times New Roman"/>
                <w:szCs w:val="21"/>
              </w:rPr>
              <w:t>不适用</w:t>
            </w:r>
          </w:p>
        </w:tc>
      </w:tr>
      <w:tr w14:paraId="0FB8A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e32eafcb28041f58b5df53597b43172"/>
            <w:id w:val="-629080064"/>
          </w:sdtPr>
          <w:sdtContent>
            <w:tc>
              <w:tcPr>
                <w:tcW w:w="1706" w:type="pct"/>
              </w:tcPr>
              <w:p w14:paraId="2489C038">
                <w:pPr>
                  <w:pStyle w:val="50"/>
                  <w:ind w:firstLine="0" w:firstLineChars="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筹资活动产生的现金流量净额</w:t>
                </w:r>
              </w:p>
            </w:tc>
          </w:sdtContent>
        </w:sdt>
        <w:tc>
          <w:tcPr>
            <w:tcW w:w="1176" w:type="pct"/>
            <w:vAlign w:val="bottom"/>
          </w:tcPr>
          <w:p w14:paraId="110B534E">
            <w:pPr>
              <w:pStyle w:val="50"/>
              <w:ind w:firstLine="0" w:firstLineChars="0"/>
              <w:jc w:val="right"/>
              <w:rPr>
                <w:rFonts w:ascii="Times New Roman" w:hAnsi="Times New Roman"/>
                <w:szCs w:val="21"/>
              </w:rPr>
            </w:pPr>
            <w:r>
              <w:rPr>
                <w:rFonts w:hint="eastAsia" w:ascii="Times New Roman" w:hAnsi="Times New Roman"/>
                <w:szCs w:val="21"/>
              </w:rPr>
              <w:t>1,742,522,867.91</w:t>
            </w:r>
          </w:p>
        </w:tc>
        <w:tc>
          <w:tcPr>
            <w:tcW w:w="1098" w:type="pct"/>
            <w:vAlign w:val="bottom"/>
          </w:tcPr>
          <w:p w14:paraId="074DC9A3">
            <w:pPr>
              <w:pStyle w:val="50"/>
              <w:ind w:firstLine="0" w:firstLineChars="0"/>
              <w:jc w:val="right"/>
              <w:rPr>
                <w:rFonts w:ascii="Times New Roman" w:hAnsi="Times New Roman"/>
                <w:szCs w:val="21"/>
              </w:rPr>
            </w:pPr>
            <w:r>
              <w:rPr>
                <w:rFonts w:hint="eastAsia" w:ascii="Times New Roman" w:hAnsi="Times New Roman"/>
                <w:szCs w:val="21"/>
              </w:rPr>
              <w:t>-661,018,543.32</w:t>
            </w:r>
          </w:p>
        </w:tc>
        <w:tc>
          <w:tcPr>
            <w:tcW w:w="1019" w:type="pct"/>
            <w:vAlign w:val="bottom"/>
          </w:tcPr>
          <w:p w14:paraId="35E3BBBA">
            <w:pPr>
              <w:pStyle w:val="50"/>
              <w:ind w:firstLine="0" w:firstLineChars="0"/>
              <w:jc w:val="right"/>
              <w:rPr>
                <w:rFonts w:ascii="Times New Roman" w:hAnsi="Times New Roman"/>
                <w:szCs w:val="21"/>
              </w:rPr>
            </w:pPr>
            <w:r>
              <w:rPr>
                <w:rFonts w:hint="eastAsia" w:ascii="Times New Roman" w:hAnsi="Times New Roman"/>
                <w:szCs w:val="21"/>
              </w:rPr>
              <w:t>不适用</w:t>
            </w:r>
          </w:p>
        </w:tc>
      </w:tr>
      <w:bookmarkEnd w:id="39"/>
    </w:tbl>
    <w:p w14:paraId="698E93EA">
      <w:pPr>
        <w:pStyle w:val="50"/>
        <w:ind w:firstLine="0" w:firstLineChars="0"/>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营业收入变动原因说明：</w:t>
      </w:r>
      <w:sdt>
        <w:sdtPr>
          <w:rPr>
            <w:rFonts w:ascii="Times New Roman" w:hAnsi="Times New Roman"/>
            <w:color w:val="000000" w:themeColor="text1"/>
            <w:szCs w:val="21"/>
            <w14:textFill>
              <w14:solidFill>
                <w14:schemeClr w14:val="tx1"/>
              </w14:solidFill>
            </w14:textFill>
          </w:rPr>
          <w:alias w:val="营业收入变动原因说明"/>
          <w:tag w:val="_GBC_f42c61e6c2ef46fe886ea6ecdd4ea15b"/>
          <w:id w:val="1480879493"/>
        </w:sdtPr>
        <w:sdtEndPr>
          <w:rPr>
            <w:rFonts w:ascii="Times New Roman" w:hAnsi="Times New Roman"/>
            <w:color w:val="000000" w:themeColor="text1"/>
            <w:szCs w:val="21"/>
            <w14:textFill>
              <w14:solidFill>
                <w14:schemeClr w14:val="tx1"/>
              </w14:solidFill>
            </w14:textFill>
          </w:rPr>
        </w:sdtEndPr>
        <w:sdtContent>
          <w:r>
            <w:rPr>
              <w:rFonts w:ascii="Times New Roman" w:hAnsi="Times New Roman"/>
              <w:color w:val="000000" w:themeColor="text1"/>
              <w:szCs w:val="21"/>
              <w14:textFill>
                <w14:solidFill>
                  <w14:schemeClr w14:val="tx1"/>
                </w14:solidFill>
              </w14:textFill>
            </w:rPr>
            <w:t>主要系重点客户订单量减少，部分新研产品尚未形成增量订单，导致营业收入同比降低。</w:t>
          </w:r>
        </w:sdtContent>
      </w:sdt>
    </w:p>
    <w:p w14:paraId="69C9AA85">
      <w:pPr>
        <w:pStyle w:val="50"/>
        <w:ind w:firstLine="0" w:firstLineChars="0"/>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营业成本变动原因说明：</w:t>
      </w:r>
      <w:sdt>
        <w:sdtPr>
          <w:rPr>
            <w:rFonts w:hint="eastAsia" w:ascii="Times New Roman" w:hAnsi="Times New Roman"/>
            <w:color w:val="000000" w:themeColor="text1"/>
            <w14:textFill>
              <w14:solidFill>
                <w14:schemeClr w14:val="tx1"/>
              </w14:solidFill>
            </w14:textFill>
          </w:rPr>
          <w:alias w:val="营业成本变动原因说明"/>
          <w:tag w:val="_GBC_4ab47071f9844da58abe164f6bd272aa"/>
          <w:id w:val="-789741777"/>
        </w:sdtPr>
        <w:sdtEndPr>
          <w:rPr>
            <w:rFonts w:hint="eastAsia" w:ascii="Times New Roman" w:hAnsi="Times New Roman"/>
            <w:color w:val="000000" w:themeColor="text1"/>
            <w14:textFill>
              <w14:solidFill>
                <w14:schemeClr w14:val="tx1"/>
              </w14:solidFill>
            </w14:textFill>
          </w:rPr>
        </w:sdtEndPr>
        <w:sdtContent>
          <w:r>
            <w:rPr>
              <w:rFonts w:hint="eastAsia" w:ascii="Times New Roman" w:hAnsi="Times New Roman"/>
              <w:color w:val="000000" w:themeColor="text1"/>
              <w14:textFill>
                <w14:solidFill>
                  <w14:schemeClr w14:val="tx1"/>
                </w14:solidFill>
              </w14:textFill>
            </w:rPr>
            <w:t>主要系营业收入规模减少所致。</w:t>
          </w:r>
        </w:sdtContent>
      </w:sdt>
    </w:p>
    <w:p w14:paraId="6771F7CC">
      <w:pPr>
        <w:pStyle w:val="50"/>
        <w:ind w:firstLine="0" w:firstLineChars="0"/>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销售费用变动原因说明：</w:t>
      </w:r>
      <w:sdt>
        <w:sdtPr>
          <w:rPr>
            <w:rFonts w:hint="eastAsia" w:ascii="Times New Roman" w:hAnsi="Times New Roman"/>
            <w:color w:val="000000" w:themeColor="text1"/>
            <w14:textFill>
              <w14:solidFill>
                <w14:schemeClr w14:val="tx1"/>
              </w14:solidFill>
            </w14:textFill>
          </w:rPr>
          <w:alias w:val="销售费用变动原因说明"/>
          <w:tag w:val="_GBC_d8f3d3236009445ca57b171f1c954fae"/>
          <w:id w:val="-1828355575"/>
        </w:sdtPr>
        <w:sdtEndPr>
          <w:rPr>
            <w:rFonts w:hint="eastAsia" w:ascii="Times New Roman" w:hAnsi="Times New Roman"/>
            <w:color w:val="000000" w:themeColor="text1"/>
            <w14:textFill>
              <w14:solidFill>
                <w14:schemeClr w14:val="tx1"/>
              </w14:solidFill>
            </w14:textFill>
          </w:rPr>
        </w:sdtEndPr>
        <w:sdtContent>
          <w:r>
            <w:rPr>
              <w:rFonts w:hint="eastAsia" w:ascii="Times New Roman" w:hAnsi="Times New Roman"/>
              <w:color w:val="000000" w:themeColor="text1"/>
              <w14:textFill>
                <w14:solidFill>
                  <w14:schemeClr w14:val="tx1"/>
                </w14:solidFill>
              </w14:textFill>
            </w:rPr>
            <w:t>主要系销售订单承揽减少导致销售人员绩效等费用降低。</w:t>
          </w:r>
        </w:sdtContent>
      </w:sdt>
    </w:p>
    <w:p w14:paraId="7760890C">
      <w:pPr>
        <w:pStyle w:val="50"/>
        <w:ind w:firstLine="0" w:firstLineChars="0"/>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szCs w:val="21"/>
          <w14:textFill>
            <w14:solidFill>
              <w14:schemeClr w14:val="tx1"/>
            </w14:solidFill>
          </w14:textFill>
        </w:rPr>
        <w:t>经营活动产生的现金流量净额</w:t>
      </w:r>
      <w:r>
        <w:rPr>
          <w:rFonts w:hint="eastAsia" w:ascii="Times New Roman" w:hAnsi="Times New Roman"/>
          <w:color w:val="000000" w:themeColor="text1"/>
          <w:szCs w:val="21"/>
          <w14:textFill>
            <w14:solidFill>
              <w14:schemeClr w14:val="tx1"/>
            </w14:solidFill>
          </w14:textFill>
        </w:rPr>
        <w:t>变动原因说明：</w:t>
      </w:r>
      <w:sdt>
        <w:sdtPr>
          <w:rPr>
            <w:rFonts w:hint="eastAsia" w:ascii="Times New Roman" w:hAnsi="Times New Roman"/>
            <w:color w:val="000000" w:themeColor="text1"/>
            <w:szCs w:val="21"/>
            <w14:textFill>
              <w14:solidFill>
                <w14:schemeClr w14:val="tx1"/>
              </w14:solidFill>
            </w14:textFill>
          </w:rPr>
          <w:alias w:val="经营活动产生的现金流量净额变动原因说明"/>
          <w:tag w:val="_GBC_309323bb8b0046e9bb6afe0231994d50"/>
          <w:id w:val="-324516672"/>
          <w:placeholder>
            <w:docPart w:val="{675547d5-2fbb-4aba-a866-9ee596c17de6}"/>
          </w:placeholder>
        </w:sdtPr>
        <w:sdtEndPr>
          <w:rPr>
            <w:rFonts w:hint="eastAsia" w:ascii="Times New Roman" w:hAnsi="Times New Roman"/>
            <w:color w:val="000000" w:themeColor="text1"/>
            <w:szCs w:val="21"/>
            <w14:textFill>
              <w14:solidFill>
                <w14:schemeClr w14:val="tx1"/>
              </w14:solidFill>
            </w14:textFill>
          </w:rPr>
        </w:sdtEndPr>
        <w:sdtContent>
          <w:r>
            <w:rPr>
              <w:rFonts w:hint="eastAsia" w:ascii="Times New Roman" w:hAnsi="Times New Roman"/>
              <w:color w:val="000000" w:themeColor="text1"/>
              <w:szCs w:val="21"/>
              <w14:textFill>
                <w14:solidFill>
                  <w14:schemeClr w14:val="tx1"/>
                </w14:solidFill>
              </w14:textFill>
            </w:rPr>
            <w:t>主要系购买商品、接受劳务支付的现金同比减少所致。</w:t>
          </w:r>
        </w:sdtContent>
      </w:sdt>
    </w:p>
    <w:p w14:paraId="406F561A">
      <w:pPr>
        <w:pStyle w:val="50"/>
        <w:ind w:firstLine="0" w:firstLineChars="0"/>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szCs w:val="21"/>
          <w14:textFill>
            <w14:solidFill>
              <w14:schemeClr w14:val="tx1"/>
            </w14:solidFill>
          </w14:textFill>
        </w:rPr>
        <w:t>投资活动产生的现金流量净额</w:t>
      </w:r>
      <w:r>
        <w:rPr>
          <w:rFonts w:hint="eastAsia" w:ascii="Times New Roman" w:hAnsi="Times New Roman"/>
          <w:color w:val="000000" w:themeColor="text1"/>
          <w:szCs w:val="21"/>
          <w14:textFill>
            <w14:solidFill>
              <w14:schemeClr w14:val="tx1"/>
            </w14:solidFill>
          </w14:textFill>
        </w:rPr>
        <w:t>变动原因说明：</w:t>
      </w:r>
      <w:sdt>
        <w:sdtPr>
          <w:rPr>
            <w:rFonts w:hint="eastAsia" w:ascii="Times New Roman" w:hAnsi="Times New Roman"/>
            <w:color w:val="000000" w:themeColor="text1"/>
            <w:szCs w:val="21"/>
            <w14:textFill>
              <w14:solidFill>
                <w14:schemeClr w14:val="tx1"/>
              </w14:solidFill>
            </w14:textFill>
          </w:rPr>
          <w:alias w:val="投资活动产生的现金流量净额变动原因说明"/>
          <w:tag w:val="_GBC_981bcb9573814b8080b52fae435fb1b0"/>
          <w:id w:val="-947234684"/>
          <w:placeholder>
            <w:docPart w:val="{675547d5-2fbb-4aba-a866-9ee596c17de6}"/>
          </w:placeholder>
        </w:sdtPr>
        <w:sdtEndPr>
          <w:rPr>
            <w:rFonts w:hint="eastAsia" w:ascii="Times New Roman" w:hAnsi="Times New Roman"/>
            <w:color w:val="000000" w:themeColor="text1"/>
            <w:szCs w:val="21"/>
            <w14:textFill>
              <w14:solidFill>
                <w14:schemeClr w14:val="tx1"/>
              </w14:solidFill>
            </w14:textFill>
          </w:rPr>
        </w:sdtEndPr>
        <w:sdtContent>
          <w:r>
            <w:rPr>
              <w:rFonts w:hint="eastAsia" w:ascii="Times New Roman" w:hAnsi="Times New Roman"/>
              <w:color w:val="000000" w:themeColor="text1"/>
              <w:szCs w:val="21"/>
              <w14:textFill>
                <w14:solidFill>
                  <w14:schemeClr w14:val="tx1"/>
                </w14:solidFill>
              </w14:textFill>
            </w:rPr>
            <w:t>主要系报告期内公司围绕传统产业数智化升级、战新产业布局，建设部分功能性产品生产线导致购建固定资产、无形资产和其他长期资产支付的现金同比增加。</w:t>
          </w:r>
        </w:sdtContent>
      </w:sdt>
    </w:p>
    <w:p w14:paraId="13DBBDCD">
      <w:pPr>
        <w:pStyle w:val="50"/>
        <w:ind w:firstLine="0" w:firstLineChars="0"/>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szCs w:val="21"/>
          <w14:textFill>
            <w14:solidFill>
              <w14:schemeClr w14:val="tx1"/>
            </w14:solidFill>
          </w14:textFill>
        </w:rPr>
        <w:t>筹资活动产生的现金流量净额</w:t>
      </w:r>
      <w:r>
        <w:rPr>
          <w:rFonts w:hint="eastAsia" w:ascii="Times New Roman" w:hAnsi="Times New Roman"/>
          <w:color w:val="000000" w:themeColor="text1"/>
          <w:szCs w:val="21"/>
          <w14:textFill>
            <w14:solidFill>
              <w14:schemeClr w14:val="tx1"/>
            </w14:solidFill>
          </w14:textFill>
        </w:rPr>
        <w:t>变动原因说明：</w:t>
      </w:r>
      <w:sdt>
        <w:sdtPr>
          <w:rPr>
            <w:rFonts w:hint="eastAsia" w:ascii="Times New Roman" w:hAnsi="Times New Roman"/>
            <w:color w:val="000000" w:themeColor="text1"/>
            <w:szCs w:val="21"/>
            <w14:textFill>
              <w14:solidFill>
                <w14:schemeClr w14:val="tx1"/>
              </w14:solidFill>
            </w14:textFill>
          </w:rPr>
          <w:alias w:val="筹资活动产生的现金流量净额变动原因说明"/>
          <w:tag w:val="_GBC_900a9d8acfac4ec18a35c4034161c13e"/>
          <w:id w:val="433484247"/>
          <w:placeholder>
            <w:docPart w:val="{675547d5-2fbb-4aba-a866-9ee596c17de6}"/>
          </w:placeholder>
        </w:sdtPr>
        <w:sdtEndPr>
          <w:rPr>
            <w:rFonts w:hint="eastAsia" w:ascii="Times New Roman" w:hAnsi="Times New Roman"/>
            <w:color w:val="000000" w:themeColor="text1"/>
            <w:szCs w:val="21"/>
            <w14:textFill>
              <w14:solidFill>
                <w14:schemeClr w14:val="tx1"/>
              </w14:solidFill>
            </w14:textFill>
          </w:rPr>
        </w:sdtEndPr>
        <w:sdtContent>
          <w:r>
            <w:rPr>
              <w:rFonts w:hint="eastAsia" w:ascii="Times New Roman" w:hAnsi="Times New Roman"/>
              <w:color w:val="000000" w:themeColor="text1"/>
              <w:szCs w:val="21"/>
              <w14:textFill>
                <w14:solidFill>
                  <w14:schemeClr w14:val="tx1"/>
                </w14:solidFill>
              </w14:textFill>
            </w:rPr>
            <w:t>主要系取得借款收到的现金同比增加所致。</w:t>
          </w:r>
        </w:sdtContent>
      </w:sdt>
    </w:p>
    <w:p w14:paraId="5C66D8E1"/>
    <w:p w14:paraId="636868B0"/>
    <w:p w14:paraId="112F6C15">
      <w:pPr>
        <w:pStyle w:val="58"/>
        <w:numPr>
          <w:ilvl w:val="0"/>
          <w:numId w:val="8"/>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本期公司业务类型、利润构成或利润来源发生重大变动的详细说明</w:t>
      </w:r>
    </w:p>
    <w:sdt>
      <w:sdtPr>
        <w:rPr>
          <w:color w:val="000000" w:themeColor="text1"/>
          <w14:textFill>
            <w14:solidFill>
              <w14:schemeClr w14:val="tx1"/>
            </w14:solidFill>
          </w14:textFill>
        </w:rPr>
        <w:alias w:val="是否适用：公司利润构成或利润来源发生重大变动的详细说明[双击切换]"/>
        <w:tag w:val="_GBC_cf62b49cb7b54052a77aa6c4ec7218c8"/>
        <w:id w:val="147482480"/>
        <w:placeholder>
          <w:docPart w:val="GBC22222222222222222222222222222"/>
        </w:placeholder>
      </w:sdtPr>
      <w:sdtEndPr>
        <w:rPr>
          <w:color w:val="000000" w:themeColor="text1"/>
          <w14:textFill>
            <w14:solidFill>
              <w14:schemeClr w14:val="tx1"/>
            </w14:solidFill>
          </w14:textFill>
        </w:rPr>
      </w:sdtEndPr>
      <w:sdtContent>
        <w:p w14:paraId="289556D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40BB0CF">
      <w:pPr>
        <w:rPr>
          <w:color w:val="000000" w:themeColor="text1"/>
          <w14:textFill>
            <w14:solidFill>
              <w14:schemeClr w14:val="tx1"/>
            </w14:solidFill>
          </w14:textFill>
        </w:rPr>
      </w:pPr>
    </w:p>
    <w:p w14:paraId="5AC1932F">
      <w:pPr>
        <w:pStyle w:val="57"/>
        <w:numPr>
          <w:ilvl w:val="0"/>
          <w:numId w:val="7"/>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非主营业务导致利润重大变化的说明</w:t>
      </w:r>
    </w:p>
    <w:sdt>
      <w:sdtPr>
        <w:rPr>
          <w:rFonts w:hint="eastAsia"/>
          <w:color w:val="000000" w:themeColor="text1"/>
          <w14:textFill>
            <w14:solidFill>
              <w14:schemeClr w14:val="tx1"/>
            </w14:solidFill>
          </w14:textFill>
        </w:rPr>
        <w:alias w:val="是否适用：非主营业务来源分析[双击切换]"/>
        <w:tag w:val="_GBC_45f0580c6f114551af0270412b25ccd0"/>
        <w:id w:val="147463749"/>
        <w:placeholder>
          <w:docPart w:val="GBC22222222222222222222222222222"/>
        </w:placeholder>
      </w:sdtPr>
      <w:sdtEndPr>
        <w:rPr>
          <w:rFonts w:hint="eastAsia"/>
          <w:color w:val="000000" w:themeColor="text1"/>
          <w14:textFill>
            <w14:solidFill>
              <w14:schemeClr w14:val="tx1"/>
            </w14:solidFill>
          </w14:textFill>
        </w:rPr>
      </w:sdtEndPr>
      <w:sdtContent>
        <w:p w14:paraId="12DC341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E8C565D">
      <w:pPr>
        <w:rPr>
          <w:color w:val="000000" w:themeColor="text1"/>
          <w14:textFill>
            <w14:solidFill>
              <w14:schemeClr w14:val="tx1"/>
            </w14:solidFill>
          </w14:textFill>
        </w:rPr>
        <w:sectPr>
          <w:pgSz w:w="11906" w:h="16838"/>
          <w:pgMar w:top="1525" w:right="1276" w:bottom="1440" w:left="1797" w:header="851" w:footer="992" w:gutter="0"/>
          <w:cols w:space="425" w:num="1"/>
          <w:docGrid w:linePitch="312" w:charSpace="0"/>
        </w:sectPr>
      </w:pPr>
    </w:p>
    <w:p w14:paraId="43A606FD">
      <w:pPr>
        <w:rPr>
          <w:color w:val="000000" w:themeColor="text1"/>
          <w14:textFill>
            <w14:solidFill>
              <w14:schemeClr w14:val="tx1"/>
            </w14:solidFill>
          </w14:textFill>
        </w:rPr>
      </w:pPr>
    </w:p>
    <w:p w14:paraId="3B8C1D5D">
      <w:pPr>
        <w:pStyle w:val="57"/>
        <w:numPr>
          <w:ilvl w:val="0"/>
          <w:numId w:val="7"/>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资产、负债情况分析</w:t>
      </w:r>
    </w:p>
    <w:p w14:paraId="291514DE">
      <w:pPr>
        <w:rPr>
          <w:color w:val="000000" w:themeColor="text1"/>
          <w14:textFill>
            <w14:solidFill>
              <w14:schemeClr w14:val="tx1"/>
            </w14:solidFill>
          </w14:textFill>
        </w:rPr>
      </w:pPr>
      <w:sdt>
        <w:sdtPr>
          <w:rPr>
            <w:rFonts w:hint="eastAsia"/>
            <w:color w:val="000000" w:themeColor="text1"/>
            <w14:textFill>
              <w14:solidFill>
                <w14:schemeClr w14:val="tx1"/>
              </w14:solidFill>
            </w14:textFill>
          </w:rPr>
          <w:alias w:val="是否适用：资产、负债情况分析[双击切换]"/>
          <w:tag w:val="_GBC_7e768f46f428417e8696bff3cfaf9902"/>
          <w:id w:val="147463100"/>
          <w:lock w:val="contentLocked"/>
          <w:placeholder>
            <w:docPart w:val="GBC22222222222222222222222222222"/>
          </w:placeholder>
        </w:sdtPr>
        <w:sdtEndPr>
          <w:rPr>
            <w:rFonts w:hint="eastAsia"/>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7EC37063">
      <w:pPr>
        <w:pStyle w:val="58"/>
        <w:numPr>
          <w:ilvl w:val="0"/>
          <w:numId w:val="9"/>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资产</w:t>
      </w:r>
      <w:r>
        <w:rPr>
          <w:rFonts w:hint="eastAsia" w:ascii="宋体" w:hAnsi="宋体"/>
          <w:color w:val="000000" w:themeColor="text1"/>
          <w14:textFill>
            <w14:solidFill>
              <w14:schemeClr w14:val="tx1"/>
            </w14:solidFill>
          </w14:textFill>
        </w:rPr>
        <w:t>及</w:t>
      </w:r>
      <w:r>
        <w:rPr>
          <w:rFonts w:ascii="宋体" w:hAnsi="宋体"/>
          <w:color w:val="000000" w:themeColor="text1"/>
          <w14:textFill>
            <w14:solidFill>
              <w14:schemeClr w14:val="tx1"/>
            </w14:solidFill>
          </w14:textFill>
        </w:rPr>
        <w:t>负债</w:t>
      </w:r>
      <w:r>
        <w:rPr>
          <w:rFonts w:hint="eastAsia" w:ascii="宋体" w:hAnsi="宋体"/>
          <w:color w:val="000000" w:themeColor="text1"/>
          <w14:textFill>
            <w14:solidFill>
              <w14:schemeClr w14:val="tx1"/>
            </w14:solidFill>
          </w14:textFill>
        </w:rPr>
        <w:t>状</w:t>
      </w:r>
      <w:r>
        <w:rPr>
          <w:rFonts w:ascii="宋体" w:hAnsi="宋体"/>
          <w:color w:val="000000" w:themeColor="text1"/>
          <w14:textFill>
            <w14:solidFill>
              <w14:schemeClr w14:val="tx1"/>
            </w14:solidFill>
          </w14:textFill>
        </w:rPr>
        <w:t>况</w:t>
      </w:r>
    </w:p>
    <w:p w14:paraId="543C9929">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资产负债状况分析"/>
          <w:tag w:val="_GBC_21de4e2184d94baf8e19137a1d0d5b74"/>
          <w:id w:val="-1800536537"/>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1974"/>
        <w:gridCol w:w="1779"/>
        <w:gridCol w:w="1810"/>
        <w:gridCol w:w="1756"/>
        <w:gridCol w:w="1582"/>
        <w:gridCol w:w="3138"/>
      </w:tblGrid>
      <w:tr w14:paraId="5794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sdt>
          <w:sdtPr>
            <w:tag w:val="_PLD_d0f356a255cd4ad2a1d809f43b17afe4"/>
            <w:id w:val="-1792120919"/>
          </w:sdtPr>
          <w:sdtContent>
            <w:tc>
              <w:tcPr>
                <w:tcW w:w="727" w:type="pct"/>
                <w:vAlign w:val="center"/>
              </w:tcPr>
              <w:p w14:paraId="71AECD55">
                <w:pPr>
                  <w:widowControl w:val="0"/>
                  <w:jc w:val="center"/>
                  <w:rPr>
                    <w:rStyle w:val="224"/>
                    <w:rFonts w:asciiTheme="minorEastAsia" w:hAnsiTheme="minorEastAsia" w:eastAsiaTheme="minorEastAsia"/>
                    <w:b w:val="0"/>
                    <w:color w:val="000000" w:themeColor="text1"/>
                    <w:szCs w:val="21"/>
                    <w14:textFill>
                      <w14:solidFill>
                        <w14:schemeClr w14:val="tx1"/>
                      </w14:solidFill>
                    </w14:textFill>
                  </w:rPr>
                </w:pPr>
                <w:bookmarkStart w:id="40" w:name="_Hlk74646362"/>
                <w:r>
                  <w:rPr>
                    <w:rFonts w:asciiTheme="minorEastAsia" w:hAnsiTheme="minorEastAsia" w:eastAsiaTheme="minorEastAsia"/>
                    <w:color w:val="000000" w:themeColor="text1"/>
                    <w14:textFill>
                      <w14:solidFill>
                        <w14:schemeClr w14:val="tx1"/>
                      </w14:solidFill>
                    </w14:textFill>
                  </w:rPr>
                  <w:t>项目名称</w:t>
                </w:r>
              </w:p>
            </w:tc>
          </w:sdtContent>
        </w:sdt>
        <w:sdt>
          <w:sdtPr>
            <w:tag w:val="_PLD_908740cf286747d79d5abbe407fef2b5"/>
            <w:id w:val="379369227"/>
          </w:sdtPr>
          <w:sdtContent>
            <w:tc>
              <w:tcPr>
                <w:tcW w:w="700" w:type="pct"/>
                <w:vAlign w:val="center"/>
              </w:tcPr>
              <w:p w14:paraId="2110432C">
                <w:pPr>
                  <w:widowControl w:val="0"/>
                  <w:jc w:val="center"/>
                  <w:rPr>
                    <w:rStyle w:val="224"/>
                    <w:rFonts w:asciiTheme="minorEastAsia" w:hAnsiTheme="minorEastAsia" w:eastAsiaTheme="minorEastAsia"/>
                    <w:b w:val="0"/>
                    <w:color w:val="000000" w:themeColor="text1"/>
                    <w:szCs w:val="2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本期期末数</w:t>
                </w:r>
              </w:p>
            </w:tc>
          </w:sdtContent>
        </w:sdt>
        <w:sdt>
          <w:sdtPr>
            <w:tag w:val="_PLD_329bbbc9fa484c0990e705c4343b8bd2"/>
            <w:id w:val="-1986309131"/>
          </w:sdtPr>
          <w:sdtContent>
            <w:tc>
              <w:tcPr>
                <w:tcW w:w="631" w:type="pct"/>
                <w:vAlign w:val="center"/>
              </w:tcPr>
              <w:p w14:paraId="68476293">
                <w:pPr>
                  <w:widowControl w:val="0"/>
                  <w:jc w:val="center"/>
                  <w:rPr>
                    <w:rStyle w:val="224"/>
                    <w:rFonts w:asciiTheme="minorEastAsia" w:hAnsiTheme="minorEastAsia" w:eastAsiaTheme="minorEastAsia"/>
                    <w:b w:val="0"/>
                    <w:color w:val="000000" w:themeColor="text1"/>
                    <w:szCs w:val="2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本期期末数占总资产的比例（%）</w:t>
                </w:r>
              </w:p>
            </w:tc>
          </w:sdtContent>
        </w:sdt>
        <w:sdt>
          <w:sdtPr>
            <w:tag w:val="_PLD_56ec8d815a204f39816e77d18cf2ac7e"/>
            <w:id w:val="969248090"/>
          </w:sdtPr>
          <w:sdtContent>
            <w:tc>
              <w:tcPr>
                <w:tcW w:w="642" w:type="pct"/>
                <w:vAlign w:val="center"/>
              </w:tcPr>
              <w:p w14:paraId="26F75273">
                <w:pPr>
                  <w:widowControl w:val="0"/>
                  <w:jc w:val="center"/>
                  <w:rPr>
                    <w:rStyle w:val="224"/>
                    <w:rFonts w:asciiTheme="minorEastAsia" w:hAnsiTheme="minorEastAsia" w:eastAsiaTheme="minorEastAsia"/>
                    <w:b w:val="0"/>
                    <w:color w:val="000000" w:themeColor="text1"/>
                    <w:szCs w:val="2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上</w:t>
                </w:r>
                <w:r>
                  <w:rPr>
                    <w:rFonts w:hint="eastAsia" w:asciiTheme="minorEastAsia" w:hAnsiTheme="minorEastAsia" w:eastAsiaTheme="minorEastAsia"/>
                    <w:color w:val="000000" w:themeColor="text1"/>
                    <w14:textFill>
                      <w14:solidFill>
                        <w14:schemeClr w14:val="tx1"/>
                      </w14:solidFill>
                    </w14:textFill>
                  </w:rPr>
                  <w:t>年</w:t>
                </w:r>
                <w:r>
                  <w:rPr>
                    <w:rFonts w:asciiTheme="minorEastAsia" w:hAnsiTheme="minorEastAsia" w:eastAsiaTheme="minorEastAsia"/>
                    <w:color w:val="000000" w:themeColor="text1"/>
                    <w14:textFill>
                      <w14:solidFill>
                        <w14:schemeClr w14:val="tx1"/>
                      </w14:solidFill>
                    </w14:textFill>
                  </w:rPr>
                  <w:t>期末数</w:t>
                </w:r>
              </w:p>
            </w:tc>
          </w:sdtContent>
        </w:sdt>
        <w:sdt>
          <w:sdtPr>
            <w:tag w:val="_PLD_4bc2806364aa476db7b5ac96d585ad18"/>
            <w:id w:val="71933953"/>
          </w:sdtPr>
          <w:sdtContent>
            <w:tc>
              <w:tcPr>
                <w:tcW w:w="623" w:type="pct"/>
                <w:vAlign w:val="center"/>
              </w:tcPr>
              <w:p w14:paraId="40F3E140">
                <w:pPr>
                  <w:widowControl w:val="0"/>
                  <w:jc w:val="center"/>
                  <w:rPr>
                    <w:rStyle w:val="224"/>
                    <w:rFonts w:asciiTheme="minorEastAsia" w:hAnsiTheme="minorEastAsia" w:eastAsiaTheme="minorEastAsia"/>
                    <w:b w:val="0"/>
                    <w:color w:val="000000" w:themeColor="text1"/>
                    <w:szCs w:val="2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上</w:t>
                </w:r>
                <w:r>
                  <w:rPr>
                    <w:rFonts w:hint="eastAsia" w:asciiTheme="minorEastAsia" w:hAnsiTheme="minorEastAsia" w:eastAsiaTheme="minorEastAsia"/>
                    <w:color w:val="000000" w:themeColor="text1"/>
                    <w14:textFill>
                      <w14:solidFill>
                        <w14:schemeClr w14:val="tx1"/>
                      </w14:solidFill>
                    </w14:textFill>
                  </w:rPr>
                  <w:t>年</w:t>
                </w:r>
                <w:r>
                  <w:rPr>
                    <w:rFonts w:asciiTheme="minorEastAsia" w:hAnsiTheme="minorEastAsia" w:eastAsiaTheme="minorEastAsia"/>
                    <w:color w:val="000000" w:themeColor="text1"/>
                    <w14:textFill>
                      <w14:solidFill>
                        <w14:schemeClr w14:val="tx1"/>
                      </w14:solidFill>
                    </w14:textFill>
                  </w:rPr>
                  <w:t>期末数占总资产的比例（%）</w:t>
                </w:r>
              </w:p>
            </w:tc>
          </w:sdtContent>
        </w:sdt>
        <w:sdt>
          <w:sdtPr>
            <w:tag w:val="_PLD_4cfcbfaae8d94f2d87cb33b122df7a82"/>
            <w:id w:val="-1583223850"/>
          </w:sdtPr>
          <w:sdtContent>
            <w:tc>
              <w:tcPr>
                <w:tcW w:w="561" w:type="pct"/>
                <w:vAlign w:val="center"/>
              </w:tcPr>
              <w:p w14:paraId="05966035">
                <w:pPr>
                  <w:widowControl w:val="0"/>
                  <w:jc w:val="center"/>
                  <w:rPr>
                    <w:rStyle w:val="224"/>
                    <w:rFonts w:asciiTheme="minorEastAsia" w:hAnsiTheme="minorEastAsia" w:eastAsiaTheme="minorEastAsia"/>
                    <w:b w:val="0"/>
                    <w:color w:val="000000" w:themeColor="text1"/>
                    <w:szCs w:val="2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本期期末金额较上</w:t>
                </w:r>
                <w:r>
                  <w:rPr>
                    <w:rFonts w:hint="eastAsia" w:asciiTheme="minorEastAsia" w:hAnsiTheme="minorEastAsia" w:eastAsiaTheme="minorEastAsia"/>
                    <w:color w:val="000000" w:themeColor="text1"/>
                    <w14:textFill>
                      <w14:solidFill>
                        <w14:schemeClr w14:val="tx1"/>
                      </w14:solidFill>
                    </w14:textFill>
                  </w:rPr>
                  <w:t>年</w:t>
                </w:r>
                <w:r>
                  <w:rPr>
                    <w:rFonts w:asciiTheme="minorEastAsia" w:hAnsiTheme="minorEastAsia" w:eastAsiaTheme="minorEastAsia"/>
                    <w:color w:val="000000" w:themeColor="text1"/>
                    <w14:textFill>
                      <w14:solidFill>
                        <w14:schemeClr w14:val="tx1"/>
                      </w14:solidFill>
                    </w14:textFill>
                  </w:rPr>
                  <w:t>期末变动比例（%）</w:t>
                </w:r>
              </w:p>
            </w:tc>
          </w:sdtContent>
        </w:sdt>
        <w:sdt>
          <w:sdtPr>
            <w:tag w:val="_PLD_2acc4b359fa846d5bfb9939daf2ce46b"/>
            <w:id w:val="-887567648"/>
          </w:sdtPr>
          <w:sdtContent>
            <w:tc>
              <w:tcPr>
                <w:tcW w:w="1113" w:type="pct"/>
                <w:vAlign w:val="center"/>
              </w:tcPr>
              <w:p w14:paraId="5E6D2E82">
                <w:pPr>
                  <w:widowControl w:val="0"/>
                  <w:jc w:val="center"/>
                  <w:rPr>
                    <w:rStyle w:val="224"/>
                    <w:rFonts w:asciiTheme="minorEastAsia" w:hAnsiTheme="minorEastAsia" w:eastAsiaTheme="minorEastAsia"/>
                    <w:b w:val="0"/>
                    <w:color w:val="000000" w:themeColor="text1"/>
                    <w:szCs w:val="2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情况说明</w:t>
                </w:r>
              </w:p>
            </w:tc>
          </w:sdtContent>
        </w:sdt>
      </w:tr>
      <w:tr w14:paraId="2925C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tag w:val="_PLD_0ff1ee5cfded425b899baf2ffbfdc0f0"/>
            <w:id w:val="1817385060"/>
          </w:sdtPr>
          <w:sdtEndPr>
            <w:rPr>
              <w:rStyle w:val="224"/>
              <w:rFonts w:ascii="Calibri" w:hAnsi="Calibri" w:cs="Times New Roman"/>
              <w:b/>
              <w:kern w:val="2"/>
              <w:szCs w:val="28"/>
            </w:rPr>
          </w:sdtEndPr>
          <w:sdtContent>
            <w:tc>
              <w:tcPr>
                <w:tcW w:w="727" w:type="pct"/>
                <w:vAlign w:val="center"/>
              </w:tcPr>
              <w:p w14:paraId="519C0FF1">
                <w:pPr>
                  <w:widowControl w:val="0"/>
                  <w:jc w:val="center"/>
                  <w:rPr>
                    <w:rStyle w:val="224"/>
                    <w:rFonts w:asciiTheme="minorEastAsia" w:hAnsiTheme="minorEastAsia" w:eastAsiaTheme="minorEastAsia"/>
                    <w:b w:val="0"/>
                    <w:color w:val="000000" w:themeColor="text1"/>
                    <w:szCs w:val="21"/>
                    <w14:textFill>
                      <w14:solidFill>
                        <w14:schemeClr w14:val="tx1"/>
                      </w14:solidFill>
                    </w14:textFill>
                  </w:rPr>
                </w:pPr>
                <w:r>
                  <w:rPr>
                    <w:rStyle w:val="224"/>
                    <w:rFonts w:hint="eastAsia" w:asciiTheme="minorEastAsia" w:hAnsiTheme="minorEastAsia" w:eastAsiaTheme="minorEastAsia"/>
                    <w:b w:val="0"/>
                    <w:color w:val="000000" w:themeColor="text1"/>
                    <w:szCs w:val="21"/>
                    <w14:textFill>
                      <w14:solidFill>
                        <w14:schemeClr w14:val="tx1"/>
                      </w14:solidFill>
                    </w14:textFill>
                  </w:rPr>
                  <w:t>在建工程</w:t>
                </w:r>
              </w:p>
            </w:tc>
          </w:sdtContent>
        </w:sdt>
        <w:tc>
          <w:tcPr>
            <w:tcW w:w="700" w:type="pct"/>
            <w:vAlign w:val="center"/>
          </w:tcPr>
          <w:p w14:paraId="2292D657">
            <w:pPr>
              <w:widowControl w:val="0"/>
              <w:jc w:val="right"/>
              <w:rPr>
                <w:rFonts w:eastAsiaTheme="minorEastAsia"/>
              </w:rPr>
            </w:pPr>
            <w:r>
              <w:rPr>
                <w:rFonts w:hint="eastAsia" w:eastAsiaTheme="minorEastAsia"/>
              </w:rPr>
              <w:t>399,635,284.93</w:t>
            </w:r>
          </w:p>
        </w:tc>
        <w:tc>
          <w:tcPr>
            <w:tcW w:w="631" w:type="pct"/>
            <w:vAlign w:val="center"/>
          </w:tcPr>
          <w:p w14:paraId="02F22412">
            <w:pPr>
              <w:widowControl w:val="0"/>
              <w:jc w:val="right"/>
              <w:rPr>
                <w:rFonts w:eastAsiaTheme="minorEastAsia"/>
              </w:rPr>
            </w:pPr>
            <w:r>
              <w:rPr>
                <w:rFonts w:hint="eastAsia" w:eastAsiaTheme="minorEastAsia"/>
              </w:rPr>
              <w:t>1.84</w:t>
            </w:r>
          </w:p>
        </w:tc>
        <w:tc>
          <w:tcPr>
            <w:tcW w:w="642" w:type="pct"/>
            <w:vAlign w:val="center"/>
          </w:tcPr>
          <w:p w14:paraId="191AA4FF">
            <w:pPr>
              <w:widowControl w:val="0"/>
              <w:jc w:val="right"/>
              <w:rPr>
                <w:rFonts w:eastAsiaTheme="minorEastAsia"/>
              </w:rPr>
            </w:pPr>
            <w:r>
              <w:rPr>
                <w:rFonts w:hint="eastAsia" w:eastAsiaTheme="minorEastAsia"/>
              </w:rPr>
              <w:t>275,601,526.58</w:t>
            </w:r>
          </w:p>
        </w:tc>
        <w:tc>
          <w:tcPr>
            <w:tcW w:w="623" w:type="pct"/>
            <w:vAlign w:val="center"/>
          </w:tcPr>
          <w:p w14:paraId="27C660FB">
            <w:pPr>
              <w:widowControl w:val="0"/>
              <w:jc w:val="right"/>
              <w:rPr>
                <w:rFonts w:eastAsiaTheme="minorEastAsia"/>
              </w:rPr>
            </w:pPr>
            <w:r>
              <w:rPr>
                <w:rFonts w:hint="eastAsia" w:eastAsiaTheme="minorEastAsia"/>
              </w:rPr>
              <w:t>1.30</w:t>
            </w:r>
          </w:p>
        </w:tc>
        <w:tc>
          <w:tcPr>
            <w:tcW w:w="561" w:type="pct"/>
            <w:vAlign w:val="center"/>
          </w:tcPr>
          <w:p w14:paraId="3102B357">
            <w:pPr>
              <w:widowControl w:val="0"/>
              <w:jc w:val="right"/>
              <w:rPr>
                <w:rFonts w:eastAsiaTheme="minorEastAsia"/>
              </w:rPr>
            </w:pPr>
            <w:r>
              <w:rPr>
                <w:rFonts w:hint="eastAsia" w:eastAsiaTheme="minorEastAsia"/>
              </w:rPr>
              <w:t>45.00</w:t>
            </w:r>
          </w:p>
        </w:tc>
        <w:tc>
          <w:tcPr>
            <w:tcW w:w="1113" w:type="pct"/>
            <w:vAlign w:val="center"/>
          </w:tcPr>
          <w:p w14:paraId="2B0016F9">
            <w:pPr>
              <w:widowControl w:val="0"/>
              <w:jc w:val="left"/>
              <w:rPr>
                <w:rFonts w:asciiTheme="minorEastAsia" w:hAnsiTheme="minorEastAsia" w:eastAsiaTheme="minorEastAsia"/>
              </w:rPr>
            </w:pPr>
            <w:r>
              <w:rPr>
                <w:rFonts w:hint="eastAsia" w:asciiTheme="minorEastAsia" w:hAnsiTheme="minorEastAsia" w:eastAsiaTheme="minorEastAsia"/>
              </w:rPr>
              <w:t>主要系报告期内公司围绕传统产业数智化升级、战新产业布局，加大投资建设所致</w:t>
            </w:r>
          </w:p>
        </w:tc>
      </w:tr>
      <w:tr w14:paraId="1F02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sdt>
          <w:sdtPr>
            <w:tag w:val="_PLD_f446bfc0bdb7497b92f1f084f89862f6"/>
            <w:id w:val="12814322"/>
          </w:sdtPr>
          <w:sdtEndPr>
            <w:rPr>
              <w:rStyle w:val="224"/>
              <w:rFonts w:ascii="Calibri" w:hAnsi="Calibri" w:cs="Times New Roman"/>
              <w:b/>
              <w:kern w:val="2"/>
              <w:szCs w:val="28"/>
            </w:rPr>
          </w:sdtEndPr>
          <w:sdtContent>
            <w:tc>
              <w:tcPr>
                <w:tcW w:w="727" w:type="pct"/>
                <w:vAlign w:val="center"/>
              </w:tcPr>
              <w:p w14:paraId="320EA8E0">
                <w:pPr>
                  <w:widowControl w:val="0"/>
                  <w:jc w:val="center"/>
                  <w:rPr>
                    <w:rStyle w:val="224"/>
                    <w:rFonts w:asciiTheme="minorEastAsia" w:hAnsiTheme="minorEastAsia" w:eastAsiaTheme="minorEastAsia"/>
                    <w:b w:val="0"/>
                    <w:color w:val="000000" w:themeColor="text1"/>
                    <w:szCs w:val="21"/>
                    <w14:textFill>
                      <w14:solidFill>
                        <w14:schemeClr w14:val="tx1"/>
                      </w14:solidFill>
                    </w14:textFill>
                  </w:rPr>
                </w:pPr>
                <w:r>
                  <w:rPr>
                    <w:rStyle w:val="224"/>
                    <w:rFonts w:hint="eastAsia" w:asciiTheme="minorEastAsia" w:hAnsiTheme="minorEastAsia" w:eastAsiaTheme="minorEastAsia"/>
                    <w:b w:val="0"/>
                    <w:color w:val="000000" w:themeColor="text1"/>
                    <w:szCs w:val="21"/>
                    <w14:textFill>
                      <w14:solidFill>
                        <w14:schemeClr w14:val="tx1"/>
                      </w14:solidFill>
                    </w14:textFill>
                  </w:rPr>
                  <w:t>短期借款</w:t>
                </w:r>
              </w:p>
            </w:tc>
          </w:sdtContent>
        </w:sdt>
        <w:tc>
          <w:tcPr>
            <w:tcW w:w="700" w:type="pct"/>
            <w:vAlign w:val="center"/>
          </w:tcPr>
          <w:p w14:paraId="743A00BD">
            <w:pPr>
              <w:widowControl w:val="0"/>
              <w:jc w:val="right"/>
              <w:rPr>
                <w:rFonts w:eastAsiaTheme="minorEastAsia"/>
              </w:rPr>
            </w:pPr>
            <w:r>
              <w:rPr>
                <w:rFonts w:hint="eastAsia" w:eastAsiaTheme="minorEastAsia"/>
              </w:rPr>
              <w:t>289,520,293.40</w:t>
            </w:r>
          </w:p>
        </w:tc>
        <w:tc>
          <w:tcPr>
            <w:tcW w:w="631" w:type="pct"/>
            <w:vAlign w:val="center"/>
          </w:tcPr>
          <w:p w14:paraId="469FE0EC">
            <w:pPr>
              <w:widowControl w:val="0"/>
              <w:jc w:val="right"/>
              <w:rPr>
                <w:rFonts w:eastAsiaTheme="minorEastAsia"/>
              </w:rPr>
            </w:pPr>
            <w:r>
              <w:rPr>
                <w:rFonts w:hint="eastAsia" w:eastAsiaTheme="minorEastAsia"/>
              </w:rPr>
              <w:t>1.34</w:t>
            </w:r>
          </w:p>
        </w:tc>
        <w:tc>
          <w:tcPr>
            <w:tcW w:w="642" w:type="pct"/>
            <w:vAlign w:val="center"/>
          </w:tcPr>
          <w:p w14:paraId="7BECE739">
            <w:pPr>
              <w:widowControl w:val="0"/>
              <w:jc w:val="right"/>
              <w:rPr>
                <w:rFonts w:eastAsiaTheme="minorEastAsia"/>
              </w:rPr>
            </w:pPr>
            <w:r>
              <w:rPr>
                <w:rFonts w:hint="eastAsia" w:eastAsiaTheme="minorEastAsia"/>
              </w:rPr>
              <w:t>440,186,330.50</w:t>
            </w:r>
          </w:p>
        </w:tc>
        <w:tc>
          <w:tcPr>
            <w:tcW w:w="623" w:type="pct"/>
            <w:vAlign w:val="center"/>
          </w:tcPr>
          <w:p w14:paraId="2EB7003C">
            <w:pPr>
              <w:widowControl w:val="0"/>
              <w:jc w:val="right"/>
              <w:rPr>
                <w:rFonts w:eastAsiaTheme="minorEastAsia"/>
              </w:rPr>
            </w:pPr>
            <w:r>
              <w:rPr>
                <w:rFonts w:hint="eastAsia" w:eastAsiaTheme="minorEastAsia"/>
              </w:rPr>
              <w:t>2.08</w:t>
            </w:r>
          </w:p>
        </w:tc>
        <w:tc>
          <w:tcPr>
            <w:tcW w:w="561" w:type="pct"/>
            <w:vAlign w:val="center"/>
          </w:tcPr>
          <w:p w14:paraId="61EDFB14">
            <w:pPr>
              <w:widowControl w:val="0"/>
              <w:jc w:val="right"/>
              <w:rPr>
                <w:rFonts w:eastAsiaTheme="minorEastAsia"/>
              </w:rPr>
            </w:pPr>
            <w:r>
              <w:rPr>
                <w:rFonts w:hint="eastAsia" w:eastAsiaTheme="minorEastAsia"/>
              </w:rPr>
              <w:t>-34.23</w:t>
            </w:r>
          </w:p>
        </w:tc>
        <w:tc>
          <w:tcPr>
            <w:tcW w:w="1113" w:type="pct"/>
            <w:vAlign w:val="center"/>
          </w:tcPr>
          <w:p w14:paraId="509BF973">
            <w:pPr>
              <w:widowControl w:val="0"/>
              <w:jc w:val="left"/>
              <w:rPr>
                <w:rFonts w:asciiTheme="minorEastAsia" w:hAnsiTheme="minorEastAsia" w:eastAsiaTheme="minorEastAsia"/>
              </w:rPr>
            </w:pPr>
            <w:r>
              <w:rPr>
                <w:rFonts w:hint="eastAsia" w:asciiTheme="minorEastAsia" w:hAnsiTheme="minorEastAsia" w:eastAsiaTheme="minorEastAsia"/>
              </w:rPr>
              <w:t>主要系偿还到期银行贷款所致</w:t>
            </w:r>
          </w:p>
        </w:tc>
      </w:tr>
      <w:tr w14:paraId="561C2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sdt>
          <w:sdtPr>
            <w:tag w:val="_PLD_2994c1e41b5d486e9890bb70a9932412"/>
            <w:id w:val="-1525630342"/>
          </w:sdtPr>
          <w:sdtEndPr>
            <w:rPr>
              <w:rStyle w:val="224"/>
              <w:rFonts w:ascii="Calibri" w:hAnsi="Calibri" w:cs="Times New Roman"/>
              <w:b/>
              <w:kern w:val="2"/>
              <w:szCs w:val="28"/>
            </w:rPr>
          </w:sdtEndPr>
          <w:sdtContent>
            <w:tc>
              <w:tcPr>
                <w:tcW w:w="727" w:type="pct"/>
                <w:vAlign w:val="center"/>
              </w:tcPr>
              <w:p w14:paraId="24403F58">
                <w:pPr>
                  <w:widowControl w:val="0"/>
                  <w:jc w:val="center"/>
                  <w:rPr>
                    <w:rStyle w:val="224"/>
                    <w:rFonts w:asciiTheme="minorEastAsia" w:hAnsiTheme="minorEastAsia" w:eastAsiaTheme="minorEastAsia"/>
                    <w:b w:val="0"/>
                    <w:color w:val="000000" w:themeColor="text1"/>
                    <w:szCs w:val="21"/>
                    <w14:textFill>
                      <w14:solidFill>
                        <w14:schemeClr w14:val="tx1"/>
                      </w14:solidFill>
                    </w14:textFill>
                  </w:rPr>
                </w:pPr>
                <w:r>
                  <w:rPr>
                    <w:rStyle w:val="224"/>
                    <w:rFonts w:hint="eastAsia" w:asciiTheme="minorEastAsia" w:hAnsiTheme="minorEastAsia" w:eastAsiaTheme="minorEastAsia"/>
                    <w:b w:val="0"/>
                    <w:color w:val="000000" w:themeColor="text1"/>
                    <w:szCs w:val="21"/>
                    <w14:textFill>
                      <w14:solidFill>
                        <w14:schemeClr w14:val="tx1"/>
                      </w14:solidFill>
                    </w14:textFill>
                  </w:rPr>
                  <w:t>长期借款</w:t>
                </w:r>
              </w:p>
            </w:tc>
          </w:sdtContent>
        </w:sdt>
        <w:tc>
          <w:tcPr>
            <w:tcW w:w="700" w:type="pct"/>
            <w:vAlign w:val="center"/>
          </w:tcPr>
          <w:p w14:paraId="358A5AEA">
            <w:pPr>
              <w:widowControl w:val="0"/>
              <w:jc w:val="right"/>
              <w:rPr>
                <w:rFonts w:eastAsiaTheme="minorEastAsia"/>
              </w:rPr>
            </w:pPr>
            <w:r>
              <w:rPr>
                <w:rFonts w:hint="eastAsia" w:eastAsiaTheme="minorEastAsia"/>
              </w:rPr>
              <w:t>2,514,768,990.10</w:t>
            </w:r>
          </w:p>
        </w:tc>
        <w:tc>
          <w:tcPr>
            <w:tcW w:w="631" w:type="pct"/>
            <w:vAlign w:val="center"/>
          </w:tcPr>
          <w:p w14:paraId="7A2EDA69">
            <w:pPr>
              <w:widowControl w:val="0"/>
              <w:jc w:val="right"/>
              <w:rPr>
                <w:rFonts w:eastAsiaTheme="minorEastAsia"/>
              </w:rPr>
            </w:pPr>
            <w:r>
              <w:rPr>
                <w:rFonts w:hint="eastAsia" w:eastAsiaTheme="minorEastAsia"/>
              </w:rPr>
              <w:t>11.61</w:t>
            </w:r>
          </w:p>
        </w:tc>
        <w:tc>
          <w:tcPr>
            <w:tcW w:w="642" w:type="pct"/>
            <w:vAlign w:val="center"/>
          </w:tcPr>
          <w:p w14:paraId="400178DB">
            <w:pPr>
              <w:widowControl w:val="0"/>
              <w:jc w:val="right"/>
              <w:rPr>
                <w:rFonts w:eastAsiaTheme="minorEastAsia"/>
              </w:rPr>
            </w:pPr>
            <w:r>
              <w:rPr>
                <w:rFonts w:hint="eastAsia" w:eastAsiaTheme="minorEastAsia"/>
              </w:rPr>
              <w:t>497,317,783.34</w:t>
            </w:r>
          </w:p>
        </w:tc>
        <w:tc>
          <w:tcPr>
            <w:tcW w:w="623" w:type="pct"/>
            <w:vAlign w:val="center"/>
          </w:tcPr>
          <w:p w14:paraId="290DE86D">
            <w:pPr>
              <w:widowControl w:val="0"/>
              <w:jc w:val="right"/>
              <w:rPr>
                <w:rFonts w:eastAsiaTheme="minorEastAsia"/>
              </w:rPr>
            </w:pPr>
            <w:r>
              <w:rPr>
                <w:rFonts w:hint="eastAsia" w:eastAsiaTheme="minorEastAsia"/>
              </w:rPr>
              <w:t>2.35</w:t>
            </w:r>
          </w:p>
        </w:tc>
        <w:tc>
          <w:tcPr>
            <w:tcW w:w="561" w:type="pct"/>
            <w:vAlign w:val="center"/>
          </w:tcPr>
          <w:p w14:paraId="6EB3F1A5">
            <w:pPr>
              <w:widowControl w:val="0"/>
              <w:jc w:val="right"/>
              <w:rPr>
                <w:rFonts w:eastAsiaTheme="minorEastAsia"/>
              </w:rPr>
            </w:pPr>
            <w:r>
              <w:rPr>
                <w:rFonts w:hint="eastAsia" w:eastAsiaTheme="minorEastAsia"/>
              </w:rPr>
              <w:t>405.67</w:t>
            </w:r>
          </w:p>
        </w:tc>
        <w:tc>
          <w:tcPr>
            <w:tcW w:w="1113" w:type="pct"/>
            <w:vAlign w:val="center"/>
          </w:tcPr>
          <w:p w14:paraId="6075A28A">
            <w:pPr>
              <w:widowControl w:val="0"/>
              <w:jc w:val="left"/>
              <w:rPr>
                <w:rFonts w:asciiTheme="minorEastAsia" w:hAnsiTheme="minorEastAsia" w:eastAsiaTheme="minorEastAsia"/>
              </w:rPr>
            </w:pPr>
            <w:r>
              <w:rPr>
                <w:rFonts w:hint="eastAsia" w:asciiTheme="minorEastAsia" w:hAnsiTheme="minorEastAsia" w:eastAsiaTheme="minorEastAsia"/>
              </w:rPr>
              <w:t>主要系增加长期银行贷款所致</w:t>
            </w:r>
          </w:p>
        </w:tc>
      </w:tr>
      <w:sdt>
        <w:sdtPr>
          <w:rPr>
            <w:rStyle w:val="224"/>
            <w:rFonts w:hint="eastAsia" w:asciiTheme="minorEastAsia" w:hAnsiTheme="minorEastAsia" w:eastAsiaTheme="minorEastAsia"/>
            <w:b w:val="0"/>
            <w:color w:val="000000" w:themeColor="text1"/>
            <w:szCs w:val="21"/>
            <w14:textFill>
              <w14:solidFill>
                <w14:schemeClr w14:val="tx1"/>
              </w14:solidFill>
            </w14:textFill>
          </w:rPr>
          <w:alias w:val="资产负债状况分析"/>
          <w:tag w:val="_TUP_5b9451a24cf94bb19fcd924892517ec7"/>
          <w:id w:val="901484969"/>
          <w:placeholder>
            <w:docPart w:val="{92a5aa80-f947-4198-8ac0-c897dab6a615}"/>
          </w:placeholder>
        </w:sdtPr>
        <w:sdtEndPr>
          <w:rPr>
            <w:rStyle w:val="224"/>
            <w:rFonts w:hint="eastAsia" w:asciiTheme="minorEastAsia" w:hAnsiTheme="minorEastAsia" w:eastAsiaTheme="minorEastAsia"/>
            <w:b w:val="0"/>
            <w:color w:val="000000" w:themeColor="text1"/>
            <w:szCs w:val="21"/>
            <w14:textFill>
              <w14:solidFill>
                <w14:schemeClr w14:val="tx1"/>
              </w14:solidFill>
            </w14:textFill>
          </w:rPr>
        </w:sdtEndPr>
        <w:sdtContent>
          <w:tr w14:paraId="639E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27" w:type="pct"/>
                <w:vAlign w:val="center"/>
              </w:tcPr>
              <w:p w14:paraId="4AFAAFEE">
                <w:pPr>
                  <w:widowControl w:val="0"/>
                  <w:jc w:val="center"/>
                  <w:rPr>
                    <w:rFonts w:asciiTheme="minorEastAsia" w:hAnsiTheme="minorEastAsia" w:eastAsiaTheme="minorEastAsia"/>
                  </w:rPr>
                </w:pPr>
                <w:r>
                  <w:rPr>
                    <w:rFonts w:hint="eastAsia" w:asciiTheme="minorEastAsia" w:hAnsiTheme="minorEastAsia" w:eastAsiaTheme="minorEastAsia"/>
                  </w:rPr>
                  <w:t>应收款项融资</w:t>
                </w:r>
              </w:p>
            </w:tc>
            <w:tc>
              <w:tcPr>
                <w:tcW w:w="700" w:type="pct"/>
                <w:vAlign w:val="center"/>
              </w:tcPr>
              <w:p w14:paraId="5E6D4B98">
                <w:pPr>
                  <w:widowControl w:val="0"/>
                  <w:jc w:val="right"/>
                  <w:rPr>
                    <w:rFonts w:eastAsiaTheme="minorEastAsia"/>
                  </w:rPr>
                </w:pPr>
                <w:r>
                  <w:rPr>
                    <w:rFonts w:hint="eastAsia" w:eastAsiaTheme="minorEastAsia"/>
                  </w:rPr>
                  <w:t>70,905,863.88</w:t>
                </w:r>
              </w:p>
            </w:tc>
            <w:tc>
              <w:tcPr>
                <w:tcW w:w="631" w:type="pct"/>
                <w:vAlign w:val="center"/>
              </w:tcPr>
              <w:p w14:paraId="0C14A73E">
                <w:pPr>
                  <w:widowControl w:val="0"/>
                  <w:jc w:val="right"/>
                  <w:rPr>
                    <w:rFonts w:eastAsiaTheme="minorEastAsia"/>
                  </w:rPr>
                </w:pPr>
                <w:r>
                  <w:rPr>
                    <w:rFonts w:hint="eastAsia" w:eastAsiaTheme="minorEastAsia"/>
                  </w:rPr>
                  <w:t>0.33</w:t>
                </w:r>
              </w:p>
            </w:tc>
            <w:tc>
              <w:tcPr>
                <w:tcW w:w="642" w:type="pct"/>
                <w:vAlign w:val="center"/>
              </w:tcPr>
              <w:p w14:paraId="7505E091">
                <w:pPr>
                  <w:widowControl w:val="0"/>
                  <w:jc w:val="right"/>
                  <w:rPr>
                    <w:rFonts w:eastAsiaTheme="minorEastAsia"/>
                  </w:rPr>
                </w:pPr>
                <w:r>
                  <w:rPr>
                    <w:rFonts w:hint="eastAsia" w:eastAsiaTheme="minorEastAsia"/>
                  </w:rPr>
                  <w:t>20,627,331.54</w:t>
                </w:r>
              </w:p>
            </w:tc>
            <w:tc>
              <w:tcPr>
                <w:tcW w:w="623" w:type="pct"/>
                <w:vAlign w:val="center"/>
              </w:tcPr>
              <w:p w14:paraId="7CDD9FD7">
                <w:pPr>
                  <w:widowControl w:val="0"/>
                  <w:jc w:val="right"/>
                  <w:rPr>
                    <w:rFonts w:eastAsiaTheme="minorEastAsia"/>
                  </w:rPr>
                </w:pPr>
                <w:r>
                  <w:rPr>
                    <w:rFonts w:hint="eastAsia" w:eastAsiaTheme="minorEastAsia"/>
                  </w:rPr>
                  <w:t>0.10</w:t>
                </w:r>
              </w:p>
            </w:tc>
            <w:tc>
              <w:tcPr>
                <w:tcW w:w="561" w:type="pct"/>
                <w:vAlign w:val="center"/>
              </w:tcPr>
              <w:p w14:paraId="22161A15">
                <w:pPr>
                  <w:widowControl w:val="0"/>
                  <w:jc w:val="right"/>
                  <w:rPr>
                    <w:rFonts w:eastAsiaTheme="minorEastAsia"/>
                  </w:rPr>
                </w:pPr>
                <w:r>
                  <w:rPr>
                    <w:rFonts w:hint="eastAsia" w:eastAsiaTheme="minorEastAsia"/>
                  </w:rPr>
                  <w:t>243.75</w:t>
                </w:r>
              </w:p>
            </w:tc>
            <w:tc>
              <w:tcPr>
                <w:tcW w:w="1113" w:type="pct"/>
                <w:vAlign w:val="center"/>
              </w:tcPr>
              <w:p w14:paraId="3322FBE5">
                <w:pPr>
                  <w:widowControl w:val="0"/>
                  <w:jc w:val="left"/>
                  <w:rPr>
                    <w:rFonts w:asciiTheme="minorEastAsia" w:hAnsiTheme="minorEastAsia" w:eastAsiaTheme="minorEastAsia"/>
                  </w:rPr>
                </w:pPr>
                <w:r>
                  <w:rPr>
                    <w:rFonts w:hint="eastAsia" w:asciiTheme="minorEastAsia" w:hAnsiTheme="minorEastAsia" w:eastAsiaTheme="minorEastAsia"/>
                  </w:rPr>
                  <w:t>主要系收到的银行承兑汇票增加所致</w:t>
                </w:r>
              </w:p>
            </w:tc>
          </w:tr>
        </w:sdtContent>
      </w:sdt>
      <w:sdt>
        <w:sdtPr>
          <w:rPr>
            <w:rStyle w:val="224"/>
            <w:rFonts w:hint="eastAsia" w:asciiTheme="minorEastAsia" w:hAnsiTheme="minorEastAsia" w:eastAsiaTheme="minorEastAsia"/>
            <w:b w:val="0"/>
            <w:color w:val="000000" w:themeColor="text1"/>
            <w:szCs w:val="21"/>
            <w14:textFill>
              <w14:solidFill>
                <w14:schemeClr w14:val="tx1"/>
              </w14:solidFill>
            </w14:textFill>
          </w:rPr>
          <w:alias w:val="资产负债状况分析"/>
          <w:tag w:val="_TUP_5b9451a24cf94bb19fcd924892517ec7"/>
          <w:id w:val="1922372008"/>
          <w:placeholder>
            <w:docPart w:val="{92a5aa80-f947-4198-8ac0-c897dab6a615}"/>
          </w:placeholder>
        </w:sdtPr>
        <w:sdtEndPr>
          <w:rPr>
            <w:rStyle w:val="224"/>
            <w:rFonts w:hint="eastAsia" w:asciiTheme="minorEastAsia" w:hAnsiTheme="minorEastAsia" w:eastAsiaTheme="minorEastAsia"/>
            <w:b w:val="0"/>
            <w:color w:val="000000" w:themeColor="text1"/>
            <w:szCs w:val="21"/>
            <w14:textFill>
              <w14:solidFill>
                <w14:schemeClr w14:val="tx1"/>
              </w14:solidFill>
            </w14:textFill>
          </w:rPr>
        </w:sdtEndPr>
        <w:sdtContent>
          <w:tr w14:paraId="7D829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727" w:type="pct"/>
                <w:vAlign w:val="center"/>
              </w:tcPr>
              <w:p w14:paraId="6A1717D2">
                <w:pPr>
                  <w:widowControl w:val="0"/>
                  <w:jc w:val="center"/>
                  <w:rPr>
                    <w:rFonts w:asciiTheme="minorEastAsia" w:hAnsiTheme="minorEastAsia" w:eastAsiaTheme="minorEastAsia"/>
                  </w:rPr>
                </w:pPr>
                <w:r>
                  <w:rPr>
                    <w:rFonts w:hint="eastAsia" w:asciiTheme="minorEastAsia" w:hAnsiTheme="minorEastAsia" w:eastAsiaTheme="minorEastAsia"/>
                  </w:rPr>
                  <w:t>应付职工薪酬</w:t>
                </w:r>
              </w:p>
            </w:tc>
            <w:tc>
              <w:tcPr>
                <w:tcW w:w="700" w:type="pct"/>
                <w:vAlign w:val="center"/>
              </w:tcPr>
              <w:p w14:paraId="1DF85F8F">
                <w:pPr>
                  <w:widowControl w:val="0"/>
                  <w:jc w:val="right"/>
                  <w:rPr>
                    <w:rFonts w:eastAsiaTheme="minorEastAsia"/>
                  </w:rPr>
                </w:pPr>
                <w:r>
                  <w:rPr>
                    <w:rFonts w:hint="eastAsia" w:eastAsiaTheme="minorEastAsia"/>
                  </w:rPr>
                  <w:t>160,504,276.21</w:t>
                </w:r>
              </w:p>
            </w:tc>
            <w:tc>
              <w:tcPr>
                <w:tcW w:w="631" w:type="pct"/>
                <w:vAlign w:val="center"/>
              </w:tcPr>
              <w:p w14:paraId="2F107D52">
                <w:pPr>
                  <w:widowControl w:val="0"/>
                  <w:jc w:val="right"/>
                  <w:rPr>
                    <w:rFonts w:eastAsiaTheme="minorEastAsia"/>
                  </w:rPr>
                </w:pPr>
                <w:r>
                  <w:rPr>
                    <w:rFonts w:hint="eastAsia" w:eastAsiaTheme="minorEastAsia"/>
                  </w:rPr>
                  <w:t>0.74</w:t>
                </w:r>
              </w:p>
            </w:tc>
            <w:tc>
              <w:tcPr>
                <w:tcW w:w="642" w:type="pct"/>
                <w:vAlign w:val="center"/>
              </w:tcPr>
              <w:p w14:paraId="2CAD64BD">
                <w:pPr>
                  <w:widowControl w:val="0"/>
                  <w:jc w:val="right"/>
                  <w:rPr>
                    <w:rFonts w:eastAsiaTheme="minorEastAsia"/>
                  </w:rPr>
                </w:pPr>
                <w:r>
                  <w:rPr>
                    <w:rFonts w:hint="eastAsia" w:eastAsiaTheme="minorEastAsia"/>
                  </w:rPr>
                  <w:t>296,149,933.94</w:t>
                </w:r>
              </w:p>
            </w:tc>
            <w:tc>
              <w:tcPr>
                <w:tcW w:w="623" w:type="pct"/>
                <w:vAlign w:val="center"/>
              </w:tcPr>
              <w:p w14:paraId="058BD152">
                <w:pPr>
                  <w:widowControl w:val="0"/>
                  <w:jc w:val="right"/>
                  <w:rPr>
                    <w:rFonts w:eastAsiaTheme="minorEastAsia"/>
                  </w:rPr>
                </w:pPr>
                <w:r>
                  <w:rPr>
                    <w:rFonts w:hint="eastAsia" w:eastAsiaTheme="minorEastAsia"/>
                  </w:rPr>
                  <w:t>1.40</w:t>
                </w:r>
              </w:p>
            </w:tc>
            <w:tc>
              <w:tcPr>
                <w:tcW w:w="561" w:type="pct"/>
                <w:vAlign w:val="center"/>
              </w:tcPr>
              <w:p w14:paraId="7DD408D7">
                <w:pPr>
                  <w:widowControl w:val="0"/>
                  <w:jc w:val="right"/>
                  <w:rPr>
                    <w:rFonts w:eastAsiaTheme="minorEastAsia"/>
                  </w:rPr>
                </w:pPr>
                <w:r>
                  <w:rPr>
                    <w:rFonts w:hint="eastAsia" w:eastAsiaTheme="minorEastAsia"/>
                  </w:rPr>
                  <w:t>-45.80</w:t>
                </w:r>
              </w:p>
            </w:tc>
            <w:tc>
              <w:tcPr>
                <w:tcW w:w="1113" w:type="pct"/>
                <w:vAlign w:val="center"/>
              </w:tcPr>
              <w:p w14:paraId="6189F4B3">
                <w:pPr>
                  <w:widowControl w:val="0"/>
                  <w:jc w:val="left"/>
                  <w:rPr>
                    <w:rFonts w:asciiTheme="minorEastAsia" w:hAnsiTheme="minorEastAsia" w:eastAsiaTheme="minorEastAsia"/>
                  </w:rPr>
                </w:pPr>
                <w:r>
                  <w:rPr>
                    <w:rFonts w:hint="eastAsia" w:asciiTheme="minorEastAsia" w:hAnsiTheme="minorEastAsia" w:eastAsiaTheme="minorEastAsia"/>
                  </w:rPr>
                  <w:t>主要系应付职工工资减少所致</w:t>
                </w:r>
              </w:p>
            </w:tc>
          </w:tr>
        </w:sdtContent>
      </w:sdt>
      <w:sdt>
        <w:sdtPr>
          <w:rPr>
            <w:rStyle w:val="224"/>
            <w:rFonts w:hint="eastAsia" w:asciiTheme="minorEastAsia" w:hAnsiTheme="minorEastAsia" w:eastAsiaTheme="minorEastAsia"/>
            <w:b w:val="0"/>
            <w:color w:val="000000" w:themeColor="text1"/>
            <w:szCs w:val="21"/>
            <w14:textFill>
              <w14:solidFill>
                <w14:schemeClr w14:val="tx1"/>
              </w14:solidFill>
            </w14:textFill>
          </w:rPr>
          <w:alias w:val="资产负债状况分析"/>
          <w:tag w:val="_TUP_5b9451a24cf94bb19fcd924892517ec7"/>
          <w:id w:val="-1624613786"/>
          <w:placeholder>
            <w:docPart w:val="{92a5aa80-f947-4198-8ac0-c897dab6a615}"/>
          </w:placeholder>
        </w:sdtPr>
        <w:sdtEndPr>
          <w:rPr>
            <w:rStyle w:val="224"/>
            <w:rFonts w:hint="eastAsia" w:asciiTheme="minorEastAsia" w:hAnsiTheme="minorEastAsia" w:eastAsiaTheme="minorEastAsia"/>
            <w:b w:val="0"/>
            <w:color w:val="000000" w:themeColor="text1"/>
            <w:szCs w:val="21"/>
            <w14:textFill>
              <w14:solidFill>
                <w14:schemeClr w14:val="tx1"/>
              </w14:solidFill>
            </w14:textFill>
          </w:rPr>
        </w:sdtEndPr>
        <w:sdtContent>
          <w:tr w14:paraId="6E74C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27" w:type="pct"/>
                <w:vAlign w:val="center"/>
              </w:tcPr>
              <w:p w14:paraId="3C930CB2">
                <w:pPr>
                  <w:widowControl w:val="0"/>
                  <w:jc w:val="center"/>
                  <w:rPr>
                    <w:rFonts w:asciiTheme="minorEastAsia" w:hAnsiTheme="minorEastAsia" w:eastAsiaTheme="minorEastAsia"/>
                  </w:rPr>
                </w:pPr>
                <w:r>
                  <w:rPr>
                    <w:rFonts w:hint="eastAsia" w:asciiTheme="minorEastAsia" w:hAnsiTheme="minorEastAsia" w:eastAsiaTheme="minorEastAsia"/>
                  </w:rPr>
                  <w:t>一年内到期的非流动负债</w:t>
                </w:r>
              </w:p>
            </w:tc>
            <w:tc>
              <w:tcPr>
                <w:tcW w:w="700" w:type="pct"/>
                <w:vAlign w:val="center"/>
              </w:tcPr>
              <w:p w14:paraId="2BBB5F73">
                <w:pPr>
                  <w:widowControl w:val="0"/>
                  <w:jc w:val="right"/>
                  <w:rPr>
                    <w:rFonts w:eastAsiaTheme="minorEastAsia"/>
                  </w:rPr>
                </w:pPr>
                <w:r>
                  <w:rPr>
                    <w:rFonts w:hint="eastAsia" w:eastAsiaTheme="minorEastAsia"/>
                  </w:rPr>
                  <w:t>516,473,572.61</w:t>
                </w:r>
              </w:p>
            </w:tc>
            <w:tc>
              <w:tcPr>
                <w:tcW w:w="631" w:type="pct"/>
                <w:vAlign w:val="center"/>
              </w:tcPr>
              <w:p w14:paraId="4D58E8D3">
                <w:pPr>
                  <w:widowControl w:val="0"/>
                  <w:jc w:val="right"/>
                  <w:rPr>
                    <w:rFonts w:eastAsiaTheme="minorEastAsia"/>
                  </w:rPr>
                </w:pPr>
                <w:r>
                  <w:rPr>
                    <w:rFonts w:hint="eastAsia" w:eastAsiaTheme="minorEastAsia"/>
                  </w:rPr>
                  <w:t>2.38</w:t>
                </w:r>
              </w:p>
            </w:tc>
            <w:tc>
              <w:tcPr>
                <w:tcW w:w="642" w:type="pct"/>
                <w:vAlign w:val="center"/>
              </w:tcPr>
              <w:p w14:paraId="5F744DD3">
                <w:pPr>
                  <w:widowControl w:val="0"/>
                  <w:jc w:val="right"/>
                  <w:rPr>
                    <w:rFonts w:eastAsiaTheme="minorEastAsia"/>
                  </w:rPr>
                </w:pPr>
                <w:r>
                  <w:rPr>
                    <w:rFonts w:hint="eastAsia" w:eastAsiaTheme="minorEastAsia"/>
                  </w:rPr>
                  <w:t>54,024,318.29</w:t>
                </w:r>
              </w:p>
            </w:tc>
            <w:tc>
              <w:tcPr>
                <w:tcW w:w="623" w:type="pct"/>
                <w:vAlign w:val="center"/>
              </w:tcPr>
              <w:p w14:paraId="6BD545A3">
                <w:pPr>
                  <w:widowControl w:val="0"/>
                  <w:jc w:val="right"/>
                  <w:rPr>
                    <w:rFonts w:eastAsiaTheme="minorEastAsia"/>
                  </w:rPr>
                </w:pPr>
                <w:r>
                  <w:rPr>
                    <w:rFonts w:hint="eastAsia" w:eastAsiaTheme="minorEastAsia"/>
                  </w:rPr>
                  <w:t>0.26</w:t>
                </w:r>
              </w:p>
            </w:tc>
            <w:tc>
              <w:tcPr>
                <w:tcW w:w="561" w:type="pct"/>
                <w:vAlign w:val="center"/>
              </w:tcPr>
              <w:p w14:paraId="6579282C">
                <w:pPr>
                  <w:widowControl w:val="0"/>
                  <w:jc w:val="right"/>
                  <w:rPr>
                    <w:rFonts w:eastAsiaTheme="minorEastAsia"/>
                  </w:rPr>
                </w:pPr>
                <w:r>
                  <w:rPr>
                    <w:rFonts w:hint="eastAsia" w:eastAsiaTheme="minorEastAsia"/>
                  </w:rPr>
                  <w:t>856.00</w:t>
                </w:r>
              </w:p>
            </w:tc>
            <w:tc>
              <w:tcPr>
                <w:tcW w:w="1113" w:type="pct"/>
                <w:vAlign w:val="center"/>
              </w:tcPr>
              <w:p w14:paraId="476A0E06">
                <w:pPr>
                  <w:widowControl w:val="0"/>
                  <w:jc w:val="left"/>
                  <w:rPr>
                    <w:rFonts w:asciiTheme="minorEastAsia" w:hAnsiTheme="minorEastAsia" w:eastAsiaTheme="minorEastAsia"/>
                  </w:rPr>
                </w:pPr>
                <w:r>
                  <w:rPr>
                    <w:rFonts w:hint="eastAsia" w:asciiTheme="minorEastAsia" w:hAnsiTheme="minorEastAsia" w:eastAsiaTheme="minorEastAsia"/>
                  </w:rPr>
                  <w:t>主要系应付债券按照偿还期限重分类至一年内到期的非流动负债所致</w:t>
                </w:r>
              </w:p>
            </w:tc>
          </w:tr>
        </w:sdtContent>
      </w:sdt>
      <w:sdt>
        <w:sdtPr>
          <w:rPr>
            <w:rStyle w:val="224"/>
            <w:rFonts w:hint="eastAsia" w:asciiTheme="minorEastAsia" w:hAnsiTheme="minorEastAsia" w:eastAsiaTheme="minorEastAsia"/>
            <w:b w:val="0"/>
            <w:color w:val="000000" w:themeColor="text1"/>
            <w:szCs w:val="21"/>
            <w14:textFill>
              <w14:solidFill>
                <w14:schemeClr w14:val="tx1"/>
              </w14:solidFill>
            </w14:textFill>
          </w:rPr>
          <w:alias w:val="资产负债状况分析"/>
          <w:tag w:val="_TUP_5b9451a24cf94bb19fcd924892517ec7"/>
          <w:id w:val="142094829"/>
          <w:placeholder>
            <w:docPart w:val="{92a5aa80-f947-4198-8ac0-c897dab6a615}"/>
          </w:placeholder>
        </w:sdtPr>
        <w:sdtEndPr>
          <w:rPr>
            <w:rStyle w:val="224"/>
            <w:rFonts w:hint="eastAsia" w:asciiTheme="minorEastAsia" w:hAnsiTheme="minorEastAsia" w:eastAsiaTheme="minorEastAsia"/>
            <w:b w:val="0"/>
            <w:color w:val="000000" w:themeColor="text1"/>
            <w:szCs w:val="21"/>
            <w14:textFill>
              <w14:solidFill>
                <w14:schemeClr w14:val="tx1"/>
              </w14:solidFill>
            </w14:textFill>
          </w:rPr>
        </w:sdtEndPr>
        <w:sdtContent>
          <w:tr w14:paraId="042E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27" w:type="pct"/>
                <w:vAlign w:val="center"/>
              </w:tcPr>
              <w:p w14:paraId="00AE3872">
                <w:pPr>
                  <w:widowControl w:val="0"/>
                  <w:jc w:val="center"/>
                  <w:rPr>
                    <w:rFonts w:asciiTheme="minorEastAsia" w:hAnsiTheme="minorEastAsia" w:eastAsiaTheme="minorEastAsia"/>
                  </w:rPr>
                </w:pPr>
                <w:r>
                  <w:rPr>
                    <w:rFonts w:hint="eastAsia" w:asciiTheme="minorEastAsia" w:hAnsiTheme="minorEastAsia" w:eastAsiaTheme="minorEastAsia"/>
                  </w:rPr>
                  <w:t>应付债券</w:t>
                </w:r>
              </w:p>
            </w:tc>
            <w:tc>
              <w:tcPr>
                <w:tcW w:w="700" w:type="pct"/>
                <w:vAlign w:val="center"/>
              </w:tcPr>
              <w:p w14:paraId="33F61C92">
                <w:pPr>
                  <w:widowControl w:val="0"/>
                  <w:jc w:val="right"/>
                  <w:rPr>
                    <w:rFonts w:eastAsiaTheme="minorEastAsia"/>
                  </w:rPr>
                </w:pPr>
              </w:p>
            </w:tc>
            <w:tc>
              <w:tcPr>
                <w:tcW w:w="631" w:type="pct"/>
                <w:vAlign w:val="center"/>
              </w:tcPr>
              <w:p w14:paraId="0BBAB17A">
                <w:pPr>
                  <w:widowControl w:val="0"/>
                  <w:jc w:val="right"/>
                  <w:rPr>
                    <w:rFonts w:eastAsiaTheme="minorEastAsia"/>
                  </w:rPr>
                </w:pPr>
              </w:p>
            </w:tc>
            <w:tc>
              <w:tcPr>
                <w:tcW w:w="642" w:type="pct"/>
                <w:vAlign w:val="center"/>
              </w:tcPr>
              <w:p w14:paraId="0562D237">
                <w:pPr>
                  <w:widowControl w:val="0"/>
                  <w:jc w:val="right"/>
                  <w:rPr>
                    <w:rFonts w:eastAsiaTheme="minorEastAsia"/>
                  </w:rPr>
                </w:pPr>
                <w:r>
                  <w:rPr>
                    <w:rFonts w:hint="eastAsia" w:eastAsiaTheme="minorEastAsia"/>
                  </w:rPr>
                  <w:t>508,560,210.28</w:t>
                </w:r>
              </w:p>
            </w:tc>
            <w:tc>
              <w:tcPr>
                <w:tcW w:w="623" w:type="pct"/>
                <w:vAlign w:val="center"/>
              </w:tcPr>
              <w:p w14:paraId="5AFCFFBE">
                <w:pPr>
                  <w:widowControl w:val="0"/>
                  <w:jc w:val="right"/>
                  <w:rPr>
                    <w:rFonts w:eastAsiaTheme="minorEastAsia"/>
                  </w:rPr>
                </w:pPr>
                <w:r>
                  <w:rPr>
                    <w:rFonts w:hint="eastAsia" w:eastAsiaTheme="minorEastAsia"/>
                  </w:rPr>
                  <w:t>2.40</w:t>
                </w:r>
              </w:p>
            </w:tc>
            <w:tc>
              <w:tcPr>
                <w:tcW w:w="561" w:type="pct"/>
                <w:vAlign w:val="center"/>
              </w:tcPr>
              <w:p w14:paraId="0F208016">
                <w:pPr>
                  <w:widowControl w:val="0"/>
                  <w:jc w:val="right"/>
                  <w:rPr>
                    <w:rFonts w:eastAsiaTheme="minorEastAsia"/>
                  </w:rPr>
                </w:pPr>
                <w:r>
                  <w:rPr>
                    <w:rFonts w:hint="eastAsia" w:eastAsiaTheme="minorEastAsia"/>
                  </w:rPr>
                  <w:t>-100.00</w:t>
                </w:r>
              </w:p>
            </w:tc>
            <w:tc>
              <w:tcPr>
                <w:tcW w:w="1113" w:type="pct"/>
                <w:vAlign w:val="center"/>
              </w:tcPr>
              <w:p w14:paraId="69A30761">
                <w:pPr>
                  <w:widowControl w:val="0"/>
                  <w:jc w:val="left"/>
                  <w:rPr>
                    <w:rFonts w:asciiTheme="minorEastAsia" w:hAnsiTheme="minorEastAsia" w:eastAsiaTheme="minorEastAsia"/>
                  </w:rPr>
                </w:pPr>
                <w:r>
                  <w:rPr>
                    <w:rFonts w:hint="eastAsia" w:asciiTheme="minorEastAsia" w:hAnsiTheme="minorEastAsia" w:eastAsiaTheme="minorEastAsia"/>
                  </w:rPr>
                  <w:t>主要系应付债券按照偿还期限重分类至一年内到期的非流动负债所致</w:t>
                </w:r>
              </w:p>
            </w:tc>
          </w:tr>
        </w:sdtContent>
      </w:sdt>
      <w:bookmarkEnd w:id="40"/>
    </w:tbl>
    <w:p w14:paraId="07D83099">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rFonts w:hint="eastAsia"/>
          <w:color w:val="000000" w:themeColor="text1"/>
          <w14:textFill>
            <w14:solidFill>
              <w14:schemeClr w14:val="tx1"/>
            </w14:solidFill>
          </w14:textFill>
        </w:rPr>
        <w:alias w:val="资产及负债状况的其他说明"/>
        <w:tag w:val="_GBC_cb3eda90e3e24589a444c633ca113f7e"/>
        <w:id w:val="-1372449456"/>
      </w:sdtPr>
      <w:sdtEndPr>
        <w:rPr>
          <w:rFonts w:hint="eastAsia"/>
          <w:color w:val="000000" w:themeColor="text1"/>
          <w14:textFill>
            <w14:solidFill>
              <w14:schemeClr w14:val="tx1"/>
            </w14:solidFill>
          </w14:textFill>
        </w:rPr>
      </w:sdtEndPr>
      <w:sdtContent>
        <w:p w14:paraId="23FDA3B6">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231DDA7B">
      <w:pPr>
        <w:rPr>
          <w:color w:val="000000" w:themeColor="text1"/>
          <w14:textFill>
            <w14:solidFill>
              <w14:schemeClr w14:val="tx1"/>
            </w14:solidFill>
          </w14:textFill>
        </w:rPr>
      </w:pPr>
    </w:p>
    <w:p w14:paraId="31E4C71B">
      <w:pPr>
        <w:rPr>
          <w:color w:val="000000" w:themeColor="text1"/>
          <w14:textFill>
            <w14:solidFill>
              <w14:schemeClr w14:val="tx1"/>
            </w14:solidFill>
          </w14:textFill>
        </w:rPr>
      </w:pPr>
    </w:p>
    <w:p w14:paraId="0A9DD0A3">
      <w:pPr>
        <w:rPr>
          <w:color w:val="000000" w:themeColor="text1"/>
          <w14:textFill>
            <w14:solidFill>
              <w14:schemeClr w14:val="tx1"/>
            </w14:solidFill>
          </w14:textFill>
        </w:rPr>
        <w:sectPr>
          <w:pgSz w:w="16838" w:h="11906" w:orient="landscape"/>
          <w:pgMar w:top="1797" w:right="1525" w:bottom="1276" w:left="1440" w:header="851" w:footer="992" w:gutter="0"/>
          <w:cols w:space="425" w:num="1"/>
          <w:docGrid w:linePitch="312" w:charSpace="0"/>
        </w:sectPr>
      </w:pPr>
    </w:p>
    <w:p w14:paraId="2CF3B990">
      <w:pPr>
        <w:pStyle w:val="58"/>
        <w:numPr>
          <w:ilvl w:val="0"/>
          <w:numId w:val="9"/>
        </w:numPr>
        <w:rPr>
          <w:rFonts w:ascii="宋体" w:hAnsi="宋体"/>
          <w:b w:val="0"/>
          <w:color w:val="000000" w:themeColor="text1"/>
          <w14:textFill>
            <w14:solidFill>
              <w14:schemeClr w14:val="tx1"/>
            </w14:solidFill>
          </w14:textFill>
        </w:rPr>
      </w:pPr>
      <w:r>
        <w:rPr>
          <w:rFonts w:ascii="宋体" w:hAnsi="宋体"/>
          <w:color w:val="000000" w:themeColor="text1"/>
          <w14:textFill>
            <w14:solidFill>
              <w14:schemeClr w14:val="tx1"/>
            </w14:solidFill>
          </w14:textFill>
        </w:rPr>
        <w:t>境外资产情况</w:t>
      </w:r>
    </w:p>
    <w:sdt>
      <w:sdtPr>
        <w:rPr>
          <w:color w:val="000000" w:themeColor="text1"/>
          <w14:textFill>
            <w14:solidFill>
              <w14:schemeClr w14:val="tx1"/>
            </w14:solidFill>
          </w14:textFill>
        </w:rPr>
        <w:alias w:val="是否适用：境外资产情况 [双击切换]"/>
        <w:tag w:val="_GBC_95d71e9a9dcd4966863ba2859a3bf0b7"/>
        <w:id w:val="147470953"/>
        <w:placeholder>
          <w:docPart w:val="GBC22222222222222222222222222222"/>
        </w:placeholder>
      </w:sdtPr>
      <w:sdtEndPr>
        <w:rPr>
          <w:color w:val="000000" w:themeColor="text1"/>
          <w14:textFill>
            <w14:solidFill>
              <w14:schemeClr w14:val="tx1"/>
            </w14:solidFill>
          </w14:textFill>
        </w:rPr>
      </w:sdtEndPr>
      <w:sdtContent>
        <w:p w14:paraId="6512DF4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712DDB5">
      <w:pPr>
        <w:pStyle w:val="59"/>
        <w:numPr>
          <w:ilvl w:val="0"/>
          <w:numId w:val="10"/>
        </w:numPr>
        <w:ind w:left="450" w:hanging="450"/>
        <w:rPr>
          <w:rFonts w:ascii="宋体" w:hAnsi="宋体"/>
          <w:color w:val="000000" w:themeColor="text1"/>
          <w:szCs w:val="21"/>
          <w14:textFill>
            <w14:solidFill>
              <w14:schemeClr w14:val="tx1"/>
            </w14:solidFill>
          </w14:textFill>
        </w:rPr>
      </w:pPr>
      <w:bookmarkStart w:id="41" w:name="_Hlk74646369"/>
      <w:r>
        <w:rPr>
          <w:rFonts w:hint="eastAsia" w:ascii="宋体" w:hAnsi="宋体"/>
          <w:color w:val="000000" w:themeColor="text1"/>
          <w:szCs w:val="21"/>
          <w14:textFill>
            <w14:solidFill>
              <w14:schemeClr w14:val="tx1"/>
            </w14:solidFill>
          </w14:textFill>
        </w:rPr>
        <w:t>资产规模</w:t>
      </w:r>
    </w:p>
    <w:p w14:paraId="68176CBF">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其中：境外资产</w:t>
      </w:r>
      <w:sdt>
        <w:sdtPr>
          <w:rPr>
            <w:rFonts w:hint="eastAsia"/>
            <w:color w:val="000000" w:themeColor="text1"/>
            <w14:textFill>
              <w14:solidFill>
                <w14:schemeClr w14:val="tx1"/>
              </w14:solidFill>
            </w14:textFill>
          </w:rPr>
          <w:alias w:val="报告期内公司境外资产变化"/>
          <w:tag w:val="_GBC_7edcbeb27a8a4dc89717cd882c719546"/>
          <w:id w:val="147479828"/>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43,993,675.88</w:t>
          </w:r>
        </w:sdtContent>
      </w:sdt>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报告期内公司境外资产变化"/>
          <w:tag w:val="_GBC_5372243019964ba2af35a9061c614f89"/>
          <w:id w:val="1474746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报告期内公司境外资产变化"/>
          <w:tag w:val="_GBC_09b61176994d443a8e1c524c6afd9c93"/>
          <w:id w:val="1474768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r>
        <w:rPr>
          <w:rFonts w:hint="eastAsia"/>
          <w:color w:val="000000" w:themeColor="text1"/>
          <w14:textFill>
            <w14:solidFill>
              <w14:schemeClr w14:val="tx1"/>
            </w14:solidFill>
          </w14:textFill>
        </w:rPr>
        <w:t>），占总资产的比例为</w:t>
      </w:r>
      <w:sdt>
        <w:sdtPr>
          <w:rPr>
            <w:rFonts w:hint="eastAsia"/>
            <w:color w:val="000000" w:themeColor="text1"/>
            <w14:textFill>
              <w14:solidFill>
                <w14:schemeClr w14:val="tx1"/>
              </w14:solidFill>
            </w14:textFill>
          </w:rPr>
          <w:alias w:val="报告期内公司境外资产变化占总资产的比例"/>
          <w:tag w:val="_GBC_c83f06156a574d209e05b2246741ffae"/>
          <w:id w:val="147470476"/>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0.20</w:t>
          </w:r>
        </w:sdtContent>
      </w:sdt>
      <w:r>
        <w:rPr>
          <w:rFonts w:hint="eastAsia"/>
          <w:color w:val="000000" w:themeColor="text1"/>
          <w14:textFill>
            <w14:solidFill>
              <w14:schemeClr w14:val="tx1"/>
            </w14:solidFill>
          </w14:textFill>
        </w:rPr>
        <w:t>%。</w:t>
      </w:r>
    </w:p>
    <w:p w14:paraId="647BF9DA">
      <w:pPr>
        <w:rPr>
          <w:color w:val="000000" w:themeColor="text1"/>
          <w14:textFill>
            <w14:solidFill>
              <w14:schemeClr w14:val="tx1"/>
            </w14:solidFill>
          </w14:textFill>
        </w:rPr>
      </w:pPr>
    </w:p>
    <w:bookmarkEnd w:id="41"/>
    <w:p w14:paraId="3E6845C4">
      <w:pPr>
        <w:pStyle w:val="59"/>
        <w:numPr>
          <w:ilvl w:val="0"/>
          <w:numId w:val="10"/>
        </w:numPr>
        <w:ind w:left="450" w:hanging="450"/>
        <w:rPr>
          <w:rFonts w:ascii="宋体" w:hAnsi="宋体"/>
          <w:color w:val="000000" w:themeColor="text1"/>
          <w:szCs w:val="21"/>
          <w14:textFill>
            <w14:solidFill>
              <w14:schemeClr w14:val="tx1"/>
            </w14:solidFill>
          </w14:textFill>
        </w:rPr>
      </w:pPr>
      <w:bookmarkStart w:id="42" w:name="_Hlk89176028"/>
      <w:bookmarkStart w:id="43" w:name="_Hlk105685192"/>
      <w:r>
        <w:rPr>
          <w:rFonts w:hint="eastAsia" w:ascii="宋体" w:hAnsi="宋体"/>
          <w:color w:val="000000" w:themeColor="text1"/>
          <w:szCs w:val="21"/>
          <w14:textFill>
            <w14:solidFill>
              <w14:schemeClr w14:val="tx1"/>
            </w14:solidFill>
          </w14:textFill>
        </w:rPr>
        <w:t>境外资产占比较高的相关说明</w:t>
      </w:r>
    </w:p>
    <w:sdt>
      <w:sdtPr>
        <w:rPr>
          <w:rFonts w:hint="eastAsia"/>
          <w:color w:val="000000" w:themeColor="text1"/>
          <w14:textFill>
            <w14:solidFill>
              <w14:schemeClr w14:val="tx1"/>
            </w14:solidFill>
          </w14:textFill>
        </w:rPr>
        <w:alias w:val="是否适用：境外资产占比较高的相关说明  [双击切换]"/>
        <w:tag w:val="_GBC_b94481189588466d82a6180c2e304194"/>
        <w:id w:val="147460494"/>
        <w:placeholder>
          <w:docPart w:val="GBC22222222222222222222222222222"/>
        </w:placeholder>
      </w:sdtPr>
      <w:sdtEndPr>
        <w:rPr>
          <w:rFonts w:hint="eastAsia"/>
          <w:color w:val="000000" w:themeColor="text1"/>
          <w14:textFill>
            <w14:solidFill>
              <w14:schemeClr w14:val="tx1"/>
            </w14:solidFill>
          </w14:textFill>
        </w:rPr>
      </w:sdtEndPr>
      <w:sdtContent>
        <w:p w14:paraId="2A8B01C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9ECA804">
      <w:pPr>
        <w:rPr>
          <w:color w:val="000000" w:themeColor="text1"/>
          <w14:textFill>
            <w14:solidFill>
              <w14:schemeClr w14:val="tx1"/>
            </w14:solidFill>
          </w14:textFill>
        </w:rPr>
      </w:pPr>
    </w:p>
    <w:bookmarkEnd w:id="42"/>
    <w:p w14:paraId="7E4D8E53">
      <w:pPr>
        <w:rPr>
          <w:color w:val="000000" w:themeColor="text1"/>
          <w14:textFill>
            <w14:solidFill>
              <w14:schemeClr w14:val="tx1"/>
            </w14:solidFill>
          </w14:textFill>
        </w:rPr>
      </w:pPr>
      <w:r>
        <w:rPr>
          <w:color w:val="000000" w:themeColor="text1"/>
          <w14:textFill>
            <w14:solidFill>
              <w14:schemeClr w14:val="tx1"/>
            </w14:solidFill>
          </w14:textFill>
        </w:rPr>
        <w:t>其他说明</w:t>
      </w:r>
    </w:p>
    <w:sdt>
      <w:sdtPr>
        <w:rPr>
          <w:color w:val="000000" w:themeColor="text1"/>
          <w14:textFill>
            <w14:solidFill>
              <w14:schemeClr w14:val="tx1"/>
            </w14:solidFill>
          </w14:textFill>
        </w:rPr>
        <w:alias w:val="境外资产相关说明 "/>
        <w:tag w:val="_GBC_41f1e6e9cf2548bb879088d0ad64be9c"/>
        <w:id w:val="147483635"/>
        <w:placeholder>
          <w:docPart w:val="GBC22222222222222222222222222222"/>
        </w:placeholder>
      </w:sdtPr>
      <w:sdtEndPr>
        <w:rPr>
          <w:color w:val="000000" w:themeColor="text1"/>
          <w14:textFill>
            <w14:solidFill>
              <w14:schemeClr w14:val="tx1"/>
            </w14:solidFill>
          </w14:textFill>
        </w:rPr>
      </w:sdtEndPr>
      <w:sdtContent>
        <w:p w14:paraId="58FB3EB1">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3C295EDF">
      <w:pPr>
        <w:rPr>
          <w:color w:val="000000" w:themeColor="text1"/>
          <w14:textFill>
            <w14:solidFill>
              <w14:schemeClr w14:val="tx1"/>
            </w14:solidFill>
          </w14:textFill>
        </w:rPr>
      </w:pPr>
    </w:p>
    <w:bookmarkEnd w:id="43"/>
    <w:p w14:paraId="4DD65FF1">
      <w:pPr>
        <w:pStyle w:val="58"/>
        <w:numPr>
          <w:ilvl w:val="0"/>
          <w:numId w:val="9"/>
        </w:numPr>
        <w:rPr>
          <w:rFonts w:ascii="宋体" w:hAnsi="宋体"/>
          <w:b w:val="0"/>
          <w:color w:val="000000" w:themeColor="text1"/>
          <w14:textFill>
            <w14:solidFill>
              <w14:schemeClr w14:val="tx1"/>
            </w14:solidFill>
          </w14:textFill>
        </w:rPr>
      </w:pPr>
      <w:r>
        <w:rPr>
          <w:rFonts w:ascii="宋体" w:hAnsi="宋体"/>
          <w:color w:val="000000" w:themeColor="text1"/>
          <w14:textFill>
            <w14:solidFill>
              <w14:schemeClr w14:val="tx1"/>
            </w14:solidFill>
          </w14:textFill>
        </w:rPr>
        <w:t>截至报告期末主要资产受限情况</w:t>
      </w:r>
    </w:p>
    <w:sdt>
      <w:sdtPr>
        <w:rPr>
          <w:rFonts w:hint="eastAsia"/>
          <w:color w:val="000000" w:themeColor="text1"/>
          <w14:textFill>
            <w14:solidFill>
              <w14:schemeClr w14:val="tx1"/>
            </w14:solidFill>
          </w14:textFill>
        </w:rPr>
        <w:alias w:val="是否适用：主要资产受限情况[双击切换]"/>
        <w:tag w:val="_GBC_e9f1a2b3f13345eaac848c40837fffbb"/>
        <w:id w:val="147471636"/>
        <w:placeholder>
          <w:docPart w:val="GBC22222222222222222222222222222"/>
        </w:placeholder>
      </w:sdtPr>
      <w:sdtEndPr>
        <w:rPr>
          <w:rFonts w:hint="eastAsia"/>
          <w:color w:val="000000" w:themeColor="text1"/>
          <w14:textFill>
            <w14:solidFill>
              <w14:schemeClr w14:val="tx1"/>
            </w14:solidFill>
          </w14:textFill>
        </w:rPr>
      </w:sdtEndPr>
      <w:sdtContent>
        <w:p w14:paraId="20D3019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主要资产受限情况"/>
        <w:tag w:val="_GBC_a45de9537ca94b758cc1d9c201a60b53"/>
        <w:id w:val="147460954"/>
        <w:placeholder>
          <w:docPart w:val="GBC22222222222222222222222222222"/>
        </w:placeholder>
      </w:sdtPr>
      <w:sdtEndPr>
        <w:rPr>
          <w:color w:val="000000" w:themeColor="text1"/>
          <w14:textFill>
            <w14:solidFill>
              <w14:schemeClr w14:val="tx1"/>
            </w14:solidFill>
          </w14:textFill>
        </w:rPr>
      </w:sdtEndPr>
      <w:sdtContent>
        <w:p w14:paraId="2FDE1B15">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w:t>
          </w:r>
          <w:sdt>
            <w:sdtPr>
              <w:rPr>
                <w:color w:val="000000" w:themeColor="text1"/>
                <w14:textFill>
                  <w14:solidFill>
                    <w14:schemeClr w14:val="tx1"/>
                  </w14:solidFill>
                </w14:textFill>
              </w:rPr>
              <w:alias w:val="单位：境外资产占比较高的相关说明  "/>
              <w:tag w:val="_GBC_bc0a75fd49a3475581a32794bfefe42a"/>
              <w:id w:val="147470101"/>
              <w:comboBox>
                <w:listItem w:displayText="元" w:value="1"/>
                <w:listItem w:displayText="千元" w:value="1000"/>
                <w:listItem w:displayText="万元" w:value="10000"/>
                <w:listItem w:displayText="百万元" w:value="1000000"/>
                <w:listItem w:displayText="亿元" w:value="100000000"/>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r>
            <w:rPr>
              <w:color w:val="000000" w:themeColor="text1"/>
              <w14:textFill>
                <w14:solidFill>
                  <w14:schemeClr w14:val="tx1"/>
                </w14:solidFill>
              </w14:textFill>
            </w:rPr>
            <w:t>:</w:t>
          </w:r>
          <w:sdt>
            <w:sdtPr>
              <w:rPr>
                <w:color w:val="000000" w:themeColor="text1"/>
                <w14:textFill>
                  <w14:solidFill>
                    <w14:schemeClr w14:val="tx1"/>
                  </w14:solidFill>
                </w14:textFill>
              </w:rPr>
              <w:alias w:val="币种：境外资产占比较高的相关说明  "/>
              <w:tag w:val="_GBC_c805d93404f6424ca89317cf2193d171"/>
              <w:id w:val="14746162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人民币</w:t>
              </w:r>
            </w:sdtContent>
          </w:sdt>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1"/>
            <w:gridCol w:w="2044"/>
            <w:gridCol w:w="3838"/>
          </w:tblGrid>
          <w:tr w14:paraId="3BBB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1" w:type="dxa"/>
                <w:vAlign w:val="center"/>
              </w:tcPr>
              <w:p w14:paraId="41B00361">
                <w:pPr>
                  <w:widowControl w:val="0"/>
                  <w:jc w:val="both"/>
                  <w:rPr>
                    <w:color w:val="000000" w:themeColor="text1"/>
                    <w14:textFill>
                      <w14:solidFill>
                        <w14:schemeClr w14:val="tx1"/>
                      </w14:solidFill>
                    </w14:textFill>
                  </w:rPr>
                </w:pPr>
                <w:r>
                  <w:rPr>
                    <w:rFonts w:hint="eastAsia"/>
                    <w:color w:val="000000"/>
                  </w:rPr>
                  <w:t>项目</w:t>
                </w:r>
              </w:p>
            </w:tc>
            <w:tc>
              <w:tcPr>
                <w:tcW w:w="2044" w:type="dxa"/>
                <w:vAlign w:val="center"/>
              </w:tcPr>
              <w:p w14:paraId="318435F5">
                <w:pPr>
                  <w:widowControl w:val="0"/>
                  <w:jc w:val="both"/>
                  <w:rPr>
                    <w:color w:val="000000" w:themeColor="text1"/>
                    <w14:textFill>
                      <w14:solidFill>
                        <w14:schemeClr w14:val="tx1"/>
                      </w14:solidFill>
                    </w14:textFill>
                  </w:rPr>
                </w:pPr>
                <w:r>
                  <w:rPr>
                    <w:rFonts w:hint="eastAsia"/>
                    <w:color w:val="000000"/>
                  </w:rPr>
                  <w:t>期末账面价值</w:t>
                </w:r>
              </w:p>
            </w:tc>
            <w:tc>
              <w:tcPr>
                <w:tcW w:w="3838" w:type="dxa"/>
                <w:vAlign w:val="center"/>
              </w:tcPr>
              <w:p w14:paraId="3A641BA5">
                <w:pPr>
                  <w:widowControl w:val="0"/>
                  <w:jc w:val="both"/>
                  <w:rPr>
                    <w:color w:val="000000" w:themeColor="text1"/>
                    <w14:textFill>
                      <w14:solidFill>
                        <w14:schemeClr w14:val="tx1"/>
                      </w14:solidFill>
                    </w14:textFill>
                  </w:rPr>
                </w:pPr>
                <w:r>
                  <w:rPr>
                    <w:rFonts w:hint="eastAsia"/>
                    <w:color w:val="000000"/>
                  </w:rPr>
                  <w:t>受限原因</w:t>
                </w:r>
              </w:p>
            </w:tc>
          </w:tr>
          <w:tr w14:paraId="2DE3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1" w:type="dxa"/>
                <w:vAlign w:val="center"/>
              </w:tcPr>
              <w:p w14:paraId="5BFF0824">
                <w:pPr>
                  <w:widowControl w:val="0"/>
                  <w:jc w:val="both"/>
                  <w:rPr>
                    <w:color w:val="000000" w:themeColor="text1"/>
                    <w14:textFill>
                      <w14:solidFill>
                        <w14:schemeClr w14:val="tx1"/>
                      </w14:solidFill>
                    </w14:textFill>
                  </w:rPr>
                </w:pPr>
                <w:r>
                  <w:rPr>
                    <w:rFonts w:hint="eastAsia"/>
                    <w:color w:val="000000"/>
                  </w:rPr>
                  <w:t>货币资金</w:t>
                </w:r>
              </w:p>
            </w:tc>
            <w:tc>
              <w:tcPr>
                <w:tcW w:w="2044" w:type="dxa"/>
                <w:vAlign w:val="bottom"/>
              </w:tcPr>
              <w:p w14:paraId="50541E71">
                <w:pPr>
                  <w:widowControl/>
                  <w:jc w:val="right"/>
                  <w:textAlignment w:val="bottom"/>
                  <w:rPr>
                    <w:rFonts w:cs="Times New Roman"/>
                    <w:color w:val="000000" w:themeColor="text1"/>
                    <w14:textFill>
                      <w14:solidFill>
                        <w14:schemeClr w14:val="tx1"/>
                      </w14:solidFill>
                    </w14:textFill>
                  </w:rPr>
                </w:pPr>
                <w:r>
                  <w:rPr>
                    <w:rFonts w:eastAsia="Arial Narrow" w:cs="Times New Roman"/>
                    <w:color w:val="000000"/>
                    <w:lang w:bidi="ar"/>
                  </w:rPr>
                  <w:t>183,950,074.32</w:t>
                </w:r>
              </w:p>
            </w:tc>
            <w:tc>
              <w:tcPr>
                <w:tcW w:w="3838" w:type="dxa"/>
                <w:vAlign w:val="center"/>
              </w:tcPr>
              <w:p w14:paraId="5A109F8F">
                <w:pPr>
                  <w:widowControl w:val="0"/>
                  <w:jc w:val="both"/>
                  <w:rPr>
                    <w:color w:val="000000" w:themeColor="text1"/>
                    <w14:textFill>
                      <w14:solidFill>
                        <w14:schemeClr w14:val="tx1"/>
                      </w14:solidFill>
                    </w14:textFill>
                  </w:rPr>
                </w:pPr>
                <w:r>
                  <w:rPr>
                    <w:bCs w:val="0"/>
                  </w:rPr>
                  <w:t>详见附注“七、注释1”</w:t>
                </w:r>
              </w:p>
            </w:tc>
          </w:tr>
          <w:tr w14:paraId="41F48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1" w:type="dxa"/>
                <w:vAlign w:val="center"/>
              </w:tcPr>
              <w:p w14:paraId="6DA900C2">
                <w:pPr>
                  <w:widowControl w:val="0"/>
                  <w:jc w:val="both"/>
                  <w:rPr>
                    <w:color w:val="000000" w:themeColor="text1"/>
                    <w14:textFill>
                      <w14:solidFill>
                        <w14:schemeClr w14:val="tx1"/>
                      </w14:solidFill>
                    </w14:textFill>
                  </w:rPr>
                </w:pPr>
                <w:r>
                  <w:rPr>
                    <w:rFonts w:hint="eastAsia"/>
                    <w:color w:val="000000"/>
                  </w:rPr>
                  <w:t>固定资产</w:t>
                </w:r>
              </w:p>
            </w:tc>
            <w:tc>
              <w:tcPr>
                <w:tcW w:w="2044" w:type="dxa"/>
                <w:vAlign w:val="bottom"/>
              </w:tcPr>
              <w:p w14:paraId="02853513">
                <w:pPr>
                  <w:widowControl/>
                  <w:jc w:val="right"/>
                  <w:textAlignment w:val="bottom"/>
                  <w:rPr>
                    <w:rFonts w:cs="Times New Roman"/>
                    <w:color w:val="000000" w:themeColor="text1"/>
                    <w14:textFill>
                      <w14:solidFill>
                        <w14:schemeClr w14:val="tx1"/>
                      </w14:solidFill>
                    </w14:textFill>
                  </w:rPr>
                </w:pPr>
                <w:r>
                  <w:rPr>
                    <w:rFonts w:eastAsia="Arial Narrow" w:cs="Times New Roman"/>
                    <w:color w:val="000000"/>
                    <w:lang w:bidi="ar"/>
                  </w:rPr>
                  <w:t>55,705,732.10</w:t>
                </w:r>
              </w:p>
            </w:tc>
            <w:tc>
              <w:tcPr>
                <w:tcW w:w="3838" w:type="dxa"/>
                <w:vAlign w:val="center"/>
              </w:tcPr>
              <w:p w14:paraId="4C5AEE29">
                <w:pPr>
                  <w:widowControl w:val="0"/>
                  <w:jc w:val="both"/>
                  <w:rPr>
                    <w:color w:val="000000" w:themeColor="text1"/>
                    <w14:textFill>
                      <w14:solidFill>
                        <w14:schemeClr w14:val="tx1"/>
                      </w14:solidFill>
                    </w14:textFill>
                  </w:rPr>
                </w:pPr>
                <w:r>
                  <w:rPr>
                    <w:rFonts w:hint="eastAsia"/>
                    <w:color w:val="000000"/>
                  </w:rPr>
                  <w:t>抵押借款、</w:t>
                </w:r>
                <w:r>
                  <w:rPr>
                    <w:rFonts w:hint="eastAsia" w:ascii="宋体" w:hAnsi="宋体"/>
                    <w:color w:val="000000"/>
                    <w:lang w:bidi="ar"/>
                  </w:rPr>
                  <w:t>抵押用于开具银行承兑汇票</w:t>
                </w:r>
              </w:p>
            </w:tc>
          </w:tr>
          <w:tr w14:paraId="6919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1" w:type="dxa"/>
                <w:vAlign w:val="center"/>
              </w:tcPr>
              <w:p w14:paraId="48CBCDED">
                <w:pPr>
                  <w:widowControl w:val="0"/>
                  <w:jc w:val="both"/>
                  <w:rPr>
                    <w:color w:val="000000" w:themeColor="text1"/>
                    <w14:textFill>
                      <w14:solidFill>
                        <w14:schemeClr w14:val="tx1"/>
                      </w14:solidFill>
                    </w14:textFill>
                  </w:rPr>
                </w:pPr>
                <w:r>
                  <w:rPr>
                    <w:rFonts w:hint="eastAsia"/>
                    <w:color w:val="000000"/>
                  </w:rPr>
                  <w:t>无形资产</w:t>
                </w:r>
              </w:p>
            </w:tc>
            <w:tc>
              <w:tcPr>
                <w:tcW w:w="2044" w:type="dxa"/>
                <w:vAlign w:val="bottom"/>
              </w:tcPr>
              <w:p w14:paraId="3082F955">
                <w:pPr>
                  <w:widowControl/>
                  <w:jc w:val="right"/>
                  <w:textAlignment w:val="bottom"/>
                  <w:rPr>
                    <w:rFonts w:cs="Times New Roman"/>
                    <w:color w:val="000000" w:themeColor="text1"/>
                    <w14:textFill>
                      <w14:solidFill>
                        <w14:schemeClr w14:val="tx1"/>
                      </w14:solidFill>
                    </w14:textFill>
                  </w:rPr>
                </w:pPr>
                <w:r>
                  <w:rPr>
                    <w:rFonts w:eastAsia="Arial Narrow" w:cs="Times New Roman"/>
                    <w:color w:val="000000"/>
                    <w:lang w:bidi="ar"/>
                  </w:rPr>
                  <w:t>42,165,044.32</w:t>
                </w:r>
              </w:p>
            </w:tc>
            <w:tc>
              <w:tcPr>
                <w:tcW w:w="3838" w:type="dxa"/>
                <w:vAlign w:val="center"/>
              </w:tcPr>
              <w:p w14:paraId="0D9C39A4">
                <w:pPr>
                  <w:widowControl/>
                  <w:jc w:val="both"/>
                  <w:textAlignment w:val="center"/>
                  <w:rPr>
                    <w:color w:val="000000" w:themeColor="text1"/>
                    <w14:textFill>
                      <w14:solidFill>
                        <w14:schemeClr w14:val="tx1"/>
                      </w14:solidFill>
                    </w14:textFill>
                  </w:rPr>
                </w:pPr>
                <w:r>
                  <w:rPr>
                    <w:rFonts w:hint="eastAsia" w:ascii="宋体" w:hAnsi="宋体"/>
                    <w:color w:val="000000"/>
                    <w:lang w:bidi="ar"/>
                  </w:rPr>
                  <w:t>抵押用于开具银行承兑汇票</w:t>
                </w:r>
              </w:p>
            </w:tc>
          </w:tr>
          <w:tr w14:paraId="05D7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1" w:type="dxa"/>
                <w:vAlign w:val="center"/>
              </w:tcPr>
              <w:p w14:paraId="6FC47CEB">
                <w:pPr>
                  <w:widowControl/>
                  <w:jc w:val="both"/>
                  <w:textAlignment w:val="center"/>
                  <w:rPr>
                    <w:color w:val="000000"/>
                  </w:rPr>
                </w:pPr>
                <w:r>
                  <w:rPr>
                    <w:rFonts w:hint="eastAsia" w:ascii="宋体" w:hAnsi="宋体"/>
                    <w:color w:val="000000"/>
                    <w:lang w:bidi="ar"/>
                  </w:rPr>
                  <w:t>投资性房地产</w:t>
                </w:r>
              </w:p>
            </w:tc>
            <w:tc>
              <w:tcPr>
                <w:tcW w:w="2044" w:type="dxa"/>
                <w:vAlign w:val="bottom"/>
              </w:tcPr>
              <w:p w14:paraId="6A2A2821">
                <w:pPr>
                  <w:widowControl/>
                  <w:jc w:val="right"/>
                  <w:textAlignment w:val="bottom"/>
                  <w:rPr>
                    <w:rFonts w:cs="Times New Roman"/>
                    <w:color w:val="000000" w:themeColor="text1"/>
                    <w14:textFill>
                      <w14:solidFill>
                        <w14:schemeClr w14:val="tx1"/>
                      </w14:solidFill>
                    </w14:textFill>
                  </w:rPr>
                </w:pPr>
                <w:r>
                  <w:rPr>
                    <w:rFonts w:eastAsia="Arial Narrow" w:cs="Times New Roman"/>
                    <w:color w:val="000000"/>
                    <w:lang w:bidi="ar"/>
                  </w:rPr>
                  <w:t>51,806,250.00</w:t>
                </w:r>
              </w:p>
            </w:tc>
            <w:tc>
              <w:tcPr>
                <w:tcW w:w="3838" w:type="dxa"/>
                <w:vAlign w:val="center"/>
              </w:tcPr>
              <w:p w14:paraId="23F652D5">
                <w:pPr>
                  <w:widowControl/>
                  <w:jc w:val="both"/>
                  <w:textAlignment w:val="center"/>
                  <w:rPr>
                    <w:color w:val="000000"/>
                  </w:rPr>
                </w:pPr>
                <w:r>
                  <w:rPr>
                    <w:rFonts w:hint="eastAsia" w:ascii="宋体" w:hAnsi="宋体"/>
                    <w:color w:val="000000"/>
                    <w:lang w:bidi="ar"/>
                  </w:rPr>
                  <w:t>抵押用于开具银行承兑汇票</w:t>
                </w:r>
              </w:p>
            </w:tc>
          </w:tr>
          <w:tr w14:paraId="3BDE2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1" w:type="dxa"/>
                <w:vAlign w:val="center"/>
              </w:tcPr>
              <w:p w14:paraId="0C2C8548">
                <w:pPr>
                  <w:widowControl w:val="0"/>
                  <w:jc w:val="both"/>
                  <w:rPr>
                    <w:color w:val="000000" w:themeColor="text1"/>
                    <w14:textFill>
                      <w14:solidFill>
                        <w14:schemeClr w14:val="tx1"/>
                      </w14:solidFill>
                    </w14:textFill>
                  </w:rPr>
                </w:pPr>
                <w:r>
                  <w:rPr>
                    <w:rFonts w:hint="eastAsia"/>
                    <w:color w:val="000000"/>
                  </w:rPr>
                  <w:t>合计</w:t>
                </w:r>
              </w:p>
            </w:tc>
            <w:tc>
              <w:tcPr>
                <w:tcW w:w="2044" w:type="dxa"/>
                <w:vAlign w:val="bottom"/>
              </w:tcPr>
              <w:p w14:paraId="3274D9B6">
                <w:pPr>
                  <w:widowControl/>
                  <w:jc w:val="right"/>
                  <w:textAlignment w:val="bottom"/>
                  <w:rPr>
                    <w:rFonts w:cs="Times New Roman"/>
                    <w:color w:val="000000" w:themeColor="text1"/>
                    <w14:textFill>
                      <w14:solidFill>
                        <w14:schemeClr w14:val="tx1"/>
                      </w14:solidFill>
                    </w14:textFill>
                  </w:rPr>
                </w:pPr>
                <w:r>
                  <w:rPr>
                    <w:rFonts w:eastAsia="Arial Narrow" w:cs="Times New Roman"/>
                    <w:color w:val="000000"/>
                    <w:lang w:bidi="ar"/>
                  </w:rPr>
                  <w:t>333,627,100.74</w:t>
                </w:r>
              </w:p>
            </w:tc>
            <w:tc>
              <w:tcPr>
                <w:tcW w:w="3838" w:type="dxa"/>
                <w:vAlign w:val="center"/>
              </w:tcPr>
              <w:p w14:paraId="6D7EFC34">
                <w:pPr>
                  <w:widowControl w:val="0"/>
                  <w:jc w:val="both"/>
                  <w:rPr>
                    <w:color w:val="000000" w:themeColor="text1"/>
                    <w14:textFill>
                      <w14:solidFill>
                        <w14:schemeClr w14:val="tx1"/>
                      </w14:solidFill>
                    </w14:textFill>
                  </w:rPr>
                </w:pPr>
              </w:p>
            </w:tc>
          </w:tr>
        </w:tbl>
        <w:p w14:paraId="5F16B0F7">
          <w:pPr>
            <w:rPr>
              <w:color w:val="000000" w:themeColor="text1"/>
              <w14:textFill>
                <w14:solidFill>
                  <w14:schemeClr w14:val="tx1"/>
                </w14:solidFill>
              </w14:textFill>
            </w:rPr>
          </w:pPr>
        </w:p>
      </w:sdtContent>
    </w:sdt>
    <w:p w14:paraId="199F4270">
      <w:pPr>
        <w:pStyle w:val="58"/>
        <w:numPr>
          <w:ilvl w:val="0"/>
          <w:numId w:val="9"/>
        </w:numPr>
        <w:rPr>
          <w:rFonts w:ascii="宋体" w:hAnsi="宋体"/>
          <w:b w:val="0"/>
          <w:color w:val="000000" w:themeColor="text1"/>
          <w14:textFill>
            <w14:solidFill>
              <w14:schemeClr w14:val="tx1"/>
            </w14:solidFill>
          </w14:textFill>
        </w:rPr>
      </w:pPr>
      <w:r>
        <w:rPr>
          <w:rFonts w:ascii="宋体" w:hAnsi="宋体"/>
          <w:color w:val="000000" w:themeColor="text1"/>
          <w14:textFill>
            <w14:solidFill>
              <w14:schemeClr w14:val="tx1"/>
            </w14:solidFill>
          </w14:textFill>
        </w:rPr>
        <w:t>其他说明</w:t>
      </w:r>
    </w:p>
    <w:sdt>
      <w:sdtPr>
        <w:rPr>
          <w:rFonts w:hint="eastAsia"/>
          <w:color w:val="000000" w:themeColor="text1"/>
          <w14:textFill>
            <w14:solidFill>
              <w14:schemeClr w14:val="tx1"/>
            </w14:solidFill>
          </w14:textFill>
        </w:rPr>
        <w:alias w:val="是否适用：资产及负债状况的其他说明[双击切换]"/>
        <w:tag w:val="_GBC_ba674147d80648fba521aedf33ce0b27"/>
        <w:id w:val="147458711"/>
        <w:placeholder>
          <w:docPart w:val="GBC22222222222222222222222222222"/>
        </w:placeholder>
      </w:sdtPr>
      <w:sdtEndPr>
        <w:rPr>
          <w:rFonts w:hint="eastAsia"/>
          <w:color w:val="000000" w:themeColor="text1"/>
          <w14:textFill>
            <w14:solidFill>
              <w14:schemeClr w14:val="tx1"/>
            </w14:solidFill>
          </w14:textFill>
        </w:rPr>
      </w:sdtEndPr>
      <w:sdtContent>
        <w:p w14:paraId="299DDF0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0125E4B">
      <w:pPr>
        <w:rPr>
          <w:color w:val="000000" w:themeColor="text1"/>
          <w14:textFill>
            <w14:solidFill>
              <w14:schemeClr w14:val="tx1"/>
            </w14:solidFill>
          </w14:textFill>
        </w:rPr>
      </w:pPr>
    </w:p>
    <w:p w14:paraId="55A693B9">
      <w:pPr>
        <w:pStyle w:val="57"/>
        <w:numPr>
          <w:ilvl w:val="0"/>
          <w:numId w:val="7"/>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投资状况分析</w:t>
      </w:r>
    </w:p>
    <w:p w14:paraId="3DF9DC64">
      <w:pPr>
        <w:pStyle w:val="58"/>
        <w:numPr>
          <w:ilvl w:val="0"/>
          <w:numId w:val="11"/>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对外股权投资总体分析</w:t>
      </w:r>
    </w:p>
    <w:p w14:paraId="6B5E1D8C">
      <w:pPr>
        <w:rPr>
          <w:color w:val="000000" w:themeColor="text1"/>
          <w14:textFill>
            <w14:solidFill>
              <w14:schemeClr w14:val="tx1"/>
            </w14:solidFill>
          </w14:textFill>
        </w:rPr>
      </w:pPr>
      <w:sdt>
        <w:sdtPr>
          <w:rPr>
            <w:color w:val="000000" w:themeColor="text1"/>
            <w14:textFill>
              <w14:solidFill>
                <w14:schemeClr w14:val="tx1"/>
              </w14:solidFill>
            </w14:textFill>
          </w:rPr>
          <w:alias w:val="是否适用：对外股权投资总体分析[双击切换]"/>
          <w:tag w:val="_GBC_d1852fb41d2a420f9f1d78c35235341a"/>
          <w:id w:val="147459901"/>
          <w:placeholder>
            <w:docPart w:val="GBC22222222222222222222222222222"/>
          </w:placeholder>
        </w:sdtPr>
        <w:sdtEndPr>
          <w:rPr>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sdt>
      <w:sdtPr>
        <w:rPr>
          <w:color w:val="000000" w:themeColor="text1"/>
          <w14:textFill>
            <w14:solidFill>
              <w14:schemeClr w14:val="tx1"/>
            </w14:solidFill>
          </w14:textFill>
        </w:rPr>
        <w:alias w:val="对外股权投资总体分析"/>
        <w:tag w:val="_GBC_cef6637b11fc44ed960eb269931b50e8"/>
        <w:id w:val="147462805"/>
        <w:placeholder>
          <w:docPart w:val="GBC22222222222222222222222222222"/>
        </w:placeholder>
      </w:sdtPr>
      <w:sdtEndPr>
        <w:rPr>
          <w:color w:val="000000" w:themeColor="text1"/>
          <w14:textFill>
            <w14:solidFill>
              <w14:schemeClr w14:val="tx1"/>
            </w14:solidFill>
          </w14:textFill>
        </w:rPr>
      </w:sdtEndPr>
      <w:sdtContent>
        <w:p w14:paraId="2CB6F4D3">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报告期末，长期股权投资账面价值4,473.49万元，较年初4,800.97万元，减少327.48万元，降幅6.82%。报告期内，按照权益法核算确认投资收益-327.48万元。</w:t>
          </w:r>
        </w:p>
        <w:p w14:paraId="1719CAF7">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交易性金融资产账面价值63.00万元，较年初63.00万元未发生变化。</w:t>
          </w:r>
        </w:p>
        <w:p w14:paraId="0C084EC7">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其他权益工具投资账面价值51,998.16万元，较年初51,998.16万元未发生变化。</w:t>
          </w:r>
        </w:p>
      </w:sdtContent>
    </w:sdt>
    <w:p w14:paraId="04E5925D">
      <w:pPr>
        <w:rPr>
          <w:color w:val="000000" w:themeColor="text1"/>
          <w14:textFill>
            <w14:solidFill>
              <w14:schemeClr w14:val="tx1"/>
            </w14:solidFill>
          </w14:textFill>
        </w:rPr>
      </w:pPr>
    </w:p>
    <w:p w14:paraId="0C736E72">
      <w:pPr>
        <w:pStyle w:val="59"/>
        <w:numPr>
          <w:ilvl w:val="0"/>
          <w:numId w:val="12"/>
        </w:numPr>
        <w:tabs>
          <w:tab w:val="left" w:pos="360"/>
        </w:tabs>
        <w:ind w:left="0" w:firstLine="0"/>
        <w:rPr>
          <w:color w:val="000000" w:themeColor="text1"/>
          <w:szCs w:val="21"/>
          <w14:textFill>
            <w14:solidFill>
              <w14:schemeClr w14:val="tx1"/>
            </w14:solidFill>
          </w14:textFill>
        </w:rPr>
      </w:pPr>
      <w:bookmarkStart w:id="44" w:name="_Hlk137045665"/>
      <w:r>
        <w:rPr>
          <w:rFonts w:hint="eastAsia"/>
          <w:color w:val="000000" w:themeColor="text1"/>
          <w:szCs w:val="21"/>
          <w14:textFill>
            <w14:solidFill>
              <w14:schemeClr w14:val="tx1"/>
            </w14:solidFill>
          </w14:textFill>
        </w:rPr>
        <w:t>重大的股权投资</w:t>
      </w:r>
    </w:p>
    <w:sdt>
      <w:sdtPr>
        <w:rPr>
          <w:rFonts w:hint="eastAsia"/>
          <w:color w:val="000000" w:themeColor="text1"/>
          <w14:textFill>
            <w14:solidFill>
              <w14:schemeClr w14:val="tx1"/>
            </w14:solidFill>
          </w14:textFill>
        </w:rPr>
        <w:alias w:val="是否适用：重大的股权投资[双击切换]"/>
        <w:tag w:val="_GBC_9d4d997d9f994cccbb938afa207cfaf2"/>
        <w:id w:val="147463348"/>
        <w:placeholder>
          <w:docPart w:val="GBC22222222222222222222222222222"/>
        </w:placeholder>
      </w:sdtPr>
      <w:sdtEndPr>
        <w:rPr>
          <w:rFonts w:hint="eastAsia"/>
          <w:color w:val="000000" w:themeColor="text1"/>
          <w14:textFill>
            <w14:solidFill>
              <w14:schemeClr w14:val="tx1"/>
            </w14:solidFill>
          </w14:textFill>
        </w:rPr>
      </w:sdtEndPr>
      <w:sdtContent>
        <w:p w14:paraId="5B00F52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44"/>
    <w:p w14:paraId="22CA63C9">
      <w:pPr>
        <w:rPr>
          <w:color w:val="000000" w:themeColor="text1"/>
          <w14:textFill>
            <w14:solidFill>
              <w14:schemeClr w14:val="tx1"/>
            </w14:solidFill>
          </w14:textFill>
        </w:rPr>
      </w:pPr>
    </w:p>
    <w:p w14:paraId="1D437596">
      <w:pPr>
        <w:pStyle w:val="59"/>
        <w:numPr>
          <w:ilvl w:val="0"/>
          <w:numId w:val="12"/>
        </w:numPr>
        <w:tabs>
          <w:tab w:val="left" w:pos="360"/>
        </w:tabs>
        <w:ind w:left="0" w:firstLine="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重大的非股权投资</w:t>
      </w:r>
    </w:p>
    <w:sdt>
      <w:sdtPr>
        <w:rPr>
          <w:rFonts w:hint="eastAsia"/>
          <w:color w:val="000000" w:themeColor="text1"/>
          <w14:textFill>
            <w14:solidFill>
              <w14:schemeClr w14:val="tx1"/>
            </w14:solidFill>
          </w14:textFill>
        </w:rPr>
        <w:alias w:val="是否适用：重大的非股权投资[双击切换]"/>
        <w:tag w:val="_GBC_ea7fdcb7583549f38c0db41e73af0a8b"/>
        <w:id w:val="147467402"/>
        <w:placeholder>
          <w:docPart w:val="GBC22222222222222222222222222222"/>
        </w:placeholder>
      </w:sdtPr>
      <w:sdtEndPr>
        <w:rPr>
          <w:rFonts w:hint="eastAsia"/>
          <w:color w:val="000000" w:themeColor="text1"/>
          <w14:textFill>
            <w14:solidFill>
              <w14:schemeClr w14:val="tx1"/>
            </w14:solidFill>
          </w14:textFill>
        </w:rPr>
      </w:sdtEndPr>
      <w:sdtContent>
        <w:p w14:paraId="09E80E4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2B10DF6">
      <w:pPr>
        <w:rPr>
          <w:color w:val="000000" w:themeColor="text1"/>
          <w14:textFill>
            <w14:solidFill>
              <w14:schemeClr w14:val="tx1"/>
            </w14:solidFill>
          </w14:textFill>
        </w:rPr>
      </w:pPr>
    </w:p>
    <w:p w14:paraId="6E2774AF">
      <w:pPr>
        <w:pStyle w:val="59"/>
        <w:numPr>
          <w:ilvl w:val="0"/>
          <w:numId w:val="12"/>
        </w:numPr>
        <w:tabs>
          <w:tab w:val="left" w:pos="360"/>
        </w:tabs>
        <w:ind w:left="0" w:firstLine="0"/>
        <w:rPr>
          <w:color w:val="000000" w:themeColor="text1"/>
          <w:szCs w:val="21"/>
          <w14:textFill>
            <w14:solidFill>
              <w14:schemeClr w14:val="tx1"/>
            </w14:solidFill>
          </w14:textFill>
        </w:rPr>
      </w:pPr>
      <w:bookmarkStart w:id="45" w:name="_Hlk40532846"/>
      <w:bookmarkStart w:id="46" w:name="_Hlk137045755"/>
      <w:r>
        <w:rPr>
          <w:rFonts w:hint="eastAsia"/>
          <w:color w:val="000000" w:themeColor="text1"/>
          <w:szCs w:val="21"/>
          <w14:textFill>
            <w14:solidFill>
              <w14:schemeClr w14:val="tx1"/>
            </w14:solidFill>
          </w14:textFill>
        </w:rPr>
        <w:t>以公允价值计量的金融资产</w:t>
      </w:r>
    </w:p>
    <w:sdt>
      <w:sdtPr>
        <w:rPr>
          <w:rFonts w:hint="eastAsia"/>
          <w:color w:val="000000" w:themeColor="text1"/>
          <w14:textFill>
            <w14:solidFill>
              <w14:schemeClr w14:val="tx1"/>
            </w14:solidFill>
          </w14:textFill>
        </w:rPr>
        <w:alias w:val="是否适用：以公允价值计量的金融资产[双击切换]"/>
        <w:tag w:val="_GBC_541ff98e64424f46b08f9f3687c1ea7a"/>
        <w:id w:val="147455913"/>
        <w:placeholder>
          <w:docPart w:val="GBC22222222222222222222222222222"/>
        </w:placeholder>
      </w:sdtPr>
      <w:sdtEndPr>
        <w:rPr>
          <w:rFonts w:hint="eastAsia"/>
          <w:color w:val="000000" w:themeColor="text1"/>
          <w14:textFill>
            <w14:solidFill>
              <w14:schemeClr w14:val="tx1"/>
            </w14:solidFill>
          </w14:textFill>
        </w:rPr>
      </w:sdtEndPr>
      <w:sdtContent>
        <w:p w14:paraId="2E68D47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95EDCD2">
      <w:pPr>
        <w:pStyle w:val="68"/>
        <w:wordWrap w:val="0"/>
        <w:ind w:left="360" w:firstLine="0" w:firstLineChars="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以公允价值计量的金融资产"/>
          <w:tag w:val="_GBC_1c2aaa623bd0423791ad9edf7fcfb564"/>
          <w:id w:val="1474649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以公允价值计量的金融资产"/>
          <w:tag w:val="_GBC_7946a1d9804e4752a8d28bb04a1c1fe2"/>
          <w:id w:val="1474696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3"/>
        <w:gridCol w:w="3580"/>
        <w:gridCol w:w="3582"/>
      </w:tblGrid>
      <w:tr w14:paraId="5593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4279fe84ffd49f892f0e4236d8485e0"/>
            <w:id w:val="147477196"/>
          </w:sdtPr>
          <w:sdtContent>
            <w:tc>
              <w:tcPr>
                <w:tcW w:w="1041" w:type="pct"/>
                <w:vAlign w:val="center"/>
              </w:tcPr>
              <w:p w14:paraId="7E5C4832">
                <w:pPr>
                  <w:widowControl w:val="0"/>
                  <w:jc w:val="center"/>
                  <w:rPr>
                    <w:color w:val="000000" w:themeColor="text1"/>
                    <w14:textFill>
                      <w14:solidFill>
                        <w14:schemeClr w14:val="tx1"/>
                      </w14:solidFill>
                    </w14:textFill>
                  </w:rPr>
                </w:pPr>
                <w:r>
                  <w:rPr>
                    <w:rFonts w:hint="eastAsia" w:cs="Times New Roman"/>
                    <w:color w:val="000000" w:themeColor="text1"/>
                    <w:kern w:val="2"/>
                    <w:szCs w:val="22"/>
                    <w14:textFill>
                      <w14:solidFill>
                        <w14:schemeClr w14:val="tx1"/>
                      </w14:solidFill>
                    </w14:textFill>
                  </w:rPr>
                  <w:t>资产类别</w:t>
                </w:r>
              </w:p>
            </w:tc>
          </w:sdtContent>
        </w:sdt>
        <w:sdt>
          <w:sdtPr>
            <w:tag w:val="_PLD_8c2e4dc1bb324e79bc03b22ad26f792e"/>
            <w:id w:val="147481084"/>
          </w:sdtPr>
          <w:sdtContent>
            <w:tc>
              <w:tcPr>
                <w:tcW w:w="1978" w:type="pct"/>
                <w:vAlign w:val="center"/>
              </w:tcPr>
              <w:p w14:paraId="75A0AFFF">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期初数</w:t>
                </w:r>
              </w:p>
            </w:tc>
          </w:sdtContent>
        </w:sdt>
        <w:sdt>
          <w:sdtPr>
            <w:tag w:val="_PLD_d765878830274571b732d6e366f7811e"/>
            <w:id w:val="147460059"/>
          </w:sdtPr>
          <w:sdtContent>
            <w:tc>
              <w:tcPr>
                <w:tcW w:w="1979" w:type="pct"/>
                <w:vAlign w:val="center"/>
              </w:tcPr>
              <w:p w14:paraId="1D1FEE3B">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期末数</w:t>
                </w:r>
              </w:p>
            </w:tc>
          </w:sdtContent>
        </w:sdt>
      </w:tr>
      <w:tr w14:paraId="4CEEB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pct"/>
          </w:tcPr>
          <w:p w14:paraId="7695B412">
            <w:pPr>
              <w:widowControl w:val="0"/>
              <w:jc w:val="both"/>
              <w:rPr>
                <w:color w:val="000000" w:themeColor="text1"/>
                <w14:textFill>
                  <w14:solidFill>
                    <w14:schemeClr w14:val="tx1"/>
                  </w14:solidFill>
                </w14:textFill>
              </w:rPr>
            </w:pPr>
            <w:r>
              <w:rPr>
                <w:rFonts w:hint="eastAsia"/>
                <w:color w:val="000000"/>
              </w:rPr>
              <w:t>信托</w:t>
            </w:r>
          </w:p>
        </w:tc>
        <w:tc>
          <w:tcPr>
            <w:tcW w:w="1978" w:type="pct"/>
            <w:vAlign w:val="bottom"/>
          </w:tcPr>
          <w:p w14:paraId="6D9F32CE">
            <w:pPr>
              <w:widowControl w:val="0"/>
              <w:jc w:val="right"/>
              <w:rPr>
                <w:rFonts w:cs="Times New Roman"/>
              </w:rPr>
            </w:pPr>
            <w:r>
              <w:rPr>
                <w:rFonts w:cs="Times New Roman"/>
                <w:color w:val="000000"/>
                <w:sz w:val="22"/>
                <w:szCs w:val="22"/>
              </w:rPr>
              <w:t xml:space="preserve">630,009.80 </w:t>
            </w:r>
          </w:p>
        </w:tc>
        <w:tc>
          <w:tcPr>
            <w:tcW w:w="1979" w:type="pct"/>
            <w:vAlign w:val="bottom"/>
          </w:tcPr>
          <w:p w14:paraId="6E28861A">
            <w:pPr>
              <w:widowControl w:val="0"/>
              <w:jc w:val="right"/>
              <w:rPr>
                <w:rFonts w:cs="Times New Roman"/>
              </w:rPr>
            </w:pPr>
            <w:r>
              <w:rPr>
                <w:rFonts w:cs="Times New Roman"/>
                <w:color w:val="000000"/>
                <w:sz w:val="22"/>
                <w:szCs w:val="22"/>
              </w:rPr>
              <w:t xml:space="preserve">630,009.80 </w:t>
            </w:r>
          </w:p>
        </w:tc>
      </w:tr>
      <w:tr w14:paraId="49A6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pct"/>
          </w:tcPr>
          <w:p w14:paraId="5946497E">
            <w:pPr>
              <w:widowControl w:val="0"/>
              <w:jc w:val="both"/>
              <w:rPr>
                <w:color w:val="000000" w:themeColor="text1"/>
                <w14:textFill>
                  <w14:solidFill>
                    <w14:schemeClr w14:val="tx1"/>
                  </w14:solidFill>
                </w14:textFill>
              </w:rPr>
            </w:pPr>
            <w:r>
              <w:rPr>
                <w:rFonts w:hint="eastAsia"/>
                <w:color w:val="000000"/>
              </w:rPr>
              <w:t>其他</w:t>
            </w:r>
          </w:p>
        </w:tc>
        <w:tc>
          <w:tcPr>
            <w:tcW w:w="1978" w:type="pct"/>
            <w:vAlign w:val="bottom"/>
          </w:tcPr>
          <w:p w14:paraId="0402E74F">
            <w:pPr>
              <w:widowControl w:val="0"/>
              <w:jc w:val="right"/>
              <w:rPr>
                <w:rFonts w:cs="Times New Roman"/>
              </w:rPr>
            </w:pPr>
            <w:r>
              <w:rPr>
                <w:rFonts w:cs="Times New Roman"/>
                <w:color w:val="000000"/>
                <w:sz w:val="22"/>
                <w:szCs w:val="22"/>
              </w:rPr>
              <w:t xml:space="preserve">519,981,620.71 </w:t>
            </w:r>
          </w:p>
        </w:tc>
        <w:tc>
          <w:tcPr>
            <w:tcW w:w="1979" w:type="pct"/>
            <w:vAlign w:val="bottom"/>
          </w:tcPr>
          <w:p w14:paraId="2D9A24AA">
            <w:pPr>
              <w:widowControl w:val="0"/>
              <w:jc w:val="right"/>
              <w:rPr>
                <w:rFonts w:cs="Times New Roman"/>
              </w:rPr>
            </w:pPr>
            <w:r>
              <w:rPr>
                <w:rFonts w:cs="Times New Roman"/>
                <w:color w:val="000000"/>
                <w:sz w:val="22"/>
                <w:szCs w:val="22"/>
              </w:rPr>
              <w:t xml:space="preserve">519,981,620.71 </w:t>
            </w:r>
          </w:p>
        </w:tc>
      </w:tr>
      <w:tr w14:paraId="10B6C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pct"/>
          </w:tcPr>
          <w:p w14:paraId="5A778F13">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1978" w:type="pct"/>
            <w:vAlign w:val="bottom"/>
          </w:tcPr>
          <w:p w14:paraId="309F0971">
            <w:pPr>
              <w:widowControl w:val="0"/>
              <w:jc w:val="right"/>
              <w:rPr>
                <w:rFonts w:cs="Times New Roman"/>
              </w:rPr>
            </w:pPr>
            <w:r>
              <w:rPr>
                <w:rFonts w:cs="Times New Roman"/>
                <w:color w:val="000000"/>
                <w:sz w:val="22"/>
                <w:szCs w:val="22"/>
              </w:rPr>
              <w:t xml:space="preserve">520,611,630.51 </w:t>
            </w:r>
          </w:p>
        </w:tc>
        <w:tc>
          <w:tcPr>
            <w:tcW w:w="1979" w:type="pct"/>
            <w:vAlign w:val="bottom"/>
          </w:tcPr>
          <w:p w14:paraId="21EFFFF2">
            <w:pPr>
              <w:widowControl w:val="0"/>
              <w:jc w:val="right"/>
              <w:rPr>
                <w:rFonts w:cs="Times New Roman"/>
              </w:rPr>
            </w:pPr>
            <w:r>
              <w:rPr>
                <w:rFonts w:cs="Times New Roman"/>
                <w:color w:val="000000"/>
                <w:sz w:val="22"/>
                <w:szCs w:val="22"/>
              </w:rPr>
              <w:t xml:space="preserve">520,611,630.51 </w:t>
            </w:r>
          </w:p>
        </w:tc>
      </w:tr>
      <w:bookmarkEnd w:id="45"/>
    </w:tbl>
    <w:p w14:paraId="6DDCAAD5">
      <w:pPr>
        <w:rPr>
          <w:color w:val="000000" w:themeColor="text1"/>
          <w14:textFill>
            <w14:solidFill>
              <w14:schemeClr w14:val="tx1"/>
            </w14:solidFill>
          </w14:textFill>
        </w:rPr>
      </w:pPr>
      <w:r>
        <w:rPr>
          <w:rFonts w:hint="eastAsia"/>
          <w:color w:val="000000" w:themeColor="text1"/>
          <w14:textFill>
            <w14:solidFill>
              <w14:schemeClr w14:val="tx1"/>
            </w14:solidFill>
          </w14:textFill>
        </w:rPr>
        <w:t>证券投资情况</w:t>
      </w:r>
    </w:p>
    <w:sdt>
      <w:sdtPr>
        <w:rPr>
          <w:color w:val="000000" w:themeColor="text1"/>
          <w14:textFill>
            <w14:solidFill>
              <w14:schemeClr w14:val="tx1"/>
            </w14:solidFill>
          </w14:textFill>
        </w:rPr>
        <w:alias w:val="是否适用：证券投资情况[双击切换]"/>
        <w:tag w:val="_GBC_5a8828b10b2a437a9b496037ef93ad06"/>
        <w:id w:val="147456459"/>
        <w:placeholder>
          <w:docPart w:val="GBC22222222222222222222222222222"/>
        </w:placeholder>
      </w:sdtPr>
      <w:sdtEndPr>
        <w:rPr>
          <w:color w:val="000000" w:themeColor="text1"/>
          <w14:textFill>
            <w14:solidFill>
              <w14:schemeClr w14:val="tx1"/>
            </w14:solidFill>
          </w14:textFill>
        </w:rPr>
      </w:sdtEndPr>
      <w:sdtContent>
        <w:p w14:paraId="5DB3060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C8CC7F6">
      <w:pPr>
        <w:rPr>
          <w:color w:val="000000" w:themeColor="text1"/>
          <w14:textFill>
            <w14:solidFill>
              <w14:schemeClr w14:val="tx1"/>
            </w14:solidFill>
          </w14:textFill>
        </w:rPr>
      </w:pPr>
      <w:bookmarkStart w:id="47" w:name="_Hlk40533881"/>
    </w:p>
    <w:bookmarkEnd w:id="47"/>
    <w:p w14:paraId="2F656A4C">
      <w:pPr>
        <w:rPr>
          <w:color w:val="000000" w:themeColor="text1"/>
          <w14:textFill>
            <w14:solidFill>
              <w14:schemeClr w14:val="tx1"/>
            </w14:solidFill>
          </w14:textFill>
        </w:rPr>
      </w:pPr>
      <w:r>
        <w:rPr>
          <w:rFonts w:hint="eastAsia"/>
          <w:color w:val="000000" w:themeColor="text1"/>
          <w14:textFill>
            <w14:solidFill>
              <w14:schemeClr w14:val="tx1"/>
            </w14:solidFill>
          </w14:textFill>
        </w:rPr>
        <w:t>证券投资情况的说明</w:t>
      </w:r>
    </w:p>
    <w:sdt>
      <w:sdtPr>
        <w:rPr>
          <w:color w:val="000000" w:themeColor="text1"/>
          <w14:textFill>
            <w14:solidFill>
              <w14:schemeClr w14:val="tx1"/>
            </w14:solidFill>
          </w14:textFill>
        </w:rPr>
        <w:alias w:val="是否适用：证券投资情况的说明[双击切换]"/>
        <w:tag w:val="_GBC_8d1fa1a2f7a54e699abfdd630205bd35"/>
        <w:id w:val="147468693"/>
        <w:placeholder>
          <w:docPart w:val="GBC22222222222222222222222222222"/>
        </w:placeholder>
      </w:sdtPr>
      <w:sdtEndPr>
        <w:rPr>
          <w:color w:val="000000" w:themeColor="text1"/>
          <w14:textFill>
            <w14:solidFill>
              <w14:schemeClr w14:val="tx1"/>
            </w14:solidFill>
          </w14:textFill>
        </w:rPr>
      </w:sdtEndPr>
      <w:sdtContent>
        <w:p w14:paraId="14126A1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8AF8C89">
      <w:pPr>
        <w:rPr>
          <w:color w:val="000000" w:themeColor="text1"/>
          <w14:textFill>
            <w14:solidFill>
              <w14:schemeClr w14:val="tx1"/>
            </w14:solidFill>
          </w14:textFill>
        </w:rPr>
      </w:pPr>
    </w:p>
    <w:p w14:paraId="1DD16155">
      <w:pPr>
        <w:rPr>
          <w:color w:val="000000" w:themeColor="text1"/>
          <w14:textFill>
            <w14:solidFill>
              <w14:schemeClr w14:val="tx1"/>
            </w14:solidFill>
          </w14:textFill>
        </w:rPr>
      </w:pPr>
      <w:bookmarkStart w:id="48" w:name="_Hlk40534809"/>
      <w:r>
        <w:rPr>
          <w:rFonts w:hint="eastAsia"/>
          <w:color w:val="000000" w:themeColor="text1"/>
          <w14:textFill>
            <w14:solidFill>
              <w14:schemeClr w14:val="tx1"/>
            </w14:solidFill>
          </w14:textFill>
        </w:rPr>
        <w:t>私募基金投资情况</w:t>
      </w:r>
    </w:p>
    <w:sdt>
      <w:sdtPr>
        <w:rPr>
          <w:color w:val="000000" w:themeColor="text1"/>
          <w14:textFill>
            <w14:solidFill>
              <w14:schemeClr w14:val="tx1"/>
            </w14:solidFill>
          </w14:textFill>
        </w:rPr>
        <w:alias w:val="是否适用：私募基金投资情况[双击切换]"/>
        <w:tag w:val="_GBC_56fccff6af834e4e8e9f8aea6f269d2f"/>
        <w:id w:val="147455670"/>
        <w:placeholder>
          <w:docPart w:val="GBC22222222222222222222222222222"/>
        </w:placeholder>
      </w:sdtPr>
      <w:sdtEndPr>
        <w:rPr>
          <w:color w:val="000000" w:themeColor="text1"/>
          <w14:textFill>
            <w14:solidFill>
              <w14:schemeClr w14:val="tx1"/>
            </w14:solidFill>
          </w14:textFill>
        </w:rPr>
      </w:sdtEndPr>
      <w:sdtContent>
        <w:p w14:paraId="54C06CF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070F8B1">
      <w:pPr>
        <w:rPr>
          <w:color w:val="000000" w:themeColor="text1"/>
          <w14:textFill>
            <w14:solidFill>
              <w14:schemeClr w14:val="tx1"/>
            </w14:solidFill>
          </w14:textFill>
        </w:rPr>
      </w:pPr>
    </w:p>
    <w:bookmarkEnd w:id="48"/>
    <w:p w14:paraId="5AE63DD1">
      <w:pPr>
        <w:rPr>
          <w:color w:val="000000" w:themeColor="text1"/>
          <w14:textFill>
            <w14:solidFill>
              <w14:schemeClr w14:val="tx1"/>
            </w14:solidFill>
          </w14:textFill>
        </w:rPr>
      </w:pPr>
      <w:r>
        <w:rPr>
          <w:rFonts w:hint="eastAsia"/>
          <w:color w:val="000000" w:themeColor="text1"/>
          <w14:textFill>
            <w14:solidFill>
              <w14:schemeClr w14:val="tx1"/>
            </w14:solidFill>
          </w14:textFill>
        </w:rPr>
        <w:t>衍生品投资情况</w:t>
      </w:r>
    </w:p>
    <w:sdt>
      <w:sdtPr>
        <w:rPr>
          <w:rFonts w:hint="eastAsia"/>
          <w:color w:val="000000" w:themeColor="text1"/>
          <w14:textFill>
            <w14:solidFill>
              <w14:schemeClr w14:val="tx1"/>
            </w14:solidFill>
          </w14:textFill>
        </w:rPr>
        <w:alias w:val="是否适用：衍生品投资情况  [双击切换]"/>
        <w:tag w:val="_GBC_bfd154b38b804edbb19ff4896b6b9c42"/>
        <w:id w:val="147454439"/>
        <w:placeholder>
          <w:docPart w:val="GBC22222222222222222222222222222"/>
        </w:placeholder>
      </w:sdtPr>
      <w:sdtEndPr>
        <w:rPr>
          <w:rFonts w:hint="eastAsia"/>
          <w:color w:val="000000" w:themeColor="text1"/>
          <w14:textFill>
            <w14:solidFill>
              <w14:schemeClr w14:val="tx1"/>
            </w14:solidFill>
          </w14:textFill>
        </w:rPr>
      </w:sdtEndPr>
      <w:sdtContent>
        <w:p w14:paraId="73BB447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46"/>
    <w:p w14:paraId="613CA9BF">
      <w:pPr>
        <w:rPr>
          <w:color w:val="000000" w:themeColor="text1"/>
          <w14:textFill>
            <w14:solidFill>
              <w14:schemeClr w14:val="tx1"/>
            </w14:solidFill>
          </w14:textFill>
        </w:rPr>
      </w:pPr>
    </w:p>
    <w:p w14:paraId="182C97C5">
      <w:pPr>
        <w:pStyle w:val="57"/>
        <w:numPr>
          <w:ilvl w:val="0"/>
          <w:numId w:val="7"/>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重大资产和股权出售</w:t>
      </w:r>
    </w:p>
    <w:sdt>
      <w:sdtPr>
        <w:rPr>
          <w:rFonts w:hint="eastAsia"/>
          <w:color w:val="000000" w:themeColor="text1"/>
          <w14:textFill>
            <w14:solidFill>
              <w14:schemeClr w14:val="tx1"/>
            </w14:solidFill>
          </w14:textFill>
        </w:rPr>
        <w:alias w:val="是否适用：重大资产和股权出售[双击切换]"/>
        <w:tag w:val="_GBC_f566f251245e49238092032f065852be"/>
        <w:id w:val="147470442"/>
        <w:placeholder>
          <w:docPart w:val="GBC22222222222222222222222222222"/>
        </w:placeholder>
      </w:sdtPr>
      <w:sdtEndPr>
        <w:rPr>
          <w:rFonts w:hint="eastAsia"/>
          <w:color w:val="000000" w:themeColor="text1"/>
          <w14:textFill>
            <w14:solidFill>
              <w14:schemeClr w14:val="tx1"/>
            </w14:solidFill>
          </w14:textFill>
        </w:rPr>
      </w:sdtEndPr>
      <w:sdtContent>
        <w:p w14:paraId="40BD2E9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5B72DA8">
      <w:pPr>
        <w:rPr>
          <w:color w:val="000000" w:themeColor="text1"/>
          <w14:textFill>
            <w14:solidFill>
              <w14:schemeClr w14:val="tx1"/>
            </w14:solidFill>
          </w14:textFill>
        </w:rPr>
      </w:pPr>
    </w:p>
    <w:p w14:paraId="6D908B27">
      <w:pPr>
        <w:pStyle w:val="57"/>
        <w:numPr>
          <w:ilvl w:val="0"/>
          <w:numId w:val="7"/>
        </w:numPr>
        <w:rPr>
          <w:rFonts w:ascii="宋体" w:hAnsi="宋体"/>
          <w:color w:val="000000" w:themeColor="text1"/>
          <w14:textFill>
            <w14:solidFill>
              <w14:schemeClr w14:val="tx1"/>
            </w14:solidFill>
          </w14:textFill>
        </w:rPr>
      </w:pPr>
      <w:bookmarkStart w:id="49" w:name="_Hlk200011206"/>
      <w:r>
        <w:rPr>
          <w:rFonts w:hint="eastAsia" w:ascii="宋体" w:hAnsi="宋体"/>
          <w:color w:val="000000" w:themeColor="text1"/>
          <w14:textFill>
            <w14:solidFill>
              <w14:schemeClr w14:val="tx1"/>
            </w14:solidFill>
          </w14:textFill>
        </w:rPr>
        <w:t>主要控股参股公司分析</w:t>
      </w:r>
    </w:p>
    <w:sdt>
      <w:sdtPr>
        <w:rPr>
          <w:color w:val="000000" w:themeColor="text1"/>
          <w14:textFill>
            <w14:solidFill>
              <w14:schemeClr w14:val="tx1"/>
            </w14:solidFill>
          </w14:textFill>
        </w:rPr>
        <w:alias w:val="是否适用：主要控股参股公司分析[双击切换]"/>
        <w:tag w:val="_GBC_3f3bd67865a44413bcd1143c0df7558d"/>
        <w:id w:val="147465522"/>
        <w:placeholder>
          <w:docPart w:val="GBC22222222222222222222222222222"/>
        </w:placeholder>
      </w:sdtPr>
      <w:sdtEndPr>
        <w:rPr>
          <w:color w:val="000000" w:themeColor="text1"/>
          <w14:textFill>
            <w14:solidFill>
              <w14:schemeClr w14:val="tx1"/>
            </w14:solidFill>
          </w14:textFill>
        </w:rPr>
      </w:sdtEndPr>
      <w:sdtContent>
        <w:p w14:paraId="498E869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49"/>
    <w:p w14:paraId="052A0523">
      <w:pPr>
        <w:rPr>
          <w:color w:val="000000" w:themeColor="text1"/>
          <w14:textFill>
            <w14:solidFill>
              <w14:schemeClr w14:val="tx1"/>
            </w14:solidFill>
          </w14:textFill>
        </w:rPr>
      </w:pPr>
    </w:p>
    <w:p w14:paraId="184DDCD9">
      <w:pPr>
        <w:pStyle w:val="57"/>
        <w:numPr>
          <w:ilvl w:val="0"/>
          <w:numId w:val="7"/>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公司控制的结构化主体情况</w:t>
      </w:r>
    </w:p>
    <w:sdt>
      <w:sdtPr>
        <w:rPr>
          <w:rFonts w:hint="eastAsia"/>
          <w:color w:val="000000" w:themeColor="text1"/>
          <w14:textFill>
            <w14:solidFill>
              <w14:schemeClr w14:val="tx1"/>
            </w14:solidFill>
          </w14:textFill>
        </w:rPr>
        <w:alias w:val="是否适用：公司控制的结构化主体情况[双击切换]"/>
        <w:tag w:val="_GBC_6dee8f13bc9a4596ad3e5af6f90f0b8b"/>
        <w:id w:val="147480510"/>
        <w:placeholder>
          <w:docPart w:val="GBC22222222222222222222222222222"/>
        </w:placeholder>
      </w:sdtPr>
      <w:sdtEndPr>
        <w:rPr>
          <w:rFonts w:hint="eastAsia"/>
          <w:color w:val="000000" w:themeColor="text1"/>
          <w14:textFill>
            <w14:solidFill>
              <w14:schemeClr w14:val="tx1"/>
            </w14:solidFill>
          </w14:textFill>
        </w:rPr>
      </w:sdtEndPr>
      <w:sdtContent>
        <w:p w14:paraId="6733EFA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8D8DAE8">
      <w:pPr>
        <w:rPr>
          <w:color w:val="000000" w:themeColor="text1"/>
          <w14:textFill>
            <w14:solidFill>
              <w14:schemeClr w14:val="tx1"/>
            </w14:solidFill>
          </w14:textFill>
        </w:rPr>
      </w:pPr>
    </w:p>
    <w:p w14:paraId="369AC8DB">
      <w:pPr>
        <w:pStyle w:val="3"/>
        <w:numPr>
          <w:ilvl w:val="0"/>
          <w:numId w:val="6"/>
        </w:numPr>
        <w:tabs>
          <w:tab w:val="left" w:pos="426"/>
        </w:tabs>
        <w:ind w:left="0" w:firstLine="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其他披露事项</w:t>
      </w:r>
    </w:p>
    <w:p w14:paraId="4C3567BD">
      <w:pPr>
        <w:pStyle w:val="4"/>
        <w:numPr>
          <w:ilvl w:val="0"/>
          <w:numId w:val="1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可能面对的风险</w:t>
      </w:r>
    </w:p>
    <w:sdt>
      <w:sdtPr>
        <w:rPr>
          <w:rFonts w:hint="eastAsia"/>
          <w:color w:val="000000" w:themeColor="text1"/>
          <w14:textFill>
            <w14:solidFill>
              <w14:schemeClr w14:val="tx1"/>
            </w14:solidFill>
          </w14:textFill>
        </w:rPr>
        <w:alias w:val="是否适用：可能面对的风险[双击切换]"/>
        <w:tag w:val="_GBC_2a971d8ab5884d3eb5547ede4e1e17c9"/>
        <w:id w:val="147480788"/>
        <w:placeholder>
          <w:docPart w:val="GBC22222222222222222222222222222"/>
        </w:placeholder>
      </w:sdtPr>
      <w:sdtEndPr>
        <w:rPr>
          <w:rFonts w:hint="eastAsia"/>
          <w:color w:val="000000" w:themeColor="text1"/>
          <w14:textFill>
            <w14:solidFill>
              <w14:schemeClr w14:val="tx1"/>
            </w14:solidFill>
          </w14:textFill>
        </w:rPr>
      </w:sdtEndPr>
      <w:sdtContent>
        <w:p w14:paraId="6CB6E75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公司可能面对的风险"/>
        <w:tag w:val="_GBC_6e03b01ba4f1453dbc563404b41bfdbc"/>
        <w:id w:val="147473607"/>
        <w:placeholder>
          <w:docPart w:val="GBC22222222222222222222222222222"/>
        </w:placeholder>
      </w:sdtPr>
      <w:sdtEndPr>
        <w:rPr>
          <w:rFonts w:hint="eastAsia"/>
          <w:color w:val="000000" w:themeColor="text1"/>
          <w14:textFill>
            <w14:solidFill>
              <w14:schemeClr w14:val="tx1"/>
            </w14:solidFill>
          </w14:textFill>
        </w:rPr>
      </w:sdtEndPr>
      <w:sdtContent>
        <w:p w14:paraId="77CB6E31">
          <w:pPr>
            <w:rPr>
              <w:color w:val="000000" w:themeColor="text1"/>
              <w14:textFill>
                <w14:solidFill>
                  <w14:schemeClr w14:val="tx1"/>
                </w14:solidFill>
              </w14:textFill>
            </w:rPr>
          </w:pPr>
          <w:r>
            <w:rPr>
              <w:rFonts w:hint="eastAsia"/>
              <w:color w:val="000000" w:themeColor="text1"/>
              <w14:textFill>
                <w14:solidFill>
                  <w14:schemeClr w14:val="tx1"/>
                </w14:solidFill>
              </w14:textFill>
            </w:rPr>
            <w:t>1.宏观环境变化</w:t>
          </w:r>
        </w:p>
        <w:p w14:paraId="4D9BA242">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2025年上半年，全球经贸环境复杂性和不确定性显著上升，对我国纺织服装行业构成多重挑战。国际层面，地缘冲突延宕与贸易保护主义持续发酵，全球终端消费需求整体走弱；美国加征关税政策引发供应链区域性重构，叠加东南亚等地区产能竞争加剧，我国服装出口承压明显。尽管二季度出口降幅呈收窄态势，但高关税成本及订单转移风险仍使外贸环境严峻。国内层面，经济增速放缓与居民收入预期偏弱抑制消费动力，服装类商品零售额增速维持低位，内需市场呈现“温和增长但动能不足”的特征。</w:t>
          </w:r>
        </w:p>
        <w:p w14:paraId="0103B803">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行业同时面临成本刚性压力与结构性转型挑战：能源及国际物流成本高位震荡，叠加国内人力、环保合规成本上升，企业盈利空间持续收窄。与此同时，消费升级趋势加速行业分化，个性化、绿色化需求倒逼企业技术革新与柔性生产转型。当前环境下纺织服装企业普遍面临“外需承压、内需偏弱、成本高企、竞争加剧”的四重考验，行业进入深度调整与转型升级的关键阶段。</w:t>
          </w:r>
        </w:p>
        <w:p w14:paraId="1B6D8846">
          <w:pPr>
            <w:rPr>
              <w:color w:val="000000" w:themeColor="text1"/>
              <w14:textFill>
                <w14:solidFill>
                  <w14:schemeClr w14:val="tx1"/>
                </w14:solidFill>
              </w14:textFill>
            </w:rPr>
          </w:pPr>
          <w:r>
            <w:rPr>
              <w:rFonts w:hint="eastAsia"/>
              <w:color w:val="000000" w:themeColor="text1"/>
              <w14:textFill>
                <w14:solidFill>
                  <w14:schemeClr w14:val="tx1"/>
                </w14:solidFill>
              </w14:textFill>
            </w:rPr>
            <w:t>2.政策及市场风险</w:t>
          </w:r>
        </w:p>
        <w:p w14:paraId="26C6E584">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所面对的军需品市场和行配工装市场受到国家政策和行业规划的影响，相关政策的变化会影响行业的发展空间及市场环境，也会直接影响相关单位的招标采购需求，进而对公司的订单承揽带来影响。在军需品市场，军队被装采购政策和供应模式的变化会进一步影响军需品的市场空间和竞争格局，进而对公司的生产经营带来影响。在行配工装、应急保障市场，因市场容量巨大，近年来随着参与供应商数量的不断增加，竞争也愈发激烈。公司将持续加大科技创新和新产品研发力度，不断提升产品质量，进一步加大服务及品牌投入，不断提高客户粘性，扩大军需应急、行配工装、高定领域的市场份额。</w:t>
          </w:r>
        </w:p>
      </w:sdtContent>
    </w:sdt>
    <w:p w14:paraId="144CC420">
      <w:pPr>
        <w:rPr>
          <w:color w:val="000000" w:themeColor="text1"/>
          <w14:textFill>
            <w14:solidFill>
              <w14:schemeClr w14:val="tx1"/>
            </w14:solidFill>
          </w14:textFill>
        </w:rPr>
      </w:pPr>
    </w:p>
    <w:p w14:paraId="4F14B65C">
      <w:pPr>
        <w:pStyle w:val="4"/>
        <w:numPr>
          <w:ilvl w:val="0"/>
          <w:numId w:val="1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其他披露事项</w:t>
      </w:r>
    </w:p>
    <w:sdt>
      <w:sdtPr>
        <w:rPr>
          <w:rFonts w:hint="eastAsia"/>
          <w:color w:val="000000" w:themeColor="text1"/>
          <w14:textFill>
            <w14:solidFill>
              <w14:schemeClr w14:val="tx1"/>
            </w14:solidFill>
          </w14:textFill>
        </w:rPr>
        <w:alias w:val="是否适用：董事会其他需要披露的事项[双击切换]"/>
        <w:tag w:val="_GBC_4bd5ba6bf4044aee9ecd40a0c2fc29bf"/>
        <w:id w:val="147473644"/>
        <w:placeholder>
          <w:docPart w:val="GBC22222222222222222222222222222"/>
        </w:placeholder>
      </w:sdtPr>
      <w:sdtEndPr>
        <w:rPr>
          <w:rFonts w:hint="eastAsia"/>
          <w:color w:val="000000" w:themeColor="text1"/>
          <w14:textFill>
            <w14:solidFill>
              <w14:schemeClr w14:val="tx1"/>
            </w14:solidFill>
          </w14:textFill>
        </w:rPr>
      </w:sdtEndPr>
      <w:sdtContent>
        <w:p w14:paraId="02F3A1B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董事会其他需要披露的事项"/>
        <w:tag w:val="_GBC_1751869900474e38a4456794ea384b7e"/>
        <w:id w:val="-138424314"/>
        <w:placeholder>
          <w:docPart w:val="{88b7610f-cbf8-4c93-9288-98a85facce58}"/>
        </w:placeholder>
      </w:sdtPr>
      <w:sdtEndPr>
        <w:rPr>
          <w:color w:val="000000" w:themeColor="text1"/>
          <w14:textFill>
            <w14:solidFill>
              <w14:schemeClr w14:val="tx1"/>
            </w14:solidFill>
          </w14:textFill>
        </w:rPr>
      </w:sdtEndPr>
      <w:sdtContent>
        <w:p w14:paraId="2B18A71C">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公司于2025年8月8日收到中国证券监督管理委员会下发的《立案告知书》（证监立案字03720252003号）；具体内容详见上海证券交易所网站（http://www.sse.com.cn/）披露的《际华集团关于收到中国证券监督管理委员会立案告知书的公告》（公告编号：临2025-039）。</w:t>
          </w:r>
        </w:p>
      </w:sdtContent>
    </w:sdt>
    <w:bookmarkEnd w:id="38"/>
    <w:p w14:paraId="3C160A34">
      <w:pPr>
        <w:rPr>
          <w:color w:val="000000" w:themeColor="text1"/>
          <w14:textFill>
            <w14:solidFill>
              <w14:schemeClr w14:val="tx1"/>
            </w14:solidFill>
          </w14:textFill>
        </w:rPr>
        <w:sectPr>
          <w:pgSz w:w="11906" w:h="16838"/>
          <w:pgMar w:top="1525" w:right="1276" w:bottom="1440" w:left="1797" w:header="851" w:footer="992" w:gutter="0"/>
          <w:cols w:space="425" w:num="1"/>
          <w:docGrid w:linePitch="312" w:charSpace="0"/>
        </w:sectPr>
      </w:pPr>
    </w:p>
    <w:p w14:paraId="75268A0A">
      <w:pPr>
        <w:pStyle w:val="2"/>
        <w:numPr>
          <w:ilvl w:val="0"/>
          <w:numId w:val="3"/>
        </w:numPr>
        <w:rPr>
          <w:rFonts w:ascii="黑体" w:hAnsi="黑体"/>
          <w:color w:val="000000" w:themeColor="text1"/>
          <w14:textFill>
            <w14:solidFill>
              <w14:schemeClr w14:val="tx1"/>
            </w14:solidFill>
          </w14:textFill>
        </w:rPr>
      </w:pPr>
      <w:bookmarkStart w:id="50" w:name="_Toc200030543"/>
      <w:bookmarkStart w:id="51" w:name="_Toc76114277"/>
      <w:bookmarkStart w:id="52" w:name="_Toc76114275"/>
      <w:bookmarkStart w:id="53" w:name="_Toc200030542"/>
      <w:r>
        <w:rPr>
          <w:rFonts w:hint="eastAsia" w:ascii="黑体" w:hAnsi="黑体"/>
          <w:color w:val="000000" w:themeColor="text1"/>
          <w14:textFill>
            <w14:solidFill>
              <w14:schemeClr w14:val="tx1"/>
            </w14:solidFill>
          </w14:textFill>
        </w:rPr>
        <w:t>重要事项</w:t>
      </w:r>
    </w:p>
    <w:bookmarkEnd w:id="50"/>
    <w:bookmarkEnd w:id="51"/>
    <w:p w14:paraId="014DD616">
      <w:pPr>
        <w:rPr>
          <w:color w:val="000000" w:themeColor="text1"/>
          <w14:textFill>
            <w14:solidFill>
              <w14:schemeClr w14:val="tx1"/>
            </w14:solidFill>
          </w14:textFill>
        </w:rPr>
      </w:pPr>
    </w:p>
    <w:p w14:paraId="110CFBEE">
      <w:pPr>
        <w:pStyle w:val="3"/>
        <w:numPr>
          <w:ilvl w:val="0"/>
          <w:numId w:val="14"/>
        </w:numPr>
        <w:tabs>
          <w:tab w:val="left" w:pos="426"/>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承诺事项履行情况</w:t>
      </w:r>
    </w:p>
    <w:p w14:paraId="05E0DE33">
      <w:pPr>
        <w:pStyle w:val="4"/>
        <w:numPr>
          <w:ilvl w:val="1"/>
          <w:numId w:val="15"/>
        </w:numPr>
        <w:rPr>
          <w:color w:val="000000" w:themeColor="text1"/>
          <w:szCs w:val="21"/>
          <w14:textFill>
            <w14:solidFill>
              <w14:schemeClr w14:val="tx1"/>
            </w14:solidFill>
          </w14:textFill>
        </w:rPr>
      </w:pPr>
      <w:bookmarkStart w:id="54" w:name="_Hlk167798036"/>
      <w:r>
        <w:rPr>
          <w:rFonts w:hint="eastAsia"/>
          <w:color w:val="000000" w:themeColor="text1"/>
          <w:szCs w:val="21"/>
          <w14:textFill>
            <w14:solidFill>
              <w14:schemeClr w14:val="tx1"/>
            </w14:solidFill>
          </w14:textFill>
        </w:rPr>
        <w:t>公司实际控制人、股东、关联方、收购人以及公司等承诺相关方在报告期内或持续到报告期内的承诺事项</w:t>
      </w:r>
    </w:p>
    <w:sdt>
      <w:sdtPr>
        <w:rPr>
          <w:color w:val="000000" w:themeColor="text1"/>
          <w14:textFill>
            <w14:solidFill>
              <w14:schemeClr w14:val="tx1"/>
            </w14:solidFill>
          </w14:textFill>
        </w:rPr>
        <w:alias w:val="是否适用：公司实际控制人、股东、关联方、收购人以及公司等承诺相关方在报告期内或持续到报告期内的承诺事项 [双击切换]"/>
        <w:tag w:val="_GBC_1b3cd268fdf44711b46a5537ed6234e6"/>
        <w:id w:val="147466500"/>
        <w:placeholder>
          <w:docPart w:val="{d8014d7a-cba5-4a66-9d59-c514dac73ae3}"/>
        </w:placeholder>
      </w:sdtPr>
      <w:sdtEndPr>
        <w:rPr>
          <w:color w:val="000000" w:themeColor="text1"/>
          <w14:textFill>
            <w14:solidFill>
              <w14:schemeClr w14:val="tx1"/>
            </w14:solidFill>
          </w14:textFill>
        </w:rPr>
      </w:sdtEndPr>
      <w:sdtContent>
        <w:p w14:paraId="663D881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54"/>
    <w:p w14:paraId="61E5992D">
      <w:pPr>
        <w:rPr>
          <w:color w:val="000000" w:themeColor="text1"/>
          <w14:textFill>
            <w14:solidFill>
              <w14:schemeClr w14:val="tx1"/>
            </w14:solidFill>
          </w14:textFill>
        </w:rPr>
      </w:pPr>
    </w:p>
    <w:p w14:paraId="5EB35A4D">
      <w:pPr>
        <w:pStyle w:val="3"/>
        <w:numPr>
          <w:ilvl w:val="0"/>
          <w:numId w:val="14"/>
        </w:numPr>
        <w:tabs>
          <w:tab w:val="left" w:pos="426"/>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报告期内控股股东及其他关联方非经营性占用资金情况</w:t>
      </w:r>
    </w:p>
    <w:sdt>
      <w:sdtPr>
        <w:rPr>
          <w:color w:val="000000" w:themeColor="text1"/>
          <w14:textFill>
            <w14:solidFill>
              <w14:schemeClr w14:val="tx1"/>
            </w14:solidFill>
          </w14:textFill>
        </w:rPr>
        <w:alias w:val="是否适用：资金被占用情况及清欠进展情况[双击切换]"/>
        <w:tag w:val="_GBC_ae82394ae54d49eba71e8d8d6447c499"/>
        <w:id w:val="147482534"/>
        <w:placeholder>
          <w:docPart w:val="{d8014d7a-cba5-4a66-9d59-c514dac73ae3}"/>
        </w:placeholder>
      </w:sdtPr>
      <w:sdtEndPr>
        <w:rPr>
          <w:color w:val="000000" w:themeColor="text1"/>
          <w14:textFill>
            <w14:solidFill>
              <w14:schemeClr w14:val="tx1"/>
            </w14:solidFill>
          </w14:textFill>
        </w:rPr>
      </w:sdtEndPr>
      <w:sdtContent>
        <w:p w14:paraId="15EC4B2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641BEC0">
      <w:pPr>
        <w:rPr>
          <w:color w:val="000000" w:themeColor="text1"/>
          <w14:textFill>
            <w14:solidFill>
              <w14:schemeClr w14:val="tx1"/>
            </w14:solidFill>
          </w14:textFill>
        </w:rPr>
      </w:pPr>
      <w:bookmarkStart w:id="55" w:name="_Hlk74646365"/>
    </w:p>
    <w:bookmarkEnd w:id="55"/>
    <w:p w14:paraId="347053E3">
      <w:pPr>
        <w:pStyle w:val="3"/>
        <w:numPr>
          <w:ilvl w:val="0"/>
          <w:numId w:val="14"/>
        </w:numPr>
        <w:tabs>
          <w:tab w:val="left" w:pos="426"/>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违规担保情况</w:t>
      </w:r>
    </w:p>
    <w:sdt>
      <w:sdtPr>
        <w:rPr>
          <w:color w:val="000000" w:themeColor="text1"/>
          <w14:textFill>
            <w14:solidFill>
              <w14:schemeClr w14:val="tx1"/>
            </w14:solidFill>
          </w14:textFill>
        </w:rPr>
        <w:alias w:val="是否适用：违规担保情况[双击切换]"/>
        <w:tag w:val="_GBC_725722c7a37d40c28caf80b13d948933"/>
        <w:id w:val="147473424"/>
        <w:placeholder>
          <w:docPart w:val="{d8014d7a-cba5-4a66-9d59-c514dac73ae3}"/>
        </w:placeholder>
      </w:sdtPr>
      <w:sdtEndPr>
        <w:rPr>
          <w:color w:val="000000" w:themeColor="text1"/>
          <w14:textFill>
            <w14:solidFill>
              <w14:schemeClr w14:val="tx1"/>
            </w14:solidFill>
          </w14:textFill>
        </w:rPr>
      </w:sdtEndPr>
      <w:sdtContent>
        <w:p w14:paraId="226858BE">
          <w:p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p w14:paraId="3A1C7947">
          <w:pPr>
            <w:rPr>
              <w:color w:val="000000" w:themeColor="text1"/>
              <w14:textFill>
                <w14:solidFill>
                  <w14:schemeClr w14:val="tx1"/>
                </w14:solidFill>
              </w14:textFill>
            </w:rPr>
          </w:pPr>
        </w:p>
      </w:sdtContent>
    </w:sdt>
    <w:p w14:paraId="224DFDA6">
      <w:pPr>
        <w:pStyle w:val="3"/>
        <w:numPr>
          <w:ilvl w:val="0"/>
          <w:numId w:val="14"/>
        </w:numPr>
        <w:tabs>
          <w:tab w:val="left" w:pos="426"/>
        </w:tabs>
        <w:jc w:val="left"/>
        <w:rPr>
          <w:rFonts w:ascii="宋体" w:hAnsi="宋体"/>
          <w:color w:val="000000" w:themeColor="text1"/>
          <w14:textFill>
            <w14:solidFill>
              <w14:schemeClr w14:val="tx1"/>
            </w14:solidFill>
          </w14:textFill>
        </w:rPr>
      </w:pPr>
      <w:bookmarkStart w:id="56" w:name="_Hlk74646368"/>
      <w:bookmarkEnd w:id="56"/>
      <w:r>
        <w:rPr>
          <w:rFonts w:hint="eastAsia" w:ascii="宋体" w:hAnsi="宋体"/>
          <w:color w:val="000000" w:themeColor="text1"/>
          <w14:textFill>
            <w14:solidFill>
              <w14:schemeClr w14:val="tx1"/>
            </w14:solidFill>
          </w14:textFill>
        </w:rPr>
        <w:t>半年报审计情况</w:t>
      </w:r>
    </w:p>
    <w:sdt>
      <w:sdtPr>
        <w:rPr>
          <w:color w:val="000000" w:themeColor="text1"/>
          <w14:textFill>
            <w14:solidFill>
              <w14:schemeClr w14:val="tx1"/>
            </w14:solidFill>
          </w14:textFill>
        </w:rPr>
        <w:alias w:val="是否适用：半年报审计情况  [双击切换]"/>
        <w:tag w:val="_GBC_b2faf86be7fd4060a2a7ad4018aaf033"/>
        <w:id w:val="147469043"/>
        <w:placeholder>
          <w:docPart w:val="{d8014d7a-cba5-4a66-9d59-c514dac73ae3}"/>
        </w:placeholder>
      </w:sdtPr>
      <w:sdtEndPr>
        <w:rPr>
          <w:color w:val="000000" w:themeColor="text1"/>
          <w14:textFill>
            <w14:solidFill>
              <w14:schemeClr w14:val="tx1"/>
            </w14:solidFill>
          </w14:textFill>
        </w:rPr>
      </w:sdtEndPr>
      <w:sdtContent>
        <w:p w14:paraId="165E60D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DC890A8">
      <w:pPr>
        <w:rPr>
          <w:color w:val="000000" w:themeColor="text1"/>
          <w14:textFill>
            <w14:solidFill>
              <w14:schemeClr w14:val="tx1"/>
            </w14:solidFill>
          </w14:textFill>
        </w:rPr>
      </w:pPr>
    </w:p>
    <w:p w14:paraId="2561B8FD">
      <w:pPr>
        <w:pStyle w:val="3"/>
        <w:numPr>
          <w:ilvl w:val="0"/>
          <w:numId w:val="14"/>
        </w:numPr>
        <w:tabs>
          <w:tab w:val="left" w:pos="426"/>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上年年度报告非标准审计意见涉及事项的变化及处理情况</w:t>
      </w:r>
    </w:p>
    <w:sdt>
      <w:sdtPr>
        <w:rPr>
          <w:rFonts w:hint="eastAsia"/>
          <w:color w:val="000000" w:themeColor="text1"/>
          <w14:textFill>
            <w14:solidFill>
              <w14:schemeClr w14:val="tx1"/>
            </w14:solidFill>
          </w14:textFill>
        </w:rPr>
        <w:alias w:val="是否适用：公司对上年年度报告中的财务报告被注册会计师出具“非标准审计报告”的说明 [双击切换]"/>
        <w:tag w:val="_GBC_06e0811c47124b6da79369103f766350"/>
        <w:id w:val="147468985"/>
        <w:placeholder>
          <w:docPart w:val="{d8014d7a-cba5-4a66-9d59-c514dac73ae3}"/>
        </w:placeholder>
      </w:sdtPr>
      <w:sdtEndPr>
        <w:rPr>
          <w:rFonts w:hint="eastAsia"/>
          <w:color w:val="000000" w:themeColor="text1"/>
          <w14:textFill>
            <w14:solidFill>
              <w14:schemeClr w14:val="tx1"/>
            </w14:solidFill>
          </w14:textFill>
        </w:rPr>
      </w:sdtEndPr>
      <w:sdtContent>
        <w:p w14:paraId="09B44F7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35DBCBD">
      <w:pPr>
        <w:rPr>
          <w:color w:val="000000" w:themeColor="text1"/>
          <w14:textFill>
            <w14:solidFill>
              <w14:schemeClr w14:val="tx1"/>
            </w14:solidFill>
          </w14:textFill>
        </w:rPr>
      </w:pPr>
    </w:p>
    <w:p w14:paraId="0A248040">
      <w:pPr>
        <w:pStyle w:val="3"/>
        <w:numPr>
          <w:ilvl w:val="0"/>
          <w:numId w:val="14"/>
        </w:numPr>
        <w:tabs>
          <w:tab w:val="left" w:pos="426"/>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破产重整相关事项</w:t>
      </w:r>
    </w:p>
    <w:sdt>
      <w:sdtPr>
        <w:rPr>
          <w:rFonts w:hint="eastAsia"/>
          <w:color w:val="000000" w:themeColor="text1"/>
          <w14:textFill>
            <w14:solidFill>
              <w14:schemeClr w14:val="tx1"/>
            </w14:solidFill>
          </w14:textFill>
        </w:rPr>
        <w:alias w:val="是否适用：破产重整相关事项[双击切换]"/>
        <w:tag w:val="_GBC_c4fc8890d63b44b19353d2188a5bce59"/>
        <w:id w:val="147456935"/>
        <w:placeholder>
          <w:docPart w:val="{d8014d7a-cba5-4a66-9d59-c514dac73ae3}"/>
        </w:placeholder>
      </w:sdtPr>
      <w:sdtEndPr>
        <w:rPr>
          <w:rFonts w:hint="eastAsia"/>
          <w:color w:val="000000" w:themeColor="text1"/>
          <w14:textFill>
            <w14:solidFill>
              <w14:schemeClr w14:val="tx1"/>
            </w14:solidFill>
          </w14:textFill>
        </w:rPr>
      </w:sdtEndPr>
      <w:sdtContent>
        <w:p w14:paraId="7A32539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破产重整相关事项的说明"/>
        <w:tag w:val="_GBC_f1419a433e274bdfbd6bfe049aa4b256"/>
        <w:id w:val="147472238"/>
        <w:placeholder>
          <w:docPart w:val="{b6b89b44-f7b5-4149-967e-84a1a40ac472}"/>
        </w:placeholder>
      </w:sdtPr>
      <w:sdtEndPr>
        <w:rPr>
          <w:rFonts w:hint="eastAsia"/>
          <w:color w:val="000000" w:themeColor="text1"/>
          <w14:textFill>
            <w14:solidFill>
              <w14:schemeClr w14:val="tx1"/>
            </w14:solidFill>
          </w14:textFill>
        </w:rPr>
      </w:sdtEndPr>
      <w:sdtContent>
        <w:p w14:paraId="11A8DDA5">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月25日公司召开的第六届董事会第十次会议审议通过了《处置西双版纳南博有限责任公司》的议案，同意</w:t>
          </w:r>
          <w:bookmarkStart w:id="57" w:name="OLE_LINK5"/>
          <w:r>
            <w:rPr>
              <w:rFonts w:hint="eastAsia"/>
              <w:color w:val="000000" w:themeColor="text1"/>
              <w14:textFill>
                <w14:solidFill>
                  <w14:schemeClr w14:val="tx1"/>
                </w14:solidFill>
              </w14:textFill>
            </w:rPr>
            <w:t>西双版纳南博有限责任公司</w:t>
          </w:r>
          <w:bookmarkEnd w:id="57"/>
          <w:r>
            <w:rPr>
              <w:rFonts w:hint="eastAsia"/>
              <w:color w:val="000000" w:themeColor="text1"/>
              <w14:textFill>
                <w14:solidFill>
                  <w14:schemeClr w14:val="tx1"/>
                </w14:solidFill>
              </w14:textFill>
            </w:rPr>
            <w:t>向人民法院申请破产清算。2025年6月，西双版纳南博有限责任公司收到云南省景洪市人民法院民事裁定书（（2025）云2018破申1号），法院受理西双版纳南博有限责任公司的破产清算申请，并指定建纬（昆明）律师事务所担任破产管理人。</w:t>
          </w:r>
        </w:p>
      </w:sdtContent>
    </w:sdt>
    <w:p w14:paraId="287E772F">
      <w:pPr>
        <w:rPr>
          <w:color w:val="000000" w:themeColor="text1"/>
          <w14:textFill>
            <w14:solidFill>
              <w14:schemeClr w14:val="tx1"/>
            </w14:solidFill>
          </w14:textFill>
        </w:rPr>
      </w:pPr>
    </w:p>
    <w:p w14:paraId="2EE74A3F">
      <w:pPr>
        <w:pStyle w:val="3"/>
        <w:numPr>
          <w:ilvl w:val="0"/>
          <w:numId w:val="14"/>
        </w:numPr>
        <w:tabs>
          <w:tab w:val="left" w:pos="426"/>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重大诉讼、仲裁事项</w:t>
      </w:r>
    </w:p>
    <w:sdt>
      <w:sdtPr>
        <w:rPr>
          <w:rFonts w:asciiTheme="minorEastAsia" w:hAnsiTheme="minorEastAsia" w:eastAsiaTheme="minorEastAsia"/>
          <w:color w:val="000000" w:themeColor="text1"/>
          <w14:textFill>
            <w14:solidFill>
              <w14:schemeClr w14:val="tx1"/>
            </w14:solidFill>
          </w14:textFill>
        </w:rPr>
        <w:alias w:val="本年度公司有无重大诉讼、仲裁事项"/>
        <w:tag w:val="_GBC_0fcf1cd2d0814185bde747855edf5227"/>
        <w:id w:val="147481207"/>
        <w:placeholder>
          <w:docPart w:val="{d8014d7a-cba5-4a66-9d59-c514dac73ae3}"/>
        </w:placeholder>
      </w:sdtPr>
      <w:sdtEndPr>
        <w:rPr>
          <w:rFonts w:asciiTheme="minorEastAsia" w:hAnsiTheme="minorEastAsia" w:eastAsiaTheme="minorEastAsia"/>
          <w:color w:val="000000" w:themeColor="text1"/>
          <w14:textFill>
            <w14:solidFill>
              <w14:schemeClr w14:val="tx1"/>
            </w14:solidFill>
          </w14:textFill>
        </w:rPr>
      </w:sdtEndPr>
      <w:sdtContent>
        <w:p w14:paraId="58857ABA">
          <w:pP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fldChar w:fldCharType="begin"/>
          </w:r>
          <w:r>
            <w:rPr>
              <w:rFonts w:hint="eastAsia" w:asciiTheme="minorEastAsia" w:hAnsiTheme="minorEastAsia" w:eastAsiaTheme="minorEastAsia"/>
              <w:color w:val="000000" w:themeColor="text1"/>
              <w14:textFill>
                <w14:solidFill>
                  <w14:schemeClr w14:val="tx1"/>
                </w14:solidFill>
              </w14:textFill>
            </w:rPr>
            <w:instrText xml:space="preserve"> MACROBUTTON  SnrToggleCheckbox √本报告期公司有重大诉讼、仲裁事项 </w:instrText>
          </w:r>
          <w:r>
            <w:rPr>
              <w:rFonts w:asciiTheme="minorEastAsia" w:hAnsiTheme="minorEastAsia" w:eastAsiaTheme="minorEastAsia"/>
              <w:color w:val="000000" w:themeColor="text1"/>
              <w14:textFill>
                <w14:solidFill>
                  <w14:schemeClr w14:val="tx1"/>
                </w14:solidFill>
              </w14:textFill>
            </w:rPr>
            <w:fldChar w:fldCharType="end"/>
          </w:r>
          <w:r>
            <w:rPr>
              <w:rFonts w:asciiTheme="minorEastAsia" w:hAnsiTheme="minorEastAsia" w:eastAsiaTheme="minorEastAsia"/>
              <w:color w:val="000000" w:themeColor="text1"/>
              <w14:textFill>
                <w14:solidFill>
                  <w14:schemeClr w14:val="tx1"/>
                </w14:solidFill>
              </w14:textFill>
            </w:rPr>
            <w:fldChar w:fldCharType="begin"/>
          </w:r>
          <w:r>
            <w:rPr>
              <w:rFonts w:hint="eastAsia" w:asciiTheme="minorEastAsia" w:hAnsiTheme="minorEastAsia" w:eastAsiaTheme="minorEastAsia"/>
              <w:color w:val="000000" w:themeColor="text1"/>
              <w14:textFill>
                <w14:solidFill>
                  <w14:schemeClr w14:val="tx1"/>
                </w14:solidFill>
              </w14:textFill>
            </w:rPr>
            <w:instrText xml:space="preserve"> MACROBUTTON  SnrToggleCheckbox □本报告期公司无重大诉讼、仲裁事项 </w:instrText>
          </w:r>
          <w:r>
            <w:rPr>
              <w:rFonts w:asciiTheme="minorEastAsia" w:hAnsiTheme="minorEastAsia" w:eastAsiaTheme="minorEastAsia"/>
              <w:color w:val="000000" w:themeColor="text1"/>
              <w14:textFill>
                <w14:solidFill>
                  <w14:schemeClr w14:val="tx1"/>
                </w14:solidFill>
              </w14:textFill>
            </w:rPr>
            <w:fldChar w:fldCharType="end"/>
          </w:r>
        </w:p>
      </w:sdtContent>
    </w:sdt>
    <w:p w14:paraId="43FE879D">
      <w:pPr>
        <w:pStyle w:val="4"/>
        <w:numPr>
          <w:ilvl w:val="0"/>
          <w:numId w:val="1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诉讼、仲裁事项已在临时公告披露且无后续进展的</w:t>
      </w:r>
    </w:p>
    <w:sdt>
      <w:sdtPr>
        <w:rPr>
          <w:color w:val="000000" w:themeColor="text1"/>
          <w14:textFill>
            <w14:solidFill>
              <w14:schemeClr w14:val="tx1"/>
            </w14:solidFill>
          </w14:textFill>
        </w:rPr>
        <w:alias w:val="是否适用：诉讼、仲裁事项已在临时公告披露且无后续进展的[双击切换]"/>
        <w:tag w:val="_GBC_1c7697ff89954de38b9736575b9b7dc9"/>
        <w:id w:val="147475331"/>
        <w:placeholder>
          <w:docPart w:val="{d8014d7a-cba5-4a66-9d59-c514dac73ae3}"/>
        </w:placeholder>
      </w:sdtPr>
      <w:sdtEndPr>
        <w:rPr>
          <w:color w:val="000000" w:themeColor="text1"/>
          <w14:textFill>
            <w14:solidFill>
              <w14:schemeClr w14:val="tx1"/>
            </w14:solidFill>
          </w14:textFill>
        </w:rPr>
      </w:sdtEndPr>
      <w:sdtContent>
        <w:p w14:paraId="0EAF200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7"/>
        <w:gridCol w:w="5651"/>
      </w:tblGrid>
      <w:tr w14:paraId="10674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c5dadb725f645e88d02a44ed41a1e46"/>
            <w:id w:val="147467390"/>
          </w:sdtPr>
          <w:sdtContent>
            <w:tc>
              <w:tcPr>
                <w:tcW w:w="3397" w:type="dxa"/>
              </w:tcPr>
              <w:p w14:paraId="6E0E7069">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事项概述及类型</w:t>
                </w:r>
              </w:p>
            </w:tc>
          </w:sdtContent>
        </w:sdt>
        <w:sdt>
          <w:sdtPr>
            <w:tag w:val="_PLD_13af72da876f4221b2dfc2f0cc421987"/>
            <w:id w:val="147469180"/>
          </w:sdtPr>
          <w:sdtContent>
            <w:tc>
              <w:tcPr>
                <w:tcW w:w="5651" w:type="dxa"/>
              </w:tcPr>
              <w:p w14:paraId="10EFA5BF">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查询索引</w:t>
                </w:r>
              </w:p>
            </w:tc>
          </w:sdtContent>
        </w:sdt>
      </w:tr>
      <w:tr w14:paraId="18E2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14:paraId="6ACEF42A">
            <w:pPr>
              <w:pStyle w:val="55"/>
              <w:widowControl w:val="0"/>
              <w:jc w:val="both"/>
            </w:pPr>
            <w:r>
              <w:rPr>
                <w:rFonts w:hint="eastAsia"/>
              </w:rPr>
              <w:t>子公司新兴际华国际贸易有限公司因贸易业务涉及诉讼</w:t>
            </w:r>
          </w:p>
        </w:tc>
        <w:tc>
          <w:tcPr>
            <w:tcW w:w="5651" w:type="dxa"/>
          </w:tcPr>
          <w:p w14:paraId="4BF67A3C">
            <w:pPr>
              <w:pStyle w:val="55"/>
              <w:widowControl w:val="0"/>
              <w:jc w:val="both"/>
            </w:pPr>
            <w:r>
              <w:rPr>
                <w:rFonts w:hint="eastAsia"/>
              </w:rPr>
              <w:t>详见公司于</w:t>
            </w:r>
            <w:r>
              <w:t>2021年9月15日在上海证券交易所网站披露的《际华集团关于子公司涉及诉讼的公告》</w:t>
            </w:r>
            <w:r>
              <w:rPr>
                <w:rFonts w:hint="eastAsia"/>
              </w:rPr>
              <w:t>，于2023年12月30日披露的《际华集团关于子公司诉讼进展的公告》，于2024年4月17日披露的《际华集团关于子公司诉讼进展的公告》，2025年6月19日披露的《关于子公司诉讼进展的公告》。</w:t>
            </w:r>
          </w:p>
        </w:tc>
      </w:tr>
      <w:tr w14:paraId="23579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14:paraId="2E582611">
            <w:pPr>
              <w:pStyle w:val="55"/>
              <w:widowControl w:val="0"/>
              <w:jc w:val="both"/>
            </w:pPr>
            <w:r>
              <w:rPr>
                <w:rFonts w:hint="eastAsia"/>
              </w:rPr>
              <w:t>子公司新兴际华国际贸易有限公司因贸易业务涉及诉讼</w:t>
            </w:r>
          </w:p>
        </w:tc>
        <w:tc>
          <w:tcPr>
            <w:tcW w:w="5651" w:type="dxa"/>
          </w:tcPr>
          <w:p w14:paraId="02882CBF">
            <w:pPr>
              <w:pStyle w:val="55"/>
              <w:widowControl w:val="0"/>
              <w:jc w:val="both"/>
            </w:pPr>
            <w:r>
              <w:rPr>
                <w:rFonts w:hint="eastAsia"/>
              </w:rPr>
              <w:t>详见公司于</w:t>
            </w:r>
            <w:r>
              <w:t>2019年9月28日在上海证券交易所网站（www.sse.com.cn）披露的《际华集团关于子公司涉及经济合同纠纷的风险提示公告》，于2021年8月27日披露的《际华集团关于子公司诉讼进展的公告》，于2022年1月17日披露的《际华集团关于子公司诉讼进展的公告》</w:t>
            </w:r>
            <w:r>
              <w:rPr>
                <w:rFonts w:hint="eastAsia"/>
              </w:rPr>
              <w:t>。</w:t>
            </w:r>
          </w:p>
        </w:tc>
      </w:tr>
    </w:tbl>
    <w:p w14:paraId="25B156DD">
      <w:pPr>
        <w:rPr>
          <w:color w:val="000000" w:themeColor="text1"/>
          <w14:textFill>
            <w14:solidFill>
              <w14:schemeClr w14:val="tx1"/>
            </w14:solidFill>
          </w14:textFill>
        </w:rPr>
      </w:pPr>
    </w:p>
    <w:p w14:paraId="6831F717">
      <w:pPr>
        <w:pStyle w:val="4"/>
        <w:numPr>
          <w:ilvl w:val="0"/>
          <w:numId w:val="1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临时公告未披露或有后续进展的诉讼、仲裁情况</w:t>
      </w:r>
    </w:p>
    <w:sdt>
      <w:sdtPr>
        <w:rPr>
          <w:color w:val="000000" w:themeColor="text1"/>
          <w14:textFill>
            <w14:solidFill>
              <w14:schemeClr w14:val="tx1"/>
            </w14:solidFill>
          </w14:textFill>
        </w:rPr>
        <w:alias w:val="是否适用：临时公告未披露或有后续进展的诉讼、仲裁情况[双击切换]"/>
        <w:tag w:val="_GBC_3f59cc6ee3354630821313bac686c029"/>
        <w:id w:val="147464706"/>
        <w:placeholder>
          <w:docPart w:val="{d8014d7a-cba5-4a66-9d59-c514dac73ae3}"/>
        </w:placeholder>
      </w:sdtPr>
      <w:sdtEndPr>
        <w:rPr>
          <w:color w:val="000000" w:themeColor="text1"/>
          <w14:textFill>
            <w14:solidFill>
              <w14:schemeClr w14:val="tx1"/>
            </w14:solidFill>
          </w14:textFill>
        </w:rPr>
      </w:sdtEndPr>
      <w:sdtContent>
        <w:p w14:paraId="07F6EE5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E1307C2">
      <w:pPr>
        <w:rPr>
          <w:color w:val="000000" w:themeColor="text1"/>
          <w14:textFill>
            <w14:solidFill>
              <w14:schemeClr w14:val="tx1"/>
            </w14:solidFill>
          </w14:textFill>
        </w:rPr>
      </w:pPr>
    </w:p>
    <w:p w14:paraId="497DD9C8">
      <w:pPr>
        <w:pStyle w:val="4"/>
        <w:numPr>
          <w:ilvl w:val="0"/>
          <w:numId w:val="1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其他说明</w:t>
      </w:r>
    </w:p>
    <w:sdt>
      <w:sdtPr>
        <w:rPr>
          <w:rFonts w:hint="eastAsia"/>
          <w:color w:val="000000" w:themeColor="text1"/>
          <w14:textFill>
            <w14:solidFill>
              <w14:schemeClr w14:val="tx1"/>
            </w14:solidFill>
          </w14:textFill>
        </w:rPr>
        <w:alias w:val="是否适用：重大诉讼、仲裁事项其他说明[双击切换]"/>
        <w:tag w:val="_GBC_d8d8aef394564199936be6639c0e21a5"/>
        <w:id w:val="147458047"/>
        <w:placeholder>
          <w:docPart w:val="{d8014d7a-cba5-4a66-9d59-c514dac73ae3}"/>
        </w:placeholder>
      </w:sdtPr>
      <w:sdtEndPr>
        <w:rPr>
          <w:rFonts w:hint="eastAsia"/>
          <w:color w:val="000000" w:themeColor="text1"/>
          <w14:textFill>
            <w14:solidFill>
              <w14:schemeClr w14:val="tx1"/>
            </w14:solidFill>
          </w14:textFill>
        </w:rPr>
      </w:sdtEndPr>
      <w:sdtContent>
        <w:p w14:paraId="0CD5CE7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7C6543B">
      <w:pPr>
        <w:rPr>
          <w:color w:val="000000" w:themeColor="text1"/>
          <w14:textFill>
            <w14:solidFill>
              <w14:schemeClr w14:val="tx1"/>
            </w14:solidFill>
          </w14:textFill>
        </w:rPr>
      </w:pPr>
    </w:p>
    <w:p w14:paraId="00537D4B">
      <w:pPr>
        <w:pStyle w:val="3"/>
        <w:numPr>
          <w:ilvl w:val="0"/>
          <w:numId w:val="14"/>
        </w:numPr>
        <w:tabs>
          <w:tab w:val="left" w:pos="426"/>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上市公司及其董事</w:t>
      </w:r>
      <w:sdt>
        <w:sdtPr>
          <w:tag w:val="_PLD_fa9d0d62b2ad4d128fa74b3ce6ac509f"/>
          <w:id w:val="147475751"/>
        </w:sdtPr>
        <w:sdtContent>
          <w:r>
            <w:rPr>
              <w:rFonts w:hint="eastAsia" w:ascii="宋体" w:hAnsi="宋体"/>
              <w:color w:val="000000" w:themeColor="text1"/>
              <w14:textFill>
                <w14:solidFill>
                  <w14:schemeClr w14:val="tx1"/>
                </w14:solidFill>
              </w14:textFill>
            </w:rPr>
            <w:t>、监事</w:t>
          </w:r>
        </w:sdtContent>
      </w:sdt>
      <w:r>
        <w:rPr>
          <w:rFonts w:hint="eastAsia" w:ascii="宋体" w:hAnsi="宋体"/>
          <w:color w:val="000000" w:themeColor="text1"/>
          <w14:textFill>
            <w14:solidFill>
              <w14:schemeClr w14:val="tx1"/>
            </w14:solidFill>
          </w14:textFill>
        </w:rPr>
        <w:t>、高级管理人员、控股股东、实际控制人涉嫌违法违规、受到处罚及整改情况</w:t>
      </w:r>
    </w:p>
    <w:sdt>
      <w:sdtPr>
        <w:rPr>
          <w:rFonts w:hint="eastAsia"/>
          <w:color w:val="000000" w:themeColor="text1"/>
          <w14:textFill>
            <w14:solidFill>
              <w14:schemeClr w14:val="tx1"/>
            </w14:solidFill>
          </w14:textFill>
        </w:rPr>
        <w:alias w:val="是否适用：上市公司及其董事、监事、高级管理人员、持有5%以上股份的股东、实际控制人、收购人处罚及整改情况[双击切换]"/>
        <w:tag w:val="_GBC_05b097ae59254d13916df227f563a3ed"/>
        <w:id w:val="147469542"/>
        <w:placeholder>
          <w:docPart w:val="{d8014d7a-cba5-4a66-9d59-c514dac73ae3}"/>
        </w:placeholder>
      </w:sdtPr>
      <w:sdtEndPr>
        <w:rPr>
          <w:rFonts w:hint="eastAsia"/>
          <w:color w:val="000000" w:themeColor="text1"/>
          <w14:textFill>
            <w14:solidFill>
              <w14:schemeClr w14:val="tx1"/>
            </w14:solidFill>
          </w14:textFill>
        </w:rPr>
      </w:sdtEndPr>
      <w:sdtContent>
        <w:p w14:paraId="6C74C16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公司、董事会、董事受处罚及整改情况"/>
        <w:tag w:val="_GBC_cddddc4c26704f2a81b9c244e5424777"/>
        <w:id w:val="147472981"/>
        <w:placeholder>
          <w:docPart w:val="{2f0233a8-8d11-4276-9ff6-11cece56d899}"/>
        </w:placeholder>
      </w:sdtPr>
      <w:sdtEndPr>
        <w:rPr>
          <w:color w:val="000000" w:themeColor="text1"/>
          <w14:textFill>
            <w14:solidFill>
              <w14:schemeClr w14:val="tx1"/>
            </w14:solidFill>
          </w14:textFill>
        </w:rPr>
      </w:sdtEndPr>
      <w:sdtContent>
        <w:p w14:paraId="563CDD0D">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于2025年8月8日收到中国证券监督管理委员会下发的《立案告知书》（证监立案字03720252003号）；具体内容详见上海证券交易所网站（http://www.sse.com.cn/）披露的《际华集团关于收到中国证券监督管理委员会立案告知书的公告》（公告编号：临2025-039）。</w:t>
          </w:r>
        </w:p>
      </w:sdtContent>
    </w:sdt>
    <w:p w14:paraId="404FF080">
      <w:pPr>
        <w:rPr>
          <w:color w:val="000000" w:themeColor="text1"/>
          <w14:textFill>
            <w14:solidFill>
              <w14:schemeClr w14:val="tx1"/>
            </w14:solidFill>
          </w14:textFill>
        </w:rPr>
      </w:pPr>
    </w:p>
    <w:p w14:paraId="4331433A">
      <w:pPr>
        <w:pStyle w:val="3"/>
        <w:numPr>
          <w:ilvl w:val="0"/>
          <w:numId w:val="14"/>
        </w:numPr>
        <w:tabs>
          <w:tab w:val="left" w:pos="426"/>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报告期内公司及其控股股东、实际控制人诚信状况的说明</w:t>
      </w:r>
    </w:p>
    <w:sdt>
      <w:sdtPr>
        <w:rPr>
          <w:rFonts w:hint="eastAsia"/>
          <w:color w:val="000000" w:themeColor="text1"/>
          <w14:textFill>
            <w14:solidFill>
              <w14:schemeClr w14:val="tx1"/>
            </w14:solidFill>
          </w14:textFill>
        </w:rPr>
        <w:alias w:val="是否适用：报告期内公司及其控股股东、实际控制人诚信状况的说明[双击切换]"/>
        <w:tag w:val="_GBC_650ef1e21808426d806ee2024dd14590"/>
        <w:id w:val="147475731"/>
        <w:placeholder>
          <w:docPart w:val="{d8014d7a-cba5-4a66-9d59-c514dac73ae3}"/>
        </w:placeholder>
      </w:sdtPr>
      <w:sdtEndPr>
        <w:rPr>
          <w:rFonts w:hint="eastAsia"/>
          <w:color w:val="000000" w:themeColor="text1"/>
          <w14:textFill>
            <w14:solidFill>
              <w14:schemeClr w14:val="tx1"/>
            </w14:solidFill>
          </w14:textFill>
        </w:rPr>
      </w:sdtEndPr>
      <w:sdtContent>
        <w:p w14:paraId="7A2C8DE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F11E510">
      <w:pPr>
        <w:rPr>
          <w:color w:val="000000" w:themeColor="text1"/>
          <w14:textFill>
            <w14:solidFill>
              <w14:schemeClr w14:val="tx1"/>
            </w14:solidFill>
          </w14:textFill>
        </w:rPr>
      </w:pPr>
    </w:p>
    <w:p w14:paraId="4F78DE9A">
      <w:pPr>
        <w:pStyle w:val="3"/>
        <w:numPr>
          <w:ilvl w:val="0"/>
          <w:numId w:val="14"/>
        </w:numPr>
        <w:tabs>
          <w:tab w:val="left" w:pos="426"/>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重大关联交易</w:t>
      </w:r>
    </w:p>
    <w:p w14:paraId="276323CC">
      <w:pPr>
        <w:pStyle w:val="4"/>
        <w:numPr>
          <w:ilvl w:val="2"/>
          <w:numId w:val="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与日常经营相关的关联交易</w:t>
      </w:r>
    </w:p>
    <w:p w14:paraId="75975C06">
      <w:pPr>
        <w:pStyle w:val="5"/>
        <w:numPr>
          <w:ilvl w:val="2"/>
          <w:numId w:val="17"/>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已在临时公告披露且后续实施无进展或变化的事项</w:t>
      </w:r>
    </w:p>
    <w:sdt>
      <w:sdtPr>
        <w:rPr>
          <w:color w:val="000000" w:themeColor="text1"/>
          <w14:textFill>
            <w14:solidFill>
              <w14:schemeClr w14:val="tx1"/>
            </w14:solidFill>
          </w14:textFill>
        </w:rPr>
        <w:alias w:val="是否适用：已在临时公告披露且后续实施无进展或变化的事项_与日常经营相关的关联交易[双击切换]"/>
        <w:tag w:val="_GBC_9cce66e2c46445bea6fd259dd8b5277c"/>
        <w:id w:val="147475136"/>
        <w:placeholder>
          <w:docPart w:val="{d8014d7a-cba5-4a66-9d59-c514dac73ae3}"/>
        </w:placeholder>
      </w:sdtPr>
      <w:sdtEndPr>
        <w:rPr>
          <w:color w:val="000000" w:themeColor="text1"/>
          <w14:textFill>
            <w14:solidFill>
              <w14:schemeClr w14:val="tx1"/>
            </w14:solidFill>
          </w14:textFill>
        </w:rPr>
      </w:sdtEndPr>
      <w:sdtContent>
        <w:p w14:paraId="2CD59D5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9"/>
        <w:gridCol w:w="4434"/>
      </w:tblGrid>
      <w:tr w14:paraId="045E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3978b66ad729485ab420902ac1d8641a"/>
            <w:id w:val="147455899"/>
          </w:sdtPr>
          <w:sdtContent>
            <w:tc>
              <w:tcPr>
                <w:tcW w:w="4389" w:type="dxa"/>
              </w:tcPr>
              <w:p w14:paraId="08847317">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事项概述</w:t>
                </w:r>
              </w:p>
            </w:tc>
          </w:sdtContent>
        </w:sdt>
        <w:sdt>
          <w:sdtPr>
            <w:tag w:val="_PLD_28c260015cd145a7bdcdc3be1a2f9896"/>
            <w:id w:val="147463399"/>
          </w:sdtPr>
          <w:sdtContent>
            <w:tc>
              <w:tcPr>
                <w:tcW w:w="4434" w:type="dxa"/>
              </w:tcPr>
              <w:p w14:paraId="798E9645">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查询索引</w:t>
                </w:r>
              </w:p>
            </w:tc>
          </w:sdtContent>
        </w:sdt>
      </w:tr>
      <w:tr w14:paraId="2F040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9" w:type="dxa"/>
            <w:vAlign w:val="center"/>
          </w:tcPr>
          <w:p w14:paraId="40C997CE">
            <w:pPr>
              <w:pStyle w:val="55"/>
              <w:widowControl w:val="0"/>
              <w:jc w:val="left"/>
            </w:pPr>
            <w:r>
              <w:rPr>
                <w:rFonts w:hint="eastAsia"/>
              </w:rPr>
              <w:t>第六届董事会第十次会议审议通过了关于《</w:t>
            </w:r>
            <w:r>
              <w:t>202</w:t>
            </w:r>
            <w:r>
              <w:rPr>
                <w:rFonts w:hint="eastAsia"/>
              </w:rPr>
              <w:t>4</w:t>
            </w:r>
            <w:r>
              <w:t>年度日常关联交易实际发生额202</w:t>
            </w:r>
            <w:r>
              <w:rPr>
                <w:rFonts w:hint="eastAsia"/>
              </w:rPr>
              <w:t>5</w:t>
            </w:r>
            <w:r>
              <w:t>年度日常关联交易预计发生额》的议案</w:t>
            </w:r>
          </w:p>
        </w:tc>
        <w:tc>
          <w:tcPr>
            <w:tcW w:w="4434" w:type="dxa"/>
          </w:tcPr>
          <w:p w14:paraId="76B3329B">
            <w:pPr>
              <w:pStyle w:val="55"/>
              <w:widowControl w:val="0"/>
              <w:jc w:val="both"/>
            </w:pPr>
            <w:r>
              <w:rPr>
                <w:rFonts w:hint="eastAsia"/>
              </w:rPr>
              <w:t>详见公司于</w:t>
            </w:r>
            <w:r>
              <w:t>202</w:t>
            </w:r>
            <w:r>
              <w:rPr>
                <w:rFonts w:hint="eastAsia"/>
              </w:rPr>
              <w:t>5</w:t>
            </w:r>
            <w:r>
              <w:t>年4月</w:t>
            </w:r>
            <w:r>
              <w:rPr>
                <w:rFonts w:hint="eastAsia"/>
              </w:rPr>
              <w:t>28</w:t>
            </w:r>
            <w:r>
              <w:t>日在上海证券交易所网站（www.sse.com.cn）披露的《际华集团股份有限公司关于202</w:t>
            </w:r>
            <w:r>
              <w:rPr>
                <w:rFonts w:hint="eastAsia"/>
              </w:rPr>
              <w:t>4</w:t>
            </w:r>
            <w:r>
              <w:t>年度日常关联交易情况和</w:t>
            </w:r>
            <w:r>
              <w:rPr>
                <w:rFonts w:hint="eastAsia"/>
              </w:rPr>
              <w:t>2025年日常关联交易预计的公告</w:t>
            </w:r>
            <w:r>
              <w:t>》</w:t>
            </w:r>
          </w:p>
        </w:tc>
      </w:tr>
      <w:tr w14:paraId="1C432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9" w:type="dxa"/>
            <w:vAlign w:val="center"/>
          </w:tcPr>
          <w:p w14:paraId="4DFB6160">
            <w:pPr>
              <w:pStyle w:val="55"/>
              <w:widowControl w:val="0"/>
              <w:jc w:val="left"/>
            </w:pPr>
            <w:r>
              <w:rPr>
                <w:rFonts w:hint="eastAsia"/>
              </w:rPr>
              <w:t>第六届董事会第十次会议审议通过了关于《与财务公司签订金融服务协议》的议案</w:t>
            </w:r>
          </w:p>
        </w:tc>
        <w:tc>
          <w:tcPr>
            <w:tcW w:w="4434" w:type="dxa"/>
          </w:tcPr>
          <w:p w14:paraId="03E231E5">
            <w:pPr>
              <w:pStyle w:val="55"/>
              <w:widowControl w:val="0"/>
              <w:jc w:val="both"/>
            </w:pPr>
            <w:r>
              <w:rPr>
                <w:rFonts w:hint="eastAsia"/>
              </w:rPr>
              <w:t>详见公司于2025年4月28日在上海证券交易所网站（www.sse.com.cn）披露的《际华集团关于与新兴际华集团财务有限公司签订金融服务协议暨关联交易的公告》</w:t>
            </w:r>
          </w:p>
        </w:tc>
      </w:tr>
    </w:tbl>
    <w:p w14:paraId="039442E6">
      <w:pPr>
        <w:rPr>
          <w:color w:val="000000" w:themeColor="text1"/>
          <w14:textFill>
            <w14:solidFill>
              <w14:schemeClr w14:val="tx1"/>
            </w14:solidFill>
          </w14:textFill>
        </w:rPr>
      </w:pPr>
    </w:p>
    <w:p w14:paraId="01E65EFA">
      <w:pPr>
        <w:pStyle w:val="5"/>
        <w:numPr>
          <w:ilvl w:val="2"/>
          <w:numId w:val="17"/>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已在临时公告披露，但有后续实施的进展或变化的事项</w:t>
      </w:r>
    </w:p>
    <w:sdt>
      <w:sdtPr>
        <w:rPr>
          <w:color w:val="000000" w:themeColor="text1"/>
          <w14:textFill>
            <w14:solidFill>
              <w14:schemeClr w14:val="tx1"/>
            </w14:solidFill>
          </w14:textFill>
        </w:rPr>
        <w:alias w:val="是否适用：已在临时公告披露，但有后续实施的进展或变化的事项_与日常经营相关的关联交易[双击切换]"/>
        <w:tag w:val="_GBC_3d236e76c44140259dd09a3aed77ca15"/>
        <w:id w:val="147471799"/>
        <w:placeholder>
          <w:docPart w:val="{d8014d7a-cba5-4a66-9d59-c514dac73ae3}"/>
        </w:placeholder>
      </w:sdtPr>
      <w:sdtEndPr>
        <w:rPr>
          <w:color w:val="000000" w:themeColor="text1"/>
          <w14:textFill>
            <w14:solidFill>
              <w14:schemeClr w14:val="tx1"/>
            </w14:solidFill>
          </w14:textFill>
        </w:rPr>
      </w:sdtEndPr>
      <w:sdtContent>
        <w:p w14:paraId="467B2177">
          <w:pPr>
            <w:ind w:firstLine="420" w:firstLineChars="20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004417C">
      <w:pPr>
        <w:rPr>
          <w:color w:val="000000" w:themeColor="text1"/>
          <w14:textFill>
            <w14:solidFill>
              <w14:schemeClr w14:val="tx1"/>
            </w14:solidFill>
          </w14:textFill>
        </w:rPr>
      </w:pPr>
    </w:p>
    <w:p w14:paraId="326136C2">
      <w:pPr>
        <w:pStyle w:val="5"/>
        <w:numPr>
          <w:ilvl w:val="2"/>
          <w:numId w:val="17"/>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临时公告未披露的事项</w:t>
      </w:r>
    </w:p>
    <w:sdt>
      <w:sdtPr>
        <w:rPr>
          <w:color w:val="000000" w:themeColor="text1"/>
          <w14:textFill>
            <w14:solidFill>
              <w14:schemeClr w14:val="tx1"/>
            </w14:solidFill>
          </w14:textFill>
        </w:rPr>
        <w:alias w:val="是否适用：与日常经营相关的关联交易_临时公告未披露的事项[双击切换]"/>
        <w:tag w:val="_GBC_91ad548daaa84603a8faa6c0ce358499"/>
        <w:id w:val="147475269"/>
        <w:placeholder>
          <w:docPart w:val="{d8014d7a-cba5-4a66-9d59-c514dac73ae3}"/>
        </w:placeholder>
      </w:sdtPr>
      <w:sdtEndPr>
        <w:rPr>
          <w:color w:val="000000" w:themeColor="text1"/>
          <w14:textFill>
            <w14:solidFill>
              <w14:schemeClr w14:val="tx1"/>
            </w14:solidFill>
          </w14:textFill>
        </w:rPr>
      </w:sdtEndPr>
      <w:sdtContent>
        <w:p w14:paraId="2BD11C7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52E2C1F">
      <w:pPr>
        <w:rPr>
          <w:color w:val="000000" w:themeColor="text1"/>
          <w14:textFill>
            <w14:solidFill>
              <w14:schemeClr w14:val="tx1"/>
            </w14:solidFill>
          </w14:textFill>
        </w:rPr>
      </w:pPr>
    </w:p>
    <w:p w14:paraId="433CF394">
      <w:pPr>
        <w:pStyle w:val="4"/>
        <w:numPr>
          <w:ilvl w:val="2"/>
          <w:numId w:val="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资产收购或股权收购、出售发生的关联交易</w:t>
      </w:r>
    </w:p>
    <w:p w14:paraId="5956B0B4">
      <w:pPr>
        <w:pStyle w:val="5"/>
        <w:numPr>
          <w:ilvl w:val="0"/>
          <w:numId w:val="18"/>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已在临时公告披露且后续实施无进展或变化的事项</w:t>
      </w:r>
    </w:p>
    <w:sdt>
      <w:sdtPr>
        <w:rPr>
          <w:color w:val="000000" w:themeColor="text1"/>
          <w14:textFill>
            <w14:solidFill>
              <w14:schemeClr w14:val="tx1"/>
            </w14:solidFill>
          </w14:textFill>
        </w:rPr>
        <w:alias w:val="是否适用：已在临时公告披露且后续实施无进展或变化的事项_资产或股权收购、出售发生的关联交易[双击切换]"/>
        <w:tag w:val="_GBC_208b69178a984ade8f4f4dd7a3362ae3"/>
        <w:id w:val="147461612"/>
        <w:placeholder>
          <w:docPart w:val="{d8014d7a-cba5-4a66-9d59-c514dac73ae3}"/>
        </w:placeholder>
      </w:sdtPr>
      <w:sdtEndPr>
        <w:rPr>
          <w:color w:val="000000" w:themeColor="text1"/>
          <w14:textFill>
            <w14:solidFill>
              <w14:schemeClr w14:val="tx1"/>
            </w14:solidFill>
          </w14:textFill>
        </w:rPr>
      </w:sdtEndPr>
      <w:sdtContent>
        <w:p w14:paraId="2C8D1D2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0B0C29E">
      <w:pPr>
        <w:rPr>
          <w:color w:val="000000" w:themeColor="text1"/>
          <w14:textFill>
            <w14:solidFill>
              <w14:schemeClr w14:val="tx1"/>
            </w14:solidFill>
          </w14:textFill>
        </w:rPr>
      </w:pPr>
    </w:p>
    <w:p w14:paraId="5D4A611A">
      <w:pPr>
        <w:pStyle w:val="5"/>
        <w:numPr>
          <w:ilvl w:val="0"/>
          <w:numId w:val="18"/>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已在临时公告披露，但有后续实施的进展或变化的事项</w:t>
      </w:r>
    </w:p>
    <w:sdt>
      <w:sdtPr>
        <w:rPr>
          <w:color w:val="000000" w:themeColor="text1"/>
          <w14:textFill>
            <w14:solidFill>
              <w14:schemeClr w14:val="tx1"/>
            </w14:solidFill>
          </w14:textFill>
        </w:rPr>
        <w:alias w:val="是否适用：已在临时公告披露，但有后续实施的进展或变化的事项_资产或股权收购、出售发生的关联交易[双击切换]"/>
        <w:tag w:val="_GBC_b72de17637e74020b42aa0636b393f25"/>
        <w:id w:val="147458809"/>
        <w:placeholder>
          <w:docPart w:val="{d8014d7a-cba5-4a66-9d59-c514dac73ae3}"/>
        </w:placeholder>
      </w:sdtPr>
      <w:sdtEndPr>
        <w:rPr>
          <w:color w:val="000000" w:themeColor="text1"/>
          <w14:textFill>
            <w14:solidFill>
              <w14:schemeClr w14:val="tx1"/>
            </w14:solidFill>
          </w14:textFill>
        </w:rPr>
      </w:sdtEndPr>
      <w:sdtContent>
        <w:p w14:paraId="378541F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BDE6573">
      <w:pPr>
        <w:rPr>
          <w:color w:val="000000" w:themeColor="text1"/>
          <w14:textFill>
            <w14:solidFill>
              <w14:schemeClr w14:val="tx1"/>
            </w14:solidFill>
          </w14:textFill>
        </w:rPr>
      </w:pPr>
    </w:p>
    <w:p w14:paraId="40636915">
      <w:pPr>
        <w:pStyle w:val="5"/>
        <w:numPr>
          <w:ilvl w:val="0"/>
          <w:numId w:val="18"/>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临时公告未披露的事项</w:t>
      </w:r>
    </w:p>
    <w:sdt>
      <w:sdtPr>
        <w:rPr>
          <w:color w:val="000000" w:themeColor="text1"/>
          <w14:textFill>
            <w14:solidFill>
              <w14:schemeClr w14:val="tx1"/>
            </w14:solidFill>
          </w14:textFill>
        </w:rPr>
        <w:alias w:val="是否适用：资产收购、出售发生的关联交易_临时公告未披露的事项[双击切换]"/>
        <w:tag w:val="_GBC_d3f1f3f5ce564209aee49197432643af"/>
        <w:id w:val="147470086"/>
        <w:placeholder>
          <w:docPart w:val="{d8014d7a-cba5-4a66-9d59-c514dac73ae3}"/>
        </w:placeholder>
      </w:sdtPr>
      <w:sdtEndPr>
        <w:rPr>
          <w:color w:val="000000" w:themeColor="text1"/>
          <w14:textFill>
            <w14:solidFill>
              <w14:schemeClr w14:val="tx1"/>
            </w14:solidFill>
          </w14:textFill>
        </w:rPr>
      </w:sdtEndPr>
      <w:sdtContent>
        <w:p w14:paraId="21C296F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A29923E">
      <w:pPr>
        <w:rPr>
          <w:color w:val="000000" w:themeColor="text1"/>
          <w14:textFill>
            <w14:solidFill>
              <w14:schemeClr w14:val="tx1"/>
            </w14:solidFill>
          </w14:textFill>
        </w:rPr>
      </w:pPr>
    </w:p>
    <w:p w14:paraId="58414BE5">
      <w:pPr>
        <w:pStyle w:val="5"/>
        <w:numPr>
          <w:ilvl w:val="0"/>
          <w:numId w:val="18"/>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涉及业绩约定的，应当披露报告期内的业绩实现情况</w:t>
      </w:r>
    </w:p>
    <w:sdt>
      <w:sdtPr>
        <w:rPr>
          <w:color w:val="000000" w:themeColor="text1"/>
          <w14:textFill>
            <w14:solidFill>
              <w14:schemeClr w14:val="tx1"/>
            </w14:solidFill>
          </w14:textFill>
        </w:rPr>
        <w:alias w:val="是否适用：涉及业绩约定的，应当披露报告期内的业绩实现情况[双击切换]"/>
        <w:tag w:val="_GBC_0640a8fc3526461ca1eed7810b087c23"/>
        <w:id w:val="147468823"/>
        <w:placeholder>
          <w:docPart w:val="{d8014d7a-cba5-4a66-9d59-c514dac73ae3}"/>
        </w:placeholder>
      </w:sdtPr>
      <w:sdtEndPr>
        <w:rPr>
          <w:color w:val="000000" w:themeColor="text1"/>
          <w14:textFill>
            <w14:solidFill>
              <w14:schemeClr w14:val="tx1"/>
            </w14:solidFill>
          </w14:textFill>
        </w:rPr>
      </w:sdtEndPr>
      <w:sdtContent>
        <w:p w14:paraId="5B0579A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906EDE9">
      <w:pPr>
        <w:rPr>
          <w:color w:val="000000" w:themeColor="text1"/>
          <w14:textFill>
            <w14:solidFill>
              <w14:schemeClr w14:val="tx1"/>
            </w14:solidFill>
          </w14:textFill>
        </w:rPr>
      </w:pPr>
    </w:p>
    <w:p w14:paraId="08ACA359">
      <w:pPr>
        <w:pStyle w:val="4"/>
        <w:numPr>
          <w:ilvl w:val="2"/>
          <w:numId w:val="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共同对外投资的重大关联交易</w:t>
      </w:r>
    </w:p>
    <w:p w14:paraId="121A07AB">
      <w:pPr>
        <w:pStyle w:val="5"/>
        <w:numPr>
          <w:ilvl w:val="0"/>
          <w:numId w:val="19"/>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已在临时公告披露且后续实施无进展或变化的事项</w:t>
      </w:r>
    </w:p>
    <w:sdt>
      <w:sdtPr>
        <w:rPr>
          <w:color w:val="000000" w:themeColor="text1"/>
          <w14:textFill>
            <w14:solidFill>
              <w14:schemeClr w14:val="tx1"/>
            </w14:solidFill>
          </w14:textFill>
        </w:rPr>
        <w:alias w:val="是否适用：已在临时公告披露且后续实施无进展或变化的事项_共同对外投资的重大关联交易[双击切换]"/>
        <w:tag w:val="_GBC_dda9192a67f44f8698afb5d0b3e3c767"/>
        <w:id w:val="147465403"/>
        <w:placeholder>
          <w:docPart w:val="{d8014d7a-cba5-4a66-9d59-c514dac73ae3}"/>
        </w:placeholder>
      </w:sdtPr>
      <w:sdtEndPr>
        <w:rPr>
          <w:color w:val="000000" w:themeColor="text1"/>
          <w14:textFill>
            <w14:solidFill>
              <w14:schemeClr w14:val="tx1"/>
            </w14:solidFill>
          </w14:textFill>
        </w:rPr>
      </w:sdtEndPr>
      <w:sdtContent>
        <w:p w14:paraId="6CEB3D6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9CE467F">
      <w:pPr>
        <w:rPr>
          <w:color w:val="000000" w:themeColor="text1"/>
          <w14:textFill>
            <w14:solidFill>
              <w14:schemeClr w14:val="tx1"/>
            </w14:solidFill>
          </w14:textFill>
        </w:rPr>
      </w:pPr>
    </w:p>
    <w:p w14:paraId="28D20F6B">
      <w:pPr>
        <w:pStyle w:val="5"/>
        <w:numPr>
          <w:ilvl w:val="0"/>
          <w:numId w:val="19"/>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已在临时公告披露，但有后续实施的进展或变化的事项</w:t>
      </w:r>
    </w:p>
    <w:sdt>
      <w:sdtPr>
        <w:rPr>
          <w:color w:val="000000" w:themeColor="text1"/>
          <w14:textFill>
            <w14:solidFill>
              <w14:schemeClr w14:val="tx1"/>
            </w14:solidFill>
          </w14:textFill>
        </w:rPr>
        <w:alias w:val="是否适用：已在临时公告披露，但有后续实施的进展或变化的事项_共同对外投资的重大关联交易[双击切换]"/>
        <w:tag w:val="_GBC_f5354c189ecd4cad9ef1e263c325c0db"/>
        <w:id w:val="147459288"/>
        <w:placeholder>
          <w:docPart w:val="{d8014d7a-cba5-4a66-9d59-c514dac73ae3}"/>
        </w:placeholder>
      </w:sdtPr>
      <w:sdtEndPr>
        <w:rPr>
          <w:color w:val="000000" w:themeColor="text1"/>
          <w14:textFill>
            <w14:solidFill>
              <w14:schemeClr w14:val="tx1"/>
            </w14:solidFill>
          </w14:textFill>
        </w:rPr>
      </w:sdtEndPr>
      <w:sdtContent>
        <w:p w14:paraId="1975E261">
          <w:pPr>
            <w:pStyle w:val="55"/>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A452E6C">
      <w:pPr>
        <w:rPr>
          <w:color w:val="000000" w:themeColor="text1"/>
          <w14:textFill>
            <w14:solidFill>
              <w14:schemeClr w14:val="tx1"/>
            </w14:solidFill>
          </w14:textFill>
        </w:rPr>
      </w:pPr>
    </w:p>
    <w:p w14:paraId="1D1C6E72">
      <w:pPr>
        <w:pStyle w:val="5"/>
        <w:numPr>
          <w:ilvl w:val="0"/>
          <w:numId w:val="19"/>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临时公告未披露的事项</w:t>
      </w:r>
    </w:p>
    <w:sdt>
      <w:sdtPr>
        <w:rPr>
          <w:rFonts w:hint="eastAsia"/>
          <w:color w:val="000000" w:themeColor="text1"/>
          <w14:textFill>
            <w14:solidFill>
              <w14:schemeClr w14:val="tx1"/>
            </w14:solidFill>
          </w14:textFill>
        </w:rPr>
        <w:alias w:val="是否适用：共同对外投资的重大关联交易_临时公告未披露的事项[双击切换]"/>
        <w:tag w:val="_GBC_3ac28148c3754202ba544078ad581a24"/>
        <w:id w:val="147456756"/>
        <w:placeholder>
          <w:docPart w:val="{d8014d7a-cba5-4a66-9d59-c514dac73ae3}"/>
        </w:placeholder>
      </w:sdtPr>
      <w:sdtEndPr>
        <w:rPr>
          <w:rFonts w:hint="eastAsia"/>
          <w:color w:val="000000" w:themeColor="text1"/>
          <w14:textFill>
            <w14:solidFill>
              <w14:schemeClr w14:val="tx1"/>
            </w14:solidFill>
          </w14:textFill>
        </w:rPr>
      </w:sdtEndPr>
      <w:sdtContent>
        <w:p w14:paraId="5184DE3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9A7428B">
      <w:pPr>
        <w:rPr>
          <w:color w:val="000000" w:themeColor="text1"/>
          <w14:textFill>
            <w14:solidFill>
              <w14:schemeClr w14:val="tx1"/>
            </w14:solidFill>
          </w14:textFill>
        </w:rPr>
      </w:pPr>
    </w:p>
    <w:p w14:paraId="0863D125">
      <w:pPr>
        <w:pStyle w:val="4"/>
        <w:numPr>
          <w:ilvl w:val="2"/>
          <w:numId w:val="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关联债权债务往来</w:t>
      </w:r>
    </w:p>
    <w:p w14:paraId="337FB98F">
      <w:pPr>
        <w:pStyle w:val="58"/>
        <w:numPr>
          <w:ilvl w:val="0"/>
          <w:numId w:val="20"/>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已在临时公告披露且后续实施无进展或变化的事项</w:t>
      </w:r>
    </w:p>
    <w:sdt>
      <w:sdtPr>
        <w:rPr>
          <w:color w:val="000000" w:themeColor="text1"/>
          <w14:textFill>
            <w14:solidFill>
              <w14:schemeClr w14:val="tx1"/>
            </w14:solidFill>
          </w14:textFill>
        </w:rPr>
        <w:alias w:val="是否适用：已在临时公告披露且后续实施无进展或变化的事项_关联债权债务往来[双击切换]"/>
        <w:tag w:val="_GBC_480ccdae6247445ca78cf6327eb0e24f"/>
        <w:id w:val="147457118"/>
        <w:placeholder>
          <w:docPart w:val="{d8014d7a-cba5-4a66-9d59-c514dac73ae3}"/>
        </w:placeholder>
      </w:sdtPr>
      <w:sdtEndPr>
        <w:rPr>
          <w:color w:val="000000" w:themeColor="text1"/>
          <w14:textFill>
            <w14:solidFill>
              <w14:schemeClr w14:val="tx1"/>
            </w14:solidFill>
          </w14:textFill>
        </w:rPr>
      </w:sdtEndPr>
      <w:sdtContent>
        <w:p w14:paraId="5EDE81A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B56A725">
      <w:pPr>
        <w:rPr>
          <w:color w:val="000000" w:themeColor="text1"/>
          <w14:textFill>
            <w14:solidFill>
              <w14:schemeClr w14:val="tx1"/>
            </w14:solidFill>
          </w14:textFill>
        </w:rPr>
      </w:pPr>
    </w:p>
    <w:p w14:paraId="2997614A">
      <w:pPr>
        <w:pStyle w:val="58"/>
        <w:numPr>
          <w:ilvl w:val="0"/>
          <w:numId w:val="20"/>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已在临时公告披露，但有后续实施的进展或变化的事项</w:t>
      </w:r>
    </w:p>
    <w:sdt>
      <w:sdtPr>
        <w:rPr>
          <w:color w:val="000000" w:themeColor="text1"/>
          <w14:textFill>
            <w14:solidFill>
              <w14:schemeClr w14:val="tx1"/>
            </w14:solidFill>
          </w14:textFill>
        </w:rPr>
        <w:alias w:val="是否适用：已在临时公告披露，但有后续实施的进展或变化的事项_关联债权债务往来[双击切换]"/>
        <w:tag w:val="_GBC_06dcfbbd6aed49aa878ab07a09b2270b"/>
        <w:id w:val="147474354"/>
        <w:placeholder>
          <w:docPart w:val="{d8014d7a-cba5-4a66-9d59-c514dac73ae3}"/>
        </w:placeholder>
      </w:sdtPr>
      <w:sdtEndPr>
        <w:rPr>
          <w:color w:val="000000" w:themeColor="text1"/>
          <w14:textFill>
            <w14:solidFill>
              <w14:schemeClr w14:val="tx1"/>
            </w14:solidFill>
          </w14:textFill>
        </w:rPr>
      </w:sdtEndPr>
      <w:sdtContent>
        <w:p w14:paraId="4973083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41F175B">
      <w:pPr>
        <w:rPr>
          <w:color w:val="000000" w:themeColor="text1"/>
          <w14:textFill>
            <w14:solidFill>
              <w14:schemeClr w14:val="tx1"/>
            </w14:solidFill>
          </w14:textFill>
        </w:rPr>
      </w:pPr>
    </w:p>
    <w:p w14:paraId="43E0F04A">
      <w:pPr>
        <w:pStyle w:val="58"/>
        <w:numPr>
          <w:ilvl w:val="0"/>
          <w:numId w:val="20"/>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临时公告未披露的事项</w:t>
      </w:r>
    </w:p>
    <w:sdt>
      <w:sdtPr>
        <w:rPr>
          <w:color w:val="000000" w:themeColor="text1"/>
          <w14:textFill>
            <w14:solidFill>
              <w14:schemeClr w14:val="tx1"/>
            </w14:solidFill>
          </w14:textFill>
        </w:rPr>
        <w:alias w:val="是否适用：关联债权债务往来_临时公告未披露的事项[双击切换]"/>
        <w:tag w:val="_GBC_0f4a6802ca704b49a413888379a91f0b"/>
        <w:id w:val="147459721"/>
        <w:placeholder>
          <w:docPart w:val="{d8014d7a-cba5-4a66-9d59-c514dac73ae3}"/>
        </w:placeholder>
      </w:sdtPr>
      <w:sdtEndPr>
        <w:rPr>
          <w:color w:val="000000" w:themeColor="text1"/>
          <w14:textFill>
            <w14:solidFill>
              <w14:schemeClr w14:val="tx1"/>
            </w14:solidFill>
          </w14:textFill>
        </w:rPr>
      </w:sdtEndPr>
      <w:sdtContent>
        <w:p w14:paraId="59E33CA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505B956">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关联债权债务往来"/>
          <w:tag w:val="_GBC_3d4746bf1eac4cb78b4d5e8f638c58a7"/>
          <w:id w:val="147460318"/>
          <w:placeholder>
            <w:docPart w:val="{d8014d7a-cba5-4a66-9d59-c514dac73ae3}"/>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万元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关联债权债务往来"/>
          <w:tag w:val="_GBC_5091a378d0114c298e9441456458f056"/>
          <w:id w:val="147466593"/>
          <w:placeholder>
            <w:docPart w:val="{d8014d7a-cba5-4a66-9d59-c514dac73ae3}"/>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386"/>
        <w:gridCol w:w="1323"/>
        <w:gridCol w:w="1142"/>
        <w:gridCol w:w="857"/>
        <w:gridCol w:w="1001"/>
        <w:gridCol w:w="1144"/>
        <w:gridCol w:w="1001"/>
        <w:gridCol w:w="1039"/>
      </w:tblGrid>
      <w:tr w14:paraId="7A8D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a03ab7dba8d64a3988ed93cc7ea7faec"/>
            <w:id w:val="147477794"/>
          </w:sdtPr>
          <w:sdtContent>
            <w:tc>
              <w:tcPr>
                <w:tcW w:w="779" w:type="pct"/>
                <w:vMerge w:val="restart"/>
                <w:vAlign w:val="center"/>
              </w:tcPr>
              <w:p w14:paraId="487C8423">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关联方</w:t>
                </w:r>
              </w:p>
            </w:tc>
          </w:sdtContent>
        </w:sdt>
        <w:sdt>
          <w:sdtPr>
            <w:tag w:val="_PLD_fd7d9e6d29544e1f819ac61e5ffc7800"/>
            <w:id w:val="147469975"/>
          </w:sdtPr>
          <w:sdtContent>
            <w:tc>
              <w:tcPr>
                <w:tcW w:w="744" w:type="pct"/>
                <w:vMerge w:val="restart"/>
                <w:vAlign w:val="center"/>
              </w:tcPr>
              <w:p w14:paraId="6DDA3A41">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关联关系</w:t>
                </w:r>
              </w:p>
            </w:tc>
          </w:sdtContent>
        </w:sdt>
        <w:sdt>
          <w:sdtPr>
            <w:tag w:val="_PLD_ab475f26ae1346059edb39a2aa01b7a0"/>
            <w:id w:val="147478110"/>
          </w:sdtPr>
          <w:sdtContent>
            <w:tc>
              <w:tcPr>
                <w:tcW w:w="1687" w:type="pct"/>
                <w:gridSpan w:val="3"/>
                <w:vAlign w:val="center"/>
              </w:tcPr>
              <w:p w14:paraId="267BD586">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向关联方提供资金</w:t>
                </w:r>
              </w:p>
            </w:tc>
          </w:sdtContent>
        </w:sdt>
        <w:sdt>
          <w:sdtPr>
            <w:tag w:val="_PLD_563c35dec57c48f3b46f1f62e335b927"/>
            <w:id w:val="147461027"/>
          </w:sdtPr>
          <w:sdtContent>
            <w:tc>
              <w:tcPr>
                <w:tcW w:w="1790" w:type="pct"/>
                <w:gridSpan w:val="3"/>
                <w:vAlign w:val="center"/>
              </w:tcPr>
              <w:p w14:paraId="04C00810">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关联方向上市公司提供资金</w:t>
                </w:r>
              </w:p>
            </w:tc>
          </w:sdtContent>
        </w:sdt>
      </w:tr>
      <w:tr w14:paraId="10E7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79" w:type="pct"/>
            <w:vMerge w:val="continue"/>
            <w:vAlign w:val="center"/>
          </w:tcPr>
          <w:p w14:paraId="0B716528">
            <w:pPr>
              <w:autoSpaceDE w:val="0"/>
              <w:autoSpaceDN w:val="0"/>
              <w:adjustRightInd w:val="0"/>
              <w:jc w:val="center"/>
              <w:rPr>
                <w:color w:val="000000" w:themeColor="text1"/>
                <w14:textFill>
                  <w14:solidFill>
                    <w14:schemeClr w14:val="tx1"/>
                  </w14:solidFill>
                </w14:textFill>
              </w:rPr>
            </w:pPr>
          </w:p>
        </w:tc>
        <w:tc>
          <w:tcPr>
            <w:tcW w:w="744" w:type="pct"/>
            <w:vMerge w:val="continue"/>
            <w:vAlign w:val="center"/>
          </w:tcPr>
          <w:p w14:paraId="66D4A2FB">
            <w:pPr>
              <w:autoSpaceDE w:val="0"/>
              <w:autoSpaceDN w:val="0"/>
              <w:adjustRightInd w:val="0"/>
              <w:jc w:val="center"/>
              <w:rPr>
                <w:color w:val="000000" w:themeColor="text1"/>
                <w14:textFill>
                  <w14:solidFill>
                    <w14:schemeClr w14:val="tx1"/>
                  </w14:solidFill>
                </w14:textFill>
              </w:rPr>
            </w:pPr>
          </w:p>
        </w:tc>
        <w:sdt>
          <w:sdtPr>
            <w:tag w:val="_PLD_84c4eb576c0841edbba1a279db4bece5"/>
            <w:id w:val="147458772"/>
          </w:sdtPr>
          <w:sdtContent>
            <w:tc>
              <w:tcPr>
                <w:tcW w:w="642" w:type="pct"/>
                <w:vAlign w:val="center"/>
              </w:tcPr>
              <w:p w14:paraId="101F1F6E">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sdt>
          <w:sdtPr>
            <w:tag w:val="_PLD_a0465b18c711498aacc6643f88ec2071"/>
            <w:id w:val="147474900"/>
          </w:sdtPr>
          <w:sdtContent>
            <w:tc>
              <w:tcPr>
                <w:tcW w:w="482" w:type="pct"/>
                <w:vAlign w:val="center"/>
              </w:tcPr>
              <w:p w14:paraId="47EAB4C4">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发生额</w:t>
                </w:r>
              </w:p>
            </w:tc>
          </w:sdtContent>
        </w:sdt>
        <w:sdt>
          <w:sdtPr>
            <w:tag w:val="_PLD_50c7dd7dd5804b108bed028ac898954a"/>
            <w:id w:val="147475051"/>
          </w:sdtPr>
          <w:sdtContent>
            <w:tc>
              <w:tcPr>
                <w:tcW w:w="563" w:type="pct"/>
                <w:vAlign w:val="center"/>
              </w:tcPr>
              <w:p w14:paraId="0B3AECD3">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c6512bddd9054caeb41c5dab753be8c6"/>
            <w:id w:val="147475949"/>
          </w:sdtPr>
          <w:sdtContent>
            <w:tc>
              <w:tcPr>
                <w:tcW w:w="643" w:type="pct"/>
                <w:vAlign w:val="center"/>
              </w:tcPr>
              <w:p w14:paraId="7B47729F">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sdt>
          <w:sdtPr>
            <w:tag w:val="_PLD_121e88852b0f4d04b04977cd52578513"/>
            <w:id w:val="147470690"/>
          </w:sdtPr>
          <w:sdtContent>
            <w:tc>
              <w:tcPr>
                <w:tcW w:w="563" w:type="pct"/>
                <w:vAlign w:val="center"/>
              </w:tcPr>
              <w:p w14:paraId="2BD50D1A">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发生额</w:t>
                </w:r>
              </w:p>
            </w:tc>
          </w:sdtContent>
        </w:sdt>
        <w:sdt>
          <w:sdtPr>
            <w:tag w:val="_PLD_656f31b560d642bdb30b1a1db50f1150"/>
            <w:id w:val="147473316"/>
          </w:sdtPr>
          <w:sdtContent>
            <w:tc>
              <w:tcPr>
                <w:tcW w:w="584" w:type="pct"/>
                <w:vAlign w:val="center"/>
              </w:tcPr>
              <w:p w14:paraId="4D0C0788">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tr>
      <w:tr w14:paraId="3DA3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79" w:type="pct"/>
            <w:vAlign w:val="center"/>
          </w:tcPr>
          <w:p w14:paraId="2AC853FE">
            <w:pPr>
              <w:autoSpaceDE w:val="0"/>
              <w:autoSpaceDN w:val="0"/>
              <w:adjustRightInd w:val="0"/>
            </w:pPr>
            <w:r>
              <w:rPr>
                <w:rFonts w:ascii="Arial Narrow" w:hAnsi="Arial Narrow"/>
                <w:color w:val="000000"/>
              </w:rPr>
              <w:t>新兴际华投资有限公司</w:t>
            </w:r>
          </w:p>
        </w:tc>
        <w:tc>
          <w:tcPr>
            <w:tcW w:w="744" w:type="pct"/>
            <w:vAlign w:val="center"/>
          </w:tcPr>
          <w:p w14:paraId="6D94806F">
            <w:pPr>
              <w:autoSpaceDE w:val="0"/>
              <w:autoSpaceDN w:val="0"/>
              <w:adjustRightInd w:val="0"/>
              <w:rPr>
                <w:color w:val="000000" w:themeColor="text1"/>
                <w14:textFill>
                  <w14:solidFill>
                    <w14:schemeClr w14:val="tx1"/>
                  </w14:solidFill>
                </w14:textFill>
              </w:rPr>
            </w:pPr>
            <w:r>
              <w:rPr>
                <w:rFonts w:ascii="Arial Narrow" w:hAnsi="Arial Narrow"/>
                <w:color w:val="000000"/>
              </w:rPr>
              <w:t>母公司的控股子公司</w:t>
            </w:r>
          </w:p>
        </w:tc>
        <w:tc>
          <w:tcPr>
            <w:tcW w:w="642" w:type="pct"/>
            <w:vAlign w:val="center"/>
          </w:tcPr>
          <w:p w14:paraId="39ABDFF3">
            <w:pPr>
              <w:autoSpaceDE w:val="0"/>
              <w:autoSpaceDN w:val="0"/>
              <w:adjustRightInd w:val="0"/>
              <w:jc w:val="right"/>
              <w:rPr>
                <w:rFonts w:cs="Times New Roman"/>
              </w:rPr>
            </w:pPr>
          </w:p>
        </w:tc>
        <w:tc>
          <w:tcPr>
            <w:tcW w:w="482" w:type="pct"/>
            <w:vAlign w:val="center"/>
          </w:tcPr>
          <w:p w14:paraId="79917A89">
            <w:pPr>
              <w:autoSpaceDE w:val="0"/>
              <w:autoSpaceDN w:val="0"/>
              <w:adjustRightInd w:val="0"/>
              <w:jc w:val="right"/>
              <w:rPr>
                <w:rFonts w:cs="Times New Roman"/>
              </w:rPr>
            </w:pPr>
          </w:p>
        </w:tc>
        <w:tc>
          <w:tcPr>
            <w:tcW w:w="563" w:type="pct"/>
            <w:vAlign w:val="center"/>
          </w:tcPr>
          <w:p w14:paraId="3C2E2889">
            <w:pPr>
              <w:autoSpaceDE w:val="0"/>
              <w:autoSpaceDN w:val="0"/>
              <w:adjustRightInd w:val="0"/>
              <w:jc w:val="right"/>
              <w:rPr>
                <w:rFonts w:cs="Times New Roman"/>
              </w:rPr>
            </w:pPr>
          </w:p>
        </w:tc>
        <w:tc>
          <w:tcPr>
            <w:tcW w:w="1144" w:type="dxa"/>
            <w:vAlign w:val="center"/>
          </w:tcPr>
          <w:p w14:paraId="094629EA">
            <w:pPr>
              <w:jc w:val="right"/>
              <w:textAlignment w:val="center"/>
              <w:rPr>
                <w:rFonts w:cs="Times New Roman"/>
              </w:rPr>
            </w:pPr>
            <w:r>
              <w:rPr>
                <w:rFonts w:eastAsia="Arial Narrow" w:cs="Times New Roman"/>
                <w:color w:val="000000"/>
                <w:lang w:bidi="ar"/>
              </w:rPr>
              <w:t>3,615.76</w:t>
            </w:r>
          </w:p>
        </w:tc>
        <w:tc>
          <w:tcPr>
            <w:tcW w:w="1001" w:type="dxa"/>
            <w:vAlign w:val="center"/>
          </w:tcPr>
          <w:p w14:paraId="68F43B22">
            <w:pPr>
              <w:jc w:val="right"/>
              <w:rPr>
                <w:rFonts w:cs="Times New Roman"/>
              </w:rPr>
            </w:pPr>
          </w:p>
        </w:tc>
        <w:tc>
          <w:tcPr>
            <w:tcW w:w="1039" w:type="dxa"/>
            <w:vAlign w:val="center"/>
          </w:tcPr>
          <w:p w14:paraId="409A2BE8">
            <w:pPr>
              <w:jc w:val="right"/>
              <w:textAlignment w:val="center"/>
              <w:rPr>
                <w:rFonts w:cs="Times New Roman"/>
              </w:rPr>
            </w:pPr>
            <w:r>
              <w:rPr>
                <w:rFonts w:eastAsia="Arial Narrow" w:cs="Times New Roman"/>
                <w:color w:val="000000"/>
                <w:lang w:bidi="ar"/>
              </w:rPr>
              <w:t>3,615.76</w:t>
            </w:r>
          </w:p>
        </w:tc>
      </w:tr>
      <w:tr w14:paraId="58D37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79" w:type="pct"/>
            <w:vAlign w:val="center"/>
          </w:tcPr>
          <w:p w14:paraId="294696FB">
            <w:pPr>
              <w:autoSpaceDE w:val="0"/>
              <w:autoSpaceDN w:val="0"/>
              <w:adjustRightInd w:val="0"/>
            </w:pPr>
            <w:r>
              <w:rPr>
                <w:rFonts w:ascii="Arial Narrow" w:hAnsi="Arial Narrow"/>
                <w:color w:val="000000"/>
              </w:rPr>
              <w:t>咸阳际华投资发展有限公司</w:t>
            </w:r>
          </w:p>
        </w:tc>
        <w:tc>
          <w:tcPr>
            <w:tcW w:w="744" w:type="pct"/>
            <w:vAlign w:val="center"/>
          </w:tcPr>
          <w:p w14:paraId="3FCE64A7">
            <w:pPr>
              <w:autoSpaceDE w:val="0"/>
              <w:autoSpaceDN w:val="0"/>
              <w:adjustRightInd w:val="0"/>
              <w:rPr>
                <w:color w:val="000000" w:themeColor="text1"/>
                <w14:textFill>
                  <w14:solidFill>
                    <w14:schemeClr w14:val="tx1"/>
                  </w14:solidFill>
                </w14:textFill>
              </w:rPr>
            </w:pPr>
            <w:r>
              <w:rPr>
                <w:rFonts w:ascii="Arial Narrow" w:hAnsi="Arial Narrow"/>
                <w:color w:val="000000"/>
              </w:rPr>
              <w:t>母公司的控股子公司</w:t>
            </w:r>
          </w:p>
        </w:tc>
        <w:tc>
          <w:tcPr>
            <w:tcW w:w="642" w:type="pct"/>
            <w:vAlign w:val="center"/>
          </w:tcPr>
          <w:p w14:paraId="48F5471B">
            <w:pPr>
              <w:autoSpaceDE w:val="0"/>
              <w:autoSpaceDN w:val="0"/>
              <w:adjustRightInd w:val="0"/>
              <w:jc w:val="right"/>
              <w:rPr>
                <w:rFonts w:cs="Times New Roman"/>
              </w:rPr>
            </w:pPr>
          </w:p>
        </w:tc>
        <w:tc>
          <w:tcPr>
            <w:tcW w:w="482" w:type="pct"/>
            <w:vAlign w:val="center"/>
          </w:tcPr>
          <w:p w14:paraId="74228C49">
            <w:pPr>
              <w:autoSpaceDE w:val="0"/>
              <w:autoSpaceDN w:val="0"/>
              <w:adjustRightInd w:val="0"/>
              <w:jc w:val="right"/>
              <w:rPr>
                <w:rFonts w:cs="Times New Roman"/>
              </w:rPr>
            </w:pPr>
          </w:p>
        </w:tc>
        <w:tc>
          <w:tcPr>
            <w:tcW w:w="563" w:type="pct"/>
            <w:vAlign w:val="center"/>
          </w:tcPr>
          <w:p w14:paraId="1A14BAD1">
            <w:pPr>
              <w:autoSpaceDE w:val="0"/>
              <w:autoSpaceDN w:val="0"/>
              <w:adjustRightInd w:val="0"/>
              <w:jc w:val="right"/>
              <w:rPr>
                <w:rFonts w:cs="Times New Roman"/>
              </w:rPr>
            </w:pPr>
          </w:p>
        </w:tc>
        <w:tc>
          <w:tcPr>
            <w:tcW w:w="1144" w:type="dxa"/>
            <w:vAlign w:val="center"/>
          </w:tcPr>
          <w:p w14:paraId="3B7B47A4">
            <w:pPr>
              <w:jc w:val="right"/>
              <w:textAlignment w:val="center"/>
              <w:rPr>
                <w:rFonts w:cs="Times New Roman"/>
              </w:rPr>
            </w:pPr>
            <w:r>
              <w:rPr>
                <w:rFonts w:eastAsia="Arial Narrow" w:cs="Times New Roman"/>
                <w:color w:val="000000"/>
                <w:lang w:bidi="ar"/>
              </w:rPr>
              <w:t>350.00</w:t>
            </w:r>
          </w:p>
        </w:tc>
        <w:tc>
          <w:tcPr>
            <w:tcW w:w="1001" w:type="dxa"/>
            <w:vAlign w:val="center"/>
          </w:tcPr>
          <w:p w14:paraId="4E28A1AD">
            <w:pPr>
              <w:jc w:val="right"/>
              <w:rPr>
                <w:rFonts w:cs="Times New Roman"/>
              </w:rPr>
            </w:pPr>
          </w:p>
        </w:tc>
        <w:tc>
          <w:tcPr>
            <w:tcW w:w="1039" w:type="dxa"/>
            <w:vAlign w:val="center"/>
          </w:tcPr>
          <w:p w14:paraId="016F4E82">
            <w:pPr>
              <w:jc w:val="right"/>
              <w:textAlignment w:val="center"/>
              <w:rPr>
                <w:rFonts w:cs="Times New Roman"/>
              </w:rPr>
            </w:pPr>
            <w:r>
              <w:rPr>
                <w:rFonts w:eastAsia="Arial Narrow" w:cs="Times New Roman"/>
                <w:color w:val="000000"/>
                <w:lang w:bidi="ar"/>
              </w:rPr>
              <w:t>350.00</w:t>
            </w:r>
          </w:p>
        </w:tc>
      </w:tr>
      <w:tr w14:paraId="54B6B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79" w:type="pct"/>
            <w:vAlign w:val="center"/>
          </w:tcPr>
          <w:p w14:paraId="6C17781E">
            <w:pPr>
              <w:autoSpaceDE w:val="0"/>
              <w:autoSpaceDN w:val="0"/>
              <w:adjustRightInd w:val="0"/>
            </w:pPr>
            <w:r>
              <w:rPr>
                <w:rFonts w:ascii="Arial Narrow" w:hAnsi="Arial Narrow"/>
                <w:color w:val="000000"/>
              </w:rPr>
              <w:t>新兴际华集团财务有限公司</w:t>
            </w:r>
          </w:p>
        </w:tc>
        <w:tc>
          <w:tcPr>
            <w:tcW w:w="744" w:type="pct"/>
            <w:vAlign w:val="center"/>
          </w:tcPr>
          <w:p w14:paraId="239D73FB">
            <w:pPr>
              <w:autoSpaceDE w:val="0"/>
              <w:autoSpaceDN w:val="0"/>
              <w:adjustRightInd w:val="0"/>
              <w:rPr>
                <w:color w:val="000000" w:themeColor="text1"/>
                <w14:textFill>
                  <w14:solidFill>
                    <w14:schemeClr w14:val="tx1"/>
                  </w14:solidFill>
                </w14:textFill>
              </w:rPr>
            </w:pPr>
            <w:r>
              <w:rPr>
                <w:rFonts w:ascii="Arial Narrow" w:hAnsi="Arial Narrow"/>
                <w:color w:val="000000"/>
              </w:rPr>
              <w:t>母公司的全资子公司</w:t>
            </w:r>
          </w:p>
        </w:tc>
        <w:tc>
          <w:tcPr>
            <w:tcW w:w="642" w:type="pct"/>
            <w:vAlign w:val="center"/>
          </w:tcPr>
          <w:p w14:paraId="5AB545E4">
            <w:pPr>
              <w:autoSpaceDE w:val="0"/>
              <w:autoSpaceDN w:val="0"/>
              <w:adjustRightInd w:val="0"/>
              <w:jc w:val="right"/>
              <w:rPr>
                <w:rFonts w:cs="Times New Roman"/>
              </w:rPr>
            </w:pPr>
          </w:p>
        </w:tc>
        <w:tc>
          <w:tcPr>
            <w:tcW w:w="482" w:type="pct"/>
            <w:vAlign w:val="center"/>
          </w:tcPr>
          <w:p w14:paraId="3C05AD19">
            <w:pPr>
              <w:autoSpaceDE w:val="0"/>
              <w:autoSpaceDN w:val="0"/>
              <w:adjustRightInd w:val="0"/>
              <w:jc w:val="right"/>
              <w:rPr>
                <w:rFonts w:cs="Times New Roman"/>
              </w:rPr>
            </w:pPr>
          </w:p>
        </w:tc>
        <w:tc>
          <w:tcPr>
            <w:tcW w:w="563" w:type="pct"/>
            <w:vAlign w:val="center"/>
          </w:tcPr>
          <w:p w14:paraId="552EA401">
            <w:pPr>
              <w:autoSpaceDE w:val="0"/>
              <w:autoSpaceDN w:val="0"/>
              <w:adjustRightInd w:val="0"/>
              <w:jc w:val="right"/>
              <w:rPr>
                <w:rFonts w:cs="Times New Roman"/>
              </w:rPr>
            </w:pPr>
          </w:p>
        </w:tc>
        <w:tc>
          <w:tcPr>
            <w:tcW w:w="1144" w:type="dxa"/>
            <w:vAlign w:val="center"/>
          </w:tcPr>
          <w:p w14:paraId="76573601">
            <w:pPr>
              <w:jc w:val="right"/>
              <w:textAlignment w:val="center"/>
              <w:rPr>
                <w:rFonts w:cs="Times New Roman"/>
              </w:rPr>
            </w:pPr>
            <w:r>
              <w:rPr>
                <w:rFonts w:eastAsia="Arial Narrow" w:cs="Times New Roman"/>
                <w:color w:val="000000"/>
                <w:lang w:bidi="ar"/>
              </w:rPr>
              <w:t>62,900.00</w:t>
            </w:r>
          </w:p>
        </w:tc>
        <w:tc>
          <w:tcPr>
            <w:tcW w:w="1001" w:type="dxa"/>
            <w:vAlign w:val="center"/>
          </w:tcPr>
          <w:p w14:paraId="71F1327E">
            <w:pPr>
              <w:jc w:val="right"/>
              <w:textAlignment w:val="center"/>
              <w:rPr>
                <w:rFonts w:cs="Times New Roman"/>
              </w:rPr>
            </w:pPr>
            <w:r>
              <w:rPr>
                <w:rFonts w:eastAsia="Arial Narrow" w:cs="Times New Roman"/>
                <w:color w:val="000000"/>
                <w:lang w:bidi="ar"/>
              </w:rPr>
              <w:t>-12,400.00</w:t>
            </w:r>
          </w:p>
        </w:tc>
        <w:tc>
          <w:tcPr>
            <w:tcW w:w="1039" w:type="dxa"/>
            <w:vAlign w:val="center"/>
          </w:tcPr>
          <w:p w14:paraId="05761DD7">
            <w:pPr>
              <w:jc w:val="right"/>
              <w:textAlignment w:val="center"/>
              <w:rPr>
                <w:rFonts w:cs="Times New Roman"/>
              </w:rPr>
            </w:pPr>
            <w:r>
              <w:rPr>
                <w:rFonts w:eastAsia="Arial Narrow" w:cs="Times New Roman"/>
                <w:color w:val="000000"/>
                <w:lang w:bidi="ar"/>
              </w:rPr>
              <w:t>50,500.00</w:t>
            </w:r>
          </w:p>
        </w:tc>
      </w:tr>
      <w:tr w14:paraId="021E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79" w:type="pct"/>
            <w:vAlign w:val="center"/>
          </w:tcPr>
          <w:p w14:paraId="42B5CF04">
            <w:pPr>
              <w:autoSpaceDE w:val="0"/>
              <w:autoSpaceDN w:val="0"/>
              <w:adjustRightInd w:val="0"/>
            </w:pPr>
            <w:r>
              <w:rPr>
                <w:rFonts w:ascii="Arial Narrow" w:hAnsi="Arial Narrow"/>
                <w:color w:val="000000"/>
              </w:rPr>
              <w:t>新兴际华集团有限公司</w:t>
            </w:r>
          </w:p>
        </w:tc>
        <w:tc>
          <w:tcPr>
            <w:tcW w:w="744" w:type="pct"/>
            <w:vAlign w:val="center"/>
          </w:tcPr>
          <w:p w14:paraId="3A8CED4C">
            <w:pPr>
              <w:autoSpaceDE w:val="0"/>
              <w:autoSpaceDN w:val="0"/>
              <w:adjustRightInd w:val="0"/>
              <w:rPr>
                <w:color w:val="000000" w:themeColor="text1"/>
                <w14:textFill>
                  <w14:solidFill>
                    <w14:schemeClr w14:val="tx1"/>
                  </w14:solidFill>
                </w14:textFill>
              </w:rPr>
            </w:pPr>
            <w:r>
              <w:rPr>
                <w:rFonts w:ascii="Arial Narrow" w:hAnsi="Arial Narrow"/>
                <w:color w:val="000000"/>
              </w:rPr>
              <w:t>母公司</w:t>
            </w:r>
          </w:p>
        </w:tc>
        <w:tc>
          <w:tcPr>
            <w:tcW w:w="642" w:type="pct"/>
            <w:vAlign w:val="center"/>
          </w:tcPr>
          <w:p w14:paraId="2635A293">
            <w:pPr>
              <w:autoSpaceDE w:val="0"/>
              <w:autoSpaceDN w:val="0"/>
              <w:adjustRightInd w:val="0"/>
              <w:jc w:val="right"/>
              <w:rPr>
                <w:rFonts w:cs="Times New Roman"/>
              </w:rPr>
            </w:pPr>
          </w:p>
        </w:tc>
        <w:tc>
          <w:tcPr>
            <w:tcW w:w="482" w:type="pct"/>
            <w:vAlign w:val="center"/>
          </w:tcPr>
          <w:p w14:paraId="6177A4E1">
            <w:pPr>
              <w:autoSpaceDE w:val="0"/>
              <w:autoSpaceDN w:val="0"/>
              <w:adjustRightInd w:val="0"/>
              <w:jc w:val="right"/>
              <w:rPr>
                <w:rFonts w:cs="Times New Roman"/>
              </w:rPr>
            </w:pPr>
          </w:p>
        </w:tc>
        <w:tc>
          <w:tcPr>
            <w:tcW w:w="563" w:type="pct"/>
            <w:vAlign w:val="center"/>
          </w:tcPr>
          <w:p w14:paraId="22064965">
            <w:pPr>
              <w:autoSpaceDE w:val="0"/>
              <w:autoSpaceDN w:val="0"/>
              <w:adjustRightInd w:val="0"/>
              <w:jc w:val="right"/>
              <w:rPr>
                <w:rFonts w:cs="Times New Roman"/>
              </w:rPr>
            </w:pPr>
          </w:p>
        </w:tc>
        <w:tc>
          <w:tcPr>
            <w:tcW w:w="1144" w:type="dxa"/>
            <w:vAlign w:val="center"/>
          </w:tcPr>
          <w:p w14:paraId="2228313F">
            <w:pPr>
              <w:jc w:val="right"/>
              <w:textAlignment w:val="center"/>
              <w:rPr>
                <w:rFonts w:cs="Times New Roman"/>
              </w:rPr>
            </w:pPr>
            <w:r>
              <w:rPr>
                <w:rFonts w:eastAsia="Arial Narrow" w:cs="Times New Roman"/>
                <w:color w:val="000000"/>
                <w:lang w:bidi="ar"/>
              </w:rPr>
              <w:t>21,500.00</w:t>
            </w:r>
          </w:p>
        </w:tc>
        <w:tc>
          <w:tcPr>
            <w:tcW w:w="1001" w:type="dxa"/>
            <w:vAlign w:val="center"/>
          </w:tcPr>
          <w:p w14:paraId="4F92E9AF">
            <w:pPr>
              <w:jc w:val="right"/>
              <w:rPr>
                <w:rFonts w:cs="Times New Roman"/>
              </w:rPr>
            </w:pPr>
          </w:p>
        </w:tc>
        <w:tc>
          <w:tcPr>
            <w:tcW w:w="1039" w:type="dxa"/>
            <w:vAlign w:val="center"/>
          </w:tcPr>
          <w:p w14:paraId="05786799">
            <w:pPr>
              <w:jc w:val="right"/>
              <w:textAlignment w:val="center"/>
              <w:rPr>
                <w:rFonts w:cs="Times New Roman"/>
              </w:rPr>
            </w:pPr>
            <w:r>
              <w:rPr>
                <w:rFonts w:eastAsia="Arial Narrow" w:cs="Times New Roman"/>
                <w:color w:val="000000"/>
                <w:lang w:bidi="ar"/>
              </w:rPr>
              <w:t>21,500.00</w:t>
            </w:r>
          </w:p>
        </w:tc>
      </w:tr>
      <w:tr w14:paraId="3DD1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79" w:type="pct"/>
            <w:vAlign w:val="center"/>
          </w:tcPr>
          <w:p w14:paraId="47F88DF8">
            <w:pPr>
              <w:autoSpaceDE w:val="0"/>
              <w:autoSpaceDN w:val="0"/>
              <w:adjustRightInd w:val="0"/>
            </w:pPr>
            <w:r>
              <w:rPr>
                <w:rFonts w:ascii="Arial Narrow" w:hAnsi="Arial Narrow"/>
                <w:color w:val="000000"/>
              </w:rPr>
              <w:t>新兴际华资产经营有限公司</w:t>
            </w:r>
          </w:p>
        </w:tc>
        <w:tc>
          <w:tcPr>
            <w:tcW w:w="744" w:type="pct"/>
            <w:vAlign w:val="center"/>
          </w:tcPr>
          <w:p w14:paraId="1B4E736D">
            <w:pPr>
              <w:autoSpaceDE w:val="0"/>
              <w:autoSpaceDN w:val="0"/>
              <w:adjustRightInd w:val="0"/>
              <w:rPr>
                <w:color w:val="000000" w:themeColor="text1"/>
                <w14:textFill>
                  <w14:solidFill>
                    <w14:schemeClr w14:val="tx1"/>
                  </w14:solidFill>
                </w14:textFill>
              </w:rPr>
            </w:pPr>
            <w:r>
              <w:rPr>
                <w:rFonts w:ascii="Arial Narrow" w:hAnsi="Arial Narrow"/>
                <w:color w:val="000000"/>
              </w:rPr>
              <w:t>母公司的全资子公司</w:t>
            </w:r>
          </w:p>
        </w:tc>
        <w:tc>
          <w:tcPr>
            <w:tcW w:w="642" w:type="pct"/>
            <w:vAlign w:val="center"/>
          </w:tcPr>
          <w:p w14:paraId="13277752">
            <w:pPr>
              <w:autoSpaceDE w:val="0"/>
              <w:autoSpaceDN w:val="0"/>
              <w:adjustRightInd w:val="0"/>
              <w:jc w:val="right"/>
              <w:rPr>
                <w:rFonts w:cs="Times New Roman"/>
              </w:rPr>
            </w:pPr>
          </w:p>
        </w:tc>
        <w:tc>
          <w:tcPr>
            <w:tcW w:w="482" w:type="pct"/>
            <w:vAlign w:val="center"/>
          </w:tcPr>
          <w:p w14:paraId="2FC07179">
            <w:pPr>
              <w:autoSpaceDE w:val="0"/>
              <w:autoSpaceDN w:val="0"/>
              <w:adjustRightInd w:val="0"/>
              <w:jc w:val="right"/>
              <w:rPr>
                <w:rFonts w:cs="Times New Roman"/>
              </w:rPr>
            </w:pPr>
          </w:p>
        </w:tc>
        <w:tc>
          <w:tcPr>
            <w:tcW w:w="563" w:type="pct"/>
            <w:vAlign w:val="center"/>
          </w:tcPr>
          <w:p w14:paraId="196BBAE4">
            <w:pPr>
              <w:autoSpaceDE w:val="0"/>
              <w:autoSpaceDN w:val="0"/>
              <w:adjustRightInd w:val="0"/>
              <w:jc w:val="right"/>
              <w:rPr>
                <w:rFonts w:cs="Times New Roman"/>
              </w:rPr>
            </w:pPr>
          </w:p>
        </w:tc>
        <w:tc>
          <w:tcPr>
            <w:tcW w:w="1144" w:type="dxa"/>
            <w:vAlign w:val="center"/>
          </w:tcPr>
          <w:p w14:paraId="58F4E7CB">
            <w:pPr>
              <w:jc w:val="right"/>
              <w:textAlignment w:val="center"/>
              <w:rPr>
                <w:rFonts w:cs="Times New Roman"/>
              </w:rPr>
            </w:pPr>
            <w:r>
              <w:rPr>
                <w:rFonts w:eastAsia="Arial Narrow" w:cs="Times New Roman"/>
                <w:color w:val="000000"/>
                <w:lang w:bidi="ar"/>
              </w:rPr>
              <w:t>1,500.00</w:t>
            </w:r>
          </w:p>
        </w:tc>
        <w:tc>
          <w:tcPr>
            <w:tcW w:w="1001" w:type="dxa"/>
            <w:vAlign w:val="center"/>
          </w:tcPr>
          <w:p w14:paraId="202046C8">
            <w:pPr>
              <w:jc w:val="right"/>
              <w:textAlignment w:val="center"/>
              <w:rPr>
                <w:rFonts w:cs="Times New Roman"/>
              </w:rPr>
            </w:pPr>
            <w:r>
              <w:rPr>
                <w:rFonts w:eastAsia="Arial Narrow" w:cs="Times New Roman"/>
                <w:color w:val="000000"/>
                <w:lang w:bidi="ar"/>
              </w:rPr>
              <w:t>521.00</w:t>
            </w:r>
          </w:p>
        </w:tc>
        <w:tc>
          <w:tcPr>
            <w:tcW w:w="1039" w:type="dxa"/>
            <w:vAlign w:val="center"/>
          </w:tcPr>
          <w:p w14:paraId="0F0F2595">
            <w:pPr>
              <w:jc w:val="right"/>
              <w:textAlignment w:val="center"/>
              <w:rPr>
                <w:rFonts w:cs="Times New Roman"/>
              </w:rPr>
            </w:pPr>
            <w:r>
              <w:rPr>
                <w:rFonts w:eastAsia="Arial Narrow" w:cs="Times New Roman"/>
                <w:color w:val="000000"/>
                <w:lang w:bidi="ar"/>
              </w:rPr>
              <w:t>2,021.00</w:t>
            </w:r>
          </w:p>
        </w:tc>
      </w:tr>
      <w:tr w14:paraId="0F0E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523" w:type="pct"/>
            <w:gridSpan w:val="2"/>
            <w:vAlign w:val="center"/>
          </w:tcPr>
          <w:p w14:paraId="68865A1D">
            <w:pPr>
              <w:pStyle w:val="62"/>
              <w:autoSpaceDE w:val="0"/>
              <w:autoSpaceDN w:val="0"/>
              <w:adjustRightInd w:val="0"/>
              <w:jc w:val="center"/>
              <w:rPr>
                <w:rFonts w:ascii="宋体" w:hAnsi="宋体"/>
                <w:color w:val="000000" w:themeColor="text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合计</w:t>
            </w:r>
          </w:p>
        </w:tc>
        <w:tc>
          <w:tcPr>
            <w:tcW w:w="642" w:type="pct"/>
            <w:tcBorders>
              <w:bottom w:val="nil"/>
            </w:tcBorders>
            <w:vAlign w:val="center"/>
          </w:tcPr>
          <w:p w14:paraId="34CF7E7D">
            <w:pPr>
              <w:autoSpaceDE w:val="0"/>
              <w:autoSpaceDN w:val="0"/>
              <w:adjustRightInd w:val="0"/>
              <w:jc w:val="right"/>
              <w:rPr>
                <w:rFonts w:cs="Times New Roman"/>
              </w:rPr>
            </w:pPr>
          </w:p>
        </w:tc>
        <w:tc>
          <w:tcPr>
            <w:tcW w:w="482" w:type="pct"/>
            <w:tcBorders>
              <w:bottom w:val="nil"/>
            </w:tcBorders>
            <w:vAlign w:val="center"/>
          </w:tcPr>
          <w:p w14:paraId="1696F76A">
            <w:pPr>
              <w:autoSpaceDE w:val="0"/>
              <w:autoSpaceDN w:val="0"/>
              <w:adjustRightInd w:val="0"/>
              <w:jc w:val="right"/>
              <w:rPr>
                <w:rFonts w:cs="Times New Roman"/>
              </w:rPr>
            </w:pPr>
          </w:p>
        </w:tc>
        <w:tc>
          <w:tcPr>
            <w:tcW w:w="563" w:type="pct"/>
            <w:tcBorders>
              <w:bottom w:val="nil"/>
            </w:tcBorders>
            <w:vAlign w:val="center"/>
          </w:tcPr>
          <w:p w14:paraId="0E7A4267">
            <w:pPr>
              <w:jc w:val="right"/>
              <w:rPr>
                <w:rFonts w:cs="Times New Roman"/>
              </w:rPr>
            </w:pPr>
          </w:p>
        </w:tc>
        <w:tc>
          <w:tcPr>
            <w:tcW w:w="1144" w:type="dxa"/>
            <w:tcBorders>
              <w:bottom w:val="nil"/>
            </w:tcBorders>
            <w:vAlign w:val="center"/>
          </w:tcPr>
          <w:p w14:paraId="39363D7F">
            <w:pPr>
              <w:jc w:val="right"/>
              <w:textAlignment w:val="center"/>
              <w:rPr>
                <w:rFonts w:cs="Times New Roman"/>
              </w:rPr>
            </w:pPr>
            <w:r>
              <w:rPr>
                <w:rFonts w:eastAsia="Arial Narrow" w:cs="Times New Roman"/>
                <w:color w:val="000000"/>
                <w:lang w:bidi="ar"/>
              </w:rPr>
              <w:t>89,865.76</w:t>
            </w:r>
          </w:p>
        </w:tc>
        <w:tc>
          <w:tcPr>
            <w:tcW w:w="1001" w:type="dxa"/>
            <w:tcBorders>
              <w:bottom w:val="nil"/>
            </w:tcBorders>
            <w:vAlign w:val="center"/>
          </w:tcPr>
          <w:p w14:paraId="77DA654E">
            <w:pPr>
              <w:jc w:val="right"/>
              <w:textAlignment w:val="center"/>
              <w:rPr>
                <w:rFonts w:cs="Times New Roman"/>
              </w:rPr>
            </w:pPr>
            <w:r>
              <w:rPr>
                <w:rFonts w:eastAsia="Arial Narrow" w:cs="Times New Roman"/>
                <w:color w:val="000000"/>
                <w:lang w:bidi="ar"/>
              </w:rPr>
              <w:t>-11,879.00</w:t>
            </w:r>
          </w:p>
        </w:tc>
        <w:tc>
          <w:tcPr>
            <w:tcW w:w="1039" w:type="dxa"/>
            <w:tcBorders>
              <w:bottom w:val="nil"/>
            </w:tcBorders>
            <w:vAlign w:val="center"/>
          </w:tcPr>
          <w:p w14:paraId="3C75EA13">
            <w:pPr>
              <w:jc w:val="right"/>
              <w:textAlignment w:val="center"/>
              <w:rPr>
                <w:rFonts w:cs="Times New Roman"/>
              </w:rPr>
            </w:pPr>
            <w:r>
              <w:rPr>
                <w:rFonts w:eastAsia="Arial Narrow" w:cs="Times New Roman"/>
                <w:color w:val="000000"/>
                <w:lang w:bidi="ar"/>
              </w:rPr>
              <w:t>77,986.76</w:t>
            </w:r>
          </w:p>
        </w:tc>
      </w:tr>
      <w:tr w14:paraId="1A5E8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c>
          <w:tcPr>
            <w:tcW w:w="1523" w:type="pct"/>
            <w:gridSpan w:val="2"/>
            <w:tcBorders>
              <w:top w:val="single" w:color="auto" w:sz="4" w:space="0"/>
              <w:left w:val="single" w:color="auto" w:sz="4" w:space="0"/>
              <w:bottom w:val="single" w:color="auto" w:sz="4" w:space="0"/>
              <w:right w:val="single" w:color="auto" w:sz="4" w:space="0"/>
            </w:tcBorders>
            <w:vAlign w:val="center"/>
          </w:tcPr>
          <w:p w14:paraId="0AC93710">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关联债权债务形成原因</w:t>
            </w:r>
          </w:p>
        </w:tc>
        <w:tc>
          <w:tcPr>
            <w:tcW w:w="3477" w:type="pct"/>
            <w:gridSpan w:val="6"/>
            <w:tcBorders>
              <w:top w:val="single" w:color="auto" w:sz="4" w:space="0"/>
              <w:left w:val="single" w:color="auto" w:sz="4" w:space="0"/>
              <w:bottom w:val="single" w:color="auto" w:sz="4" w:space="0"/>
              <w:right w:val="single" w:color="auto" w:sz="4" w:space="0"/>
            </w:tcBorders>
            <w:vAlign w:val="center"/>
          </w:tcPr>
          <w:p w14:paraId="45DA0193">
            <w:pPr>
              <w:pStyle w:val="55"/>
            </w:pPr>
            <w:r>
              <w:rPr>
                <w:rFonts w:hint="eastAsia"/>
              </w:rPr>
              <w:t>公司子公司向少数股东或关联方拆入的生产经营借款；公司向母公司及财务公司取得借款。</w:t>
            </w:r>
          </w:p>
        </w:tc>
      </w:tr>
      <w:tr w14:paraId="551F4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c>
          <w:tcPr>
            <w:tcW w:w="1523" w:type="pct"/>
            <w:gridSpan w:val="2"/>
            <w:tcBorders>
              <w:top w:val="single" w:color="auto" w:sz="4" w:space="0"/>
              <w:left w:val="single" w:color="auto" w:sz="4" w:space="0"/>
              <w:bottom w:val="single" w:color="auto" w:sz="4" w:space="0"/>
              <w:right w:val="single" w:color="auto" w:sz="4" w:space="0"/>
            </w:tcBorders>
            <w:vAlign w:val="center"/>
          </w:tcPr>
          <w:p w14:paraId="1AF9512F">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关联债权债务对公司经营成果及财务状况的影响</w:t>
            </w:r>
          </w:p>
        </w:tc>
        <w:tc>
          <w:tcPr>
            <w:tcW w:w="3477" w:type="pct"/>
            <w:gridSpan w:val="6"/>
            <w:tcBorders>
              <w:top w:val="single" w:color="auto" w:sz="4" w:space="0"/>
              <w:left w:val="single" w:color="auto" w:sz="4" w:space="0"/>
              <w:bottom w:val="single" w:color="auto" w:sz="4" w:space="0"/>
              <w:right w:val="single" w:color="auto" w:sz="4" w:space="0"/>
            </w:tcBorders>
            <w:vAlign w:val="center"/>
          </w:tcPr>
          <w:p w14:paraId="7D9C06D1">
            <w:pPr>
              <w:pStyle w:val="55"/>
            </w:pPr>
            <w:r>
              <w:rPr>
                <w:rFonts w:hint="eastAsia"/>
              </w:rPr>
              <w:t>根据双方协议按期偿还。</w:t>
            </w:r>
          </w:p>
        </w:tc>
      </w:tr>
    </w:tbl>
    <w:p w14:paraId="2E9B3F9C">
      <w:pPr>
        <w:rPr>
          <w:color w:val="000000" w:themeColor="text1"/>
          <w14:textFill>
            <w14:solidFill>
              <w14:schemeClr w14:val="tx1"/>
            </w14:solidFill>
          </w14:textFill>
        </w:rPr>
      </w:pPr>
    </w:p>
    <w:p w14:paraId="03DC22D2">
      <w:pPr>
        <w:pStyle w:val="4"/>
        <w:numPr>
          <w:ilvl w:val="2"/>
          <w:numId w:val="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公司与存在关联关系的财务公司、公司控股财务公司与关联方之间的金融业务</w:t>
      </w:r>
    </w:p>
    <w:sdt>
      <w:sdtPr>
        <w:rPr>
          <w:color w:val="000000" w:themeColor="text1"/>
          <w14:textFill>
            <w14:solidFill>
              <w14:schemeClr w14:val="tx1"/>
            </w14:solidFill>
          </w14:textFill>
        </w:rPr>
        <w:alias w:val="是否适用：公司与存在关联关系的财务公司、公司控股财务公司与关联方之间的金融业务 [双击切换]"/>
        <w:tag w:val="_GBC_918ef76103ad41b4a79075b59fdb8bf4"/>
        <w:id w:val="147452748"/>
        <w:lock w:val="contentLocked"/>
        <w:placeholder>
          <w:docPart w:val="{d8014d7a-cba5-4a66-9d59-c514dac73ae3}"/>
        </w:placeholder>
      </w:sdtPr>
      <w:sdtEndPr>
        <w:rPr>
          <w:color w:val="000000" w:themeColor="text1"/>
          <w14:textFill>
            <w14:solidFill>
              <w14:schemeClr w14:val="tx1"/>
            </w14:solidFill>
          </w14:textFill>
        </w:rPr>
      </w:sdtEndPr>
      <w:sdtContent>
        <w:p w14:paraId="4FF9BBD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B88F59A">
      <w:pPr>
        <w:pStyle w:val="58"/>
        <w:numPr>
          <w:ilvl w:val="0"/>
          <w:numId w:val="21"/>
        </w:numPr>
        <w:rPr>
          <w:rFonts w:ascii="宋体" w:hAnsi="宋体"/>
          <w:color w:val="000000" w:themeColor="text1"/>
          <w14:textFill>
            <w14:solidFill>
              <w14:schemeClr w14:val="tx1"/>
            </w14:solidFill>
          </w14:textFill>
        </w:rPr>
      </w:pPr>
      <w:bookmarkStart w:id="58" w:name="_Hlk106875230"/>
      <w:r>
        <w:rPr>
          <w:rFonts w:hint="eastAsia" w:ascii="宋体" w:hAnsi="宋体"/>
          <w:color w:val="000000" w:themeColor="text1"/>
          <w14:textFill>
            <w14:solidFill>
              <w14:schemeClr w14:val="tx1"/>
            </w14:solidFill>
          </w14:textFill>
        </w:rPr>
        <w:t>存款业务</w:t>
      </w:r>
    </w:p>
    <w:sdt>
      <w:sdtPr>
        <w:rPr>
          <w:color w:val="000000" w:themeColor="text1"/>
          <w14:textFill>
            <w14:solidFill>
              <w14:schemeClr w14:val="tx1"/>
            </w14:solidFill>
          </w14:textFill>
        </w:rPr>
        <w:alias w:val="是否适用：存款业务[双击切换]"/>
        <w:tag w:val="_GBC_f9224e59e79e4e7f90861dc9c88bbaf5"/>
        <w:id w:val="147471070"/>
        <w:placeholder>
          <w:docPart w:val="{d8014d7a-cba5-4a66-9d59-c514dac73ae3}"/>
        </w:placeholder>
      </w:sdtPr>
      <w:sdtEndPr>
        <w:rPr>
          <w:color w:val="000000" w:themeColor="text1"/>
          <w14:textFill>
            <w14:solidFill>
              <w14:schemeClr w14:val="tx1"/>
            </w14:solidFill>
          </w14:textFill>
        </w:rPr>
      </w:sdtEndPr>
      <w:sdtContent>
        <w:p w14:paraId="760C41E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167D92D">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存款业务情况"/>
          <w:tag w:val="_GBC_9ecd65a8331e452c98309d736d6493e0"/>
          <w:id w:val="147467844"/>
          <w:placeholder>
            <w:docPart w:val="{d8014d7a-cba5-4a66-9d59-c514dac73ae3}"/>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万元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存款业务情况"/>
          <w:tag w:val="_GBC_28238db17bf94957b134a53203001b6c"/>
          <w:id w:val="147470544"/>
          <w:placeholder>
            <w:docPart w:val="{d8014d7a-cba5-4a66-9d59-c514dac73ae3}"/>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837"/>
        <w:gridCol w:w="935"/>
        <w:gridCol w:w="1371"/>
        <w:gridCol w:w="1161"/>
        <w:gridCol w:w="1319"/>
        <w:gridCol w:w="1319"/>
        <w:gridCol w:w="1161"/>
      </w:tblGrid>
      <w:tr w14:paraId="1336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fba45c0a60d4a5eaefab3b7e513ac6f"/>
            <w:id w:val="147473285"/>
          </w:sdtPr>
          <w:sdtContent>
            <w:tc>
              <w:tcPr>
                <w:tcW w:w="617" w:type="pct"/>
                <w:vMerge w:val="restart"/>
                <w:vAlign w:val="center"/>
              </w:tcPr>
              <w:p w14:paraId="55D7E1DF">
                <w:pPr>
                  <w:widowControl w:val="0"/>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关联方</w:t>
                </w:r>
              </w:p>
            </w:tc>
          </w:sdtContent>
        </w:sdt>
        <w:sdt>
          <w:sdtPr>
            <w:tag w:val="_PLD_e0c38f9a2c974c4fbf8f3797e658b580"/>
            <w:id w:val="147479209"/>
          </w:sdtPr>
          <w:sdtContent>
            <w:tc>
              <w:tcPr>
                <w:tcW w:w="557" w:type="pct"/>
                <w:vMerge w:val="restart"/>
                <w:vAlign w:val="center"/>
              </w:tcPr>
              <w:p w14:paraId="756F343D">
                <w:pPr>
                  <w:widowControl w:val="0"/>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关联关系</w:t>
                </w:r>
              </w:p>
            </w:tc>
          </w:sdtContent>
        </w:sdt>
        <w:sdt>
          <w:sdtPr>
            <w:tag w:val="_PLD_98e3b28dc1a04a5988e28b76ce9f4d2f"/>
            <w:id w:val="147459201"/>
          </w:sdtPr>
          <w:sdtContent>
            <w:tc>
              <w:tcPr>
                <w:tcW w:w="611" w:type="pct"/>
                <w:vMerge w:val="restart"/>
                <w:vAlign w:val="center"/>
              </w:tcPr>
              <w:p w14:paraId="0C6A4EE7">
                <w:pPr>
                  <w:widowControl w:val="0"/>
                  <w:autoSpaceDE w:val="0"/>
                  <w:autoSpaceDN w:val="0"/>
                  <w:adjustRightInd w:val="0"/>
                  <w:jc w:val="center"/>
                  <w:rPr>
                    <w:color w:val="000000" w:themeColor="text1"/>
                    <w14:textFill>
                      <w14:solidFill>
                        <w14:schemeClr w14:val="tx1"/>
                      </w14:solidFill>
                    </w14:textFill>
                  </w:rPr>
                </w:pPr>
                <w:r>
                  <w:rPr>
                    <w:color w:val="000000" w:themeColor="text1"/>
                    <w14:textFill>
                      <w14:solidFill>
                        <w14:schemeClr w14:val="tx1"/>
                      </w14:solidFill>
                    </w14:textFill>
                  </w:rPr>
                  <w:t>每日最高存款限额</w:t>
                </w:r>
              </w:p>
            </w:tc>
          </w:sdtContent>
        </w:sdt>
        <w:sdt>
          <w:sdtPr>
            <w:tag w:val="_PLD_53344796359b4d568d3a4496aae806b2"/>
            <w:id w:val="147467789"/>
          </w:sdtPr>
          <w:sdtContent>
            <w:tc>
              <w:tcPr>
                <w:tcW w:w="437" w:type="pct"/>
                <w:vMerge w:val="restart"/>
                <w:vAlign w:val="center"/>
              </w:tcPr>
              <w:p w14:paraId="3F62EAB1">
                <w:pPr>
                  <w:widowControl w:val="0"/>
                  <w:autoSpaceDE w:val="0"/>
                  <w:autoSpaceDN w:val="0"/>
                  <w:adjustRightInd w:val="0"/>
                  <w:jc w:val="center"/>
                  <w:rPr>
                    <w:color w:val="000000" w:themeColor="text1"/>
                    <w14:textFill>
                      <w14:solidFill>
                        <w14:schemeClr w14:val="tx1"/>
                      </w14:solidFill>
                    </w14:textFill>
                  </w:rPr>
                </w:pPr>
                <w:r>
                  <w:rPr>
                    <w:color w:val="000000" w:themeColor="text1"/>
                    <w14:textFill>
                      <w14:solidFill>
                        <w14:schemeClr w14:val="tx1"/>
                      </w14:solidFill>
                    </w14:textFill>
                  </w:rPr>
                  <w:t>存款利率范围</w:t>
                </w:r>
              </w:p>
            </w:tc>
          </w:sdtContent>
        </w:sdt>
        <w:sdt>
          <w:sdtPr>
            <w:tag w:val="_PLD_6cab16c6c91b47ceb56c93e75218443e"/>
            <w:id w:val="147475364"/>
          </w:sdtPr>
          <w:sdtContent>
            <w:tc>
              <w:tcPr>
                <w:tcW w:w="628" w:type="pct"/>
                <w:vMerge w:val="restart"/>
                <w:vAlign w:val="center"/>
              </w:tcPr>
              <w:p w14:paraId="7C445F74">
                <w:pPr>
                  <w:widowControl w:val="0"/>
                  <w:autoSpaceDE w:val="0"/>
                  <w:autoSpaceDN w:val="0"/>
                  <w:adjustRightInd w:val="0"/>
                  <w:jc w:val="center"/>
                  <w:rPr>
                    <w:color w:val="000000" w:themeColor="text1"/>
                    <w14:textFill>
                      <w14:solidFill>
                        <w14:schemeClr w14:val="tx1"/>
                      </w14:solidFill>
                    </w14:textFill>
                  </w:rPr>
                </w:pPr>
                <w:r>
                  <w:rPr>
                    <w:color w:val="000000" w:themeColor="text1"/>
                    <w14:textFill>
                      <w14:solidFill>
                        <w14:schemeClr w14:val="tx1"/>
                      </w14:solidFill>
                    </w14:textFill>
                  </w:rPr>
                  <w:t>期初余额</w:t>
                </w:r>
              </w:p>
            </w:tc>
          </w:sdtContent>
        </w:sdt>
        <w:sdt>
          <w:sdtPr>
            <w:tag w:val="_PLD_81041006ec3648d191df952d3dd35ca2"/>
            <w:id w:val="147453856"/>
          </w:sdtPr>
          <w:sdtContent>
            <w:tc>
              <w:tcPr>
                <w:tcW w:w="1499" w:type="pct"/>
                <w:gridSpan w:val="2"/>
                <w:vAlign w:val="center"/>
              </w:tcPr>
              <w:p w14:paraId="29728E83">
                <w:pPr>
                  <w:widowControl w:val="0"/>
                  <w:autoSpaceDE w:val="0"/>
                  <w:autoSpaceDN w:val="0"/>
                  <w:adjustRightInd w:val="0"/>
                  <w:jc w:val="center"/>
                  <w:rPr>
                    <w:color w:val="000000" w:themeColor="text1"/>
                    <w14:textFill>
                      <w14:solidFill>
                        <w14:schemeClr w14:val="tx1"/>
                      </w14:solidFill>
                    </w14:textFill>
                  </w:rPr>
                </w:pPr>
                <w:r>
                  <w:rPr>
                    <w:color w:val="000000" w:themeColor="text1"/>
                    <w14:textFill>
                      <w14:solidFill>
                        <w14:schemeClr w14:val="tx1"/>
                      </w14:solidFill>
                    </w14:textFill>
                  </w:rPr>
                  <w:t>本期发生额</w:t>
                </w:r>
              </w:p>
            </w:tc>
          </w:sdtContent>
        </w:sdt>
        <w:sdt>
          <w:sdtPr>
            <w:tag w:val="_PLD_aa27139c32114925a8a34de1276d74de"/>
            <w:id w:val="147459899"/>
          </w:sdtPr>
          <w:sdtContent>
            <w:tc>
              <w:tcPr>
                <w:tcW w:w="651" w:type="pct"/>
                <w:vMerge w:val="restart"/>
                <w:vAlign w:val="center"/>
              </w:tcPr>
              <w:p w14:paraId="6AA905BA">
                <w:pPr>
                  <w:widowControl w:val="0"/>
                  <w:autoSpaceDE w:val="0"/>
                  <w:autoSpaceDN w:val="0"/>
                  <w:adjustRightInd w:val="0"/>
                  <w:jc w:val="center"/>
                  <w:rPr>
                    <w:color w:val="000000" w:themeColor="text1"/>
                    <w14:textFill>
                      <w14:solidFill>
                        <w14:schemeClr w14:val="tx1"/>
                      </w14:solidFill>
                    </w14:textFill>
                  </w:rPr>
                </w:pPr>
                <w:r>
                  <w:rPr>
                    <w:color w:val="000000" w:themeColor="text1"/>
                    <w14:textFill>
                      <w14:solidFill>
                        <w14:schemeClr w14:val="tx1"/>
                      </w14:solidFill>
                    </w14:textFill>
                  </w:rPr>
                  <w:t>期末余额</w:t>
                </w:r>
              </w:p>
            </w:tc>
          </w:sdtContent>
        </w:sdt>
      </w:tr>
      <w:tr w14:paraId="078E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vMerge w:val="continue"/>
            <w:vAlign w:val="center"/>
          </w:tcPr>
          <w:p w14:paraId="64CBD699">
            <w:pPr>
              <w:widowControl w:val="0"/>
              <w:autoSpaceDE w:val="0"/>
              <w:autoSpaceDN w:val="0"/>
              <w:adjustRightInd w:val="0"/>
              <w:jc w:val="center"/>
              <w:rPr>
                <w:color w:val="000000" w:themeColor="text1"/>
                <w14:textFill>
                  <w14:solidFill>
                    <w14:schemeClr w14:val="tx1"/>
                  </w14:solidFill>
                </w14:textFill>
              </w:rPr>
            </w:pPr>
          </w:p>
        </w:tc>
        <w:tc>
          <w:tcPr>
            <w:tcW w:w="557" w:type="pct"/>
            <w:vMerge w:val="continue"/>
            <w:vAlign w:val="center"/>
          </w:tcPr>
          <w:p w14:paraId="1A3CB5BB">
            <w:pPr>
              <w:widowControl w:val="0"/>
              <w:autoSpaceDE w:val="0"/>
              <w:autoSpaceDN w:val="0"/>
              <w:adjustRightInd w:val="0"/>
              <w:jc w:val="center"/>
              <w:rPr>
                <w:color w:val="000000" w:themeColor="text1"/>
                <w14:textFill>
                  <w14:solidFill>
                    <w14:schemeClr w14:val="tx1"/>
                  </w14:solidFill>
                </w14:textFill>
              </w:rPr>
            </w:pPr>
          </w:p>
        </w:tc>
        <w:tc>
          <w:tcPr>
            <w:tcW w:w="611" w:type="pct"/>
            <w:vMerge w:val="continue"/>
            <w:vAlign w:val="center"/>
          </w:tcPr>
          <w:p w14:paraId="09FABE5F">
            <w:pPr>
              <w:widowControl w:val="0"/>
              <w:autoSpaceDE w:val="0"/>
              <w:autoSpaceDN w:val="0"/>
              <w:adjustRightInd w:val="0"/>
              <w:jc w:val="center"/>
              <w:rPr>
                <w:color w:val="000000" w:themeColor="text1"/>
                <w14:textFill>
                  <w14:solidFill>
                    <w14:schemeClr w14:val="tx1"/>
                  </w14:solidFill>
                </w14:textFill>
              </w:rPr>
            </w:pPr>
          </w:p>
        </w:tc>
        <w:tc>
          <w:tcPr>
            <w:tcW w:w="437" w:type="pct"/>
            <w:vMerge w:val="continue"/>
            <w:vAlign w:val="center"/>
          </w:tcPr>
          <w:p w14:paraId="489842F5">
            <w:pPr>
              <w:widowControl w:val="0"/>
              <w:autoSpaceDE w:val="0"/>
              <w:autoSpaceDN w:val="0"/>
              <w:adjustRightInd w:val="0"/>
              <w:jc w:val="center"/>
              <w:rPr>
                <w:color w:val="000000" w:themeColor="text1"/>
                <w14:textFill>
                  <w14:solidFill>
                    <w14:schemeClr w14:val="tx1"/>
                  </w14:solidFill>
                </w14:textFill>
              </w:rPr>
            </w:pPr>
          </w:p>
        </w:tc>
        <w:tc>
          <w:tcPr>
            <w:tcW w:w="628" w:type="pct"/>
            <w:vMerge w:val="continue"/>
            <w:vAlign w:val="center"/>
          </w:tcPr>
          <w:p w14:paraId="3CAF221C">
            <w:pPr>
              <w:widowControl w:val="0"/>
              <w:autoSpaceDE w:val="0"/>
              <w:autoSpaceDN w:val="0"/>
              <w:adjustRightInd w:val="0"/>
              <w:jc w:val="center"/>
              <w:rPr>
                <w:color w:val="000000" w:themeColor="text1"/>
                <w14:textFill>
                  <w14:solidFill>
                    <w14:schemeClr w14:val="tx1"/>
                  </w14:solidFill>
                </w14:textFill>
              </w:rPr>
            </w:pPr>
          </w:p>
        </w:tc>
        <w:sdt>
          <w:sdtPr>
            <w:tag w:val="_PLD_a2f6b5773eb24bb8a29fbf18bb7113a5"/>
            <w:id w:val="147470412"/>
          </w:sdtPr>
          <w:sdtContent>
            <w:tc>
              <w:tcPr>
                <w:tcW w:w="710" w:type="pct"/>
                <w:vAlign w:val="center"/>
              </w:tcPr>
              <w:p w14:paraId="591FA05C">
                <w:pPr>
                  <w:widowControl w:val="0"/>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本期合计存入金额</w:t>
                </w:r>
              </w:p>
            </w:tc>
          </w:sdtContent>
        </w:sdt>
        <w:sdt>
          <w:sdtPr>
            <w:tag w:val="_PLD_20c568f382ae46968ad4e263923079b1"/>
            <w:id w:val="147482050"/>
          </w:sdtPr>
          <w:sdtContent>
            <w:tc>
              <w:tcPr>
                <w:tcW w:w="789" w:type="pct"/>
              </w:tcPr>
              <w:p w14:paraId="6AAD701F">
                <w:pPr>
                  <w:widowControl w:val="0"/>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本期合计取出金额</w:t>
                </w:r>
              </w:p>
            </w:tc>
          </w:sdtContent>
        </w:sdt>
        <w:tc>
          <w:tcPr>
            <w:tcW w:w="651" w:type="pct"/>
            <w:vMerge w:val="continue"/>
            <w:vAlign w:val="center"/>
          </w:tcPr>
          <w:p w14:paraId="4BEEEC38">
            <w:pPr>
              <w:widowControl w:val="0"/>
              <w:autoSpaceDE w:val="0"/>
              <w:autoSpaceDN w:val="0"/>
              <w:adjustRightInd w:val="0"/>
              <w:jc w:val="center"/>
              <w:rPr>
                <w:color w:val="000000" w:themeColor="text1"/>
                <w14:textFill>
                  <w14:solidFill>
                    <w14:schemeClr w14:val="tx1"/>
                  </w14:solidFill>
                </w14:textFill>
              </w:rPr>
            </w:pPr>
          </w:p>
        </w:tc>
      </w:tr>
      <w:tr w14:paraId="6BED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vAlign w:val="center"/>
          </w:tcPr>
          <w:p w14:paraId="61095593">
            <w:pPr>
              <w:widowControl w:val="0"/>
              <w:autoSpaceDE w:val="0"/>
              <w:autoSpaceDN w:val="0"/>
              <w:adjustRightInd w:val="0"/>
              <w:jc w:val="center"/>
            </w:pPr>
            <w:r>
              <w:rPr>
                <w:rFonts w:ascii="Arial Narrow" w:hAnsi="Arial Narrow"/>
                <w:color w:val="000000"/>
              </w:rPr>
              <w:t>新兴际华集团财务有限公司</w:t>
            </w:r>
          </w:p>
        </w:tc>
        <w:tc>
          <w:tcPr>
            <w:tcW w:w="557" w:type="pct"/>
            <w:vAlign w:val="center"/>
          </w:tcPr>
          <w:p w14:paraId="0F01A725">
            <w:pPr>
              <w:widowControl w:val="0"/>
              <w:autoSpaceDE w:val="0"/>
              <w:autoSpaceDN w:val="0"/>
              <w:adjustRightInd w:val="0"/>
              <w:jc w:val="center"/>
            </w:pPr>
            <w:r>
              <w:rPr>
                <w:rFonts w:ascii="Arial Narrow" w:hAnsi="Arial Narrow"/>
                <w:color w:val="000000"/>
              </w:rPr>
              <w:t>母公司的全资子公司</w:t>
            </w:r>
          </w:p>
        </w:tc>
        <w:tc>
          <w:tcPr>
            <w:tcW w:w="611" w:type="pct"/>
            <w:vAlign w:val="center"/>
          </w:tcPr>
          <w:p w14:paraId="0A10B6D2">
            <w:pPr>
              <w:widowControl w:val="0"/>
              <w:autoSpaceDE w:val="0"/>
              <w:autoSpaceDN w:val="0"/>
              <w:adjustRightInd w:val="0"/>
              <w:jc w:val="right"/>
              <w:rPr>
                <w:rFonts w:cs="Times New Roman"/>
              </w:rPr>
            </w:pPr>
            <w:r>
              <w:rPr>
                <w:rFonts w:cs="Times New Roman"/>
                <w:color w:val="000000"/>
              </w:rPr>
              <w:t>800,000</w:t>
            </w:r>
          </w:p>
        </w:tc>
        <w:tc>
          <w:tcPr>
            <w:tcW w:w="437" w:type="pct"/>
            <w:vAlign w:val="center"/>
          </w:tcPr>
          <w:p w14:paraId="54BF77DB">
            <w:pPr>
              <w:widowControl w:val="0"/>
              <w:autoSpaceDE w:val="0"/>
              <w:autoSpaceDN w:val="0"/>
              <w:adjustRightInd w:val="0"/>
              <w:jc w:val="right"/>
              <w:rPr>
                <w:rFonts w:cs="Times New Roman"/>
              </w:rPr>
            </w:pPr>
            <w:r>
              <w:rPr>
                <w:rFonts w:cs="Times New Roman"/>
                <w:color w:val="000000"/>
              </w:rPr>
              <w:t>0.35%-1.85%</w:t>
            </w:r>
          </w:p>
        </w:tc>
        <w:tc>
          <w:tcPr>
            <w:tcW w:w="1078" w:type="dxa"/>
            <w:vAlign w:val="center"/>
          </w:tcPr>
          <w:p w14:paraId="48D3482F">
            <w:pPr>
              <w:jc w:val="right"/>
              <w:textAlignment w:val="center"/>
              <w:rPr>
                <w:rFonts w:cs="Times New Roman"/>
              </w:rPr>
            </w:pPr>
            <w:r>
              <w:rPr>
                <w:rFonts w:eastAsia="Arial Narrow" w:cs="Times New Roman"/>
                <w:color w:val="000000"/>
                <w:lang w:bidi="ar"/>
              </w:rPr>
              <w:t>335,173.67</w:t>
            </w:r>
          </w:p>
        </w:tc>
        <w:tc>
          <w:tcPr>
            <w:tcW w:w="1174" w:type="dxa"/>
            <w:vAlign w:val="center"/>
          </w:tcPr>
          <w:p w14:paraId="64BF84AE">
            <w:pPr>
              <w:jc w:val="right"/>
              <w:textAlignment w:val="center"/>
              <w:rPr>
                <w:rFonts w:cs="Times New Roman"/>
              </w:rPr>
            </w:pPr>
            <w:r>
              <w:rPr>
                <w:rFonts w:eastAsia="Arial Narrow" w:cs="Times New Roman"/>
                <w:color w:val="000000"/>
                <w:lang w:bidi="ar"/>
              </w:rPr>
              <w:t>1,404,382.00</w:t>
            </w:r>
          </w:p>
        </w:tc>
        <w:tc>
          <w:tcPr>
            <w:tcW w:w="1363" w:type="dxa"/>
            <w:vAlign w:val="center"/>
          </w:tcPr>
          <w:p w14:paraId="0D0D51BA">
            <w:pPr>
              <w:jc w:val="right"/>
              <w:textAlignment w:val="center"/>
              <w:rPr>
                <w:rFonts w:cs="Times New Roman"/>
              </w:rPr>
            </w:pPr>
            <w:r>
              <w:rPr>
                <w:rFonts w:eastAsia="Arial Narrow" w:cs="Times New Roman"/>
                <w:color w:val="000000"/>
                <w:lang w:bidi="ar"/>
              </w:rPr>
              <w:t>1,302,459.61</w:t>
            </w:r>
          </w:p>
        </w:tc>
        <w:tc>
          <w:tcPr>
            <w:tcW w:w="1113" w:type="dxa"/>
            <w:vAlign w:val="center"/>
          </w:tcPr>
          <w:p w14:paraId="3AD466E7">
            <w:pPr>
              <w:jc w:val="right"/>
              <w:textAlignment w:val="center"/>
              <w:rPr>
                <w:rFonts w:cs="Times New Roman"/>
              </w:rPr>
            </w:pPr>
            <w:r>
              <w:rPr>
                <w:rFonts w:eastAsia="Arial Narrow" w:cs="Times New Roman"/>
                <w:color w:val="000000"/>
                <w:lang w:bidi="ar"/>
              </w:rPr>
              <w:t>437,096.06</w:t>
            </w:r>
          </w:p>
        </w:tc>
      </w:tr>
      <w:tr w14:paraId="3A7EE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17" w:type="pct"/>
            <w:vAlign w:val="center"/>
          </w:tcPr>
          <w:p w14:paraId="26C9FEB4">
            <w:pPr>
              <w:widowControl w:val="0"/>
              <w:autoSpaceDE w:val="0"/>
              <w:autoSpaceDN w:val="0"/>
              <w:adjustRightInd w:val="0"/>
              <w:jc w:val="center"/>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557" w:type="pct"/>
            <w:vAlign w:val="center"/>
          </w:tcPr>
          <w:p w14:paraId="617A1408">
            <w:pPr>
              <w:widowControl w:val="0"/>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11" w:type="pct"/>
            <w:vAlign w:val="center"/>
          </w:tcPr>
          <w:p w14:paraId="6EFE1759">
            <w:pPr>
              <w:widowControl w:val="0"/>
              <w:autoSpaceDE w:val="0"/>
              <w:autoSpaceDN w:val="0"/>
              <w:adjustRightInd w:val="0"/>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437" w:type="pct"/>
            <w:vAlign w:val="center"/>
          </w:tcPr>
          <w:p w14:paraId="79C539CA">
            <w:pPr>
              <w:widowControl w:val="0"/>
              <w:autoSpaceDE w:val="0"/>
              <w:autoSpaceDN w:val="0"/>
              <w:adjustRightInd w:val="0"/>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078" w:type="dxa"/>
            <w:vAlign w:val="center"/>
          </w:tcPr>
          <w:p w14:paraId="4EA10038">
            <w:pPr>
              <w:jc w:val="right"/>
              <w:textAlignment w:val="center"/>
              <w:rPr>
                <w:rFonts w:cs="Times New Roman"/>
              </w:rPr>
            </w:pPr>
            <w:r>
              <w:rPr>
                <w:rFonts w:eastAsia="Arial Narrow" w:cs="Times New Roman"/>
                <w:color w:val="000000"/>
                <w:lang w:bidi="ar"/>
              </w:rPr>
              <w:t>335,173.67</w:t>
            </w:r>
          </w:p>
        </w:tc>
        <w:tc>
          <w:tcPr>
            <w:tcW w:w="1174" w:type="dxa"/>
            <w:vAlign w:val="center"/>
          </w:tcPr>
          <w:p w14:paraId="4426CE01">
            <w:pPr>
              <w:jc w:val="right"/>
              <w:textAlignment w:val="center"/>
              <w:rPr>
                <w:rFonts w:cs="Times New Roman"/>
              </w:rPr>
            </w:pPr>
            <w:r>
              <w:rPr>
                <w:rFonts w:eastAsia="Arial Narrow" w:cs="Times New Roman"/>
                <w:color w:val="000000"/>
                <w:lang w:bidi="ar"/>
              </w:rPr>
              <w:t>1,404,382.00</w:t>
            </w:r>
          </w:p>
        </w:tc>
        <w:tc>
          <w:tcPr>
            <w:tcW w:w="1363" w:type="dxa"/>
            <w:vAlign w:val="center"/>
          </w:tcPr>
          <w:p w14:paraId="7DA26762">
            <w:pPr>
              <w:jc w:val="right"/>
              <w:textAlignment w:val="center"/>
              <w:rPr>
                <w:rFonts w:cs="Times New Roman"/>
              </w:rPr>
            </w:pPr>
            <w:r>
              <w:rPr>
                <w:rFonts w:eastAsia="Arial Narrow" w:cs="Times New Roman"/>
                <w:color w:val="000000"/>
                <w:lang w:bidi="ar"/>
              </w:rPr>
              <w:t>1,302,459.61</w:t>
            </w:r>
          </w:p>
        </w:tc>
        <w:tc>
          <w:tcPr>
            <w:tcW w:w="1113" w:type="dxa"/>
            <w:vAlign w:val="center"/>
          </w:tcPr>
          <w:p w14:paraId="6A771615">
            <w:pPr>
              <w:jc w:val="right"/>
              <w:textAlignment w:val="center"/>
              <w:rPr>
                <w:rFonts w:cs="Times New Roman"/>
              </w:rPr>
            </w:pPr>
            <w:r>
              <w:rPr>
                <w:rFonts w:eastAsia="Arial Narrow" w:cs="Times New Roman"/>
                <w:color w:val="000000"/>
                <w:lang w:bidi="ar"/>
              </w:rPr>
              <w:t>437,096.06</w:t>
            </w:r>
          </w:p>
        </w:tc>
      </w:tr>
    </w:tbl>
    <w:p w14:paraId="612705A5">
      <w:pPr>
        <w:rPr>
          <w:color w:val="000000" w:themeColor="text1"/>
          <w14:textFill>
            <w14:solidFill>
              <w14:schemeClr w14:val="tx1"/>
            </w14:solidFill>
          </w14:textFill>
        </w:rPr>
      </w:pPr>
    </w:p>
    <w:bookmarkEnd w:id="58"/>
    <w:p w14:paraId="548C1F08">
      <w:pPr>
        <w:pStyle w:val="58"/>
        <w:numPr>
          <w:ilvl w:val="0"/>
          <w:numId w:val="21"/>
        </w:numPr>
        <w:rPr>
          <w:rFonts w:ascii="宋体" w:hAnsi="宋体"/>
          <w:color w:val="000000" w:themeColor="text1"/>
          <w14:textFill>
            <w14:solidFill>
              <w14:schemeClr w14:val="tx1"/>
            </w14:solidFill>
          </w14:textFill>
        </w:rPr>
      </w:pPr>
      <w:bookmarkStart w:id="59" w:name="_Hlk106875255"/>
      <w:r>
        <w:rPr>
          <w:rFonts w:hint="eastAsia" w:ascii="宋体" w:hAnsi="宋体"/>
          <w:color w:val="000000" w:themeColor="text1"/>
          <w14:textFill>
            <w14:solidFill>
              <w14:schemeClr w14:val="tx1"/>
            </w14:solidFill>
          </w14:textFill>
        </w:rPr>
        <w:t>贷款业务</w:t>
      </w:r>
    </w:p>
    <w:sdt>
      <w:sdtPr>
        <w:rPr>
          <w:color w:val="000000" w:themeColor="text1"/>
          <w14:textFill>
            <w14:solidFill>
              <w14:schemeClr w14:val="tx1"/>
            </w14:solidFill>
          </w14:textFill>
        </w:rPr>
        <w:alias w:val="是否适用：贷款业务[双击切换]"/>
        <w:tag w:val="_GBC_15b9ec2cfd26471eb84f966164f4e1fa"/>
        <w:id w:val="147470960"/>
        <w:placeholder>
          <w:docPart w:val="{d8014d7a-cba5-4a66-9d59-c514dac73ae3}"/>
        </w:placeholder>
      </w:sdtPr>
      <w:sdtEndPr>
        <w:rPr>
          <w:color w:val="000000" w:themeColor="text1"/>
          <w14:textFill>
            <w14:solidFill>
              <w14:schemeClr w14:val="tx1"/>
            </w14:solidFill>
          </w14:textFill>
        </w:rPr>
      </w:sdtEndPr>
      <w:sdtContent>
        <w:p w14:paraId="16A1048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66DEDA9">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贷款业务情况"/>
          <w:tag w:val="_GBC_00ad76cd7031486d9c7b9a4a4ddf886c"/>
          <w:id w:val="147480580"/>
          <w:placeholder>
            <w:docPart w:val="{d8014d7a-cba5-4a66-9d59-c514dac73ae3}"/>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万元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贷款业务情况"/>
          <w:tag w:val="_GBC_2346ac86af354eb19e43f4e9b28e4376"/>
          <w:id w:val="147461118"/>
          <w:placeholder>
            <w:docPart w:val="{d8014d7a-cba5-4a66-9d59-c514dac73ae3}"/>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947"/>
        <w:gridCol w:w="1184"/>
        <w:gridCol w:w="1161"/>
        <w:gridCol w:w="1057"/>
        <w:gridCol w:w="1095"/>
        <w:gridCol w:w="1386"/>
        <w:gridCol w:w="1133"/>
      </w:tblGrid>
      <w:tr w14:paraId="4098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ccdec2bb6f94443b7713c1c56ae19fd"/>
            <w:id w:val="147462979"/>
          </w:sdtPr>
          <w:sdtContent>
            <w:tc>
              <w:tcPr>
                <w:tcW w:w="639" w:type="pct"/>
                <w:vMerge w:val="restart"/>
                <w:vAlign w:val="center"/>
              </w:tcPr>
              <w:p w14:paraId="220C65AE">
                <w:pPr>
                  <w:widowControl w:val="0"/>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关联方</w:t>
                </w:r>
              </w:p>
            </w:tc>
          </w:sdtContent>
        </w:sdt>
        <w:sdt>
          <w:sdtPr>
            <w:tag w:val="_PLD_34800de0a23746a9808d2abc3c4b5f1c"/>
            <w:id w:val="147466215"/>
          </w:sdtPr>
          <w:sdtContent>
            <w:tc>
              <w:tcPr>
                <w:tcW w:w="562" w:type="pct"/>
                <w:vMerge w:val="restart"/>
                <w:vAlign w:val="center"/>
              </w:tcPr>
              <w:p w14:paraId="37FDAC7D">
                <w:pPr>
                  <w:widowControl w:val="0"/>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关联关系</w:t>
                </w:r>
              </w:p>
            </w:tc>
          </w:sdtContent>
        </w:sdt>
        <w:sdt>
          <w:sdtPr>
            <w:tag w:val="_PLD_dfb92dc18b4943a2b8e0637ac8e976a9"/>
            <w:id w:val="147469933"/>
          </w:sdtPr>
          <w:sdtContent>
            <w:tc>
              <w:tcPr>
                <w:tcW w:w="693" w:type="pct"/>
                <w:vMerge w:val="restart"/>
                <w:vAlign w:val="center"/>
              </w:tcPr>
              <w:p w14:paraId="0A05DD38">
                <w:pPr>
                  <w:widowControl w:val="0"/>
                  <w:autoSpaceDE w:val="0"/>
                  <w:autoSpaceDN w:val="0"/>
                  <w:adjustRightInd w:val="0"/>
                  <w:jc w:val="center"/>
                  <w:rPr>
                    <w:color w:val="000000" w:themeColor="text1"/>
                    <w14:textFill>
                      <w14:solidFill>
                        <w14:schemeClr w14:val="tx1"/>
                      </w14:solidFill>
                    </w14:textFill>
                  </w:rPr>
                </w:pPr>
                <w:r>
                  <w:rPr>
                    <w:color w:val="000000" w:themeColor="text1"/>
                    <w14:textFill>
                      <w14:solidFill>
                        <w14:schemeClr w14:val="tx1"/>
                      </w14:solidFill>
                    </w14:textFill>
                  </w:rPr>
                  <w:t>贷款额度</w:t>
                </w:r>
              </w:p>
            </w:tc>
          </w:sdtContent>
        </w:sdt>
        <w:sdt>
          <w:sdtPr>
            <w:tag w:val="_PLD_37830bab3f184d6f885fa2d04676b78a"/>
            <w:id w:val="147479062"/>
          </w:sdtPr>
          <w:sdtContent>
            <w:tc>
              <w:tcPr>
                <w:tcW w:w="434" w:type="pct"/>
                <w:vMerge w:val="restart"/>
                <w:vAlign w:val="center"/>
              </w:tcPr>
              <w:p w14:paraId="04C367C6">
                <w:pPr>
                  <w:widowControl w:val="0"/>
                  <w:autoSpaceDE w:val="0"/>
                  <w:autoSpaceDN w:val="0"/>
                  <w:adjustRightInd w:val="0"/>
                  <w:jc w:val="center"/>
                  <w:rPr>
                    <w:color w:val="000000" w:themeColor="text1"/>
                    <w14:textFill>
                      <w14:solidFill>
                        <w14:schemeClr w14:val="tx1"/>
                      </w14:solidFill>
                    </w14:textFill>
                  </w:rPr>
                </w:pPr>
                <w:r>
                  <w:rPr>
                    <w:color w:val="000000" w:themeColor="text1"/>
                    <w14:textFill>
                      <w14:solidFill>
                        <w14:schemeClr w14:val="tx1"/>
                      </w14:solidFill>
                    </w14:textFill>
                  </w:rPr>
                  <w:t>贷款利率范围</w:t>
                </w:r>
              </w:p>
            </w:tc>
          </w:sdtContent>
        </w:sdt>
        <w:sdt>
          <w:sdtPr>
            <w:tag w:val="_PLD_5cad7812dfed4700b1fd6b6b0d481d68"/>
            <w:id w:val="147454908"/>
          </w:sdtPr>
          <w:sdtContent>
            <w:tc>
              <w:tcPr>
                <w:tcW w:w="561" w:type="pct"/>
                <w:vMerge w:val="restart"/>
                <w:vAlign w:val="center"/>
              </w:tcPr>
              <w:p w14:paraId="3884093A">
                <w:pPr>
                  <w:widowControl w:val="0"/>
                  <w:autoSpaceDE w:val="0"/>
                  <w:autoSpaceDN w:val="0"/>
                  <w:adjustRightInd w:val="0"/>
                  <w:jc w:val="center"/>
                  <w:rPr>
                    <w:color w:val="000000" w:themeColor="text1"/>
                    <w14:textFill>
                      <w14:solidFill>
                        <w14:schemeClr w14:val="tx1"/>
                      </w14:solidFill>
                    </w14:textFill>
                  </w:rPr>
                </w:pPr>
                <w:r>
                  <w:rPr>
                    <w:color w:val="000000" w:themeColor="text1"/>
                    <w14:textFill>
                      <w14:solidFill>
                        <w14:schemeClr w14:val="tx1"/>
                      </w14:solidFill>
                    </w14:textFill>
                  </w:rPr>
                  <w:t>期初余额</w:t>
                </w:r>
              </w:p>
            </w:tc>
          </w:sdtContent>
        </w:sdt>
        <w:sdt>
          <w:sdtPr>
            <w:tag w:val="_PLD_cd7f045054244bbf9758d1f15eae221c"/>
            <w:id w:val="147472887"/>
          </w:sdtPr>
          <w:sdtContent>
            <w:tc>
              <w:tcPr>
                <w:tcW w:w="1447" w:type="pct"/>
                <w:gridSpan w:val="2"/>
                <w:vAlign w:val="center"/>
              </w:tcPr>
              <w:p w14:paraId="1699BFAF">
                <w:pPr>
                  <w:widowControl w:val="0"/>
                  <w:autoSpaceDE w:val="0"/>
                  <w:autoSpaceDN w:val="0"/>
                  <w:adjustRightInd w:val="0"/>
                  <w:jc w:val="center"/>
                  <w:rPr>
                    <w:color w:val="000000" w:themeColor="text1"/>
                    <w14:textFill>
                      <w14:solidFill>
                        <w14:schemeClr w14:val="tx1"/>
                      </w14:solidFill>
                    </w14:textFill>
                  </w:rPr>
                </w:pPr>
                <w:r>
                  <w:rPr>
                    <w:color w:val="000000" w:themeColor="text1"/>
                    <w14:textFill>
                      <w14:solidFill>
                        <w14:schemeClr w14:val="tx1"/>
                      </w14:solidFill>
                    </w14:textFill>
                  </w:rPr>
                  <w:t>本期发生额</w:t>
                </w:r>
              </w:p>
            </w:tc>
          </w:sdtContent>
        </w:sdt>
        <w:sdt>
          <w:sdtPr>
            <w:tag w:val="_PLD_5057306024d64be48c625625af4ed37b"/>
            <w:id w:val="147470991"/>
          </w:sdtPr>
          <w:sdtContent>
            <w:tc>
              <w:tcPr>
                <w:tcW w:w="664" w:type="pct"/>
                <w:vMerge w:val="restart"/>
                <w:vAlign w:val="center"/>
              </w:tcPr>
              <w:p w14:paraId="74ABEA0A">
                <w:pPr>
                  <w:widowControl w:val="0"/>
                  <w:autoSpaceDE w:val="0"/>
                  <w:autoSpaceDN w:val="0"/>
                  <w:adjustRightInd w:val="0"/>
                  <w:jc w:val="center"/>
                  <w:rPr>
                    <w:color w:val="000000" w:themeColor="text1"/>
                    <w14:textFill>
                      <w14:solidFill>
                        <w14:schemeClr w14:val="tx1"/>
                      </w14:solidFill>
                    </w14:textFill>
                  </w:rPr>
                </w:pPr>
                <w:r>
                  <w:rPr>
                    <w:color w:val="000000" w:themeColor="text1"/>
                    <w14:textFill>
                      <w14:solidFill>
                        <w14:schemeClr w14:val="tx1"/>
                      </w14:solidFill>
                    </w14:textFill>
                  </w:rPr>
                  <w:t>期末余额</w:t>
                </w:r>
              </w:p>
            </w:tc>
          </w:sdtContent>
        </w:sdt>
      </w:tr>
      <w:tr w14:paraId="75DE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vMerge w:val="continue"/>
            <w:vAlign w:val="center"/>
          </w:tcPr>
          <w:p w14:paraId="30C32891">
            <w:pPr>
              <w:widowControl w:val="0"/>
              <w:autoSpaceDE w:val="0"/>
              <w:autoSpaceDN w:val="0"/>
              <w:adjustRightInd w:val="0"/>
              <w:jc w:val="center"/>
              <w:rPr>
                <w:color w:val="000000" w:themeColor="text1"/>
                <w14:textFill>
                  <w14:solidFill>
                    <w14:schemeClr w14:val="tx1"/>
                  </w14:solidFill>
                </w14:textFill>
              </w:rPr>
            </w:pPr>
          </w:p>
        </w:tc>
        <w:tc>
          <w:tcPr>
            <w:tcW w:w="562" w:type="pct"/>
            <w:vMerge w:val="continue"/>
            <w:vAlign w:val="center"/>
          </w:tcPr>
          <w:p w14:paraId="2DBACA42">
            <w:pPr>
              <w:widowControl w:val="0"/>
              <w:autoSpaceDE w:val="0"/>
              <w:autoSpaceDN w:val="0"/>
              <w:adjustRightInd w:val="0"/>
              <w:jc w:val="center"/>
              <w:rPr>
                <w:color w:val="000000" w:themeColor="text1"/>
                <w14:textFill>
                  <w14:solidFill>
                    <w14:schemeClr w14:val="tx1"/>
                  </w14:solidFill>
                </w14:textFill>
              </w:rPr>
            </w:pPr>
          </w:p>
        </w:tc>
        <w:tc>
          <w:tcPr>
            <w:tcW w:w="693" w:type="pct"/>
            <w:vMerge w:val="continue"/>
            <w:vAlign w:val="center"/>
          </w:tcPr>
          <w:p w14:paraId="03E3D22A">
            <w:pPr>
              <w:widowControl w:val="0"/>
              <w:autoSpaceDE w:val="0"/>
              <w:autoSpaceDN w:val="0"/>
              <w:adjustRightInd w:val="0"/>
              <w:jc w:val="center"/>
              <w:rPr>
                <w:color w:val="000000" w:themeColor="text1"/>
                <w14:textFill>
                  <w14:solidFill>
                    <w14:schemeClr w14:val="tx1"/>
                  </w14:solidFill>
                </w14:textFill>
              </w:rPr>
            </w:pPr>
          </w:p>
        </w:tc>
        <w:tc>
          <w:tcPr>
            <w:tcW w:w="434" w:type="pct"/>
            <w:vMerge w:val="continue"/>
            <w:vAlign w:val="center"/>
          </w:tcPr>
          <w:p w14:paraId="309B3D09">
            <w:pPr>
              <w:widowControl w:val="0"/>
              <w:autoSpaceDE w:val="0"/>
              <w:autoSpaceDN w:val="0"/>
              <w:adjustRightInd w:val="0"/>
              <w:jc w:val="center"/>
              <w:rPr>
                <w:color w:val="000000" w:themeColor="text1"/>
                <w14:textFill>
                  <w14:solidFill>
                    <w14:schemeClr w14:val="tx1"/>
                  </w14:solidFill>
                </w14:textFill>
              </w:rPr>
            </w:pPr>
          </w:p>
        </w:tc>
        <w:tc>
          <w:tcPr>
            <w:tcW w:w="561" w:type="pct"/>
            <w:vMerge w:val="continue"/>
            <w:vAlign w:val="center"/>
          </w:tcPr>
          <w:p w14:paraId="47103B2D">
            <w:pPr>
              <w:widowControl w:val="0"/>
              <w:autoSpaceDE w:val="0"/>
              <w:autoSpaceDN w:val="0"/>
              <w:adjustRightInd w:val="0"/>
              <w:jc w:val="center"/>
              <w:rPr>
                <w:color w:val="000000" w:themeColor="text1"/>
                <w14:textFill>
                  <w14:solidFill>
                    <w14:schemeClr w14:val="tx1"/>
                  </w14:solidFill>
                </w14:textFill>
              </w:rPr>
            </w:pPr>
          </w:p>
        </w:tc>
        <w:sdt>
          <w:sdtPr>
            <w:tag w:val="_PLD_5e696e51a65f4c20a7cd76e58adf2d7e"/>
            <w:id w:val="147474558"/>
          </w:sdtPr>
          <w:sdtContent>
            <w:tc>
              <w:tcPr>
                <w:tcW w:w="643" w:type="pct"/>
                <w:vAlign w:val="center"/>
              </w:tcPr>
              <w:p w14:paraId="0F648C75">
                <w:pPr>
                  <w:widowControl w:val="0"/>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本期合计贷款金额</w:t>
                </w:r>
              </w:p>
            </w:tc>
          </w:sdtContent>
        </w:sdt>
        <w:sdt>
          <w:sdtPr>
            <w:tag w:val="_PLD_1e91155a2791417ba8957ae6050af745"/>
            <w:id w:val="147483362"/>
          </w:sdtPr>
          <w:sdtContent>
            <w:tc>
              <w:tcPr>
                <w:tcW w:w="804" w:type="pct"/>
              </w:tcPr>
              <w:p w14:paraId="45CB03B9">
                <w:pPr>
                  <w:widowControl w:val="0"/>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本期合计还款金额</w:t>
                </w:r>
              </w:p>
            </w:tc>
          </w:sdtContent>
        </w:sdt>
        <w:tc>
          <w:tcPr>
            <w:tcW w:w="664" w:type="pct"/>
            <w:vMerge w:val="continue"/>
            <w:vAlign w:val="center"/>
          </w:tcPr>
          <w:p w14:paraId="39064EFF">
            <w:pPr>
              <w:widowControl w:val="0"/>
              <w:autoSpaceDE w:val="0"/>
              <w:autoSpaceDN w:val="0"/>
              <w:adjustRightInd w:val="0"/>
              <w:jc w:val="center"/>
              <w:rPr>
                <w:color w:val="000000" w:themeColor="text1"/>
                <w14:textFill>
                  <w14:solidFill>
                    <w14:schemeClr w14:val="tx1"/>
                  </w14:solidFill>
                </w14:textFill>
              </w:rPr>
            </w:pPr>
          </w:p>
        </w:tc>
      </w:tr>
      <w:tr w14:paraId="22E9D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vAlign w:val="center"/>
          </w:tcPr>
          <w:p w14:paraId="55D048E0">
            <w:pPr>
              <w:widowControl w:val="0"/>
              <w:autoSpaceDE w:val="0"/>
              <w:autoSpaceDN w:val="0"/>
              <w:adjustRightInd w:val="0"/>
              <w:jc w:val="center"/>
            </w:pPr>
            <w:r>
              <w:rPr>
                <w:rFonts w:hint="eastAsia"/>
                <w:color w:val="000000"/>
              </w:rPr>
              <w:t>新兴际华集团财务有限公司</w:t>
            </w:r>
          </w:p>
        </w:tc>
        <w:tc>
          <w:tcPr>
            <w:tcW w:w="562" w:type="pct"/>
            <w:vAlign w:val="center"/>
          </w:tcPr>
          <w:p w14:paraId="352AF1F7">
            <w:pPr>
              <w:widowControl w:val="0"/>
              <w:autoSpaceDE w:val="0"/>
              <w:autoSpaceDN w:val="0"/>
              <w:adjustRightInd w:val="0"/>
              <w:jc w:val="center"/>
            </w:pPr>
            <w:r>
              <w:rPr>
                <w:rFonts w:hint="eastAsia"/>
                <w:color w:val="000000"/>
              </w:rPr>
              <w:t>母公司的全资子公司</w:t>
            </w:r>
          </w:p>
        </w:tc>
        <w:tc>
          <w:tcPr>
            <w:tcW w:w="693" w:type="pct"/>
            <w:vAlign w:val="center"/>
          </w:tcPr>
          <w:p w14:paraId="288403BC">
            <w:pPr>
              <w:widowControl w:val="0"/>
              <w:autoSpaceDE w:val="0"/>
              <w:autoSpaceDN w:val="0"/>
              <w:adjustRightInd w:val="0"/>
              <w:jc w:val="right"/>
              <w:rPr>
                <w:rFonts w:cs="Times New Roman"/>
              </w:rPr>
            </w:pPr>
            <w:r>
              <w:rPr>
                <w:rFonts w:cs="Times New Roman"/>
                <w:color w:val="000000"/>
              </w:rPr>
              <w:t>1,000,000</w:t>
            </w:r>
          </w:p>
        </w:tc>
        <w:tc>
          <w:tcPr>
            <w:tcW w:w="434" w:type="pct"/>
            <w:vAlign w:val="center"/>
          </w:tcPr>
          <w:p w14:paraId="75466261">
            <w:pPr>
              <w:widowControl w:val="0"/>
              <w:autoSpaceDE w:val="0"/>
              <w:autoSpaceDN w:val="0"/>
              <w:adjustRightInd w:val="0"/>
              <w:jc w:val="right"/>
              <w:rPr>
                <w:rFonts w:cs="Times New Roman"/>
              </w:rPr>
            </w:pPr>
            <w:r>
              <w:rPr>
                <w:rFonts w:cs="Times New Roman"/>
                <w:color w:val="000000"/>
              </w:rPr>
              <w:t>2.2%-2.3%</w:t>
            </w:r>
          </w:p>
        </w:tc>
        <w:tc>
          <w:tcPr>
            <w:tcW w:w="983" w:type="dxa"/>
            <w:vAlign w:val="center"/>
          </w:tcPr>
          <w:p w14:paraId="2B84E2FF">
            <w:pPr>
              <w:jc w:val="right"/>
              <w:textAlignment w:val="center"/>
              <w:rPr>
                <w:rFonts w:cs="Times New Roman"/>
              </w:rPr>
            </w:pPr>
            <w:r>
              <w:rPr>
                <w:rFonts w:eastAsia="Arial Narrow" w:cs="Times New Roman"/>
                <w:color w:val="000000"/>
                <w:lang w:bidi="ar"/>
              </w:rPr>
              <w:t>62,900.00</w:t>
            </w:r>
          </w:p>
        </w:tc>
        <w:tc>
          <w:tcPr>
            <w:tcW w:w="1111" w:type="dxa"/>
            <w:vAlign w:val="center"/>
          </w:tcPr>
          <w:p w14:paraId="6FBB023D">
            <w:pPr>
              <w:jc w:val="right"/>
              <w:rPr>
                <w:rFonts w:cs="Times New Roman"/>
              </w:rPr>
            </w:pPr>
          </w:p>
        </w:tc>
        <w:tc>
          <w:tcPr>
            <w:tcW w:w="1416" w:type="dxa"/>
            <w:vAlign w:val="center"/>
          </w:tcPr>
          <w:p w14:paraId="50ED879B">
            <w:pPr>
              <w:jc w:val="right"/>
              <w:textAlignment w:val="center"/>
              <w:rPr>
                <w:rFonts w:cs="Times New Roman"/>
              </w:rPr>
            </w:pPr>
            <w:r>
              <w:rPr>
                <w:rFonts w:eastAsia="Arial Narrow" w:cs="Times New Roman"/>
                <w:color w:val="000000"/>
                <w:lang w:bidi="ar"/>
              </w:rPr>
              <w:t>12,400.00</w:t>
            </w:r>
          </w:p>
        </w:tc>
        <w:tc>
          <w:tcPr>
            <w:tcW w:w="1163" w:type="dxa"/>
            <w:vAlign w:val="center"/>
          </w:tcPr>
          <w:p w14:paraId="797011EB">
            <w:pPr>
              <w:jc w:val="right"/>
              <w:textAlignment w:val="center"/>
              <w:rPr>
                <w:rFonts w:cs="Times New Roman"/>
              </w:rPr>
            </w:pPr>
            <w:r>
              <w:rPr>
                <w:rFonts w:eastAsia="Arial Narrow" w:cs="Times New Roman"/>
                <w:color w:val="000000"/>
                <w:lang w:bidi="ar"/>
              </w:rPr>
              <w:t>50,500.00</w:t>
            </w:r>
          </w:p>
        </w:tc>
      </w:tr>
      <w:tr w14:paraId="5005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39" w:type="pct"/>
            <w:vAlign w:val="center"/>
          </w:tcPr>
          <w:p w14:paraId="31AFFF6D">
            <w:pPr>
              <w:widowControl w:val="0"/>
              <w:autoSpaceDE w:val="0"/>
              <w:autoSpaceDN w:val="0"/>
              <w:adjustRightInd w:val="0"/>
              <w:jc w:val="center"/>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562" w:type="pct"/>
            <w:vAlign w:val="center"/>
          </w:tcPr>
          <w:p w14:paraId="5909A758">
            <w:pPr>
              <w:widowControl w:val="0"/>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93" w:type="pct"/>
            <w:vAlign w:val="center"/>
          </w:tcPr>
          <w:p w14:paraId="06DC27E0">
            <w:pPr>
              <w:widowControl w:val="0"/>
              <w:autoSpaceDE w:val="0"/>
              <w:autoSpaceDN w:val="0"/>
              <w:adjustRightInd w:val="0"/>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434" w:type="pct"/>
            <w:vAlign w:val="center"/>
          </w:tcPr>
          <w:p w14:paraId="74FF0443">
            <w:pPr>
              <w:widowControl w:val="0"/>
              <w:autoSpaceDE w:val="0"/>
              <w:autoSpaceDN w:val="0"/>
              <w:adjustRightInd w:val="0"/>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983" w:type="dxa"/>
            <w:vAlign w:val="center"/>
          </w:tcPr>
          <w:p w14:paraId="01B69E62">
            <w:pPr>
              <w:jc w:val="right"/>
              <w:textAlignment w:val="center"/>
              <w:rPr>
                <w:rFonts w:cs="Times New Roman"/>
              </w:rPr>
            </w:pPr>
            <w:r>
              <w:rPr>
                <w:rFonts w:eastAsia="Arial Narrow" w:cs="Times New Roman"/>
                <w:color w:val="000000"/>
                <w:lang w:bidi="ar"/>
              </w:rPr>
              <w:t>62,900.00</w:t>
            </w:r>
          </w:p>
        </w:tc>
        <w:tc>
          <w:tcPr>
            <w:tcW w:w="1111" w:type="dxa"/>
            <w:vAlign w:val="center"/>
          </w:tcPr>
          <w:p w14:paraId="60667776">
            <w:pPr>
              <w:jc w:val="right"/>
              <w:rPr>
                <w:rFonts w:cs="Times New Roman"/>
              </w:rPr>
            </w:pPr>
          </w:p>
        </w:tc>
        <w:tc>
          <w:tcPr>
            <w:tcW w:w="1416" w:type="dxa"/>
            <w:vAlign w:val="center"/>
          </w:tcPr>
          <w:p w14:paraId="56CE14BA">
            <w:pPr>
              <w:jc w:val="right"/>
              <w:textAlignment w:val="center"/>
              <w:rPr>
                <w:rFonts w:cs="Times New Roman"/>
              </w:rPr>
            </w:pPr>
            <w:r>
              <w:rPr>
                <w:rFonts w:eastAsia="Arial Narrow" w:cs="Times New Roman"/>
                <w:color w:val="000000"/>
                <w:lang w:bidi="ar"/>
              </w:rPr>
              <w:t>12,400.00</w:t>
            </w:r>
          </w:p>
        </w:tc>
        <w:tc>
          <w:tcPr>
            <w:tcW w:w="1163" w:type="dxa"/>
            <w:vAlign w:val="center"/>
          </w:tcPr>
          <w:p w14:paraId="576EBAE6">
            <w:pPr>
              <w:jc w:val="right"/>
              <w:textAlignment w:val="center"/>
              <w:rPr>
                <w:rFonts w:cs="Times New Roman"/>
              </w:rPr>
            </w:pPr>
            <w:r>
              <w:rPr>
                <w:rFonts w:eastAsia="Arial Narrow" w:cs="Times New Roman"/>
                <w:color w:val="000000"/>
                <w:lang w:bidi="ar"/>
              </w:rPr>
              <w:t>50,500.00</w:t>
            </w:r>
          </w:p>
        </w:tc>
      </w:tr>
    </w:tbl>
    <w:p w14:paraId="629A58A8">
      <w:pPr>
        <w:rPr>
          <w:color w:val="000000" w:themeColor="text1"/>
          <w14:textFill>
            <w14:solidFill>
              <w14:schemeClr w14:val="tx1"/>
            </w14:solidFill>
          </w14:textFill>
        </w:rPr>
      </w:pPr>
    </w:p>
    <w:bookmarkEnd w:id="59"/>
    <w:p w14:paraId="603849A0">
      <w:pPr>
        <w:pStyle w:val="58"/>
        <w:numPr>
          <w:ilvl w:val="0"/>
          <w:numId w:val="21"/>
        </w:numPr>
        <w:rPr>
          <w:rFonts w:ascii="宋体" w:hAnsi="宋体"/>
          <w:color w:val="000000" w:themeColor="text1"/>
          <w14:textFill>
            <w14:solidFill>
              <w14:schemeClr w14:val="tx1"/>
            </w14:solidFill>
          </w14:textFill>
        </w:rPr>
      </w:pPr>
      <w:bookmarkStart w:id="60" w:name="_Hlk41316014"/>
      <w:r>
        <w:rPr>
          <w:rFonts w:hint="eastAsia" w:ascii="宋体" w:hAnsi="宋体"/>
          <w:color w:val="000000" w:themeColor="text1"/>
          <w14:textFill>
            <w14:solidFill>
              <w14:schemeClr w14:val="tx1"/>
            </w14:solidFill>
          </w14:textFill>
        </w:rPr>
        <w:t>授信业务或其他金融业务</w:t>
      </w:r>
    </w:p>
    <w:sdt>
      <w:sdtPr>
        <w:rPr>
          <w:rFonts w:hint="eastAsia"/>
          <w:color w:val="000000" w:themeColor="text1"/>
          <w14:textFill>
            <w14:solidFill>
              <w14:schemeClr w14:val="tx1"/>
            </w14:solidFill>
          </w14:textFill>
        </w:rPr>
        <w:alias w:val="是否适用：授信业务或其他金融业务[双击切换]"/>
        <w:tag w:val="_GBC_ed4458effe044108a44d95a5ced67408"/>
        <w:id w:val="147473710"/>
        <w:placeholder>
          <w:docPart w:val="{d8014d7a-cba5-4a66-9d59-c514dac73ae3}"/>
        </w:placeholder>
      </w:sdtPr>
      <w:sdtEndPr>
        <w:rPr>
          <w:rFonts w:hint="eastAsia"/>
          <w:color w:val="000000" w:themeColor="text1"/>
          <w14:textFill>
            <w14:solidFill>
              <w14:schemeClr w14:val="tx1"/>
            </w14:solidFill>
          </w14:textFill>
        </w:rPr>
      </w:sdtEndPr>
      <w:sdtContent>
        <w:p w14:paraId="550A7BD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6EB93C1">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授信业务或其他金融业务"/>
          <w:tag w:val="_GBC_3d95de16365941ad9622303ec2c7f3f6"/>
          <w:id w:val="147472303"/>
          <w:placeholder>
            <w:docPart w:val="{d8014d7a-cba5-4a66-9d59-c514dac73ae3}"/>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万元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授信业务或其他金融业务"/>
          <w:tag w:val="_GBC_ef34172f59714fa1aefa7b929c79d8bb"/>
          <w:id w:val="147458702"/>
          <w:placeholder>
            <w:docPart w:val="{d8014d7a-cba5-4a66-9d59-c514dac73ae3}"/>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1307"/>
        <w:gridCol w:w="3342"/>
        <w:gridCol w:w="1569"/>
        <w:gridCol w:w="1660"/>
      </w:tblGrid>
      <w:tr w14:paraId="51E3A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1b48b1b7e60432da307374faf9e8683"/>
            <w:id w:val="147470106"/>
          </w:sdtPr>
          <w:sdtContent>
            <w:tc>
              <w:tcPr>
                <w:tcW w:w="642" w:type="pct"/>
                <w:vAlign w:val="center"/>
              </w:tcPr>
              <w:p w14:paraId="4FDD685C">
                <w:pPr>
                  <w:pStyle w:val="66"/>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关联方</w:t>
                </w:r>
              </w:p>
            </w:tc>
          </w:sdtContent>
        </w:sdt>
        <w:sdt>
          <w:sdtPr>
            <w:tag w:val="_PLD_b86a8753f83845749c8d70762f62d625"/>
            <w:id w:val="147461391"/>
          </w:sdtPr>
          <w:sdtContent>
            <w:tc>
              <w:tcPr>
                <w:tcW w:w="723" w:type="pct"/>
                <w:vAlign w:val="center"/>
              </w:tcPr>
              <w:p w14:paraId="5FCA110F">
                <w:pPr>
                  <w:pStyle w:val="66"/>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关联关系</w:t>
                </w:r>
              </w:p>
            </w:tc>
          </w:sdtContent>
        </w:sdt>
        <w:sdt>
          <w:sdtPr>
            <w:tag w:val="_PLD_a803596e70994f4b8d0abc41b05df444"/>
            <w:id w:val="147451699"/>
          </w:sdtPr>
          <w:sdtContent>
            <w:tc>
              <w:tcPr>
                <w:tcW w:w="1849" w:type="pct"/>
                <w:vAlign w:val="center"/>
              </w:tcPr>
              <w:p w14:paraId="5ADD1E61">
                <w:pPr>
                  <w:pStyle w:val="66"/>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业务类型</w:t>
                </w:r>
              </w:p>
            </w:tc>
          </w:sdtContent>
        </w:sdt>
        <w:sdt>
          <w:sdtPr>
            <w:tag w:val="_PLD_8b121a0dc9a44d87928d154453b446f7"/>
            <w:id w:val="147482701"/>
          </w:sdtPr>
          <w:sdtContent>
            <w:tc>
              <w:tcPr>
                <w:tcW w:w="868" w:type="pct"/>
                <w:vAlign w:val="center"/>
              </w:tcPr>
              <w:p w14:paraId="705F0ACD">
                <w:pPr>
                  <w:pStyle w:val="66"/>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总额</w:t>
                </w:r>
              </w:p>
            </w:tc>
          </w:sdtContent>
        </w:sdt>
        <w:sdt>
          <w:sdtPr>
            <w:tag w:val="_PLD_c5506f4356ee44cdb9eaf0a1bef214c1"/>
            <w:id w:val="147454913"/>
          </w:sdtPr>
          <w:sdtContent>
            <w:tc>
              <w:tcPr>
                <w:tcW w:w="918" w:type="pct"/>
                <w:vAlign w:val="center"/>
              </w:tcPr>
              <w:p w14:paraId="73687F43">
                <w:pPr>
                  <w:pStyle w:val="66"/>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实际发生额</w:t>
                </w:r>
              </w:p>
            </w:tc>
          </w:sdtContent>
        </w:sdt>
      </w:tr>
      <w:tr w14:paraId="15F2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vAlign w:val="center"/>
          </w:tcPr>
          <w:p w14:paraId="5F2E4607">
            <w:pPr>
              <w:widowControl w:val="0"/>
              <w:autoSpaceDE w:val="0"/>
              <w:autoSpaceDN w:val="0"/>
              <w:adjustRightInd w:val="0"/>
            </w:pPr>
            <w:r>
              <w:rPr>
                <w:rFonts w:hint="eastAsia"/>
                <w:color w:val="000000"/>
              </w:rPr>
              <w:t>新兴际华集团财务有限公司</w:t>
            </w:r>
          </w:p>
        </w:tc>
        <w:tc>
          <w:tcPr>
            <w:tcW w:w="723" w:type="pct"/>
            <w:vAlign w:val="center"/>
          </w:tcPr>
          <w:p w14:paraId="144F8EEF">
            <w:pPr>
              <w:widowControl w:val="0"/>
              <w:autoSpaceDE w:val="0"/>
              <w:autoSpaceDN w:val="0"/>
              <w:adjustRightInd w:val="0"/>
            </w:pPr>
            <w:r>
              <w:rPr>
                <w:rFonts w:hint="eastAsia"/>
                <w:color w:val="000000"/>
              </w:rPr>
              <w:t>母公司的全资子公司</w:t>
            </w:r>
          </w:p>
        </w:tc>
        <w:tc>
          <w:tcPr>
            <w:tcW w:w="1849" w:type="pct"/>
            <w:vAlign w:val="center"/>
          </w:tcPr>
          <w:p w14:paraId="0BCD3658">
            <w:pPr>
              <w:widowControl w:val="0"/>
              <w:autoSpaceDE w:val="0"/>
              <w:autoSpaceDN w:val="0"/>
              <w:adjustRightInd w:val="0"/>
            </w:pPr>
            <w:r>
              <w:rPr>
                <w:rFonts w:hint="eastAsia"/>
                <w:color w:val="000000"/>
              </w:rPr>
              <w:t>用于贷款、票据承兑与贴现、担保及其他形式的资金融通业务</w:t>
            </w:r>
          </w:p>
        </w:tc>
        <w:tc>
          <w:tcPr>
            <w:tcW w:w="868" w:type="pct"/>
            <w:vAlign w:val="center"/>
          </w:tcPr>
          <w:p w14:paraId="67E2EC03">
            <w:pPr>
              <w:widowControl w:val="0"/>
              <w:autoSpaceDE w:val="0"/>
              <w:autoSpaceDN w:val="0"/>
              <w:adjustRightInd w:val="0"/>
              <w:jc w:val="right"/>
              <w:rPr>
                <w:rFonts w:cs="Times New Roman"/>
              </w:rPr>
            </w:pPr>
            <w:r>
              <w:rPr>
                <w:rFonts w:cs="Times New Roman"/>
                <w:color w:val="000000"/>
              </w:rPr>
              <w:t>350,000.00</w:t>
            </w:r>
          </w:p>
        </w:tc>
        <w:tc>
          <w:tcPr>
            <w:tcW w:w="918" w:type="pct"/>
            <w:vAlign w:val="center"/>
          </w:tcPr>
          <w:p w14:paraId="7CE7F509">
            <w:pPr>
              <w:widowControl w:val="0"/>
              <w:autoSpaceDE w:val="0"/>
              <w:autoSpaceDN w:val="0"/>
              <w:adjustRightInd w:val="0"/>
              <w:jc w:val="right"/>
              <w:rPr>
                <w:rFonts w:cs="Times New Roman"/>
              </w:rPr>
            </w:pPr>
            <w:r>
              <w:rPr>
                <w:rFonts w:cs="Times New Roman"/>
              </w:rPr>
              <w:t>1,627.61</w:t>
            </w:r>
          </w:p>
        </w:tc>
      </w:tr>
    </w:tbl>
    <w:p w14:paraId="78A69C5E">
      <w:pPr>
        <w:rPr>
          <w:color w:val="000000" w:themeColor="text1"/>
          <w14:textFill>
            <w14:solidFill>
              <w14:schemeClr w14:val="tx1"/>
            </w14:solidFill>
          </w14:textFill>
        </w:rPr>
      </w:pPr>
    </w:p>
    <w:bookmarkEnd w:id="60"/>
    <w:p w14:paraId="54D0363F">
      <w:pPr>
        <w:pStyle w:val="58"/>
        <w:numPr>
          <w:ilvl w:val="0"/>
          <w:numId w:val="21"/>
        </w:numPr>
        <w:rPr>
          <w:rFonts w:ascii="宋体" w:hAnsi="宋体"/>
          <w:color w:val="000000" w:themeColor="text1"/>
          <w14:textFill>
            <w14:solidFill>
              <w14:schemeClr w14:val="tx1"/>
            </w14:solidFill>
          </w14:textFill>
        </w:rPr>
      </w:pPr>
      <w:bookmarkStart w:id="61" w:name="_Hlk41316022"/>
      <w:r>
        <w:rPr>
          <w:rFonts w:hint="eastAsia" w:ascii="宋体" w:hAnsi="宋体"/>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公司与存在关联关系的财务公司、公司控股财务公司与关联方之间的金融业务的其他说明[双击切换]"/>
        <w:tag w:val="_GBC_784bbb2dab8c4fa58a94c1deef51e2c9"/>
        <w:id w:val="147473714"/>
        <w:placeholder>
          <w:docPart w:val="{d8014d7a-cba5-4a66-9d59-c514dac73ae3}"/>
        </w:placeholder>
      </w:sdtPr>
      <w:sdtEndPr>
        <w:rPr>
          <w:color w:val="000000" w:themeColor="text1"/>
          <w14:textFill>
            <w14:solidFill>
              <w14:schemeClr w14:val="tx1"/>
            </w14:solidFill>
          </w14:textFill>
        </w:rPr>
      </w:sdtEndPr>
      <w:sdtContent>
        <w:p w14:paraId="302A997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B6E5315">
      <w:pPr>
        <w:rPr>
          <w:color w:val="000000" w:themeColor="text1"/>
          <w14:textFill>
            <w14:solidFill>
              <w14:schemeClr w14:val="tx1"/>
            </w14:solidFill>
          </w14:textFill>
        </w:rPr>
      </w:pPr>
    </w:p>
    <w:bookmarkEnd w:id="61"/>
    <w:p w14:paraId="07131589">
      <w:pPr>
        <w:pStyle w:val="4"/>
        <w:numPr>
          <w:ilvl w:val="2"/>
          <w:numId w:val="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其他重大关联交易</w:t>
      </w:r>
    </w:p>
    <w:sdt>
      <w:sdtPr>
        <w:rPr>
          <w:rFonts w:hint="eastAsia"/>
          <w:color w:val="000000" w:themeColor="text1"/>
          <w14:textFill>
            <w14:solidFill>
              <w14:schemeClr w14:val="tx1"/>
            </w14:solidFill>
          </w14:textFill>
        </w:rPr>
        <w:alias w:val="是否适用：重大关联交易其他说明[双击切换]"/>
        <w:tag w:val="_GBC_7dd39ac420a244dcb8ea88c29ac07190"/>
        <w:id w:val="147463493"/>
        <w:placeholder>
          <w:docPart w:val="{d8014d7a-cba5-4a66-9d59-c514dac73ae3}"/>
        </w:placeholder>
      </w:sdtPr>
      <w:sdtEndPr>
        <w:rPr>
          <w:rFonts w:hint="eastAsia"/>
          <w:color w:val="000000" w:themeColor="text1"/>
          <w14:textFill>
            <w14:solidFill>
              <w14:schemeClr w14:val="tx1"/>
            </w14:solidFill>
          </w14:textFill>
        </w:rPr>
      </w:sdtEndPr>
      <w:sdtContent>
        <w:p w14:paraId="71AACFE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47861BE">
      <w:pPr>
        <w:rPr>
          <w:color w:val="000000" w:themeColor="text1"/>
          <w14:textFill>
            <w14:solidFill>
              <w14:schemeClr w14:val="tx1"/>
            </w14:solidFill>
          </w14:textFill>
        </w:rPr>
      </w:pPr>
    </w:p>
    <w:p w14:paraId="3268EDAF">
      <w:pPr>
        <w:pStyle w:val="4"/>
        <w:numPr>
          <w:ilvl w:val="2"/>
          <w:numId w:val="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w:t>
      </w:r>
    </w:p>
    <w:sdt>
      <w:sdtPr>
        <w:rPr>
          <w:rFonts w:hint="eastAsia"/>
          <w:color w:val="000000" w:themeColor="text1"/>
          <w14:textFill>
            <w14:solidFill>
              <w14:schemeClr w14:val="tx1"/>
            </w14:solidFill>
          </w14:textFill>
        </w:rPr>
        <w:alias w:val="是否适用：重大关联交易事项其他补充说明[双击切换]"/>
        <w:tag w:val="_GBC_272061194cde466a9c566f0881c76d0d"/>
        <w:id w:val="147454057"/>
        <w:placeholder>
          <w:docPart w:val="{d8014d7a-cba5-4a66-9d59-c514dac73ae3}"/>
        </w:placeholder>
      </w:sdtPr>
      <w:sdtEndPr>
        <w:rPr>
          <w:rFonts w:hint="eastAsia"/>
          <w:color w:val="000000" w:themeColor="text1"/>
          <w14:textFill>
            <w14:solidFill>
              <w14:schemeClr w14:val="tx1"/>
            </w14:solidFill>
          </w14:textFill>
        </w:rPr>
      </w:sdtEndPr>
      <w:sdtContent>
        <w:p w14:paraId="790E6D5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73EDA35">
      <w:pPr>
        <w:rPr>
          <w:color w:val="000000" w:themeColor="text1"/>
          <w14:textFill>
            <w14:solidFill>
              <w14:schemeClr w14:val="tx1"/>
            </w14:solidFill>
          </w14:textFill>
        </w:rPr>
        <w:sectPr>
          <w:pgSz w:w="11906" w:h="16838"/>
          <w:pgMar w:top="1525" w:right="1276" w:bottom="1440" w:left="1797" w:header="855" w:footer="992" w:gutter="0"/>
          <w:cols w:space="425" w:num="1"/>
          <w:docGrid w:linePitch="312" w:charSpace="0"/>
        </w:sectPr>
      </w:pPr>
    </w:p>
    <w:p w14:paraId="5E38E26D">
      <w:pPr>
        <w:rPr>
          <w:color w:val="000000" w:themeColor="text1"/>
          <w14:textFill>
            <w14:solidFill>
              <w14:schemeClr w14:val="tx1"/>
            </w14:solidFill>
          </w14:textFill>
        </w:rPr>
      </w:pPr>
    </w:p>
    <w:p w14:paraId="56A8B6BF">
      <w:pPr>
        <w:pStyle w:val="3"/>
        <w:numPr>
          <w:ilvl w:val="0"/>
          <w:numId w:val="14"/>
        </w:numPr>
        <w:tabs>
          <w:tab w:val="left" w:pos="426"/>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重大合同及其履行情况</w:t>
      </w:r>
    </w:p>
    <w:p w14:paraId="137F1854">
      <w:pPr>
        <w:pStyle w:val="57"/>
        <w:numPr>
          <w:ilvl w:val="0"/>
          <w:numId w:val="22"/>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托管、承包、租赁事项</w:t>
      </w:r>
    </w:p>
    <w:p w14:paraId="6C3A6FC1">
      <w:pPr>
        <w:rPr>
          <w:color w:val="000000" w:themeColor="text1"/>
          <w14:textFill>
            <w14:solidFill>
              <w14:schemeClr w14:val="tx1"/>
            </w14:solidFill>
          </w14:textFill>
        </w:rPr>
      </w:pPr>
      <w:sdt>
        <w:sdtPr>
          <w:rPr>
            <w:color w:val="000000" w:themeColor="text1"/>
            <w14:textFill>
              <w14:solidFill>
                <w14:schemeClr w14:val="tx1"/>
              </w14:solidFill>
            </w14:textFill>
          </w:rPr>
          <w:alias w:val="是否适用：托管、承包、租赁事项[双击切换]"/>
          <w:tag w:val="_GBC_daed561e68674d828a348a97bffbc154"/>
          <w:id w:val="147468534"/>
          <w:lock w:val="contentLocked"/>
          <w:placeholder>
            <w:docPart w:val="{d8014d7a-cba5-4a66-9d59-c514dac73ae3}"/>
          </w:placeholder>
        </w:sdtPr>
        <w:sdtEndPr>
          <w:rPr>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1CBACAA5">
      <w:pPr>
        <w:pStyle w:val="5"/>
        <w:numPr>
          <w:ilvl w:val="0"/>
          <w:numId w:val="23"/>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托管情况</w:t>
      </w:r>
    </w:p>
    <w:sdt>
      <w:sdtPr>
        <w:rPr>
          <w:color w:val="000000" w:themeColor="text1"/>
          <w14:textFill>
            <w14:solidFill>
              <w14:schemeClr w14:val="tx1"/>
            </w14:solidFill>
          </w14:textFill>
        </w:rPr>
        <w:alias w:val="是否适用：托管情况[双击切换]"/>
        <w:tag w:val="_GBC_5f311928e67641ecb22c63cf8ecda62c"/>
        <w:id w:val="147452649"/>
        <w:placeholder>
          <w:docPart w:val="{d8014d7a-cba5-4a66-9d59-c514dac73ae3}"/>
        </w:placeholder>
      </w:sdtPr>
      <w:sdtEndPr>
        <w:rPr>
          <w:color w:val="000000" w:themeColor="text1"/>
          <w14:textFill>
            <w14:solidFill>
              <w14:schemeClr w14:val="tx1"/>
            </w14:solidFill>
          </w14:textFill>
        </w:rPr>
      </w:sdtEndPr>
      <w:sdtContent>
        <w:p w14:paraId="0990C50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7072A4C">
      <w:pPr>
        <w:wordWrap w:val="0"/>
        <w:ind w:left="239" w:leftChars="114" w:firstLine="5325" w:firstLineChars="2536"/>
        <w:jc w:val="right"/>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w:t>
      </w:r>
      <w:sdt>
        <w:sdtPr>
          <w:rPr>
            <w:color w:val="000000" w:themeColor="text1"/>
            <w14:textFill>
              <w14:solidFill>
                <w14:schemeClr w14:val="tx1"/>
              </w14:solidFill>
            </w14:textFill>
          </w:rPr>
          <w:alias w:val="单位：托管情况"/>
          <w:tag w:val="_GBC_074fed5597514114ab85d136245235ba"/>
          <w:id w:val="147454422"/>
          <w:placeholder>
            <w:docPart w:val="{d8014d7a-cba5-4a66-9d59-c514dac73ae3}"/>
          </w:placeholder>
          <w:comboBox>
            <w:listItem w:displayText="元" w:value="1"/>
            <w:listItem w:displayText="千元" w:value="1000"/>
            <w:listItem w:displayText="万元" w:value="10000"/>
            <w:listItem w:displayText="百万元" w:value="1000000"/>
            <w:listItem w:displayText="亿元" w:value="100000000"/>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万元</w:t>
          </w:r>
        </w:sdtContent>
      </w:sdt>
      <w:r>
        <w:rPr>
          <w:rFonts w:hint="eastAsia"/>
          <w:color w:val="000000" w:themeColor="text1"/>
          <w14:textFill>
            <w14:solidFill>
              <w14:schemeClr w14:val="tx1"/>
            </w14:solidFill>
          </w14:textFill>
        </w:rPr>
        <w:t xml:space="preserve">  币种</w:t>
      </w:r>
      <w:r>
        <w:rPr>
          <w:color w:val="000000" w:themeColor="text1"/>
          <w14:textFill>
            <w14:solidFill>
              <w14:schemeClr w14:val="tx1"/>
            </w14:solidFill>
          </w14:textFill>
        </w:rPr>
        <w:t>：</w:t>
      </w:r>
      <w:sdt>
        <w:sdtPr>
          <w:rPr>
            <w:color w:val="000000" w:themeColor="text1"/>
            <w14:textFill>
              <w14:solidFill>
                <w14:schemeClr w14:val="tx1"/>
              </w14:solidFill>
            </w14:textFill>
          </w:rPr>
          <w:alias w:val="币种：托管情况"/>
          <w:tag w:val="_GBC_152c8298ced347eb9e48f1314b94ca0f"/>
          <w:id w:val="147472497"/>
          <w:placeholder>
            <w:docPart w:val="{d8014d7a-cba5-4a66-9d59-c514dac73ae3}"/>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人民币</w:t>
          </w:r>
        </w:sdtContent>
      </w:sdt>
    </w:p>
    <w:tbl>
      <w:tblPr>
        <w:tblStyle w:val="37"/>
        <w:tblW w:w="5004"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1273"/>
        <w:gridCol w:w="1269"/>
        <w:gridCol w:w="1269"/>
        <w:gridCol w:w="1367"/>
        <w:gridCol w:w="1392"/>
        <w:gridCol w:w="1285"/>
        <w:gridCol w:w="1029"/>
        <w:gridCol w:w="1804"/>
        <w:gridCol w:w="1224"/>
        <w:gridCol w:w="775"/>
        <w:gridCol w:w="1255"/>
      </w:tblGrid>
      <w:tr w14:paraId="1CCFC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fcd07b9b2b194ebba67dfcab4ee60ab1"/>
            <w:id w:val="147479883"/>
          </w:sdtPr>
          <w:sdtContent>
            <w:tc>
              <w:tcPr>
                <w:tcW w:w="457" w:type="pct"/>
                <w:vAlign w:val="center"/>
              </w:tcPr>
              <w:p w14:paraId="650D9DEE">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委托方名称</w:t>
                </w:r>
              </w:p>
            </w:tc>
          </w:sdtContent>
        </w:sdt>
        <w:sdt>
          <w:sdtPr>
            <w:tag w:val="_PLD_81ac11c89b33491cbeda1bd793e0422d"/>
            <w:id w:val="147450962"/>
          </w:sdtPr>
          <w:sdtContent>
            <w:tc>
              <w:tcPr>
                <w:tcW w:w="455" w:type="pct"/>
                <w:vAlign w:val="center"/>
              </w:tcPr>
              <w:p w14:paraId="2AA6724D">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受托方名称</w:t>
                </w:r>
              </w:p>
            </w:tc>
          </w:sdtContent>
        </w:sdt>
        <w:sdt>
          <w:sdtPr>
            <w:tag w:val="_PLD_68bd90f498ee4185aa81bf3f8706f2f6"/>
            <w:id w:val="147466185"/>
          </w:sdtPr>
          <w:sdtContent>
            <w:tc>
              <w:tcPr>
                <w:tcW w:w="455" w:type="pct"/>
                <w:vAlign w:val="center"/>
              </w:tcPr>
              <w:p w14:paraId="2C180A81">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托管资产情况</w:t>
                </w:r>
              </w:p>
            </w:tc>
          </w:sdtContent>
        </w:sdt>
        <w:sdt>
          <w:sdtPr>
            <w:tag w:val="_PLD_a41ab99ae2b84bc381cbf3f2aeffae9e"/>
            <w:id w:val="147468235"/>
          </w:sdtPr>
          <w:sdtContent>
            <w:tc>
              <w:tcPr>
                <w:tcW w:w="490" w:type="pct"/>
                <w:vAlign w:val="center"/>
              </w:tcPr>
              <w:p w14:paraId="3A6BB192">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托管资产涉及金额</w:t>
                </w:r>
              </w:p>
            </w:tc>
          </w:sdtContent>
        </w:sdt>
        <w:sdt>
          <w:sdtPr>
            <w:tag w:val="_PLD_83e56192e6fb4063ac6daeca59f07ecf"/>
            <w:id w:val="147475553"/>
          </w:sdtPr>
          <w:sdtContent>
            <w:tc>
              <w:tcPr>
                <w:tcW w:w="499" w:type="pct"/>
                <w:vAlign w:val="center"/>
              </w:tcPr>
              <w:p w14:paraId="4DA8146E">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托管起始日</w:t>
                </w:r>
              </w:p>
            </w:tc>
          </w:sdtContent>
        </w:sdt>
        <w:sdt>
          <w:sdtPr>
            <w:tag w:val="_PLD_f4fd4bca8a404904844f88fe93aa433d"/>
            <w:id w:val="147451228"/>
          </w:sdtPr>
          <w:sdtContent>
            <w:tc>
              <w:tcPr>
                <w:tcW w:w="461" w:type="pct"/>
                <w:vAlign w:val="center"/>
              </w:tcPr>
              <w:p w14:paraId="4E6E3867">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托管终止日</w:t>
                </w:r>
              </w:p>
            </w:tc>
          </w:sdtContent>
        </w:sdt>
        <w:sdt>
          <w:sdtPr>
            <w:tag w:val="_PLD_e17e764bd7324555a25f89003e7bafdb"/>
            <w:id w:val="147466374"/>
          </w:sdtPr>
          <w:sdtContent>
            <w:tc>
              <w:tcPr>
                <w:tcW w:w="369" w:type="pct"/>
                <w:vAlign w:val="center"/>
              </w:tcPr>
              <w:p w14:paraId="7EA78A2E">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托管收益</w:t>
                </w:r>
              </w:p>
            </w:tc>
          </w:sdtContent>
        </w:sdt>
        <w:sdt>
          <w:sdtPr>
            <w:tag w:val="_PLD_10470f65493b4afba8cdee6138d52e9b"/>
            <w:id w:val="147477960"/>
          </w:sdtPr>
          <w:sdtContent>
            <w:tc>
              <w:tcPr>
                <w:tcW w:w="647" w:type="pct"/>
                <w:vAlign w:val="center"/>
              </w:tcPr>
              <w:p w14:paraId="14240F4D">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托管收益确定依据</w:t>
                </w:r>
              </w:p>
            </w:tc>
          </w:sdtContent>
        </w:sdt>
        <w:sdt>
          <w:sdtPr>
            <w:tag w:val="_PLD_6c27ebfece354472b693a7011dcc34c0"/>
            <w:id w:val="147474069"/>
          </w:sdtPr>
          <w:sdtContent>
            <w:tc>
              <w:tcPr>
                <w:tcW w:w="439" w:type="pct"/>
                <w:vAlign w:val="center"/>
              </w:tcPr>
              <w:p w14:paraId="04080910">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托管收益对公司影响</w:t>
                </w:r>
              </w:p>
            </w:tc>
          </w:sdtContent>
        </w:sdt>
        <w:sdt>
          <w:sdtPr>
            <w:tag w:val="_PLD_c9564edabc8b44b8a95cde135adf232b"/>
            <w:id w:val="147459077"/>
          </w:sdtPr>
          <w:sdtContent>
            <w:tc>
              <w:tcPr>
                <w:tcW w:w="278" w:type="pct"/>
                <w:vAlign w:val="center"/>
              </w:tcPr>
              <w:p w14:paraId="18F4E8CD">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是否关联交易</w:t>
                </w:r>
              </w:p>
            </w:tc>
          </w:sdtContent>
        </w:sdt>
        <w:sdt>
          <w:sdtPr>
            <w:tag w:val="_PLD_014683419e4546998e86b66fb4ced004"/>
            <w:id w:val="147468160"/>
          </w:sdtPr>
          <w:sdtContent>
            <w:tc>
              <w:tcPr>
                <w:tcW w:w="452" w:type="pct"/>
                <w:vAlign w:val="center"/>
              </w:tcPr>
              <w:p w14:paraId="4450F630">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关联关系</w:t>
                </w:r>
              </w:p>
            </w:tc>
          </w:sdtContent>
        </w:sdt>
      </w:tr>
      <w:tr w14:paraId="00144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457" w:type="pct"/>
            <w:vAlign w:val="center"/>
          </w:tcPr>
          <w:p w14:paraId="17B2C1DD">
            <w:pPr>
              <w:autoSpaceDE w:val="0"/>
              <w:autoSpaceDN w:val="0"/>
              <w:adjustRightInd w:val="0"/>
              <w:jc w:val="center"/>
            </w:pPr>
            <w:r>
              <w:rPr>
                <w:rFonts w:hint="eastAsia"/>
              </w:rPr>
              <w:t>际华集团股份有限公司</w:t>
            </w:r>
          </w:p>
        </w:tc>
        <w:tc>
          <w:tcPr>
            <w:tcW w:w="455" w:type="pct"/>
            <w:vAlign w:val="center"/>
          </w:tcPr>
          <w:p w14:paraId="23BC077B">
            <w:pPr>
              <w:pStyle w:val="15"/>
              <w:autoSpaceDE w:val="0"/>
              <w:autoSpaceDN w:val="0"/>
              <w:adjustRightInd w:val="0"/>
              <w:jc w:val="center"/>
              <w:rPr>
                <w:rFonts w:ascii="宋体" w:hAnsi="宋体"/>
              </w:rPr>
            </w:pPr>
            <w:r>
              <w:rPr>
                <w:rFonts w:hint="eastAsia"/>
              </w:rPr>
              <w:t>新兴际华资产经营管理有限公司</w:t>
            </w:r>
          </w:p>
        </w:tc>
        <w:tc>
          <w:tcPr>
            <w:tcW w:w="455" w:type="pct"/>
            <w:vAlign w:val="center"/>
          </w:tcPr>
          <w:p w14:paraId="6DF5494C">
            <w:pPr>
              <w:autoSpaceDE w:val="0"/>
              <w:autoSpaceDN w:val="0"/>
              <w:adjustRightInd w:val="0"/>
              <w:jc w:val="center"/>
            </w:pPr>
            <w:r>
              <w:rPr>
                <w:rFonts w:hint="eastAsia"/>
              </w:rPr>
              <w:t>重庆际华目的地中心实业有限公司</w:t>
            </w:r>
          </w:p>
        </w:tc>
        <w:tc>
          <w:tcPr>
            <w:tcW w:w="490" w:type="pct"/>
            <w:vAlign w:val="center"/>
          </w:tcPr>
          <w:p w14:paraId="6463E733">
            <w:pPr>
              <w:jc w:val="right"/>
              <w:textAlignment w:val="center"/>
              <w:rPr>
                <w:rFonts w:cs="Times New Roman"/>
              </w:rPr>
            </w:pPr>
            <w:r>
              <w:rPr>
                <w:rFonts w:eastAsia="Arial Narrow" w:cs="Times New Roman"/>
                <w:color w:val="000000"/>
                <w:lang w:bidi="ar"/>
              </w:rPr>
              <w:t>62,630.41</w:t>
            </w:r>
          </w:p>
        </w:tc>
        <w:tc>
          <w:tcPr>
            <w:tcW w:w="499" w:type="pct"/>
            <w:vAlign w:val="center"/>
          </w:tcPr>
          <w:p w14:paraId="02F877BF">
            <w:pPr>
              <w:autoSpaceDE w:val="0"/>
              <w:autoSpaceDN w:val="0"/>
              <w:adjustRightInd w:val="0"/>
              <w:jc w:val="center"/>
            </w:pPr>
            <w:r>
              <w:rPr>
                <w:rFonts w:hint="eastAsia"/>
              </w:rPr>
              <w:t>2022-10-01</w:t>
            </w:r>
          </w:p>
        </w:tc>
        <w:tc>
          <w:tcPr>
            <w:tcW w:w="461" w:type="pct"/>
            <w:vAlign w:val="center"/>
          </w:tcPr>
          <w:p w14:paraId="2AD18E7A">
            <w:pPr>
              <w:autoSpaceDE w:val="0"/>
              <w:autoSpaceDN w:val="0"/>
              <w:adjustRightInd w:val="0"/>
              <w:jc w:val="center"/>
            </w:pPr>
            <w:r>
              <w:rPr>
                <w:rFonts w:hint="eastAsia"/>
              </w:rPr>
              <w:t>2025-12-31</w:t>
            </w:r>
          </w:p>
        </w:tc>
        <w:tc>
          <w:tcPr>
            <w:tcW w:w="369" w:type="pct"/>
            <w:vAlign w:val="center"/>
          </w:tcPr>
          <w:p w14:paraId="6F1BF34C">
            <w:pPr>
              <w:autoSpaceDE w:val="0"/>
              <w:autoSpaceDN w:val="0"/>
              <w:adjustRightInd w:val="0"/>
              <w:jc w:val="center"/>
            </w:pPr>
            <w:r>
              <w:rPr>
                <w:rFonts w:hint="eastAsia"/>
              </w:rPr>
              <w:t>0</w:t>
            </w:r>
          </w:p>
        </w:tc>
        <w:tc>
          <w:tcPr>
            <w:tcW w:w="647" w:type="pct"/>
            <w:vAlign w:val="center"/>
          </w:tcPr>
          <w:p w14:paraId="7AC9C352">
            <w:pPr>
              <w:autoSpaceDE w:val="0"/>
              <w:autoSpaceDN w:val="0"/>
              <w:adjustRightInd w:val="0"/>
              <w:jc w:val="center"/>
            </w:pPr>
            <w:r>
              <w:rPr>
                <w:rFonts w:hint="eastAsia"/>
              </w:rPr>
              <w:t>《际华园委托经营管理协议》</w:t>
            </w:r>
          </w:p>
        </w:tc>
        <w:tc>
          <w:tcPr>
            <w:tcW w:w="439" w:type="pct"/>
            <w:vAlign w:val="center"/>
          </w:tcPr>
          <w:p w14:paraId="3BDB895F">
            <w:pPr>
              <w:autoSpaceDE w:val="0"/>
              <w:autoSpaceDN w:val="0"/>
              <w:adjustRightInd w:val="0"/>
              <w:jc w:val="center"/>
            </w:pPr>
            <w:r>
              <w:rPr>
                <w:rFonts w:hint="eastAsia"/>
              </w:rPr>
              <w:t>无</w:t>
            </w:r>
          </w:p>
        </w:tc>
        <w:tc>
          <w:tcPr>
            <w:tcW w:w="278" w:type="pct"/>
            <w:vAlign w:val="center"/>
          </w:tcPr>
          <w:p w14:paraId="5940B9A3">
            <w:pPr>
              <w:autoSpaceDE w:val="0"/>
              <w:autoSpaceDN w:val="0"/>
              <w:adjustRightInd w:val="0"/>
              <w:jc w:val="center"/>
              <w:rPr>
                <w:color w:val="000000" w:themeColor="text1"/>
                <w14:textFill>
                  <w14:solidFill>
                    <w14:schemeClr w14:val="tx1"/>
                  </w14:solidFill>
                </w14:textFill>
              </w:rPr>
            </w:pPr>
            <w:r>
              <w:rPr>
                <w:rFonts w:hint="eastAsia"/>
              </w:rPr>
              <w:t>是</w:t>
            </w:r>
          </w:p>
        </w:tc>
        <w:tc>
          <w:tcPr>
            <w:tcW w:w="452" w:type="pct"/>
            <w:vAlign w:val="center"/>
          </w:tcPr>
          <w:p w14:paraId="48CC8F19">
            <w:pPr>
              <w:autoSpaceDE w:val="0"/>
              <w:autoSpaceDN w:val="0"/>
              <w:adjustRightInd w:val="0"/>
              <w:jc w:val="center"/>
              <w:rPr>
                <w:color w:val="000000" w:themeColor="text1"/>
                <w14:textFill>
                  <w14:solidFill>
                    <w14:schemeClr w14:val="tx1"/>
                  </w14:solidFill>
                </w14:textFill>
              </w:rPr>
            </w:pPr>
            <w:r>
              <w:rPr>
                <w:rFonts w:hint="eastAsia"/>
              </w:rPr>
              <w:t>母公司的全资子公司</w:t>
            </w:r>
          </w:p>
        </w:tc>
      </w:tr>
      <w:tr w14:paraId="39FE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457" w:type="pct"/>
            <w:vAlign w:val="center"/>
          </w:tcPr>
          <w:p w14:paraId="5D459A7E">
            <w:pPr>
              <w:autoSpaceDE w:val="0"/>
              <w:autoSpaceDN w:val="0"/>
              <w:adjustRightInd w:val="0"/>
              <w:jc w:val="center"/>
            </w:pPr>
            <w:r>
              <w:rPr>
                <w:rFonts w:hint="eastAsia"/>
              </w:rPr>
              <w:t>际华集团股份有限公司</w:t>
            </w:r>
          </w:p>
        </w:tc>
        <w:tc>
          <w:tcPr>
            <w:tcW w:w="455" w:type="pct"/>
            <w:vAlign w:val="center"/>
          </w:tcPr>
          <w:p w14:paraId="76904238">
            <w:pPr>
              <w:pStyle w:val="15"/>
              <w:autoSpaceDE w:val="0"/>
              <w:autoSpaceDN w:val="0"/>
              <w:adjustRightInd w:val="0"/>
              <w:jc w:val="center"/>
              <w:rPr>
                <w:rFonts w:ascii="宋体" w:hAnsi="宋体"/>
              </w:rPr>
            </w:pPr>
            <w:r>
              <w:rPr>
                <w:rFonts w:hint="eastAsia"/>
              </w:rPr>
              <w:t>新兴际华资产经营管理有限公司</w:t>
            </w:r>
          </w:p>
        </w:tc>
        <w:tc>
          <w:tcPr>
            <w:tcW w:w="455" w:type="pct"/>
            <w:vAlign w:val="center"/>
          </w:tcPr>
          <w:p w14:paraId="4CBB6EBF">
            <w:pPr>
              <w:autoSpaceDE w:val="0"/>
              <w:autoSpaceDN w:val="0"/>
              <w:adjustRightInd w:val="0"/>
              <w:jc w:val="center"/>
            </w:pPr>
            <w:r>
              <w:rPr>
                <w:rFonts w:hint="eastAsia"/>
              </w:rPr>
              <w:t>长春际华投资建设有限公司</w:t>
            </w:r>
          </w:p>
        </w:tc>
        <w:tc>
          <w:tcPr>
            <w:tcW w:w="490" w:type="pct"/>
            <w:vAlign w:val="center"/>
          </w:tcPr>
          <w:p w14:paraId="33FE9D8A">
            <w:pPr>
              <w:jc w:val="right"/>
              <w:textAlignment w:val="center"/>
              <w:rPr>
                <w:rFonts w:cs="Times New Roman"/>
              </w:rPr>
            </w:pPr>
            <w:r>
              <w:rPr>
                <w:rFonts w:eastAsia="Arial Narrow" w:cs="Times New Roman"/>
                <w:color w:val="000000"/>
                <w:lang w:bidi="ar"/>
              </w:rPr>
              <w:t>28,696.27</w:t>
            </w:r>
          </w:p>
        </w:tc>
        <w:tc>
          <w:tcPr>
            <w:tcW w:w="499" w:type="pct"/>
            <w:vAlign w:val="center"/>
          </w:tcPr>
          <w:p w14:paraId="636FB5F5">
            <w:pPr>
              <w:autoSpaceDE w:val="0"/>
              <w:autoSpaceDN w:val="0"/>
              <w:adjustRightInd w:val="0"/>
              <w:jc w:val="center"/>
            </w:pPr>
            <w:r>
              <w:rPr>
                <w:rFonts w:hint="eastAsia"/>
              </w:rPr>
              <w:t>2022-10-01</w:t>
            </w:r>
          </w:p>
        </w:tc>
        <w:tc>
          <w:tcPr>
            <w:tcW w:w="461" w:type="pct"/>
            <w:vAlign w:val="center"/>
          </w:tcPr>
          <w:p w14:paraId="37D39068">
            <w:pPr>
              <w:autoSpaceDE w:val="0"/>
              <w:autoSpaceDN w:val="0"/>
              <w:adjustRightInd w:val="0"/>
              <w:jc w:val="center"/>
            </w:pPr>
            <w:r>
              <w:rPr>
                <w:rFonts w:hint="eastAsia"/>
              </w:rPr>
              <w:t>2025-12-31</w:t>
            </w:r>
          </w:p>
        </w:tc>
        <w:tc>
          <w:tcPr>
            <w:tcW w:w="369" w:type="pct"/>
            <w:vAlign w:val="center"/>
          </w:tcPr>
          <w:p w14:paraId="62C155F2">
            <w:pPr>
              <w:autoSpaceDE w:val="0"/>
              <w:autoSpaceDN w:val="0"/>
              <w:adjustRightInd w:val="0"/>
              <w:jc w:val="center"/>
            </w:pPr>
            <w:r>
              <w:rPr>
                <w:rFonts w:hint="eastAsia"/>
              </w:rPr>
              <w:t>0</w:t>
            </w:r>
          </w:p>
        </w:tc>
        <w:tc>
          <w:tcPr>
            <w:tcW w:w="647" w:type="pct"/>
            <w:vAlign w:val="center"/>
          </w:tcPr>
          <w:p w14:paraId="1070F7FC">
            <w:pPr>
              <w:autoSpaceDE w:val="0"/>
              <w:autoSpaceDN w:val="0"/>
              <w:adjustRightInd w:val="0"/>
              <w:jc w:val="center"/>
            </w:pPr>
            <w:r>
              <w:rPr>
                <w:rFonts w:hint="eastAsia"/>
              </w:rPr>
              <w:t>《际华园委托经营管理协议》</w:t>
            </w:r>
          </w:p>
        </w:tc>
        <w:tc>
          <w:tcPr>
            <w:tcW w:w="439" w:type="pct"/>
            <w:vAlign w:val="center"/>
          </w:tcPr>
          <w:p w14:paraId="7C218849">
            <w:pPr>
              <w:autoSpaceDE w:val="0"/>
              <w:autoSpaceDN w:val="0"/>
              <w:adjustRightInd w:val="0"/>
              <w:jc w:val="center"/>
            </w:pPr>
            <w:r>
              <w:rPr>
                <w:rFonts w:hint="eastAsia"/>
              </w:rPr>
              <w:t>无</w:t>
            </w:r>
          </w:p>
        </w:tc>
        <w:tc>
          <w:tcPr>
            <w:tcW w:w="278" w:type="pct"/>
            <w:vAlign w:val="center"/>
          </w:tcPr>
          <w:p w14:paraId="17B3E8BB">
            <w:pPr>
              <w:autoSpaceDE w:val="0"/>
              <w:autoSpaceDN w:val="0"/>
              <w:adjustRightInd w:val="0"/>
              <w:jc w:val="center"/>
              <w:rPr>
                <w:color w:val="000000" w:themeColor="text1"/>
                <w14:textFill>
                  <w14:solidFill>
                    <w14:schemeClr w14:val="tx1"/>
                  </w14:solidFill>
                </w14:textFill>
              </w:rPr>
            </w:pPr>
            <w:r>
              <w:rPr>
                <w:rFonts w:hint="eastAsia"/>
              </w:rPr>
              <w:t>是</w:t>
            </w:r>
          </w:p>
        </w:tc>
        <w:tc>
          <w:tcPr>
            <w:tcW w:w="452" w:type="pct"/>
            <w:vAlign w:val="center"/>
          </w:tcPr>
          <w:p w14:paraId="60742191">
            <w:pPr>
              <w:autoSpaceDE w:val="0"/>
              <w:autoSpaceDN w:val="0"/>
              <w:adjustRightInd w:val="0"/>
              <w:jc w:val="center"/>
              <w:rPr>
                <w:color w:val="000000" w:themeColor="text1"/>
                <w14:textFill>
                  <w14:solidFill>
                    <w14:schemeClr w14:val="tx1"/>
                  </w14:solidFill>
                </w14:textFill>
              </w:rPr>
            </w:pPr>
            <w:r>
              <w:rPr>
                <w:rFonts w:hint="eastAsia"/>
              </w:rPr>
              <w:t>母公司的全资子公司</w:t>
            </w:r>
          </w:p>
        </w:tc>
      </w:tr>
      <w:tr w14:paraId="5AC14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457" w:type="pct"/>
            <w:vAlign w:val="center"/>
          </w:tcPr>
          <w:p w14:paraId="306CA74D">
            <w:pPr>
              <w:autoSpaceDE w:val="0"/>
              <w:autoSpaceDN w:val="0"/>
              <w:adjustRightInd w:val="0"/>
              <w:jc w:val="center"/>
            </w:pPr>
            <w:r>
              <w:rPr>
                <w:rFonts w:hint="eastAsia"/>
              </w:rPr>
              <w:t>际华三五三六实业有限公司</w:t>
            </w:r>
          </w:p>
        </w:tc>
        <w:tc>
          <w:tcPr>
            <w:tcW w:w="455" w:type="pct"/>
            <w:vAlign w:val="center"/>
          </w:tcPr>
          <w:p w14:paraId="3E012041">
            <w:pPr>
              <w:pStyle w:val="15"/>
              <w:autoSpaceDE w:val="0"/>
              <w:autoSpaceDN w:val="0"/>
              <w:adjustRightInd w:val="0"/>
              <w:jc w:val="center"/>
              <w:rPr>
                <w:rFonts w:ascii="宋体" w:hAnsi="宋体"/>
              </w:rPr>
            </w:pPr>
            <w:r>
              <w:rPr>
                <w:rFonts w:hint="eastAsia" w:ascii="宋体" w:hAnsi="宋体"/>
              </w:rPr>
              <w:t>荷原置地控股有限公司</w:t>
            </w:r>
          </w:p>
        </w:tc>
        <w:tc>
          <w:tcPr>
            <w:tcW w:w="455" w:type="pct"/>
            <w:vAlign w:val="center"/>
          </w:tcPr>
          <w:p w14:paraId="12C35DA7">
            <w:pPr>
              <w:autoSpaceDE w:val="0"/>
              <w:autoSpaceDN w:val="0"/>
              <w:adjustRightInd w:val="0"/>
              <w:jc w:val="center"/>
            </w:pPr>
            <w:r>
              <w:rPr>
                <w:rFonts w:hint="eastAsia"/>
              </w:rPr>
              <w:t>3536公司所持有的位于绵阳市棉兴路东段62号地块</w:t>
            </w:r>
          </w:p>
        </w:tc>
        <w:tc>
          <w:tcPr>
            <w:tcW w:w="490" w:type="pct"/>
            <w:vAlign w:val="center"/>
          </w:tcPr>
          <w:p w14:paraId="02316439">
            <w:pPr>
              <w:jc w:val="right"/>
              <w:textAlignment w:val="center"/>
              <w:rPr>
                <w:rFonts w:cs="Times New Roman"/>
              </w:rPr>
            </w:pPr>
            <w:r>
              <w:rPr>
                <w:rFonts w:eastAsia="Arial Narrow" w:cs="Times New Roman"/>
                <w:color w:val="000000"/>
                <w:lang w:bidi="ar"/>
              </w:rPr>
              <w:t>42,592.79</w:t>
            </w:r>
          </w:p>
        </w:tc>
        <w:tc>
          <w:tcPr>
            <w:tcW w:w="499" w:type="pct"/>
            <w:vAlign w:val="center"/>
          </w:tcPr>
          <w:p w14:paraId="4DA9B814">
            <w:pPr>
              <w:autoSpaceDE w:val="0"/>
              <w:autoSpaceDN w:val="0"/>
              <w:adjustRightInd w:val="0"/>
              <w:jc w:val="center"/>
            </w:pPr>
            <w:r>
              <w:rPr>
                <w:rFonts w:hint="eastAsia"/>
              </w:rPr>
              <w:t>2022-09-30</w:t>
            </w:r>
          </w:p>
        </w:tc>
        <w:tc>
          <w:tcPr>
            <w:tcW w:w="461" w:type="pct"/>
            <w:vAlign w:val="center"/>
          </w:tcPr>
          <w:p w14:paraId="6BA8E9A5">
            <w:pPr>
              <w:autoSpaceDE w:val="0"/>
              <w:autoSpaceDN w:val="0"/>
              <w:adjustRightInd w:val="0"/>
              <w:jc w:val="center"/>
            </w:pPr>
            <w:r>
              <w:rPr>
                <w:rFonts w:hint="eastAsia"/>
              </w:rPr>
              <w:t>项目最后一期销售物业交付满1个月为止</w:t>
            </w:r>
          </w:p>
        </w:tc>
        <w:tc>
          <w:tcPr>
            <w:tcW w:w="369" w:type="pct"/>
            <w:vAlign w:val="center"/>
          </w:tcPr>
          <w:p w14:paraId="0500BACE">
            <w:pPr>
              <w:autoSpaceDE w:val="0"/>
              <w:autoSpaceDN w:val="0"/>
              <w:adjustRightInd w:val="0"/>
              <w:jc w:val="center"/>
            </w:pPr>
            <w:r>
              <w:rPr>
                <w:rFonts w:hint="eastAsia"/>
              </w:rPr>
              <w:t>0</w:t>
            </w:r>
          </w:p>
        </w:tc>
        <w:tc>
          <w:tcPr>
            <w:tcW w:w="647" w:type="pct"/>
            <w:vAlign w:val="center"/>
          </w:tcPr>
          <w:p w14:paraId="0816C85C">
            <w:pPr>
              <w:autoSpaceDE w:val="0"/>
              <w:autoSpaceDN w:val="0"/>
              <w:adjustRightInd w:val="0"/>
              <w:jc w:val="center"/>
            </w:pPr>
            <w:r>
              <w:rPr>
                <w:rFonts w:hint="eastAsia"/>
              </w:rPr>
              <w:t>《3536公司与新兴建新公司之带资代建协议》</w:t>
            </w:r>
          </w:p>
        </w:tc>
        <w:tc>
          <w:tcPr>
            <w:tcW w:w="439" w:type="pct"/>
            <w:vAlign w:val="center"/>
          </w:tcPr>
          <w:p w14:paraId="790C328A">
            <w:pPr>
              <w:autoSpaceDE w:val="0"/>
              <w:autoSpaceDN w:val="0"/>
              <w:adjustRightInd w:val="0"/>
              <w:jc w:val="center"/>
            </w:pPr>
            <w:r>
              <w:rPr>
                <w:rFonts w:hint="eastAsia"/>
              </w:rPr>
              <w:t>无</w:t>
            </w:r>
          </w:p>
        </w:tc>
        <w:tc>
          <w:tcPr>
            <w:tcW w:w="278" w:type="pct"/>
            <w:vAlign w:val="center"/>
          </w:tcPr>
          <w:p w14:paraId="304B9974">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c>
          <w:tcPr>
            <w:tcW w:w="452" w:type="pct"/>
            <w:vAlign w:val="center"/>
          </w:tcPr>
          <w:p w14:paraId="4650CA23">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母公司的控股子公司</w:t>
            </w:r>
          </w:p>
        </w:tc>
      </w:tr>
    </w:tbl>
    <w:p w14:paraId="61FA2CAC">
      <w:pPr>
        <w:rPr>
          <w:color w:val="000000" w:themeColor="text1"/>
          <w14:textFill>
            <w14:solidFill>
              <w14:schemeClr w14:val="tx1"/>
            </w14:solidFill>
          </w14:textFill>
        </w:rPr>
      </w:pPr>
      <w:r>
        <w:rPr>
          <w:color w:val="000000" w:themeColor="text1"/>
          <w14:textFill>
            <w14:solidFill>
              <w14:schemeClr w14:val="tx1"/>
            </w14:solidFill>
          </w14:textFill>
        </w:rPr>
        <w:t>托管情况说明</w:t>
      </w:r>
    </w:p>
    <w:sdt>
      <w:sdtPr>
        <w:rPr>
          <w:rFonts w:hint="eastAsia"/>
          <w:color w:val="000000" w:themeColor="text1"/>
          <w14:textFill>
            <w14:solidFill>
              <w14:schemeClr w14:val="tx1"/>
            </w14:solidFill>
          </w14:textFill>
        </w:rPr>
        <w:alias w:val="托管情况说明"/>
        <w:tag w:val="_GBC_5eed16ec393348da89b5ea8bfec68130"/>
        <w:id w:val="147453882"/>
        <w:placeholder>
          <w:docPart w:val="{d8014d7a-cba5-4a66-9d59-c514dac73ae3}"/>
        </w:placeholder>
      </w:sdtPr>
      <w:sdtEndPr>
        <w:rPr>
          <w:rFonts w:hint="eastAsia"/>
          <w:color w:val="000000" w:themeColor="text1"/>
          <w14:textFill>
            <w14:solidFill>
              <w14:schemeClr w14:val="tx1"/>
            </w14:solidFill>
          </w14:textFill>
        </w:rPr>
      </w:sdtEndPr>
      <w:sdtContent>
        <w:p w14:paraId="4B159FF2">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与新兴际华资产经营管理有限公司于2022年9月30日在北京签署了《际华园委托经营管理协议》。根据协议约定，公司委托新兴际华资产经营管理有限公司对公司下属全资子公司重庆际华目的地中心实业有限公司、长春际华投资建设有限公司进行经营管理，委托管理期限至2025年12月31日。详见公司于2022年10月10日在上海证券交易所网站（www.sse.com.cn）披露的《关于委托管理际华园项目暨关联交易的公告》。</w:t>
          </w:r>
        </w:p>
        <w:p w14:paraId="67D85C41">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之子公司际华三五三六实业有限公司（以下简称“际华3536公司”）与新兴建新（深圳）开发控股有限公司（现已更名为“荷原置地控股有限公司”）于2022年9月30日在北京签署了《3536公司与新兴建新公司之带资代建协议》，委托新兴建新（深圳）开发控股有限公司对际华3536公司所持有的位于绵阳市棉兴路东段62号地块（以下简称“项目地块”）进行开发建设管理，由新兴建新公司负责项目融资、开发建设管理、销售管理等相关经营管理事宜，并收取融资利息以及代建服务费等相关费用。委托管理期限至项目最后一期销售物业交付满一个月为止。详见公司于2022年10月10日在上海证券交易所网站（www.sse.com.cn）披露的《关于全资子公司委托管理资产和业务暨关联交易的公告》。</w:t>
          </w:r>
        </w:p>
      </w:sdtContent>
    </w:sdt>
    <w:p w14:paraId="47DE5779">
      <w:pPr>
        <w:rPr>
          <w:color w:val="000000" w:themeColor="text1"/>
          <w14:textFill>
            <w14:solidFill>
              <w14:schemeClr w14:val="tx1"/>
            </w14:solidFill>
          </w14:textFill>
        </w:rPr>
      </w:pPr>
    </w:p>
    <w:p w14:paraId="36E85C0D">
      <w:pPr>
        <w:pStyle w:val="5"/>
        <w:numPr>
          <w:ilvl w:val="0"/>
          <w:numId w:val="23"/>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承包情况</w:t>
      </w:r>
    </w:p>
    <w:sdt>
      <w:sdtPr>
        <w:rPr>
          <w:color w:val="000000" w:themeColor="text1"/>
          <w14:textFill>
            <w14:solidFill>
              <w14:schemeClr w14:val="tx1"/>
            </w14:solidFill>
          </w14:textFill>
        </w:rPr>
        <w:alias w:val="是否适用：承包情况[双击切换]"/>
        <w:tag w:val="_GBC_6780ba385e1b4167bc4be5b432f0a825"/>
        <w:id w:val="147463387"/>
        <w:placeholder>
          <w:docPart w:val="{d8014d7a-cba5-4a66-9d59-c514dac73ae3}"/>
        </w:placeholder>
      </w:sdtPr>
      <w:sdtEndPr>
        <w:rPr>
          <w:color w:val="000000" w:themeColor="text1"/>
          <w14:textFill>
            <w14:solidFill>
              <w14:schemeClr w14:val="tx1"/>
            </w14:solidFill>
          </w14:textFill>
        </w:rPr>
      </w:sdtEndPr>
      <w:sdtContent>
        <w:p w14:paraId="7F8F419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BDA66F5">
      <w:pPr>
        <w:rPr>
          <w:color w:val="000000" w:themeColor="text1"/>
          <w14:textFill>
            <w14:solidFill>
              <w14:schemeClr w14:val="tx1"/>
            </w14:solidFill>
          </w14:textFill>
        </w:rPr>
      </w:pPr>
    </w:p>
    <w:p w14:paraId="74852E95">
      <w:pPr>
        <w:rPr>
          <w:color w:val="000000" w:themeColor="text1"/>
          <w14:textFill>
            <w14:solidFill>
              <w14:schemeClr w14:val="tx1"/>
            </w14:solidFill>
          </w14:textFill>
        </w:rPr>
      </w:pPr>
    </w:p>
    <w:p w14:paraId="6438C3FA">
      <w:pPr>
        <w:pStyle w:val="5"/>
        <w:numPr>
          <w:ilvl w:val="0"/>
          <w:numId w:val="23"/>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租赁情况</w:t>
      </w:r>
    </w:p>
    <w:sdt>
      <w:sdtPr>
        <w:rPr>
          <w:color w:val="000000" w:themeColor="text1"/>
          <w14:textFill>
            <w14:solidFill>
              <w14:schemeClr w14:val="tx1"/>
            </w14:solidFill>
          </w14:textFill>
        </w:rPr>
        <w:alias w:val="是否适用：租赁情况[双击切换]"/>
        <w:tag w:val="_GBC_0f311154c0f24dc687b16bed59ae8dd2"/>
        <w:id w:val="147468956"/>
        <w:placeholder>
          <w:docPart w:val="{d8014d7a-cba5-4a66-9d59-c514dac73ae3}"/>
        </w:placeholder>
      </w:sdtPr>
      <w:sdtEndPr>
        <w:rPr>
          <w:color w:val="000000" w:themeColor="text1"/>
          <w14:textFill>
            <w14:solidFill>
              <w14:schemeClr w14:val="tx1"/>
            </w14:solidFill>
          </w14:textFill>
        </w:rPr>
      </w:sdtEndPr>
      <w:sdtContent>
        <w:p w14:paraId="219A2BCE">
          <w:pPr>
            <w:rPr>
              <w:color w:val="000000" w:themeColor="text1"/>
              <w:shd w:val="pct10" w:color="auto" w:fill="FFFFFF"/>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B0626C0">
      <w:pPr>
        <w:rPr>
          <w:color w:val="000000" w:themeColor="text1"/>
          <w:shd w:val="pct10" w:color="auto" w:fill="FFFFFF"/>
          <w14:textFill>
            <w14:solidFill>
              <w14:schemeClr w14:val="tx1"/>
            </w14:solidFill>
          </w14:textFill>
        </w:rPr>
      </w:pPr>
    </w:p>
    <w:p w14:paraId="264719B8">
      <w:pPr>
        <w:pStyle w:val="57"/>
        <w:numPr>
          <w:ilvl w:val="0"/>
          <w:numId w:val="22"/>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报告期内履行的及尚未履行完毕的重大担保情况</w:t>
      </w:r>
    </w:p>
    <w:sdt>
      <w:sdtPr>
        <w:rPr>
          <w:color w:val="000000" w:themeColor="text1"/>
          <w14:textFill>
            <w14:solidFill>
              <w14:schemeClr w14:val="tx1"/>
            </w14:solidFill>
          </w14:textFill>
        </w:rPr>
        <w:alias w:val="是否适用：担保情况[双击切换]"/>
        <w:tag w:val="_GBC_aae98b3e30bd49e4b2e1d2643f200047"/>
        <w:id w:val="147465786"/>
        <w:placeholder>
          <w:docPart w:val="{d8014d7a-cba5-4a66-9d59-c514dac73ae3}"/>
        </w:placeholder>
      </w:sdtPr>
      <w:sdtEndPr>
        <w:rPr>
          <w:color w:val="000000" w:themeColor="text1"/>
          <w14:textFill>
            <w14:solidFill>
              <w14:schemeClr w14:val="tx1"/>
            </w14:solidFill>
          </w14:textFill>
        </w:rPr>
      </w:sdtEndPr>
      <w:sdtContent>
        <w:p w14:paraId="6C4890C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1427ABD">
      <w:pPr>
        <w:pStyle w:val="57"/>
        <w:numPr>
          <w:ilvl w:val="0"/>
          <w:numId w:val="22"/>
        </w:numPr>
        <w:rPr>
          <w:rFonts w:ascii="宋体" w:hAnsi="宋体"/>
          <w:color w:val="000000" w:themeColor="text1"/>
          <w14:textFill>
            <w14:solidFill>
              <w14:schemeClr w14:val="tx1"/>
            </w14:solidFill>
          </w14:textFill>
        </w:rPr>
      </w:pPr>
      <w:bookmarkStart w:id="62" w:name="_Hlk42868045"/>
      <w:bookmarkEnd w:id="62"/>
      <w:r>
        <w:rPr>
          <w:rFonts w:ascii="宋体" w:hAnsi="宋体"/>
          <w:color w:val="000000" w:themeColor="text1"/>
          <w14:textFill>
            <w14:solidFill>
              <w14:schemeClr w14:val="tx1"/>
            </w14:solidFill>
          </w14:textFill>
        </w:rPr>
        <w:t>其他重大合同</w:t>
      </w:r>
    </w:p>
    <w:sdt>
      <w:sdtPr>
        <w:rPr>
          <w:color w:val="000000" w:themeColor="text1"/>
          <w14:textFill>
            <w14:solidFill>
              <w14:schemeClr w14:val="tx1"/>
            </w14:solidFill>
          </w14:textFill>
        </w:rPr>
        <w:alias w:val="是否适用：其他重大合同[双击切换]"/>
        <w:tag w:val="_GBC_23289ac36e3b4aeeaff6a4f1df0c3165"/>
        <w:id w:val="147464140"/>
        <w:placeholder>
          <w:docPart w:val="{d8014d7a-cba5-4a66-9d59-c514dac73ae3}"/>
        </w:placeholder>
      </w:sdtPr>
      <w:sdtEndPr>
        <w:rPr>
          <w:color w:val="000000" w:themeColor="text1"/>
          <w14:textFill>
            <w14:solidFill>
              <w14:schemeClr w14:val="tx1"/>
            </w14:solidFill>
          </w14:textFill>
        </w:rPr>
      </w:sdtEndPr>
      <w:sdtContent>
        <w:p w14:paraId="34A3C79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DDE3780">
      <w:pPr>
        <w:rPr>
          <w:color w:val="000000" w:themeColor="text1"/>
          <w14:textFill>
            <w14:solidFill>
              <w14:schemeClr w14:val="tx1"/>
            </w14:solidFill>
          </w14:textFill>
        </w:rPr>
      </w:pPr>
    </w:p>
    <w:p w14:paraId="19C6D61C">
      <w:pPr>
        <w:pStyle w:val="56"/>
        <w:numPr>
          <w:ilvl w:val="0"/>
          <w:numId w:val="24"/>
        </w:numPr>
        <w:tabs>
          <w:tab w:val="left" w:pos="426"/>
        </w:tabs>
        <w:ind w:left="422" w:hanging="422"/>
        <w:jc w:val="left"/>
        <w:rPr>
          <w:rFonts w:ascii="宋体" w:hAnsi="宋体"/>
          <w:color w:val="000000" w:themeColor="text1"/>
          <w14:textFill>
            <w14:solidFill>
              <w14:schemeClr w14:val="tx1"/>
            </w14:solidFill>
          </w14:textFill>
        </w:rPr>
        <w:sectPr>
          <w:pgSz w:w="16838" w:h="11906" w:orient="landscape"/>
          <w:pgMar w:top="1797" w:right="1525" w:bottom="1276" w:left="1440" w:header="855" w:footer="992" w:gutter="0"/>
          <w:cols w:space="425" w:num="1"/>
          <w:docGrid w:linePitch="312" w:charSpace="0"/>
        </w:sectPr>
      </w:pPr>
    </w:p>
    <w:p w14:paraId="27491A24">
      <w:pPr>
        <w:pStyle w:val="3"/>
        <w:numPr>
          <w:ilvl w:val="0"/>
          <w:numId w:val="14"/>
        </w:numPr>
        <w:tabs>
          <w:tab w:val="left" w:pos="426"/>
        </w:tabs>
        <w:jc w:val="left"/>
        <w:rPr>
          <w:rFonts w:ascii="宋体" w:hAnsi="宋体"/>
          <w:color w:val="000000" w:themeColor="text1"/>
          <w14:textFill>
            <w14:solidFill>
              <w14:schemeClr w14:val="tx1"/>
            </w14:solidFill>
          </w14:textFill>
        </w:rPr>
      </w:pPr>
      <w:bookmarkStart w:id="63" w:name="_Hlk72846301"/>
      <w:bookmarkStart w:id="64" w:name="_Hlk170206295"/>
      <w:bookmarkStart w:id="65" w:name="_Hlk170215658"/>
      <w:r>
        <w:rPr>
          <w:rFonts w:hint="eastAsia" w:ascii="宋体" w:hAnsi="宋体"/>
          <w:color w:val="000000" w:themeColor="text1"/>
          <w14:textFill>
            <w14:solidFill>
              <w14:schemeClr w14:val="tx1"/>
            </w14:solidFill>
          </w14:textFill>
        </w:rPr>
        <w:t>募集资金使用进展说明</w:t>
      </w:r>
    </w:p>
    <w:sdt>
      <w:sdtPr>
        <w:rPr>
          <w:color w:val="000000" w:themeColor="text1"/>
          <w14:textFill>
            <w14:solidFill>
              <w14:schemeClr w14:val="tx1"/>
            </w14:solidFill>
          </w14:textFill>
        </w:rPr>
        <w:alias w:val="是否适用：募集资金使用进展说明[双击切换]"/>
        <w:tag w:val="_GBC_680b9390780e4e2096adf48e91fa95ca"/>
        <w:id w:val="147455002"/>
        <w:lock w:val="contentLocked"/>
        <w:placeholder>
          <w:docPart w:val="{d8014d7a-cba5-4a66-9d59-c514dac73ae3}"/>
        </w:placeholder>
      </w:sdtPr>
      <w:sdtEndPr>
        <w:rPr>
          <w:color w:val="000000" w:themeColor="text1"/>
          <w14:textFill>
            <w14:solidFill>
              <w14:schemeClr w14:val="tx1"/>
            </w14:solidFill>
          </w14:textFill>
        </w:rPr>
      </w:sdtEndPr>
      <w:sdtContent>
        <w:p w14:paraId="3180B5C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81AF7F3">
      <w:pPr>
        <w:pStyle w:val="4"/>
        <w:numPr>
          <w:ilvl w:val="0"/>
          <w:numId w:val="25"/>
        </w:numPr>
        <w:tabs>
          <w:tab w:val="left" w:pos="360"/>
        </w:tabs>
        <w:ind w:left="450" w:hanging="450"/>
        <w:rPr>
          <w:rFonts w:ascii="宋体" w:hAnsi="宋体"/>
          <w:color w:val="000000" w:themeColor="text1"/>
          <w14:textFill>
            <w14:solidFill>
              <w14:schemeClr w14:val="tx1"/>
            </w14:solidFill>
          </w14:textFill>
        </w:rPr>
      </w:pPr>
      <w:bookmarkStart w:id="66" w:name="_Hlk90391863"/>
      <w:bookmarkStart w:id="67" w:name="_Hlk151129531"/>
      <w:bookmarkStart w:id="68" w:name="_Hlk168575638"/>
      <w:bookmarkStart w:id="69" w:name="_Hlk106290436"/>
      <w:r>
        <w:rPr>
          <w:rFonts w:hint="eastAsia" w:ascii="宋体" w:hAnsi="宋体"/>
          <w:color w:val="000000" w:themeColor="text1"/>
          <w14:textFill>
            <w14:solidFill>
              <w14:schemeClr w14:val="tx1"/>
            </w14:solidFill>
          </w14:textFill>
        </w:rPr>
        <w:t>募集资金整体使用情况</w:t>
      </w:r>
    </w:p>
    <w:sdt>
      <w:sdtPr>
        <w:rPr>
          <w:color w:val="000000" w:themeColor="text1"/>
          <w14:textFill>
            <w14:solidFill>
              <w14:schemeClr w14:val="tx1"/>
            </w14:solidFill>
          </w14:textFill>
        </w:rPr>
        <w:alias w:val="是否适用：募集资金整体使用情况[双击切换]"/>
        <w:tag w:val="_GBC_affe1942e3224d96a0ead0c0fea90bed"/>
        <w:id w:val="-744412825"/>
      </w:sdtPr>
      <w:sdtEndPr>
        <w:rPr>
          <w:color w:val="000000" w:themeColor="text1"/>
          <w14:textFill>
            <w14:solidFill>
              <w14:schemeClr w14:val="tx1"/>
            </w14:solidFill>
          </w14:textFill>
        </w:rPr>
      </w:sdtEndPr>
      <w:sdtContent>
        <w:p w14:paraId="395E927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5D6840D1">
      <w:pPr>
        <w:ind w:right="105"/>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w:t>
      </w:r>
      <w:sdt>
        <w:sdtPr>
          <w:rPr>
            <w:color w:val="000000" w:themeColor="text1"/>
            <w14:textFill>
              <w14:solidFill>
                <w14:schemeClr w14:val="tx1"/>
              </w14:solidFill>
            </w14:textFill>
          </w:rPr>
          <w:alias w:val="单位：募集资金总体使用情况"/>
          <w:tag w:val="_GBC_26eaa9e5fa464eaa9da9ac4c42fc263a"/>
          <w:id w:val="-1775545524"/>
          <w:comboBox>
            <w:listItem w:displayText="元" w:value="元"/>
            <w:listItem w:displayText="千元" w:value="千元"/>
            <w:listItem w:displayText="万元" w:value="万元"/>
            <w:listItem w:displayText="百万元" w:value="百万元"/>
            <w:listItem w:displayText="亿元" w:value="亿元"/>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万元</w:t>
          </w:r>
        </w:sdtContent>
      </w:sdt>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1059"/>
        <w:gridCol w:w="1161"/>
        <w:gridCol w:w="1161"/>
        <w:gridCol w:w="1057"/>
        <w:gridCol w:w="1057"/>
        <w:gridCol w:w="1161"/>
        <w:gridCol w:w="1056"/>
        <w:gridCol w:w="1052"/>
        <w:gridCol w:w="1054"/>
        <w:gridCol w:w="1056"/>
        <w:gridCol w:w="995"/>
        <w:gridCol w:w="1161"/>
      </w:tblGrid>
      <w:tr w14:paraId="7F7E9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sdt>
          <w:sdtPr>
            <w:tag w:val="_PLD_c6a2050ecf4545f2bfc43d4ad52b51c1"/>
            <w:id w:val="-574512116"/>
          </w:sdtPr>
          <w:sdtContent>
            <w:tc>
              <w:tcPr>
                <w:tcW w:w="389" w:type="pct"/>
                <w:vAlign w:val="center"/>
              </w:tcPr>
              <w:p w14:paraId="3EB7DCF9">
                <w:pPr>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募集资金</w:t>
                </w:r>
                <w:r>
                  <w:rPr>
                    <w:color w:val="000000" w:themeColor="text1"/>
                    <w14:textFill>
                      <w14:solidFill>
                        <w14:schemeClr w14:val="tx1"/>
                      </w14:solidFill>
                    </w14:textFill>
                  </w:rPr>
                  <w:t>来源</w:t>
                </w:r>
              </w:p>
            </w:tc>
          </w:sdtContent>
        </w:sdt>
        <w:tc>
          <w:tcPr>
            <w:tcW w:w="389" w:type="pct"/>
            <w:vAlign w:val="center"/>
          </w:tcPr>
          <w:sdt>
            <w:sdtPr>
              <w:tag w:val="_PLD_4411287f2aa0421c9bfeffa92dc4cb47"/>
              <w:id w:val="-1195609802"/>
            </w:sdtPr>
            <w:sdtContent>
              <w:p w14:paraId="739A9BAD">
                <w:pPr>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募集资金到位时间</w:t>
                </w:r>
              </w:p>
            </w:sdtContent>
          </w:sdt>
        </w:tc>
        <w:sdt>
          <w:sdtPr>
            <w:tag w:val="_PLD_656190b7a5dc4b4cb1384a69abbe92b5"/>
            <w:id w:val="2086254331"/>
          </w:sdtPr>
          <w:sdtContent>
            <w:tc>
              <w:tcPr>
                <w:tcW w:w="389" w:type="pct"/>
                <w:vAlign w:val="center"/>
              </w:tcPr>
              <w:p w14:paraId="3E6AB2BE">
                <w:pPr>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募集资金总额</w:t>
                </w:r>
              </w:p>
            </w:tc>
          </w:sdtContent>
        </w:sdt>
        <w:sdt>
          <w:sdtPr>
            <w:tag w:val="_PLD_63af71134e514c03bfc82b3cf3959fc0"/>
            <w:id w:val="562528809"/>
          </w:sdtPr>
          <w:sdtContent>
            <w:tc>
              <w:tcPr>
                <w:tcW w:w="389" w:type="pct"/>
                <w:vAlign w:val="center"/>
              </w:tcPr>
              <w:p w14:paraId="4E1507F7">
                <w:pPr>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募集资金净额（1）</w:t>
                </w:r>
              </w:p>
            </w:tc>
          </w:sdtContent>
        </w:sdt>
        <w:sdt>
          <w:sdtPr>
            <w:tag w:val="_PLD_8463ec4fd51b4edaacd95b275603317e"/>
            <w:id w:val="-969587264"/>
          </w:sdtPr>
          <w:sdtContent>
            <w:tc>
              <w:tcPr>
                <w:tcW w:w="388" w:type="pct"/>
                <w:vAlign w:val="center"/>
              </w:tcPr>
              <w:p w14:paraId="3BB09C3A">
                <w:pPr>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招股书或募集说明书中募集资金承诺投资总额（2</w:t>
                </w:r>
                <w:r>
                  <w:rPr>
                    <w:color w:val="000000" w:themeColor="text1"/>
                    <w14:textFill>
                      <w14:solidFill>
                        <w14:schemeClr w14:val="tx1"/>
                      </w14:solidFill>
                    </w14:textFill>
                  </w:rPr>
                  <w:t>）</w:t>
                </w:r>
              </w:p>
            </w:tc>
          </w:sdtContent>
        </w:sdt>
        <w:sdt>
          <w:sdtPr>
            <w:tag w:val="_PLD_07e8896197174c55be1e6f916192bead"/>
            <w:id w:val="511270343"/>
          </w:sdtPr>
          <w:sdtContent>
            <w:tc>
              <w:tcPr>
                <w:tcW w:w="388" w:type="pct"/>
                <w:vAlign w:val="center"/>
              </w:tcPr>
              <w:p w14:paraId="204436C8">
                <w:pPr>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超募资金总额（</w:t>
                </w:r>
                <w:r>
                  <w:rPr>
                    <w:color w:val="000000" w:themeColor="text1"/>
                    <w14:textFill>
                      <w14:solidFill>
                        <w14:schemeClr w14:val="tx1"/>
                      </w14:solidFill>
                    </w14:textFill>
                  </w:rPr>
                  <w:t>3）=（1）-（2）</w:t>
                </w:r>
              </w:p>
            </w:tc>
          </w:sdtContent>
        </w:sdt>
        <w:sdt>
          <w:sdtPr>
            <w:tag w:val="_PLD_92bfc250c83d4aea9d2b49165150ce49"/>
            <w:id w:val="-245347685"/>
          </w:sdtPr>
          <w:sdtContent>
            <w:tc>
              <w:tcPr>
                <w:tcW w:w="387" w:type="pct"/>
                <w:vAlign w:val="center"/>
              </w:tcPr>
              <w:p w14:paraId="3BC6A39B">
                <w:pPr>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截至</w:t>
                </w:r>
                <w:r>
                  <w:rPr>
                    <w:color w:val="000000" w:themeColor="text1"/>
                    <w14:textFill>
                      <w14:solidFill>
                        <w14:schemeClr w14:val="tx1"/>
                      </w14:solidFill>
                    </w14:textFill>
                  </w:rPr>
                  <w:t>报告期末</w:t>
                </w:r>
                <w:r>
                  <w:rPr>
                    <w:rFonts w:hint="eastAsia"/>
                    <w:color w:val="000000" w:themeColor="text1"/>
                    <w14:textFill>
                      <w14:solidFill>
                        <w14:schemeClr w14:val="tx1"/>
                      </w14:solidFill>
                    </w14:textFill>
                  </w:rPr>
                  <w:t>累计投入募集资金总额（4）</w:t>
                </w:r>
              </w:p>
            </w:tc>
          </w:sdtContent>
        </w:sdt>
        <w:sdt>
          <w:sdtPr>
            <w:tag w:val="_PLD_cb256178110b4d5dbfb10922f68015a3"/>
            <w:id w:val="1610540153"/>
          </w:sdtPr>
          <w:sdtContent>
            <w:tc>
              <w:tcPr>
                <w:tcW w:w="387" w:type="pct"/>
                <w:vAlign w:val="center"/>
              </w:tcPr>
              <w:p w14:paraId="53C40BC9">
                <w:pPr>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其中：截至报告期末超募资金累计投入总额</w:t>
                </w:r>
                <w:r>
                  <w:rPr>
                    <w:color w:val="000000" w:themeColor="text1"/>
                    <w14:textFill>
                      <w14:solidFill>
                        <w14:schemeClr w14:val="tx1"/>
                      </w14:solidFill>
                    </w14:textFill>
                  </w:rPr>
                  <w:t xml:space="preserve"> （5）</w:t>
                </w:r>
              </w:p>
            </w:tc>
          </w:sdtContent>
        </w:sdt>
        <w:sdt>
          <w:sdtPr>
            <w:tag w:val="_PLD_a2c09288f6984c8db92752ba2d47150b"/>
            <w:id w:val="1846592225"/>
          </w:sdtPr>
          <w:sdtContent>
            <w:tc>
              <w:tcPr>
                <w:tcW w:w="387" w:type="pct"/>
                <w:vAlign w:val="center"/>
              </w:tcPr>
              <w:p w14:paraId="612EFC42">
                <w:pPr>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截至报告期末募集资金累计投入进度（</w:t>
                </w:r>
                <w:r>
                  <w:rPr>
                    <w:color w:val="000000" w:themeColor="text1"/>
                    <w14:textFill>
                      <w14:solidFill>
                        <w14:schemeClr w14:val="tx1"/>
                      </w14:solidFill>
                    </w14:textFill>
                  </w:rPr>
                  <w:t>%）(6)＝(4)/(1)</w:t>
                </w:r>
              </w:p>
            </w:tc>
          </w:sdtContent>
        </w:sdt>
        <w:sdt>
          <w:sdtPr>
            <w:tag w:val="_PLD_76e6c02d9b5440b8b20238cb6124ceb2"/>
            <w:id w:val="-1664463477"/>
          </w:sdtPr>
          <w:sdtContent>
            <w:tc>
              <w:tcPr>
                <w:tcW w:w="387" w:type="pct"/>
                <w:vAlign w:val="center"/>
              </w:tcPr>
              <w:p w14:paraId="7EC42F23">
                <w:pPr>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截至报告期末超募资金累计投入进度（</w:t>
                </w:r>
                <w:r>
                  <w:rPr>
                    <w:color w:val="000000" w:themeColor="text1"/>
                    <w14:textFill>
                      <w14:solidFill>
                        <w14:schemeClr w14:val="tx1"/>
                      </w14:solidFill>
                    </w14:textFill>
                  </w:rPr>
                  <w:t>%）(7)＝(5)/(3)</w:t>
                </w:r>
              </w:p>
            </w:tc>
          </w:sdtContent>
        </w:sdt>
        <w:sdt>
          <w:sdtPr>
            <w:tag w:val="_PLD_8603bc96c0364f298dd5b07119c8edfa"/>
            <w:id w:val="315843893"/>
          </w:sdtPr>
          <w:sdtContent>
            <w:tc>
              <w:tcPr>
                <w:tcW w:w="387" w:type="pct"/>
                <w:vAlign w:val="center"/>
              </w:tcPr>
              <w:p w14:paraId="7DB857B4">
                <w:pPr>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本年度投入金额（8）</w:t>
                </w:r>
              </w:p>
            </w:tc>
          </w:sdtContent>
        </w:sdt>
        <w:sdt>
          <w:sdtPr>
            <w:tag w:val="_PLD_36a372b435c74a038172885bf9c04359"/>
            <w:id w:val="142939302"/>
          </w:sdtPr>
          <w:sdtContent>
            <w:tc>
              <w:tcPr>
                <w:tcW w:w="367" w:type="pct"/>
                <w:vAlign w:val="center"/>
              </w:tcPr>
              <w:p w14:paraId="1853E8D1">
                <w:pPr>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本年度投入金额占比（%）（</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)/(1)</w:t>
                </w:r>
              </w:p>
            </w:tc>
          </w:sdtContent>
        </w:sdt>
        <w:tc>
          <w:tcPr>
            <w:tcW w:w="365" w:type="pct"/>
            <w:vAlign w:val="center"/>
          </w:tcPr>
          <w:sdt>
            <w:sdtPr>
              <w:tag w:val="_PLD_55537c41dda84483a860ccba3abf175d"/>
              <w:id w:val="1570372712"/>
            </w:sdtPr>
            <w:sdtContent>
              <w:p w14:paraId="7D535D61">
                <w:pPr>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变更用途的募集资金总额</w:t>
                </w:r>
              </w:p>
            </w:sdtContent>
          </w:sdt>
        </w:tc>
      </w:tr>
      <w:sdt>
        <w:sdtPr>
          <w:rPr>
            <w:bCs w:val="0"/>
            <w:color w:val="000000" w:themeColor="text1"/>
            <w14:textFill>
              <w14:solidFill>
                <w14:schemeClr w14:val="tx1"/>
              </w14:solidFill>
            </w14:textFill>
          </w:rPr>
          <w:alias w:val="募集资金整体使用情况"/>
          <w:tag w:val="_TUP_6e0f620f9afb4f5eb5a70e0d51a25675"/>
          <w:id w:val="-119544920"/>
          <w:placeholder>
            <w:docPart w:val="{161db290-63b3-4a2f-a767-44253e066c48}"/>
          </w:placeholder>
        </w:sdtPr>
        <w:sdtEndPr>
          <w:rPr>
            <w:bCs w:val="0"/>
            <w:color w:val="000000" w:themeColor="text1"/>
            <w14:textFill>
              <w14:solidFill>
                <w14:schemeClr w14:val="tx1"/>
              </w14:solidFill>
            </w14:textFill>
          </w:rPr>
        </w:sdtEndPr>
        <w:sdtContent>
          <w:tr w14:paraId="2E99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sdt>
              <w:sdtPr>
                <w:rPr>
                  <w:bCs w:val="0"/>
                  <w:color w:val="000000" w:themeColor="text1"/>
                  <w14:textFill>
                    <w14:solidFill>
                      <w14:schemeClr w14:val="tx1"/>
                    </w14:solidFill>
                  </w14:textFill>
                </w:rPr>
                <w:alias w:val="募集资金整体使用情况_募集资金来源"/>
                <w:tag w:val="_GBC_fdbe627844564cbd920c54fa6f3e99f6"/>
                <w:id w:val="-1771467208"/>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val="0"/>
                  <w:color w:val="000000" w:themeColor="text1"/>
                  <w14:textFill>
                    <w14:solidFill>
                      <w14:schemeClr w14:val="tx1"/>
                    </w14:solidFill>
                  </w14:textFill>
                </w:rPr>
              </w:sdtEndPr>
              <w:sdtContent>
                <w:tc>
                  <w:tcPr>
                    <w:tcW w:w="389" w:type="pct"/>
                    <w:vAlign w:val="center"/>
                  </w:tcPr>
                  <w:p w14:paraId="171AA41A">
                    <w:pPr>
                      <w:rPr>
                        <w:bCs w:val="0"/>
                        <w:color w:val="000000" w:themeColor="text1"/>
                        <w14:textFill>
                          <w14:solidFill>
                            <w14:schemeClr w14:val="tx1"/>
                          </w14:solidFill>
                        </w14:textFill>
                      </w:rPr>
                    </w:pPr>
                    <w:bookmarkStart w:id="70" w:name="_Hlk169881517"/>
                    <w:r>
                      <w:rPr>
                        <w:bCs w:val="0"/>
                        <w:color w:val="000000" w:themeColor="text1"/>
                        <w14:textFill>
                          <w14:solidFill>
                            <w14:schemeClr w14:val="tx1"/>
                          </w14:solidFill>
                        </w14:textFill>
                      </w:rPr>
                      <w:t>首次公开发行股票</w:t>
                    </w:r>
                  </w:p>
                </w:tc>
              </w:sdtContent>
            </w:sdt>
            <w:sdt>
              <w:sdtPr>
                <w:rPr>
                  <w:bCs w:val="0"/>
                  <w:color w:val="000000" w:themeColor="text1"/>
                  <w14:textFill>
                    <w14:solidFill>
                      <w14:schemeClr w14:val="tx1"/>
                    </w14:solidFill>
                  </w14:textFill>
                </w:rPr>
                <w:alias w:val="募集资金整体使用情况_募集资金到位时间"/>
                <w:tag w:val="_GBC_5cbdf31237894881b54b48da0d19e2ee"/>
                <w:id w:val="1211921064"/>
                <w:date w:fullDate="2010-08-04T00:00:00Z">
                  <w:dateFormat w:val="yyyy'年'M'月'd'日'"/>
                  <w:lid w:val="zh-CN"/>
                  <w:storeMappedDataAs w:val="datetime"/>
                  <w:calendar w:val="gregorian"/>
                </w:date>
              </w:sdtPr>
              <w:sdtEndPr>
                <w:rPr>
                  <w:bCs w:val="0"/>
                  <w:color w:val="000000" w:themeColor="text1"/>
                  <w14:textFill>
                    <w14:solidFill>
                      <w14:schemeClr w14:val="tx1"/>
                    </w14:solidFill>
                  </w14:textFill>
                </w:rPr>
              </w:sdtEndPr>
              <w:sdtContent>
                <w:tc>
                  <w:tcPr>
                    <w:tcW w:w="389" w:type="pct"/>
                    <w:vAlign w:val="center"/>
                  </w:tcPr>
                  <w:p w14:paraId="050B0B30">
                    <w:pPr>
                      <w:jc w:val="center"/>
                      <w:rPr>
                        <w:bCs w:val="0"/>
                        <w:color w:val="000000" w:themeColor="text1"/>
                        <w14:textFill>
                          <w14:solidFill>
                            <w14:schemeClr w14:val="tx1"/>
                          </w14:solidFill>
                        </w14:textFill>
                      </w:rPr>
                    </w:pPr>
                    <w:r>
                      <w:rPr>
                        <w:bCs w:val="0"/>
                        <w:color w:val="000000" w:themeColor="text1"/>
                        <w14:textFill>
                          <w14:solidFill>
                            <w14:schemeClr w14:val="tx1"/>
                          </w14:solidFill>
                        </w14:textFill>
                      </w:rPr>
                      <w:t>2010年8月4日</w:t>
                    </w:r>
                  </w:p>
                </w:tc>
              </w:sdtContent>
            </w:sdt>
            <w:tc>
              <w:tcPr>
                <w:tcW w:w="389" w:type="pct"/>
                <w:vAlign w:val="center"/>
              </w:tcPr>
              <w:p w14:paraId="6A59892D">
                <w:pPr>
                  <w:jc w:val="right"/>
                  <w:rPr>
                    <w:bCs w:val="0"/>
                  </w:rPr>
                </w:pPr>
                <w:r>
                  <w:rPr>
                    <w:rFonts w:hint="eastAsia"/>
                  </w:rPr>
                  <w:t>404,950</w:t>
                </w:r>
              </w:p>
            </w:tc>
            <w:tc>
              <w:tcPr>
                <w:tcW w:w="389" w:type="pct"/>
                <w:vAlign w:val="center"/>
              </w:tcPr>
              <w:p w14:paraId="67F2E655">
                <w:pPr>
                  <w:jc w:val="right"/>
                  <w:rPr>
                    <w:bCs w:val="0"/>
                  </w:rPr>
                </w:pPr>
                <w:r>
                  <w:rPr>
                    <w:rFonts w:hint="eastAsia"/>
                  </w:rPr>
                  <w:t>391,377.59</w:t>
                </w:r>
              </w:p>
            </w:tc>
            <w:tc>
              <w:tcPr>
                <w:tcW w:w="388" w:type="pct"/>
                <w:vAlign w:val="center"/>
              </w:tcPr>
              <w:p w14:paraId="51A441B6">
                <w:pPr>
                  <w:jc w:val="right"/>
                  <w:rPr>
                    <w:bCs w:val="0"/>
                  </w:rPr>
                </w:pPr>
                <w:r>
                  <w:rPr>
                    <w:rFonts w:hint="eastAsia"/>
                  </w:rPr>
                  <w:t>324,799</w:t>
                </w:r>
              </w:p>
            </w:tc>
            <w:tc>
              <w:tcPr>
                <w:tcW w:w="388" w:type="pct"/>
                <w:vAlign w:val="center"/>
              </w:tcPr>
              <w:p w14:paraId="4BD1E1F0">
                <w:pPr>
                  <w:jc w:val="right"/>
                  <w:rPr>
                    <w:bCs w:val="0"/>
                  </w:rPr>
                </w:pPr>
                <w:r>
                  <w:rPr>
                    <w:rFonts w:hint="eastAsia"/>
                  </w:rPr>
                  <w:t>66,578.59</w:t>
                </w:r>
              </w:p>
            </w:tc>
            <w:tc>
              <w:tcPr>
                <w:tcW w:w="387" w:type="pct"/>
                <w:vAlign w:val="center"/>
              </w:tcPr>
              <w:p w14:paraId="68DFBCB4">
                <w:pPr>
                  <w:jc w:val="right"/>
                  <w:rPr>
                    <w:bCs w:val="0"/>
                  </w:rPr>
                </w:pPr>
                <w:r>
                  <w:rPr>
                    <w:rFonts w:hint="eastAsia"/>
                  </w:rPr>
                  <w:t>408,279.56</w:t>
                </w:r>
              </w:p>
            </w:tc>
            <w:tc>
              <w:tcPr>
                <w:tcW w:w="387" w:type="pct"/>
                <w:vAlign w:val="center"/>
              </w:tcPr>
              <w:p w14:paraId="70C55C6B">
                <w:pPr>
                  <w:jc w:val="right"/>
                  <w:rPr>
                    <w:bCs w:val="0"/>
                  </w:rPr>
                </w:pPr>
                <w:r>
                  <w:rPr>
                    <w:rFonts w:hint="eastAsia"/>
                  </w:rPr>
                  <w:t>66,578.59</w:t>
                </w:r>
              </w:p>
            </w:tc>
            <w:tc>
              <w:tcPr>
                <w:tcW w:w="387" w:type="pct"/>
                <w:vAlign w:val="center"/>
              </w:tcPr>
              <w:p w14:paraId="6895A605">
                <w:pPr>
                  <w:jc w:val="right"/>
                  <w:rPr>
                    <w:bCs w:val="0"/>
                  </w:rPr>
                </w:pPr>
                <w:r>
                  <w:rPr>
                    <w:rFonts w:hint="eastAsia"/>
                  </w:rPr>
                  <w:t>104.32</w:t>
                </w:r>
              </w:p>
            </w:tc>
            <w:tc>
              <w:tcPr>
                <w:tcW w:w="387" w:type="pct"/>
                <w:vAlign w:val="center"/>
              </w:tcPr>
              <w:p w14:paraId="7C87928E">
                <w:pPr>
                  <w:jc w:val="right"/>
                  <w:rPr>
                    <w:bCs w:val="0"/>
                  </w:rPr>
                </w:pPr>
                <w:r>
                  <w:rPr>
                    <w:rFonts w:hint="eastAsia"/>
                  </w:rPr>
                  <w:t>100.00</w:t>
                </w:r>
              </w:p>
            </w:tc>
            <w:tc>
              <w:tcPr>
                <w:tcW w:w="387" w:type="pct"/>
                <w:vAlign w:val="center"/>
              </w:tcPr>
              <w:p w14:paraId="383F95A3">
                <w:pPr>
                  <w:jc w:val="right"/>
                  <w:rPr>
                    <w:bCs w:val="0"/>
                  </w:rPr>
                </w:pPr>
                <w:r>
                  <w:rPr>
                    <w:rFonts w:hint="eastAsia"/>
                  </w:rPr>
                  <w:t>3,373.97</w:t>
                </w:r>
              </w:p>
            </w:tc>
            <w:tc>
              <w:tcPr>
                <w:tcW w:w="367" w:type="pct"/>
                <w:vAlign w:val="center"/>
              </w:tcPr>
              <w:p w14:paraId="03E17C5D">
                <w:pPr>
                  <w:jc w:val="right"/>
                  <w:rPr>
                    <w:bCs w:val="0"/>
                  </w:rPr>
                </w:pPr>
                <w:r>
                  <w:rPr>
                    <w:rFonts w:hint="eastAsia"/>
                  </w:rPr>
                  <w:t>0.86</w:t>
                </w:r>
              </w:p>
            </w:tc>
            <w:tc>
              <w:tcPr>
                <w:tcW w:w="365" w:type="pct"/>
                <w:vAlign w:val="center"/>
              </w:tcPr>
              <w:p w14:paraId="18CAD021">
                <w:pPr>
                  <w:jc w:val="right"/>
                  <w:rPr>
                    <w:bCs w:val="0"/>
                  </w:rPr>
                </w:pPr>
                <w:r>
                  <w:rPr>
                    <w:rFonts w:hint="eastAsia"/>
                  </w:rPr>
                  <w:t>188,704.92</w:t>
                </w:r>
              </w:p>
            </w:tc>
          </w:tr>
        </w:sdtContent>
      </w:sdt>
      <w:sdt>
        <w:sdtPr>
          <w:rPr>
            <w:bCs w:val="0"/>
            <w:color w:val="000000" w:themeColor="text1"/>
            <w14:textFill>
              <w14:solidFill>
                <w14:schemeClr w14:val="tx1"/>
              </w14:solidFill>
            </w14:textFill>
          </w:rPr>
          <w:alias w:val="募集资金整体使用情况"/>
          <w:tag w:val="_TUP_6e0f620f9afb4f5eb5a70e0d51a25675"/>
          <w:id w:val="900255523"/>
          <w:placeholder>
            <w:docPart w:val="{161db290-63b3-4a2f-a767-44253e066c48}"/>
          </w:placeholder>
        </w:sdtPr>
        <w:sdtEndPr>
          <w:rPr>
            <w:bCs w:val="0"/>
            <w:color w:val="000000" w:themeColor="text1"/>
            <w14:textFill>
              <w14:solidFill>
                <w14:schemeClr w14:val="tx1"/>
              </w14:solidFill>
            </w14:textFill>
          </w:rPr>
        </w:sdtEndPr>
        <w:sdtContent>
          <w:tr w14:paraId="46D91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sdt>
              <w:sdtPr>
                <w:rPr>
                  <w:bCs w:val="0"/>
                  <w:color w:val="000000" w:themeColor="text1"/>
                  <w14:textFill>
                    <w14:solidFill>
                      <w14:schemeClr w14:val="tx1"/>
                    </w14:solidFill>
                  </w14:textFill>
                </w:rPr>
                <w:alias w:val="募集资金整体使用情况_募集资金来源"/>
                <w:tag w:val="_GBC_fdbe627844564cbd920c54fa6f3e99f6"/>
                <w:id w:val="67544187"/>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bCs w:val="0"/>
                  <w:color w:val="000000" w:themeColor="text1"/>
                  <w14:textFill>
                    <w14:solidFill>
                      <w14:schemeClr w14:val="tx1"/>
                    </w14:solidFill>
                  </w14:textFill>
                </w:rPr>
              </w:sdtEndPr>
              <w:sdtContent>
                <w:tc>
                  <w:tcPr>
                    <w:tcW w:w="389" w:type="pct"/>
                    <w:vAlign w:val="center"/>
                  </w:tcPr>
                  <w:p w14:paraId="182290AD">
                    <w:pPr>
                      <w:rPr>
                        <w:bCs w:val="0"/>
                        <w:color w:val="000000" w:themeColor="text1"/>
                        <w14:textFill>
                          <w14:solidFill>
                            <w14:schemeClr w14:val="tx1"/>
                          </w14:solidFill>
                        </w14:textFill>
                      </w:rPr>
                    </w:pPr>
                    <w:r>
                      <w:rPr>
                        <w:bCs w:val="0"/>
                        <w:color w:val="000000" w:themeColor="text1"/>
                        <w14:textFill>
                          <w14:solidFill>
                            <w14:schemeClr w14:val="tx1"/>
                          </w14:solidFill>
                        </w14:textFill>
                      </w:rPr>
                      <w:t>向特定对象发行股票</w:t>
                    </w:r>
                  </w:p>
                </w:tc>
              </w:sdtContent>
            </w:sdt>
            <w:sdt>
              <w:sdtPr>
                <w:rPr>
                  <w:bCs w:val="0"/>
                  <w:color w:val="000000" w:themeColor="text1"/>
                  <w14:textFill>
                    <w14:solidFill>
                      <w14:schemeClr w14:val="tx1"/>
                    </w14:solidFill>
                  </w14:textFill>
                </w:rPr>
                <w:alias w:val="募集资金整体使用情况_募集资金到位时间"/>
                <w:tag w:val="_GBC_5cbdf31237894881b54b48da0d19e2ee"/>
                <w:id w:val="1431319459"/>
                <w:date w:fullDate="2017-04-18T00:00:00Z">
                  <w:dateFormat w:val="yyyy'年'M'月'd'日'"/>
                  <w:lid w:val="zh-CN"/>
                  <w:storeMappedDataAs w:val="datetime"/>
                  <w:calendar w:val="gregorian"/>
                </w:date>
              </w:sdtPr>
              <w:sdtEndPr>
                <w:rPr>
                  <w:bCs w:val="0"/>
                  <w:color w:val="000000" w:themeColor="text1"/>
                  <w14:textFill>
                    <w14:solidFill>
                      <w14:schemeClr w14:val="tx1"/>
                    </w14:solidFill>
                  </w14:textFill>
                </w:rPr>
              </w:sdtEndPr>
              <w:sdtContent>
                <w:tc>
                  <w:tcPr>
                    <w:tcW w:w="389" w:type="pct"/>
                    <w:vAlign w:val="center"/>
                  </w:tcPr>
                  <w:p w14:paraId="1F2CAAB5">
                    <w:pPr>
                      <w:jc w:val="center"/>
                      <w:rPr>
                        <w:bCs w:val="0"/>
                        <w:color w:val="000000" w:themeColor="text1"/>
                        <w14:textFill>
                          <w14:solidFill>
                            <w14:schemeClr w14:val="tx1"/>
                          </w14:solidFill>
                        </w14:textFill>
                      </w:rPr>
                    </w:pPr>
                    <w:r>
                      <w:rPr>
                        <w:bCs w:val="0"/>
                        <w:color w:val="000000" w:themeColor="text1"/>
                        <w14:textFill>
                          <w14:solidFill>
                            <w14:schemeClr w14:val="tx1"/>
                          </w14:solidFill>
                        </w14:textFill>
                      </w:rPr>
                      <w:t>2017年4月18日</w:t>
                    </w:r>
                  </w:p>
                </w:tc>
              </w:sdtContent>
            </w:sdt>
            <w:tc>
              <w:tcPr>
                <w:tcW w:w="389" w:type="pct"/>
                <w:vAlign w:val="center"/>
              </w:tcPr>
              <w:p w14:paraId="15204F2A">
                <w:pPr>
                  <w:jc w:val="right"/>
                  <w:rPr>
                    <w:bCs w:val="0"/>
                  </w:rPr>
                </w:pPr>
                <w:r>
                  <w:rPr>
                    <w:rFonts w:hint="eastAsia"/>
                  </w:rPr>
                  <w:t>437,861.48</w:t>
                </w:r>
              </w:p>
            </w:tc>
            <w:tc>
              <w:tcPr>
                <w:tcW w:w="389" w:type="pct"/>
                <w:vAlign w:val="center"/>
              </w:tcPr>
              <w:p w14:paraId="75E90D8B">
                <w:pPr>
                  <w:jc w:val="right"/>
                  <w:rPr>
                    <w:bCs w:val="0"/>
                  </w:rPr>
                </w:pPr>
                <w:r>
                  <w:rPr>
                    <w:rFonts w:hint="eastAsia"/>
                  </w:rPr>
                  <w:t>431,291.5</w:t>
                </w:r>
              </w:p>
            </w:tc>
            <w:tc>
              <w:tcPr>
                <w:tcW w:w="388" w:type="pct"/>
                <w:vAlign w:val="center"/>
              </w:tcPr>
              <w:p w14:paraId="4316044B">
                <w:pPr>
                  <w:jc w:val="right"/>
                  <w:rPr>
                    <w:bCs w:val="0"/>
                  </w:rPr>
                </w:pPr>
                <w:r>
                  <w:rPr>
                    <w:rFonts w:hint="eastAsia"/>
                  </w:rPr>
                  <w:t>440,000</w:t>
                </w:r>
              </w:p>
            </w:tc>
            <w:tc>
              <w:tcPr>
                <w:tcW w:w="388" w:type="pct"/>
                <w:vAlign w:val="center"/>
              </w:tcPr>
              <w:p w14:paraId="704FF655">
                <w:pPr>
                  <w:jc w:val="right"/>
                  <w:rPr>
                    <w:bCs w:val="0"/>
                  </w:rPr>
                </w:pPr>
                <w:r>
                  <w:rPr>
                    <w:rFonts w:hint="eastAsia"/>
                    <w:bCs w:val="0"/>
                  </w:rPr>
                  <w:t>不适用</w:t>
                </w:r>
              </w:p>
            </w:tc>
            <w:tc>
              <w:tcPr>
                <w:tcW w:w="387" w:type="pct"/>
                <w:vAlign w:val="center"/>
              </w:tcPr>
              <w:p w14:paraId="7661D610">
                <w:pPr>
                  <w:jc w:val="right"/>
                  <w:rPr>
                    <w:bCs w:val="0"/>
                  </w:rPr>
                </w:pPr>
                <w:r>
                  <w:rPr>
                    <w:rFonts w:hint="eastAsia"/>
                  </w:rPr>
                  <w:t>374,801.41</w:t>
                </w:r>
              </w:p>
            </w:tc>
            <w:tc>
              <w:tcPr>
                <w:tcW w:w="387" w:type="pct"/>
                <w:vAlign w:val="center"/>
              </w:tcPr>
              <w:p w14:paraId="023B6783">
                <w:pPr>
                  <w:jc w:val="right"/>
                  <w:rPr>
                    <w:bCs w:val="0"/>
                  </w:rPr>
                </w:pPr>
                <w:r>
                  <w:rPr>
                    <w:rFonts w:hint="eastAsia"/>
                    <w:bCs w:val="0"/>
                  </w:rPr>
                  <w:t>不适用</w:t>
                </w:r>
              </w:p>
            </w:tc>
            <w:tc>
              <w:tcPr>
                <w:tcW w:w="387" w:type="pct"/>
                <w:vAlign w:val="center"/>
              </w:tcPr>
              <w:p w14:paraId="14EA4DA3">
                <w:pPr>
                  <w:jc w:val="right"/>
                  <w:rPr>
                    <w:bCs w:val="0"/>
                  </w:rPr>
                </w:pPr>
                <w:r>
                  <w:rPr>
                    <w:rFonts w:hint="eastAsia"/>
                  </w:rPr>
                  <w:t>86.90</w:t>
                </w:r>
              </w:p>
            </w:tc>
            <w:tc>
              <w:tcPr>
                <w:tcW w:w="387" w:type="pct"/>
                <w:vAlign w:val="center"/>
              </w:tcPr>
              <w:p w14:paraId="75FE70A0">
                <w:pPr>
                  <w:jc w:val="right"/>
                  <w:rPr>
                    <w:bCs w:val="0"/>
                  </w:rPr>
                </w:pPr>
                <w:r>
                  <w:rPr>
                    <w:rFonts w:hint="eastAsia"/>
                    <w:bCs w:val="0"/>
                  </w:rPr>
                  <w:t>不适用</w:t>
                </w:r>
              </w:p>
            </w:tc>
            <w:tc>
              <w:tcPr>
                <w:tcW w:w="387" w:type="pct"/>
                <w:vAlign w:val="center"/>
              </w:tcPr>
              <w:p w14:paraId="61641B8F">
                <w:pPr>
                  <w:jc w:val="right"/>
                  <w:rPr>
                    <w:bCs w:val="0"/>
                  </w:rPr>
                </w:pPr>
                <w:r>
                  <w:rPr>
                    <w:rFonts w:hint="eastAsia"/>
                  </w:rPr>
                  <w:t>46,593.23</w:t>
                </w:r>
              </w:p>
            </w:tc>
            <w:tc>
              <w:tcPr>
                <w:tcW w:w="367" w:type="pct"/>
                <w:vAlign w:val="center"/>
              </w:tcPr>
              <w:p w14:paraId="1C7510A2">
                <w:pPr>
                  <w:jc w:val="right"/>
                  <w:rPr>
                    <w:bCs w:val="0"/>
                  </w:rPr>
                </w:pPr>
                <w:r>
                  <w:rPr>
                    <w:rFonts w:hint="eastAsia"/>
                  </w:rPr>
                  <w:t>10.80</w:t>
                </w:r>
              </w:p>
            </w:tc>
            <w:tc>
              <w:tcPr>
                <w:tcW w:w="365" w:type="pct"/>
                <w:vAlign w:val="center"/>
              </w:tcPr>
              <w:p w14:paraId="31C40F83">
                <w:pPr>
                  <w:jc w:val="right"/>
                  <w:rPr>
                    <w:bCs w:val="0"/>
                  </w:rPr>
                </w:pPr>
                <w:r>
                  <w:rPr>
                    <w:rFonts w:hint="eastAsia"/>
                  </w:rPr>
                  <w:t>234,387.87</w:t>
                </w:r>
              </w:p>
            </w:tc>
          </w:tr>
        </w:sdtContent>
      </w:sdt>
      <w:bookmarkEnd w:id="70"/>
      <w:tr w14:paraId="1C87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89" w:type="pct"/>
            <w:vAlign w:val="center"/>
          </w:tcPr>
          <w:sdt>
            <w:sdtPr>
              <w:tag w:val="_PLD_29482579bd234cecb104befde6ee53f7"/>
              <w:id w:val="-368386401"/>
            </w:sdtPr>
            <w:sdtContent>
              <w:p w14:paraId="3C6126E1">
                <w:pPr>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sdtContent>
          </w:sdt>
        </w:tc>
        <w:tc>
          <w:tcPr>
            <w:tcW w:w="389" w:type="pct"/>
            <w:vAlign w:val="center"/>
          </w:tcPr>
          <w:p w14:paraId="55F06F79">
            <w:pPr>
              <w:jc w:val="right"/>
              <w:rPr>
                <w:bCs w:val="0"/>
                <w:color w:val="000000" w:themeColor="text1"/>
                <w14:textFill>
                  <w14:solidFill>
                    <w14:schemeClr w14:val="tx1"/>
                  </w14:solidFill>
                </w14:textFill>
              </w:rPr>
            </w:pPr>
            <w:r>
              <w:rPr>
                <w:color w:val="000000" w:themeColor="text1"/>
                <w14:textFill>
                  <w14:solidFill>
                    <w14:schemeClr w14:val="tx1"/>
                  </w14:solidFill>
                </w14:textFill>
              </w:rPr>
              <w:t>/</w:t>
            </w:r>
          </w:p>
        </w:tc>
        <w:tc>
          <w:tcPr>
            <w:tcW w:w="389" w:type="pct"/>
            <w:vAlign w:val="center"/>
          </w:tcPr>
          <w:p w14:paraId="42CF9EDB">
            <w:pPr>
              <w:jc w:val="right"/>
              <w:rPr>
                <w:bCs w:val="0"/>
              </w:rPr>
            </w:pPr>
            <w:r>
              <w:rPr>
                <w:rFonts w:hint="eastAsia"/>
              </w:rPr>
              <w:t>842,811.48</w:t>
            </w:r>
          </w:p>
        </w:tc>
        <w:tc>
          <w:tcPr>
            <w:tcW w:w="389" w:type="pct"/>
            <w:vAlign w:val="center"/>
          </w:tcPr>
          <w:p w14:paraId="61124AC9">
            <w:pPr>
              <w:jc w:val="right"/>
              <w:rPr>
                <w:bCs w:val="0"/>
              </w:rPr>
            </w:pPr>
            <w:r>
              <w:rPr>
                <w:rFonts w:hint="eastAsia"/>
              </w:rPr>
              <w:t>822,669.09</w:t>
            </w:r>
          </w:p>
        </w:tc>
        <w:tc>
          <w:tcPr>
            <w:tcW w:w="388" w:type="pct"/>
            <w:vAlign w:val="center"/>
          </w:tcPr>
          <w:p w14:paraId="3A641EE2">
            <w:pPr>
              <w:jc w:val="right"/>
              <w:rPr>
                <w:bCs w:val="0"/>
              </w:rPr>
            </w:pPr>
            <w:r>
              <w:rPr>
                <w:rFonts w:hint="eastAsia"/>
              </w:rPr>
              <w:t>764,799</w:t>
            </w:r>
          </w:p>
        </w:tc>
        <w:tc>
          <w:tcPr>
            <w:tcW w:w="388" w:type="pct"/>
            <w:vAlign w:val="center"/>
          </w:tcPr>
          <w:p w14:paraId="6A725B32">
            <w:pPr>
              <w:jc w:val="right"/>
              <w:rPr>
                <w:bCs w:val="0"/>
              </w:rPr>
            </w:pPr>
            <w:r>
              <w:rPr>
                <w:rFonts w:hint="eastAsia"/>
              </w:rPr>
              <w:t>66,578.59</w:t>
            </w:r>
          </w:p>
        </w:tc>
        <w:tc>
          <w:tcPr>
            <w:tcW w:w="387" w:type="pct"/>
            <w:vAlign w:val="center"/>
          </w:tcPr>
          <w:p w14:paraId="2BFBDAC5">
            <w:pPr>
              <w:jc w:val="right"/>
              <w:rPr>
                <w:bCs w:val="0"/>
              </w:rPr>
            </w:pPr>
            <w:r>
              <w:rPr>
                <w:rFonts w:hint="eastAsia"/>
              </w:rPr>
              <w:t>783,080.97</w:t>
            </w:r>
          </w:p>
        </w:tc>
        <w:tc>
          <w:tcPr>
            <w:tcW w:w="387" w:type="pct"/>
            <w:vAlign w:val="center"/>
          </w:tcPr>
          <w:p w14:paraId="1551F14D">
            <w:pPr>
              <w:jc w:val="right"/>
              <w:rPr>
                <w:bCs w:val="0"/>
              </w:rPr>
            </w:pPr>
            <w:r>
              <w:rPr>
                <w:rFonts w:hint="eastAsia"/>
              </w:rPr>
              <w:t>66,578.59</w:t>
            </w:r>
          </w:p>
        </w:tc>
        <w:tc>
          <w:tcPr>
            <w:tcW w:w="387" w:type="pct"/>
            <w:vAlign w:val="center"/>
          </w:tcPr>
          <w:p w14:paraId="5A2EE5A7">
            <w:pPr>
              <w:jc w:val="right"/>
              <w:rPr>
                <w:bCs w:val="0"/>
                <w:color w:val="000000" w:themeColor="text1"/>
                <w14:textFill>
                  <w14:solidFill>
                    <w14:schemeClr w14:val="tx1"/>
                  </w14:solidFill>
                </w14:textFill>
              </w:rPr>
            </w:pPr>
            <w:r>
              <w:rPr>
                <w:color w:val="000000" w:themeColor="text1"/>
                <w14:textFill>
                  <w14:solidFill>
                    <w14:schemeClr w14:val="tx1"/>
                  </w14:solidFill>
                </w14:textFill>
              </w:rPr>
              <w:t>/</w:t>
            </w:r>
          </w:p>
        </w:tc>
        <w:tc>
          <w:tcPr>
            <w:tcW w:w="387" w:type="pct"/>
            <w:vAlign w:val="center"/>
          </w:tcPr>
          <w:p w14:paraId="39CEDB94">
            <w:pPr>
              <w:jc w:val="right"/>
              <w:rPr>
                <w:bCs w:val="0"/>
                <w:color w:val="000000" w:themeColor="text1"/>
                <w14:textFill>
                  <w14:solidFill>
                    <w14:schemeClr w14:val="tx1"/>
                  </w14:solidFill>
                </w14:textFill>
              </w:rPr>
            </w:pPr>
            <w:r>
              <w:rPr>
                <w:color w:val="000000" w:themeColor="text1"/>
                <w14:textFill>
                  <w14:solidFill>
                    <w14:schemeClr w14:val="tx1"/>
                  </w14:solidFill>
                </w14:textFill>
              </w:rPr>
              <w:t>/</w:t>
            </w:r>
          </w:p>
        </w:tc>
        <w:tc>
          <w:tcPr>
            <w:tcW w:w="387" w:type="pct"/>
            <w:vAlign w:val="center"/>
          </w:tcPr>
          <w:p w14:paraId="4FCCB9D8">
            <w:pPr>
              <w:jc w:val="right"/>
              <w:rPr>
                <w:bCs w:val="0"/>
              </w:rPr>
            </w:pPr>
            <w:r>
              <w:rPr>
                <w:rFonts w:hint="eastAsia"/>
              </w:rPr>
              <w:t>49,967.2</w:t>
            </w:r>
          </w:p>
        </w:tc>
        <w:tc>
          <w:tcPr>
            <w:tcW w:w="367" w:type="pct"/>
            <w:vAlign w:val="center"/>
          </w:tcPr>
          <w:p w14:paraId="76B8BDA4">
            <w:pPr>
              <w:jc w:val="right"/>
              <w:rPr>
                <w:bCs w:val="0"/>
                <w:color w:val="000000" w:themeColor="text1"/>
                <w14:textFill>
                  <w14:solidFill>
                    <w14:schemeClr w14:val="tx1"/>
                  </w14:solidFill>
                </w14:textFill>
              </w:rPr>
            </w:pPr>
            <w:r>
              <w:rPr>
                <w:color w:val="000000" w:themeColor="text1"/>
                <w14:textFill>
                  <w14:solidFill>
                    <w14:schemeClr w14:val="tx1"/>
                  </w14:solidFill>
                </w14:textFill>
              </w:rPr>
              <w:t>/</w:t>
            </w:r>
          </w:p>
        </w:tc>
        <w:tc>
          <w:tcPr>
            <w:tcW w:w="365" w:type="pct"/>
            <w:vAlign w:val="center"/>
          </w:tcPr>
          <w:p w14:paraId="6CD020E2">
            <w:pPr>
              <w:jc w:val="right"/>
              <w:rPr>
                <w:bCs w:val="0"/>
              </w:rPr>
            </w:pPr>
            <w:r>
              <w:rPr>
                <w:rFonts w:hint="eastAsia"/>
              </w:rPr>
              <w:t>423,092.79</w:t>
            </w:r>
          </w:p>
        </w:tc>
      </w:tr>
    </w:tbl>
    <w:p w14:paraId="7521F384">
      <w:pPr>
        <w:rPr>
          <w:color w:val="000000" w:themeColor="text1"/>
          <w14:textFill>
            <w14:solidFill>
              <w14:schemeClr w14:val="tx1"/>
            </w14:solidFill>
          </w14:textFill>
        </w:rPr>
      </w:pPr>
    </w:p>
    <w:p w14:paraId="70B0A1D5">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rFonts w:hint="eastAsia"/>
          <w:color w:val="000000" w:themeColor="text1"/>
          <w14:textFill>
            <w14:solidFill>
              <w14:schemeClr w14:val="tx1"/>
            </w14:solidFill>
          </w14:textFill>
        </w:rPr>
        <w:alias w:val="是否适用：募集资金整体使用情况的其他说明[双击切换]"/>
        <w:tag w:val="_GBC_472dfe8b312b442ca54bdef220b253ad"/>
        <w:id w:val="-586691756"/>
      </w:sdtPr>
      <w:sdtEndPr>
        <w:rPr>
          <w:rFonts w:hint="eastAsia"/>
          <w:color w:val="000000" w:themeColor="text1"/>
          <w14:textFill>
            <w14:solidFill>
              <w14:schemeClr w14:val="tx1"/>
            </w14:solidFill>
          </w14:textFill>
        </w:rPr>
      </w:sdtEndPr>
      <w:sdtContent>
        <w:p w14:paraId="4C05FA4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7ABDE0B2">
      <w:pPr>
        <w:rPr>
          <w:color w:val="000000" w:themeColor="text1"/>
          <w14:textFill>
            <w14:solidFill>
              <w14:schemeClr w14:val="tx1"/>
            </w14:solidFill>
          </w14:textFill>
        </w:rPr>
      </w:pPr>
    </w:p>
    <w:bookmarkEnd w:id="66"/>
    <w:p w14:paraId="1EAB411C">
      <w:pPr>
        <w:pStyle w:val="4"/>
        <w:numPr>
          <w:ilvl w:val="0"/>
          <w:numId w:val="25"/>
        </w:numPr>
        <w:tabs>
          <w:tab w:val="left" w:pos="360"/>
        </w:tabs>
        <w:ind w:left="450" w:hanging="45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募投项目明细</w:t>
      </w:r>
    </w:p>
    <w:sdt>
      <w:sdtPr>
        <w:rPr>
          <w:color w:val="000000" w:themeColor="text1"/>
          <w14:textFill>
            <w14:solidFill>
              <w14:schemeClr w14:val="tx1"/>
            </w14:solidFill>
          </w14:textFill>
        </w:rPr>
        <w:alias w:val="是否适用：募投项目明细[双击切换]"/>
        <w:tag w:val="_GBC_d62426eab3014f178b7d8906e6ab8d2c"/>
        <w:id w:val="147459042"/>
        <w:placeholder>
          <w:docPart w:val="{d8014d7a-cba5-4a66-9d59-c514dac73ae3}"/>
        </w:placeholder>
      </w:sdtPr>
      <w:sdtEndPr>
        <w:rPr>
          <w:color w:val="000000" w:themeColor="text1"/>
          <w14:textFill>
            <w14:solidFill>
              <w14:schemeClr w14:val="tx1"/>
            </w14:solidFill>
          </w14:textFill>
        </w:rPr>
      </w:sdtEndPr>
      <w:sdtContent>
        <w:p w14:paraId="4A6C6643">
          <w:p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p w14:paraId="5EC768E9">
          <w:pPr>
            <w:rPr>
              <w:color w:val="000000" w:themeColor="text1"/>
              <w14:textFill>
                <w14:solidFill>
                  <w14:schemeClr w14:val="tx1"/>
                </w14:solidFill>
              </w14:textFill>
            </w:rPr>
          </w:pPr>
        </w:p>
      </w:sdtContent>
    </w:sdt>
    <w:p w14:paraId="28010029">
      <w:pPr>
        <w:pStyle w:val="5"/>
        <w:numPr>
          <w:ilvl w:val="0"/>
          <w:numId w:val="26"/>
        </w:numPr>
      </w:pPr>
      <w:bookmarkStart w:id="71" w:name="_Hlk90391869"/>
      <w:r>
        <w:rPr>
          <w:rFonts w:hint="eastAsia"/>
        </w:rPr>
        <w:t>募集资金明细使用情况</w:t>
      </w:r>
    </w:p>
    <w:sdt>
      <w:sdtPr>
        <w:rPr>
          <w:color w:val="000000" w:themeColor="text1"/>
          <w14:textFill>
            <w14:solidFill>
              <w14:schemeClr w14:val="tx1"/>
            </w14:solidFill>
          </w14:textFill>
        </w:rPr>
        <w:alias w:val="是否适用：募集资金明细使用情况[双击切换]"/>
        <w:tag w:val="_GBC_48d6f3756d1b47deab1d995ea0c46336"/>
        <w:id w:val="147458247"/>
        <w:placeholder>
          <w:docPart w:val="{d8014d7a-cba5-4a66-9d59-c514dac73ae3}"/>
        </w:placeholder>
      </w:sdtPr>
      <w:sdtEndPr>
        <w:rPr>
          <w:color w:val="000000" w:themeColor="text1"/>
          <w14:textFill>
            <w14:solidFill>
              <w14:schemeClr w14:val="tx1"/>
            </w14:solidFill>
          </w14:textFill>
        </w:rPr>
      </w:sdtEndPr>
      <w:sdtContent>
        <w:p w14:paraId="0582B51D">
          <w:p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p w14:paraId="7F8038BD">
          <w:pPr>
            <w:rPr>
              <w:color w:val="000000" w:themeColor="text1"/>
              <w14:textFill>
                <w14:solidFill>
                  <w14:schemeClr w14:val="tx1"/>
                </w14:solidFill>
              </w14:textFill>
            </w:rPr>
          </w:pPr>
        </w:p>
      </w:sdtContent>
    </w:sdt>
    <w:p w14:paraId="3B40D573">
      <w:pPr>
        <w:ind w:right="105"/>
        <w:jc w:val="right"/>
        <w:rPr>
          <w:color w:val="000000" w:themeColor="text1"/>
          <w14:textFill>
            <w14:solidFill>
              <w14:schemeClr w14:val="tx1"/>
            </w14:solidFill>
          </w14:textFill>
        </w:rPr>
      </w:pPr>
    </w:p>
    <w:p w14:paraId="00EB411E">
      <w:pPr>
        <w:ind w:right="105"/>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w:t>
      </w:r>
      <w:sdt>
        <w:sdtPr>
          <w:rPr>
            <w:color w:val="000000" w:themeColor="text1"/>
            <w14:textFill>
              <w14:solidFill>
                <w14:schemeClr w14:val="tx1"/>
              </w14:solidFill>
            </w14:textFill>
          </w:rPr>
          <w:alias w:val="单位：募集资金承诺项目情况"/>
          <w:tag w:val="_GBC_1ea65ddb72f7416ebfabefd4f6fde236"/>
          <w:id w:val="147470789"/>
          <w:placeholder>
            <w:docPart w:val="{d8014d7a-cba5-4a66-9d59-c514dac73ae3}"/>
          </w:placeholder>
          <w:comboBox>
            <w:listItem w:displayText="元" w:value="元"/>
            <w:listItem w:displayText="千元" w:value="千元"/>
            <w:listItem w:displayText="万元" w:value="万元"/>
            <w:listItem w:displayText="百万元" w:value="百万元"/>
            <w:listItem w:displayText="亿元" w:value="亿元"/>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万元</w:t>
          </w:r>
        </w:sdtContent>
      </w:sdt>
    </w:p>
    <w:bookmarkEnd w:id="67"/>
    <w:bookmarkEnd w:id="71"/>
    <w:tbl>
      <w:tblPr>
        <w:tblStyle w:val="37"/>
        <w:tblW w:w="5000" w:type="pct"/>
        <w:jc w:val="center"/>
        <w:tblLayout w:type="fixed"/>
        <w:tblCellMar>
          <w:top w:w="0" w:type="dxa"/>
          <w:left w:w="108" w:type="dxa"/>
          <w:bottom w:w="0" w:type="dxa"/>
          <w:right w:w="108" w:type="dxa"/>
        </w:tblCellMar>
      </w:tblPr>
      <w:tblGrid>
        <w:gridCol w:w="713"/>
        <w:gridCol w:w="917"/>
        <w:gridCol w:w="553"/>
        <w:gridCol w:w="839"/>
        <w:gridCol w:w="992"/>
        <w:gridCol w:w="933"/>
        <w:gridCol w:w="887"/>
        <w:gridCol w:w="916"/>
        <w:gridCol w:w="823"/>
        <w:gridCol w:w="795"/>
        <w:gridCol w:w="674"/>
        <w:gridCol w:w="839"/>
        <w:gridCol w:w="784"/>
        <w:gridCol w:w="938"/>
        <w:gridCol w:w="913"/>
        <w:gridCol w:w="787"/>
        <w:gridCol w:w="787"/>
      </w:tblGrid>
      <w:tr w14:paraId="2D3228B9">
        <w:tblPrEx>
          <w:tblCellMar>
            <w:top w:w="0" w:type="dxa"/>
            <w:left w:w="108" w:type="dxa"/>
            <w:bottom w:w="0" w:type="dxa"/>
            <w:right w:w="108" w:type="dxa"/>
          </w:tblCellMar>
        </w:tblPrEx>
        <w:trPr>
          <w:trHeight w:val="800" w:hRule="atLeast"/>
          <w:tblHeader/>
          <w:jc w:val="center"/>
        </w:trPr>
        <w:sdt>
          <w:sdtPr>
            <w:rPr>
              <w:rFonts w:cs="Times New Roman"/>
              <w:sz w:val="18"/>
              <w:szCs w:val="18"/>
            </w:rPr>
            <w:tag w:val="_PLD_ecc6f6cfd8d64c22abb3fa8a39189bf7"/>
            <w:id w:val="147468554"/>
          </w:sdtPr>
          <w:sdtEndPr>
            <w:rPr>
              <w:rFonts w:cs="Times New Roman"/>
              <w:sz w:val="18"/>
              <w:szCs w:val="18"/>
            </w:rPr>
          </w:sdtEndPr>
          <w:sdtContent>
            <w:tc>
              <w:tcPr>
                <w:tcW w:w="253" w:type="pct"/>
                <w:tcBorders>
                  <w:top w:val="single" w:color="auto" w:sz="4" w:space="0"/>
                  <w:left w:val="single" w:color="auto" w:sz="4" w:space="0"/>
                  <w:bottom w:val="single" w:color="auto" w:sz="4" w:space="0"/>
                  <w:right w:val="single" w:color="auto" w:sz="4" w:space="0"/>
                </w:tcBorders>
                <w:vAlign w:val="center"/>
              </w:tcPr>
              <w:p w14:paraId="6532B0FD">
                <w:pPr>
                  <w:jc w:val="center"/>
                  <w:rPr>
                    <w:rFonts w:cs="Times New Roman"/>
                    <w:bCs w:val="0"/>
                    <w:color w:val="000000" w:themeColor="text1"/>
                    <w:sz w:val="18"/>
                    <w:szCs w:val="18"/>
                    <w14:textFill>
                      <w14:solidFill>
                        <w14:schemeClr w14:val="tx1"/>
                      </w14:solidFill>
                    </w14:textFill>
                  </w:rPr>
                </w:pPr>
                <w:bookmarkStart w:id="72" w:name="_Hlk169882642"/>
                <w:r>
                  <w:rPr>
                    <w:rFonts w:cs="Times New Roman"/>
                    <w:color w:val="000000" w:themeColor="text1"/>
                    <w:sz w:val="18"/>
                    <w:szCs w:val="18"/>
                    <w14:textFill>
                      <w14:solidFill>
                        <w14:schemeClr w14:val="tx1"/>
                      </w14:solidFill>
                    </w14:textFill>
                  </w:rPr>
                  <w:t>募集资金来源</w:t>
                </w:r>
              </w:p>
            </w:tc>
          </w:sdtContent>
        </w:sdt>
        <w:sdt>
          <w:sdtPr>
            <w:rPr>
              <w:rFonts w:cs="Times New Roman"/>
              <w:sz w:val="18"/>
              <w:szCs w:val="18"/>
            </w:rPr>
            <w:tag w:val="_PLD_761d189c80d14526a263d362eda71ece"/>
            <w:id w:val="147479378"/>
          </w:sdtPr>
          <w:sdtEndPr>
            <w:rPr>
              <w:rFonts w:cs="Times New Roman"/>
              <w:sz w:val="18"/>
              <w:szCs w:val="18"/>
            </w:rPr>
          </w:sdtEndPr>
          <w:sdtContent>
            <w:tc>
              <w:tcPr>
                <w:tcW w:w="324" w:type="pct"/>
                <w:tcBorders>
                  <w:top w:val="single" w:color="auto" w:sz="4" w:space="0"/>
                  <w:left w:val="single" w:color="auto" w:sz="4" w:space="0"/>
                  <w:bottom w:val="single" w:color="auto" w:sz="4" w:space="0"/>
                  <w:right w:val="single" w:color="auto" w:sz="4" w:space="0"/>
                </w:tcBorders>
                <w:vAlign w:val="center"/>
              </w:tcPr>
              <w:p w14:paraId="1E8B0286">
                <w:pPr>
                  <w:jc w:val="center"/>
                  <w:rPr>
                    <w:rFonts w:cs="Times New Roman"/>
                    <w:bCs w:val="0"/>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项目名称</w:t>
                </w:r>
              </w:p>
            </w:tc>
          </w:sdtContent>
        </w:sdt>
        <w:tc>
          <w:tcPr>
            <w:tcW w:w="196" w:type="pct"/>
            <w:tcBorders>
              <w:top w:val="single" w:color="auto" w:sz="4" w:space="0"/>
              <w:left w:val="single" w:color="auto" w:sz="4" w:space="0"/>
              <w:bottom w:val="single" w:color="auto" w:sz="4" w:space="0"/>
              <w:right w:val="single" w:color="auto" w:sz="4" w:space="0"/>
            </w:tcBorders>
            <w:vAlign w:val="center"/>
          </w:tcPr>
          <w:sdt>
            <w:sdtPr>
              <w:rPr>
                <w:rFonts w:cs="Times New Roman"/>
                <w:sz w:val="18"/>
                <w:szCs w:val="18"/>
              </w:rPr>
              <w:tag w:val="_PLD_e9fb103224e24bc78010fc698d0d0d6e"/>
              <w:id w:val="147480515"/>
            </w:sdtPr>
            <w:sdtEndPr>
              <w:rPr>
                <w:rFonts w:cs="Times New Roman"/>
                <w:sz w:val="18"/>
                <w:szCs w:val="18"/>
              </w:rPr>
            </w:sdtEndPr>
            <w:sdtContent>
              <w:p w14:paraId="4B87D462">
                <w:pPr>
                  <w:jc w:val="center"/>
                  <w:rPr>
                    <w:rFonts w:cs="Times New Roman"/>
                    <w:bCs w:val="0"/>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项目性质</w:t>
                </w:r>
              </w:p>
            </w:sdtContent>
          </w:sdt>
        </w:tc>
        <w:tc>
          <w:tcPr>
            <w:tcW w:w="298" w:type="pct"/>
            <w:tcBorders>
              <w:top w:val="single" w:color="auto" w:sz="4" w:space="0"/>
              <w:left w:val="single" w:color="auto" w:sz="4" w:space="0"/>
              <w:bottom w:val="single" w:color="auto" w:sz="4" w:space="0"/>
              <w:right w:val="single" w:color="auto" w:sz="4" w:space="0"/>
            </w:tcBorders>
            <w:vAlign w:val="center"/>
          </w:tcPr>
          <w:sdt>
            <w:sdtPr>
              <w:rPr>
                <w:rFonts w:cs="Times New Roman"/>
                <w:sz w:val="18"/>
                <w:szCs w:val="18"/>
              </w:rPr>
              <w:tag w:val="_PLD_779903899f624d7e90d0b5905b454a25"/>
              <w:id w:val="147451364"/>
            </w:sdtPr>
            <w:sdtEndPr>
              <w:rPr>
                <w:rFonts w:cs="Times New Roman"/>
                <w:sz w:val="18"/>
                <w:szCs w:val="18"/>
              </w:rPr>
            </w:sdtEndPr>
            <w:sdtContent>
              <w:p w14:paraId="140DD9F7">
                <w:pPr>
                  <w:jc w:val="center"/>
                  <w:rPr>
                    <w:rFonts w:cs="Times New Roman"/>
                    <w:bCs w:val="0"/>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是否为招股书或者募集说明书中的承诺投资项目</w:t>
                </w:r>
              </w:p>
            </w:sdtContent>
          </w:sdt>
        </w:tc>
        <w:sdt>
          <w:sdtPr>
            <w:rPr>
              <w:rFonts w:cs="Times New Roman"/>
              <w:sz w:val="18"/>
              <w:szCs w:val="18"/>
            </w:rPr>
            <w:tag w:val="_PLD_fb2d6d9915e449a092fe4c2b051d5573"/>
            <w:id w:val="147472690"/>
          </w:sdtPr>
          <w:sdtEndPr>
            <w:rPr>
              <w:rFonts w:cs="Times New Roman"/>
              <w:sz w:val="18"/>
              <w:szCs w:val="18"/>
            </w:rPr>
          </w:sdtEndPr>
          <w:sdtContent>
            <w:tc>
              <w:tcPr>
                <w:tcW w:w="351" w:type="pct"/>
                <w:tcBorders>
                  <w:top w:val="single" w:color="auto" w:sz="4" w:space="0"/>
                  <w:left w:val="single" w:color="auto" w:sz="4" w:space="0"/>
                  <w:bottom w:val="single" w:color="auto" w:sz="4" w:space="0"/>
                  <w:right w:val="single" w:color="auto" w:sz="4" w:space="0"/>
                </w:tcBorders>
                <w:vAlign w:val="center"/>
              </w:tcPr>
              <w:p w14:paraId="363F1971">
                <w:pPr>
                  <w:jc w:val="center"/>
                  <w:rPr>
                    <w:rFonts w:cs="Times New Roman"/>
                    <w:bCs w:val="0"/>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是否涉及变更投向</w:t>
                </w:r>
              </w:p>
            </w:tc>
          </w:sdtContent>
        </w:sdt>
        <w:tc>
          <w:tcPr>
            <w:tcW w:w="330" w:type="pct"/>
            <w:tcBorders>
              <w:top w:val="single" w:color="auto" w:sz="4" w:space="0"/>
              <w:left w:val="nil"/>
              <w:bottom w:val="single" w:color="auto" w:sz="4" w:space="0"/>
              <w:right w:val="single" w:color="auto" w:sz="4" w:space="0"/>
            </w:tcBorders>
            <w:vAlign w:val="center"/>
          </w:tcPr>
          <w:sdt>
            <w:sdtPr>
              <w:rPr>
                <w:rFonts w:cs="Times New Roman"/>
                <w:sz w:val="18"/>
                <w:szCs w:val="18"/>
              </w:rPr>
              <w:tag w:val="_PLD_ecfc5a28e36143e79a5b25687b226292"/>
              <w:id w:val="147463683"/>
            </w:sdtPr>
            <w:sdtEndPr>
              <w:rPr>
                <w:rFonts w:cs="Times New Roman"/>
                <w:sz w:val="18"/>
                <w:szCs w:val="18"/>
              </w:rPr>
            </w:sdtEndPr>
            <w:sdtContent>
              <w:p w14:paraId="2D6FE912">
                <w:pPr>
                  <w:jc w:val="center"/>
                  <w:rPr>
                    <w:rFonts w:cs="Times New Roman"/>
                    <w:bCs w:val="0"/>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募集资金计划投资总额  (1)</w:t>
                </w:r>
              </w:p>
            </w:sdtContent>
          </w:sdt>
        </w:tc>
        <w:sdt>
          <w:sdtPr>
            <w:rPr>
              <w:rFonts w:cs="Times New Roman"/>
              <w:sz w:val="18"/>
              <w:szCs w:val="18"/>
            </w:rPr>
            <w:tag w:val="_PLD_0298947df8014f3caa51b18d7ccb2eee"/>
            <w:id w:val="147477488"/>
          </w:sdtPr>
          <w:sdtEndPr>
            <w:rPr>
              <w:rFonts w:cs="Times New Roman"/>
              <w:sz w:val="18"/>
              <w:szCs w:val="18"/>
            </w:rPr>
          </w:sdtEndPr>
          <w:sdtContent>
            <w:tc>
              <w:tcPr>
                <w:tcW w:w="314" w:type="pct"/>
                <w:tcBorders>
                  <w:top w:val="single" w:color="auto" w:sz="4" w:space="0"/>
                  <w:left w:val="single" w:color="auto" w:sz="4" w:space="0"/>
                  <w:bottom w:val="single" w:color="auto" w:sz="4" w:space="0"/>
                  <w:right w:val="single" w:color="auto" w:sz="4" w:space="0"/>
                </w:tcBorders>
                <w:vAlign w:val="center"/>
              </w:tcPr>
              <w:p w14:paraId="76708054">
                <w:pPr>
                  <w:jc w:val="center"/>
                  <w:rPr>
                    <w:rFonts w:cs="Times New Roman"/>
                    <w:bCs w:val="0"/>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本年投入金额</w:t>
                </w:r>
              </w:p>
            </w:tc>
          </w:sdtContent>
        </w:sdt>
        <w:sdt>
          <w:sdtPr>
            <w:rPr>
              <w:rFonts w:cs="Times New Roman"/>
              <w:sz w:val="18"/>
              <w:szCs w:val="18"/>
            </w:rPr>
            <w:tag w:val="_PLD_dc2849e9008d4ae484b729fce1b8183c"/>
            <w:id w:val="147463003"/>
          </w:sdtPr>
          <w:sdtEndPr>
            <w:rPr>
              <w:rFonts w:cs="Times New Roman"/>
              <w:sz w:val="18"/>
              <w:szCs w:val="18"/>
            </w:rPr>
          </w:sdtEndPr>
          <w:sdtContent>
            <w:tc>
              <w:tcPr>
                <w:tcW w:w="324" w:type="pct"/>
                <w:tcBorders>
                  <w:top w:val="single" w:color="auto" w:sz="4" w:space="0"/>
                  <w:left w:val="single" w:color="auto" w:sz="4" w:space="0"/>
                  <w:bottom w:val="single" w:color="auto" w:sz="4" w:space="0"/>
                  <w:right w:val="single" w:color="auto" w:sz="4" w:space="0"/>
                </w:tcBorders>
                <w:vAlign w:val="center"/>
              </w:tcPr>
              <w:p w14:paraId="2B78BAF4">
                <w:pPr>
                  <w:jc w:val="center"/>
                  <w:rPr>
                    <w:rFonts w:cs="Times New Roman"/>
                    <w:bCs w:val="0"/>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截至报告期末累计投入募集资金总额（2）</w:t>
                </w:r>
              </w:p>
            </w:tc>
          </w:sdtContent>
        </w:sdt>
        <w:sdt>
          <w:sdtPr>
            <w:rPr>
              <w:rFonts w:cs="Times New Roman"/>
              <w:sz w:val="18"/>
              <w:szCs w:val="18"/>
            </w:rPr>
            <w:tag w:val="_PLD_59e643f837534f6ead9a2e2416f3979e"/>
            <w:id w:val="147480212"/>
          </w:sdtPr>
          <w:sdtEndPr>
            <w:rPr>
              <w:rFonts w:cs="Times New Roman"/>
              <w:sz w:val="18"/>
              <w:szCs w:val="18"/>
            </w:rPr>
          </w:sdtEndPr>
          <w:sdtContent>
            <w:tc>
              <w:tcPr>
                <w:tcW w:w="292" w:type="pct"/>
                <w:tcBorders>
                  <w:top w:val="single" w:color="auto" w:sz="4" w:space="0"/>
                  <w:left w:val="nil"/>
                  <w:bottom w:val="single" w:color="auto" w:sz="4" w:space="0"/>
                  <w:right w:val="single" w:color="auto" w:sz="4" w:space="0"/>
                </w:tcBorders>
                <w:vAlign w:val="center"/>
              </w:tcPr>
              <w:p w14:paraId="053F12CC">
                <w:pPr>
                  <w:jc w:val="center"/>
                  <w:rPr>
                    <w:rFonts w:cs="Times New Roman"/>
                    <w:bCs w:val="0"/>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截至报告期末累计投入进度（%）</w:t>
                </w:r>
              </w:p>
              <w:p w14:paraId="00AF56DF">
                <w:pPr>
                  <w:jc w:val="center"/>
                  <w:rPr>
                    <w:rFonts w:cs="Times New Roman"/>
                    <w:bCs w:val="0"/>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(3)＝(2)/(1)</w:t>
                </w:r>
              </w:p>
            </w:tc>
          </w:sdtContent>
        </w:sdt>
        <w:sdt>
          <w:sdtPr>
            <w:rPr>
              <w:rFonts w:cs="Times New Roman"/>
              <w:sz w:val="18"/>
              <w:szCs w:val="18"/>
            </w:rPr>
            <w:tag w:val="_PLD_01e8e5e4ca3d4d3aaaa7086276c1bc5c"/>
            <w:id w:val="147458380"/>
          </w:sdtPr>
          <w:sdtEndPr>
            <w:rPr>
              <w:rFonts w:cs="Times New Roman"/>
              <w:sz w:val="18"/>
              <w:szCs w:val="18"/>
            </w:rPr>
          </w:sdtEndPr>
          <w:sdtContent>
            <w:tc>
              <w:tcPr>
                <w:tcW w:w="282" w:type="pct"/>
                <w:tcBorders>
                  <w:top w:val="single" w:color="auto" w:sz="4" w:space="0"/>
                  <w:left w:val="nil"/>
                  <w:bottom w:val="single" w:color="auto" w:sz="4" w:space="0"/>
                  <w:right w:val="single" w:color="auto" w:sz="4" w:space="0"/>
                </w:tcBorders>
                <w:vAlign w:val="center"/>
              </w:tcPr>
              <w:p w14:paraId="63C8CE37">
                <w:pPr>
                  <w:jc w:val="center"/>
                  <w:rPr>
                    <w:rFonts w:cs="Times New Roman"/>
                    <w:bCs w:val="0"/>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项目达到预定可使用状态日期</w:t>
                </w:r>
              </w:p>
            </w:tc>
          </w:sdtContent>
        </w:sdt>
        <w:sdt>
          <w:sdtPr>
            <w:rPr>
              <w:rFonts w:cs="Times New Roman"/>
              <w:sz w:val="18"/>
              <w:szCs w:val="18"/>
            </w:rPr>
            <w:tag w:val="_PLD_5eddbee536aa4e52892af95cd659d94b"/>
            <w:id w:val="147466638"/>
          </w:sdtPr>
          <w:sdtEndPr>
            <w:rPr>
              <w:rFonts w:cs="Times New Roman"/>
              <w:sz w:val="18"/>
              <w:szCs w:val="18"/>
            </w:rPr>
          </w:sdtEndPr>
          <w:sdtContent>
            <w:tc>
              <w:tcPr>
                <w:tcW w:w="239" w:type="pct"/>
                <w:tcBorders>
                  <w:top w:val="single" w:color="auto" w:sz="4" w:space="0"/>
                  <w:left w:val="nil"/>
                  <w:bottom w:val="single" w:color="auto" w:sz="4" w:space="0"/>
                  <w:right w:val="single" w:color="auto" w:sz="4" w:space="0"/>
                </w:tcBorders>
                <w:vAlign w:val="center"/>
              </w:tcPr>
              <w:p w14:paraId="2C92C3C9">
                <w:pPr>
                  <w:jc w:val="center"/>
                  <w:rPr>
                    <w:rFonts w:cs="Times New Roman"/>
                    <w:bCs w:val="0"/>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是否已结项</w:t>
                </w:r>
              </w:p>
            </w:tc>
          </w:sdtContent>
        </w:sdt>
        <w:sdt>
          <w:sdtPr>
            <w:rPr>
              <w:rFonts w:cs="Times New Roman"/>
              <w:sz w:val="18"/>
              <w:szCs w:val="18"/>
            </w:rPr>
            <w:tag w:val="_PLD_8467465a96b74acaab331c5d90e9ce0b"/>
            <w:id w:val="147467995"/>
          </w:sdtPr>
          <w:sdtEndPr>
            <w:rPr>
              <w:rFonts w:cs="Times New Roman"/>
              <w:sz w:val="18"/>
              <w:szCs w:val="18"/>
            </w:rPr>
          </w:sdtEndPr>
          <w:sdtContent>
            <w:tc>
              <w:tcPr>
                <w:tcW w:w="298" w:type="pct"/>
                <w:tcBorders>
                  <w:top w:val="single" w:color="auto" w:sz="4" w:space="0"/>
                  <w:left w:val="nil"/>
                  <w:bottom w:val="single" w:color="auto" w:sz="4" w:space="0"/>
                  <w:right w:val="single" w:color="auto" w:sz="4" w:space="0"/>
                </w:tcBorders>
                <w:vAlign w:val="center"/>
              </w:tcPr>
              <w:p w14:paraId="3A891563">
                <w:pPr>
                  <w:jc w:val="center"/>
                  <w:rPr>
                    <w:rFonts w:cs="Times New Roman"/>
                    <w:bCs w:val="0"/>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投入进度是否符合计划的进度</w:t>
                </w:r>
              </w:p>
            </w:tc>
          </w:sdtContent>
        </w:sdt>
        <w:sdt>
          <w:sdtPr>
            <w:rPr>
              <w:rFonts w:cs="Times New Roman"/>
              <w:sz w:val="18"/>
              <w:szCs w:val="18"/>
            </w:rPr>
            <w:tag w:val="_PLD_1b7bf5771de14bcc9dd65c6fd485f737"/>
            <w:id w:val="147478219"/>
          </w:sdtPr>
          <w:sdtEndPr>
            <w:rPr>
              <w:rFonts w:cs="Times New Roman"/>
              <w:sz w:val="18"/>
              <w:szCs w:val="18"/>
            </w:rPr>
          </w:sdtEndPr>
          <w:sdtContent>
            <w:tc>
              <w:tcPr>
                <w:tcW w:w="278" w:type="pct"/>
                <w:tcBorders>
                  <w:top w:val="single" w:color="auto" w:sz="4" w:space="0"/>
                  <w:left w:val="nil"/>
                  <w:bottom w:val="single" w:color="auto" w:sz="4" w:space="0"/>
                  <w:right w:val="single" w:color="auto" w:sz="4" w:space="0"/>
                </w:tcBorders>
                <w:vAlign w:val="center"/>
              </w:tcPr>
              <w:p w14:paraId="3A427F70">
                <w:pPr>
                  <w:jc w:val="center"/>
                  <w:rPr>
                    <w:rFonts w:cs="Times New Roman"/>
                    <w:bCs w:val="0"/>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投入进度未达计划的具体原因</w:t>
                </w:r>
              </w:p>
            </w:tc>
          </w:sdtContent>
        </w:sdt>
        <w:sdt>
          <w:sdtPr>
            <w:rPr>
              <w:rFonts w:cs="Times New Roman"/>
              <w:sz w:val="18"/>
              <w:szCs w:val="18"/>
            </w:rPr>
            <w:tag w:val="_PLD_fbb430167f3547579a7577fe949992b0"/>
            <w:id w:val="147470662"/>
          </w:sdtPr>
          <w:sdtEndPr>
            <w:rPr>
              <w:rFonts w:cs="Times New Roman"/>
              <w:sz w:val="18"/>
              <w:szCs w:val="18"/>
            </w:rPr>
          </w:sdtEndPr>
          <w:sdtContent>
            <w:tc>
              <w:tcPr>
                <w:tcW w:w="332" w:type="pct"/>
                <w:tcBorders>
                  <w:top w:val="single" w:color="auto" w:sz="4" w:space="0"/>
                  <w:left w:val="single" w:color="auto" w:sz="4" w:space="0"/>
                  <w:bottom w:val="single" w:color="auto" w:sz="4" w:space="0"/>
                  <w:right w:val="single" w:color="auto" w:sz="4" w:space="0"/>
                </w:tcBorders>
                <w:vAlign w:val="center"/>
              </w:tcPr>
              <w:p w14:paraId="2D588183">
                <w:pPr>
                  <w:jc w:val="center"/>
                  <w:rPr>
                    <w:rFonts w:cs="Times New Roman"/>
                    <w:bCs w:val="0"/>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本年实现的效益</w:t>
                </w:r>
              </w:p>
            </w:tc>
          </w:sdtContent>
        </w:sdt>
        <w:sdt>
          <w:sdtPr>
            <w:rPr>
              <w:rFonts w:cs="Times New Roman"/>
              <w:sz w:val="18"/>
              <w:szCs w:val="18"/>
            </w:rPr>
            <w:tag w:val="_PLD_6f9a466456034ce1b5c52e7b5f84118e"/>
            <w:id w:val="147471741"/>
          </w:sdtPr>
          <w:sdtEndPr>
            <w:rPr>
              <w:rFonts w:cs="Times New Roman"/>
              <w:sz w:val="18"/>
              <w:szCs w:val="18"/>
            </w:rPr>
          </w:sdtEndPr>
          <w:sdtContent>
            <w:tc>
              <w:tcPr>
                <w:tcW w:w="323" w:type="pct"/>
                <w:tcBorders>
                  <w:top w:val="single" w:color="auto" w:sz="4" w:space="0"/>
                  <w:left w:val="single" w:color="auto" w:sz="4" w:space="0"/>
                  <w:bottom w:val="single" w:color="auto" w:sz="4" w:space="0"/>
                  <w:right w:val="single" w:color="auto" w:sz="4" w:space="0"/>
                </w:tcBorders>
                <w:vAlign w:val="center"/>
              </w:tcPr>
              <w:p w14:paraId="29A7516A">
                <w:pPr>
                  <w:jc w:val="center"/>
                  <w:rPr>
                    <w:rFonts w:cs="Times New Roman"/>
                    <w:bCs w:val="0"/>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本项目已实现的效益或者研发成果</w:t>
                </w:r>
              </w:p>
            </w:tc>
          </w:sdtContent>
        </w:sdt>
        <w:sdt>
          <w:sdtPr>
            <w:rPr>
              <w:rFonts w:cs="Times New Roman"/>
              <w:sz w:val="18"/>
              <w:szCs w:val="18"/>
            </w:rPr>
            <w:tag w:val="_PLD_a2bfc6b5def44414b3ea17747d5098bb"/>
            <w:id w:val="147471921"/>
          </w:sdtPr>
          <w:sdtEndPr>
            <w:rPr>
              <w:rFonts w:cs="Times New Roman"/>
              <w:sz w:val="18"/>
              <w:szCs w:val="18"/>
            </w:rPr>
          </w:sdtEndPr>
          <w:sdtContent>
            <w:tc>
              <w:tcPr>
                <w:tcW w:w="279" w:type="pct"/>
                <w:tcBorders>
                  <w:top w:val="single" w:color="auto" w:sz="4" w:space="0"/>
                  <w:left w:val="nil"/>
                  <w:bottom w:val="single" w:color="auto" w:sz="4" w:space="0"/>
                  <w:right w:val="single" w:color="auto" w:sz="4" w:space="0"/>
                </w:tcBorders>
                <w:vAlign w:val="center"/>
              </w:tcPr>
              <w:p w14:paraId="696F2065">
                <w:pPr>
                  <w:jc w:val="center"/>
                  <w:rPr>
                    <w:rFonts w:cs="Times New Roman"/>
                    <w:bCs w:val="0"/>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项目可行性是否发生重大变化，如是，请说明具体情况</w:t>
                </w:r>
              </w:p>
            </w:tc>
          </w:sdtContent>
        </w:sdt>
        <w:sdt>
          <w:sdtPr>
            <w:rPr>
              <w:rFonts w:cs="Times New Roman"/>
              <w:sz w:val="18"/>
              <w:szCs w:val="18"/>
            </w:rPr>
            <w:tag w:val="_PLD_88cf0da5d9e243a788faa7cae609a675"/>
            <w:id w:val="147464988"/>
          </w:sdtPr>
          <w:sdtEndPr>
            <w:rPr>
              <w:rFonts w:cs="Times New Roman"/>
              <w:sz w:val="18"/>
              <w:szCs w:val="18"/>
            </w:rPr>
          </w:sdtEndPr>
          <w:sdtContent>
            <w:tc>
              <w:tcPr>
                <w:tcW w:w="279" w:type="pct"/>
                <w:tcBorders>
                  <w:top w:val="single" w:color="auto" w:sz="4" w:space="0"/>
                  <w:left w:val="nil"/>
                  <w:bottom w:val="single" w:color="auto" w:sz="4" w:space="0"/>
                  <w:right w:val="single" w:color="auto" w:sz="4" w:space="0"/>
                </w:tcBorders>
                <w:vAlign w:val="center"/>
              </w:tcPr>
              <w:p w14:paraId="34BCF9FD">
                <w:pPr>
                  <w:jc w:val="center"/>
                  <w:rPr>
                    <w:rFonts w:cs="Times New Roman"/>
                    <w:bCs w:val="0"/>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节余金额</w:t>
                </w:r>
              </w:p>
            </w:tc>
          </w:sdtContent>
        </w:sdt>
      </w:tr>
      <w:tr w14:paraId="3C01D7D7">
        <w:tblPrEx>
          <w:tblCellMar>
            <w:top w:w="0" w:type="dxa"/>
            <w:left w:w="108" w:type="dxa"/>
            <w:bottom w:w="0" w:type="dxa"/>
            <w:right w:w="108" w:type="dxa"/>
          </w:tblCellMar>
        </w:tblPrEx>
        <w:trPr>
          <w:trHeight w:val="160" w:hRule="atLeast"/>
          <w:jc w:val="center"/>
        </w:trPr>
        <w:sdt>
          <w:sdtPr>
            <w:rPr>
              <w:rFonts w:cs="Times New Roman"/>
              <w:bCs w:val="0"/>
              <w:color w:val="000000" w:themeColor="text1"/>
              <w:sz w:val="15"/>
              <w:szCs w:val="15"/>
              <w14:textFill>
                <w14:solidFill>
                  <w14:schemeClr w14:val="tx1"/>
                </w14:solidFill>
              </w14:textFill>
            </w:rPr>
            <w:alias w:val="募集资金使用进展明细_募集资金来源"/>
            <w:tag w:val="_GBC_638a92b01f424b558305ec2f2f71a9f3"/>
            <w:id w:val="147477017"/>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rPr>
              <w:rFonts w:cs="Times New Roman"/>
              <w:bCs w:val="0"/>
              <w:color w:val="000000" w:themeColor="text1"/>
              <w:sz w:val="15"/>
              <w:szCs w:val="15"/>
              <w14:textFill>
                <w14:solidFill>
                  <w14:schemeClr w14:val="tx1"/>
                </w14:solidFill>
              </w14:textFill>
            </w:rPr>
          </w:sdtEndPr>
          <w:sdtContent>
            <w:tc>
              <w:tcPr>
                <w:tcW w:w="253" w:type="pct"/>
                <w:tcBorders>
                  <w:top w:val="single" w:color="auto" w:sz="4" w:space="0"/>
                  <w:left w:val="single" w:color="auto" w:sz="4" w:space="0"/>
                  <w:bottom w:val="single" w:color="auto" w:sz="4" w:space="0"/>
                  <w:right w:val="single" w:color="auto" w:sz="4" w:space="0"/>
                </w:tcBorders>
                <w:vAlign w:val="center"/>
              </w:tcPr>
              <w:p w14:paraId="51CC80EA">
                <w:pPr>
                  <w:jc w:val="center"/>
                  <w:rPr>
                    <w:rFonts w:cs="Times New Roman"/>
                    <w:bCs w:val="0"/>
                    <w:color w:val="000000" w:themeColor="text1"/>
                    <w:sz w:val="15"/>
                    <w:szCs w:val="15"/>
                    <w14:textFill>
                      <w14:solidFill>
                        <w14:schemeClr w14:val="tx1"/>
                      </w14:solidFill>
                    </w14:textFill>
                  </w:rPr>
                </w:pPr>
                <w:r>
                  <w:rPr>
                    <w:rFonts w:cs="Times New Roman"/>
                    <w:bCs w:val="0"/>
                    <w:color w:val="000000" w:themeColor="text1"/>
                    <w:sz w:val="15"/>
                    <w:szCs w:val="15"/>
                    <w14:textFill>
                      <w14:solidFill>
                        <w14:schemeClr w14:val="tx1"/>
                      </w14:solidFill>
                    </w14:textFill>
                  </w:rPr>
                  <w:t>首次公开发行股票</w:t>
                </w:r>
              </w:p>
            </w:tc>
          </w:sdtContent>
        </w:sdt>
        <w:tc>
          <w:tcPr>
            <w:tcW w:w="324" w:type="pct"/>
            <w:tcBorders>
              <w:top w:val="single" w:color="auto" w:sz="4" w:space="0"/>
              <w:left w:val="single" w:color="auto" w:sz="4" w:space="0"/>
              <w:bottom w:val="single" w:color="auto" w:sz="4" w:space="0"/>
              <w:right w:val="single" w:color="auto" w:sz="4" w:space="0"/>
            </w:tcBorders>
            <w:vAlign w:val="center"/>
          </w:tcPr>
          <w:p w14:paraId="2EF48AA8">
            <w:pPr>
              <w:jc w:val="center"/>
              <w:rPr>
                <w:rFonts w:cs="Times New Roman"/>
                <w:bCs w:val="0"/>
                <w:sz w:val="15"/>
                <w:szCs w:val="15"/>
              </w:rPr>
            </w:pPr>
            <w:r>
              <w:rPr>
                <w:rFonts w:cs="Times New Roman"/>
                <w:bCs w:val="0"/>
                <w:sz w:val="15"/>
                <w:szCs w:val="15"/>
              </w:rPr>
              <w:t>智能化中高档职业装生产线技改项目</w:t>
            </w:r>
          </w:p>
        </w:tc>
        <w:sdt>
          <w:sdtPr>
            <w:rPr>
              <w:rFonts w:cs="Times New Roman"/>
              <w:bCs w:val="0"/>
              <w:color w:val="000000" w:themeColor="text1"/>
              <w:sz w:val="15"/>
              <w:szCs w:val="15"/>
              <w14:textFill>
                <w14:solidFill>
                  <w14:schemeClr w14:val="tx1"/>
                </w14:solidFill>
              </w14:textFill>
            </w:rPr>
            <w:alias w:val="募集资金使用进展明细_项目性质"/>
            <w:tag w:val="_GBC_59ad4f31295148cbb106b37f0b7af58a"/>
            <w:id w:val="147469179"/>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rPr>
              <w:rFonts w:cs="Times New Roman"/>
              <w:bCs w:val="0"/>
              <w:color w:val="000000" w:themeColor="text1"/>
              <w:sz w:val="15"/>
              <w:szCs w:val="15"/>
              <w14:textFill>
                <w14:solidFill>
                  <w14:schemeClr w14:val="tx1"/>
                </w14:solidFill>
              </w14:textFill>
            </w:rPr>
          </w:sdtEndPr>
          <w:sdtContent>
            <w:tc>
              <w:tcPr>
                <w:tcW w:w="196" w:type="pct"/>
                <w:tcBorders>
                  <w:top w:val="single" w:color="auto" w:sz="4" w:space="0"/>
                  <w:left w:val="single" w:color="auto" w:sz="4" w:space="0"/>
                  <w:bottom w:val="single" w:color="auto" w:sz="4" w:space="0"/>
                  <w:right w:val="single" w:color="auto" w:sz="4" w:space="0"/>
                </w:tcBorders>
                <w:vAlign w:val="center"/>
              </w:tcPr>
              <w:p w14:paraId="0C5EA947">
                <w:pPr>
                  <w:rPr>
                    <w:rFonts w:cs="Times New Roman"/>
                    <w:bCs w:val="0"/>
                    <w:color w:val="000000" w:themeColor="text1"/>
                    <w:sz w:val="15"/>
                    <w:szCs w:val="15"/>
                    <w14:textFill>
                      <w14:solidFill>
                        <w14:schemeClr w14:val="tx1"/>
                      </w14:solidFill>
                    </w14:textFill>
                  </w:rPr>
                </w:pPr>
                <w:r>
                  <w:rPr>
                    <w:rFonts w:cs="Times New Roman"/>
                    <w:bCs w:val="0"/>
                    <w:color w:val="000000" w:themeColor="text1"/>
                    <w:sz w:val="15"/>
                    <w:szCs w:val="15"/>
                    <w14:textFill>
                      <w14:solidFill>
                        <w14:schemeClr w14:val="tx1"/>
                      </w14:solidFill>
                    </w14:textFill>
                  </w:rPr>
                  <w:t>生产建设</w:t>
                </w:r>
              </w:p>
            </w:tc>
          </w:sdtContent>
        </w:sdt>
        <w:sdt>
          <w:sdtPr>
            <w:rPr>
              <w:rFonts w:cs="Times New Roman"/>
              <w:bCs w:val="0"/>
              <w:color w:val="000000" w:themeColor="text1"/>
              <w:sz w:val="15"/>
              <w:szCs w:val="15"/>
              <w14:textFill>
                <w14:solidFill>
                  <w14:schemeClr w14:val="tx1"/>
                </w14:solidFill>
              </w14:textFill>
            </w:rPr>
            <w:alias w:val="募集资金使用进展明细_是否为招股书或者募集说明书中的承诺投资项目"/>
            <w:tag w:val="_GBC_00067f3661ee4f19b4a8e3025ebbbfc4"/>
            <w:id w:val="147451288"/>
            <w:comboBox>
              <w:listItem w:displayText="是" w:value="是"/>
              <w:listItem w:displayText="否" w:value="否"/>
            </w:comboBox>
          </w:sdtPr>
          <w:sdtEndPr>
            <w:rPr>
              <w:rFonts w:cs="Times New Roman"/>
              <w:bCs w:val="0"/>
              <w:color w:val="000000" w:themeColor="text1"/>
              <w:sz w:val="15"/>
              <w:szCs w:val="15"/>
              <w14:textFill>
                <w14:solidFill>
                  <w14:schemeClr w14:val="tx1"/>
                </w14:solidFill>
              </w14:textFill>
            </w:rPr>
          </w:sdtEndPr>
          <w:sdtContent>
            <w:tc>
              <w:tcPr>
                <w:tcW w:w="298" w:type="pct"/>
                <w:tcBorders>
                  <w:top w:val="single" w:color="auto" w:sz="4" w:space="0"/>
                  <w:left w:val="single" w:color="auto" w:sz="4" w:space="0"/>
                  <w:bottom w:val="single" w:color="auto" w:sz="4" w:space="0"/>
                  <w:right w:val="single" w:color="auto" w:sz="4" w:space="0"/>
                </w:tcBorders>
                <w:vAlign w:val="center"/>
              </w:tcPr>
              <w:p w14:paraId="4226E938">
                <w:pPr>
                  <w:jc w:val="center"/>
                  <w:rPr>
                    <w:rFonts w:cs="Times New Roman"/>
                    <w:bCs w:val="0"/>
                    <w:color w:val="000000" w:themeColor="text1"/>
                    <w:sz w:val="15"/>
                    <w:szCs w:val="15"/>
                    <w14:textFill>
                      <w14:solidFill>
                        <w14:schemeClr w14:val="tx1"/>
                      </w14:solidFill>
                    </w14:textFill>
                  </w:rPr>
                </w:pPr>
                <w:r>
                  <w:rPr>
                    <w:rFonts w:cs="Times New Roman"/>
                    <w:bCs w:val="0"/>
                    <w:color w:val="000000" w:themeColor="text1"/>
                    <w:sz w:val="15"/>
                    <w:szCs w:val="15"/>
                    <w14:textFill>
                      <w14:solidFill>
                        <w14:schemeClr w14:val="tx1"/>
                      </w14:solidFill>
                    </w14:textFill>
                  </w:rPr>
                  <w:t>是</w:t>
                </w:r>
              </w:p>
            </w:tc>
          </w:sdtContent>
        </w:sdt>
        <w:sdt>
          <w:sdtPr>
            <w:rPr>
              <w:rFonts w:cs="Times New Roman"/>
              <w:bCs w:val="0"/>
              <w:color w:val="000000" w:themeColor="text1"/>
              <w:sz w:val="15"/>
              <w:szCs w:val="15"/>
              <w14:textFill>
                <w14:solidFill>
                  <w14:schemeClr w14:val="tx1"/>
                </w14:solidFill>
              </w14:textFill>
            </w:rPr>
            <w:alias w:val="募集资金使用进展明细_是否涉及变更投向"/>
            <w:tag w:val="_GBC_fb2f3e0df64f4401964e002c0f204923"/>
            <w:id w:val="147482763"/>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rFonts w:cs="Times New Roman"/>
              <w:bCs w:val="0"/>
              <w:color w:val="000000" w:themeColor="text1"/>
              <w:sz w:val="15"/>
              <w:szCs w:val="15"/>
              <w14:textFill>
                <w14:solidFill>
                  <w14:schemeClr w14:val="tx1"/>
                </w14:solidFill>
              </w14:textFill>
            </w:rPr>
          </w:sdtEndPr>
          <w:sdtContent>
            <w:tc>
              <w:tcPr>
                <w:tcW w:w="351" w:type="pct"/>
                <w:tcBorders>
                  <w:top w:val="single" w:color="auto" w:sz="4" w:space="0"/>
                  <w:left w:val="single" w:color="auto" w:sz="4" w:space="0"/>
                  <w:bottom w:val="single" w:color="auto" w:sz="4" w:space="0"/>
                  <w:right w:val="single" w:color="auto" w:sz="4" w:space="0"/>
                </w:tcBorders>
                <w:vAlign w:val="center"/>
              </w:tcPr>
              <w:p w14:paraId="23E07EBD">
                <w:pPr>
                  <w:rPr>
                    <w:rFonts w:cs="Times New Roman"/>
                    <w:bCs w:val="0"/>
                    <w:color w:val="000000" w:themeColor="text1"/>
                    <w:sz w:val="15"/>
                    <w:szCs w:val="15"/>
                    <w14:textFill>
                      <w14:solidFill>
                        <w14:schemeClr w14:val="tx1"/>
                      </w14:solidFill>
                    </w14:textFill>
                  </w:rPr>
                </w:pPr>
                <w:r>
                  <w:rPr>
                    <w:rFonts w:cs="Times New Roman"/>
                    <w:bCs w:val="0"/>
                    <w:color w:val="000000" w:themeColor="text1"/>
                    <w:sz w:val="15"/>
                    <w:szCs w:val="15"/>
                    <w14:textFill>
                      <w14:solidFill>
                        <w14:schemeClr w14:val="tx1"/>
                      </w14:solidFill>
                    </w14:textFill>
                  </w:rPr>
                  <w:t>是，此项目未取消，调整募集资金投资总额</w:t>
                </w:r>
              </w:p>
            </w:tc>
          </w:sdtContent>
        </w:sdt>
        <w:tc>
          <w:tcPr>
            <w:tcW w:w="330" w:type="pct"/>
            <w:tcBorders>
              <w:top w:val="single" w:color="auto" w:sz="4" w:space="0"/>
              <w:left w:val="nil"/>
              <w:bottom w:val="single" w:color="auto" w:sz="4" w:space="0"/>
              <w:right w:val="single" w:color="auto" w:sz="4" w:space="0"/>
            </w:tcBorders>
            <w:vAlign w:val="center"/>
          </w:tcPr>
          <w:p w14:paraId="56039E2E">
            <w:pPr>
              <w:jc w:val="right"/>
              <w:textAlignment w:val="center"/>
              <w:rPr>
                <w:rFonts w:cs="Times New Roman"/>
                <w:sz w:val="15"/>
                <w:szCs w:val="15"/>
              </w:rPr>
            </w:pPr>
            <w:r>
              <w:rPr>
                <w:rFonts w:cs="Times New Roman"/>
                <w:color w:val="000000"/>
                <w:sz w:val="15"/>
                <w:szCs w:val="15"/>
                <w:lang w:bidi="ar"/>
              </w:rPr>
              <w:t xml:space="preserve"> 21,646.62 </w:t>
            </w:r>
          </w:p>
        </w:tc>
        <w:tc>
          <w:tcPr>
            <w:tcW w:w="314" w:type="pct"/>
            <w:tcBorders>
              <w:top w:val="single" w:color="auto" w:sz="4" w:space="0"/>
              <w:left w:val="single" w:color="auto" w:sz="4" w:space="0"/>
              <w:bottom w:val="single" w:color="auto" w:sz="4" w:space="0"/>
              <w:right w:val="single" w:color="auto" w:sz="4" w:space="0"/>
            </w:tcBorders>
            <w:vAlign w:val="center"/>
          </w:tcPr>
          <w:p w14:paraId="51B8D08B">
            <w:pPr>
              <w:jc w:val="right"/>
              <w:rPr>
                <w:rFonts w:cs="Times New Roman"/>
                <w:sz w:val="15"/>
                <w:szCs w:val="15"/>
              </w:rPr>
            </w:pPr>
          </w:p>
        </w:tc>
        <w:tc>
          <w:tcPr>
            <w:tcW w:w="324" w:type="pct"/>
            <w:tcBorders>
              <w:top w:val="single" w:color="auto" w:sz="4" w:space="0"/>
              <w:left w:val="single" w:color="auto" w:sz="4" w:space="0"/>
              <w:bottom w:val="single" w:color="auto" w:sz="4" w:space="0"/>
              <w:right w:val="single" w:color="auto" w:sz="4" w:space="0"/>
            </w:tcBorders>
            <w:vAlign w:val="center"/>
          </w:tcPr>
          <w:p w14:paraId="2366E45C">
            <w:pPr>
              <w:jc w:val="right"/>
              <w:textAlignment w:val="center"/>
              <w:rPr>
                <w:rFonts w:cs="Times New Roman"/>
                <w:sz w:val="15"/>
                <w:szCs w:val="15"/>
              </w:rPr>
            </w:pPr>
            <w:r>
              <w:rPr>
                <w:rFonts w:cs="Times New Roman"/>
                <w:color w:val="000000"/>
                <w:sz w:val="15"/>
                <w:szCs w:val="15"/>
                <w:lang w:bidi="ar"/>
              </w:rPr>
              <w:t xml:space="preserve"> 21,646.62 </w:t>
            </w:r>
          </w:p>
        </w:tc>
        <w:tc>
          <w:tcPr>
            <w:tcW w:w="292" w:type="pct"/>
            <w:tcBorders>
              <w:top w:val="single" w:color="auto" w:sz="4" w:space="0"/>
              <w:left w:val="nil"/>
              <w:bottom w:val="single" w:color="auto" w:sz="4" w:space="0"/>
              <w:right w:val="single" w:color="auto" w:sz="4" w:space="0"/>
            </w:tcBorders>
            <w:vAlign w:val="center"/>
          </w:tcPr>
          <w:p w14:paraId="6F4A02C5">
            <w:pPr>
              <w:jc w:val="right"/>
              <w:textAlignment w:val="center"/>
              <w:rPr>
                <w:rFonts w:cs="Times New Roman"/>
                <w:sz w:val="15"/>
                <w:szCs w:val="15"/>
              </w:rPr>
            </w:pPr>
            <w:r>
              <w:rPr>
                <w:rFonts w:cs="Times New Roman"/>
                <w:color w:val="000000"/>
                <w:sz w:val="15"/>
                <w:szCs w:val="15"/>
                <w:lang w:bidi="ar"/>
              </w:rPr>
              <w:t>100</w:t>
            </w:r>
          </w:p>
        </w:tc>
        <w:tc>
          <w:tcPr>
            <w:tcW w:w="282" w:type="pct"/>
            <w:tcBorders>
              <w:top w:val="single" w:color="auto" w:sz="4" w:space="0"/>
              <w:left w:val="nil"/>
              <w:bottom w:val="single" w:color="auto" w:sz="4" w:space="0"/>
              <w:right w:val="single" w:color="auto" w:sz="4" w:space="0"/>
            </w:tcBorders>
            <w:vAlign w:val="center"/>
          </w:tcPr>
          <w:p w14:paraId="736879FC">
            <w:pPr>
              <w:jc w:val="center"/>
              <w:textAlignment w:val="center"/>
              <w:rPr>
                <w:rFonts w:cs="Times New Roman"/>
                <w:bCs w:val="0"/>
                <w:sz w:val="15"/>
                <w:szCs w:val="15"/>
              </w:rPr>
            </w:pPr>
            <w:r>
              <w:rPr>
                <w:rFonts w:cs="Times New Roman"/>
                <w:color w:val="000000"/>
                <w:sz w:val="15"/>
                <w:szCs w:val="15"/>
                <w:lang w:bidi="ar"/>
              </w:rPr>
              <w:t>已达到</w:t>
            </w:r>
          </w:p>
        </w:tc>
        <w:sdt>
          <w:sdtPr>
            <w:rPr>
              <w:rFonts w:cs="Times New Roman"/>
              <w:bCs w:val="0"/>
              <w:color w:val="000000" w:themeColor="text1"/>
              <w:sz w:val="15"/>
              <w:szCs w:val="15"/>
              <w14:textFill>
                <w14:solidFill>
                  <w14:schemeClr w14:val="tx1"/>
                </w14:solidFill>
              </w14:textFill>
            </w:rPr>
            <w:alias w:val="募集资金使用进展明细_是否已结项"/>
            <w:tag w:val="_GBC_652a94f0dd3c4dcab48312f0d030fee7"/>
            <w:id w:val="147451810"/>
            <w:comboBox>
              <w:listItem w:displayText="是" w:value="是"/>
              <w:listItem w:displayText="否" w:value="否"/>
            </w:comboBox>
          </w:sdtPr>
          <w:sdtEndPr>
            <w:rPr>
              <w:rFonts w:cs="Times New Roman"/>
              <w:bCs w:val="0"/>
              <w:color w:val="000000" w:themeColor="text1"/>
              <w:sz w:val="15"/>
              <w:szCs w:val="15"/>
              <w14:textFill>
                <w14:solidFill>
                  <w14:schemeClr w14:val="tx1"/>
                </w14:solidFill>
              </w14:textFill>
            </w:rPr>
          </w:sdtEndPr>
          <w:sdtContent>
            <w:tc>
              <w:tcPr>
                <w:tcW w:w="239" w:type="pct"/>
                <w:tcBorders>
                  <w:top w:val="single" w:color="auto" w:sz="4" w:space="0"/>
                  <w:left w:val="nil"/>
                  <w:bottom w:val="single" w:color="auto" w:sz="4" w:space="0"/>
                  <w:right w:val="single" w:color="auto" w:sz="4" w:space="0"/>
                </w:tcBorders>
                <w:vAlign w:val="center"/>
              </w:tcPr>
              <w:p w14:paraId="6D7FE4A5">
                <w:pPr>
                  <w:jc w:val="center"/>
                  <w:rPr>
                    <w:rFonts w:cs="Times New Roman"/>
                    <w:bCs w:val="0"/>
                    <w:color w:val="000000" w:themeColor="text1"/>
                    <w:sz w:val="15"/>
                    <w:szCs w:val="15"/>
                    <w14:textFill>
                      <w14:solidFill>
                        <w14:schemeClr w14:val="tx1"/>
                      </w14:solidFill>
                    </w14:textFill>
                  </w:rPr>
                </w:pPr>
                <w:r>
                  <w:rPr>
                    <w:rFonts w:cs="Times New Roman"/>
                    <w:bCs w:val="0"/>
                    <w:color w:val="000000" w:themeColor="text1"/>
                    <w:sz w:val="15"/>
                    <w:szCs w:val="15"/>
                    <w14:textFill>
                      <w14:solidFill>
                        <w14:schemeClr w14:val="tx1"/>
                      </w14:solidFill>
                    </w14:textFill>
                  </w:rPr>
                  <w:t>是</w:t>
                </w:r>
              </w:p>
            </w:tc>
          </w:sdtContent>
        </w:sdt>
        <w:sdt>
          <w:sdtPr>
            <w:rPr>
              <w:rFonts w:cs="Times New Roman"/>
              <w:bCs w:val="0"/>
              <w:color w:val="000000" w:themeColor="text1"/>
              <w:sz w:val="15"/>
              <w:szCs w:val="15"/>
              <w14:textFill>
                <w14:solidFill>
                  <w14:schemeClr w14:val="tx1"/>
                </w14:solidFill>
              </w14:textFill>
            </w:rPr>
            <w:alias w:val="募集资金使用进展明细_投入进度是否符合计划的进度"/>
            <w:tag w:val="_GBC_dfdd496e2c884e9ea12783e91b6b1aee"/>
            <w:id w:val="147478300"/>
            <w:comboBox>
              <w:listItem w:displayText="是" w:value="是"/>
              <w:listItem w:displayText="否" w:value="否"/>
            </w:comboBox>
          </w:sdtPr>
          <w:sdtEndPr>
            <w:rPr>
              <w:rFonts w:cs="Times New Roman"/>
              <w:bCs w:val="0"/>
              <w:color w:val="000000" w:themeColor="text1"/>
              <w:sz w:val="15"/>
              <w:szCs w:val="15"/>
              <w14:textFill>
                <w14:solidFill>
                  <w14:schemeClr w14:val="tx1"/>
                </w14:solidFill>
              </w14:textFill>
            </w:rPr>
          </w:sdtEndPr>
          <w:sdtContent>
            <w:tc>
              <w:tcPr>
                <w:tcW w:w="298" w:type="pct"/>
                <w:tcBorders>
                  <w:top w:val="single" w:color="auto" w:sz="4" w:space="0"/>
                  <w:left w:val="nil"/>
                  <w:bottom w:val="single" w:color="auto" w:sz="4" w:space="0"/>
                  <w:right w:val="single" w:color="auto" w:sz="4" w:space="0"/>
                </w:tcBorders>
                <w:vAlign w:val="center"/>
              </w:tcPr>
              <w:p w14:paraId="50503291">
                <w:pPr>
                  <w:jc w:val="center"/>
                  <w:rPr>
                    <w:rFonts w:cs="Times New Roman"/>
                    <w:bCs w:val="0"/>
                    <w:color w:val="000000" w:themeColor="text1"/>
                    <w:sz w:val="15"/>
                    <w:szCs w:val="15"/>
                    <w14:textFill>
                      <w14:solidFill>
                        <w14:schemeClr w14:val="tx1"/>
                      </w14:solidFill>
                    </w14:textFill>
                  </w:rPr>
                </w:pPr>
                <w:r>
                  <w:rPr>
                    <w:rFonts w:cs="Times New Roman"/>
                    <w:bCs w:val="0"/>
                    <w:color w:val="000000" w:themeColor="text1"/>
                    <w:sz w:val="15"/>
                    <w:szCs w:val="15"/>
                    <w14:textFill>
                      <w14:solidFill>
                        <w14:schemeClr w14:val="tx1"/>
                      </w14:solidFill>
                    </w14:textFill>
                  </w:rPr>
                  <w:t>是</w:t>
                </w:r>
              </w:p>
            </w:tc>
          </w:sdtContent>
        </w:sdt>
        <w:tc>
          <w:tcPr>
            <w:tcW w:w="278" w:type="pct"/>
            <w:tcBorders>
              <w:top w:val="single" w:color="auto" w:sz="4" w:space="0"/>
              <w:left w:val="nil"/>
              <w:bottom w:val="single" w:color="auto" w:sz="4" w:space="0"/>
              <w:right w:val="single" w:color="auto" w:sz="4" w:space="0"/>
            </w:tcBorders>
            <w:vAlign w:val="center"/>
          </w:tcPr>
          <w:p w14:paraId="3A1DA845">
            <w:pPr>
              <w:jc w:val="cente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54743952">
            <w:pPr>
              <w:jc w:val="right"/>
              <w:textAlignment w:val="center"/>
              <w:rPr>
                <w:rFonts w:cs="Times New Roman"/>
                <w:bCs w:val="0"/>
                <w:sz w:val="15"/>
                <w:szCs w:val="15"/>
              </w:rPr>
            </w:pPr>
            <w:r>
              <w:rPr>
                <w:rFonts w:cs="Times New Roman"/>
                <w:color w:val="000000"/>
                <w:sz w:val="15"/>
                <w:szCs w:val="15"/>
                <w:lang w:bidi="ar"/>
              </w:rPr>
              <w:t>1,155.56</w:t>
            </w:r>
          </w:p>
        </w:tc>
        <w:tc>
          <w:tcPr>
            <w:tcW w:w="323" w:type="pct"/>
            <w:tcBorders>
              <w:top w:val="single" w:color="auto" w:sz="4" w:space="0"/>
              <w:left w:val="single" w:color="auto" w:sz="4" w:space="0"/>
              <w:bottom w:val="single" w:color="auto" w:sz="4" w:space="0"/>
              <w:right w:val="single" w:color="auto" w:sz="4" w:space="0"/>
            </w:tcBorders>
            <w:vAlign w:val="center"/>
          </w:tcPr>
          <w:p w14:paraId="6BE83E4C">
            <w:pPr>
              <w:jc w:val="cente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3A78544E">
            <w:pPr>
              <w:jc w:val="center"/>
              <w:textAlignment w:val="center"/>
              <w:rPr>
                <w:rFonts w:cs="Times New Roman"/>
                <w:bCs w:val="0"/>
                <w:sz w:val="15"/>
                <w:szCs w:val="15"/>
              </w:rPr>
            </w:pPr>
            <w:r>
              <w:rPr>
                <w:rFonts w:cs="Times New Roman"/>
                <w:color w:val="000000"/>
                <w:sz w:val="15"/>
                <w:szCs w:val="15"/>
                <w:lang w:bidi="ar"/>
              </w:rPr>
              <w:t>否</w:t>
            </w:r>
          </w:p>
        </w:tc>
        <w:tc>
          <w:tcPr>
            <w:tcW w:w="279" w:type="pct"/>
            <w:tcBorders>
              <w:top w:val="single" w:color="auto" w:sz="4" w:space="0"/>
              <w:left w:val="nil"/>
              <w:bottom w:val="single" w:color="auto" w:sz="4" w:space="0"/>
              <w:right w:val="single" w:color="auto" w:sz="4" w:space="0"/>
            </w:tcBorders>
            <w:vAlign w:val="center"/>
          </w:tcPr>
          <w:p w14:paraId="7D6BA27E">
            <w:pPr>
              <w:jc w:val="center"/>
              <w:rPr>
                <w:rFonts w:cs="Times New Roman"/>
                <w:bCs w:val="0"/>
                <w:sz w:val="15"/>
                <w:szCs w:val="15"/>
              </w:rPr>
            </w:pPr>
          </w:p>
        </w:tc>
      </w:tr>
      <w:tr w14:paraId="7D9C721A">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11E9C109">
            <w:pPr>
              <w:jc w:val="center"/>
              <w:rPr>
                <w:rFonts w:cs="Times New Roman"/>
                <w:bCs w:val="0"/>
                <w:color w:val="000000" w:themeColor="text1"/>
                <w:sz w:val="15"/>
                <w:szCs w:val="15"/>
                <w14:textFill>
                  <w14:solidFill>
                    <w14:schemeClr w14:val="tx1"/>
                  </w14:solidFill>
                </w14:textFill>
              </w:rPr>
            </w:pPr>
            <w:r>
              <w:rPr>
                <w:rFonts w:cs="Times New Roman"/>
                <w:sz w:val="15"/>
                <w:szCs w:val="15"/>
              </w:rPr>
              <w:t>首次公开发行股票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33E2E896">
            <w:pPr>
              <w:jc w:val="center"/>
              <w:rPr>
                <w:rFonts w:cs="Times New Roman"/>
                <w:bCs w:val="0"/>
                <w:sz w:val="15"/>
                <w:szCs w:val="15"/>
              </w:rPr>
            </w:pPr>
            <w:r>
              <w:rPr>
                <w:rFonts w:cs="Times New Roman"/>
                <w:sz w:val="15"/>
                <w:szCs w:val="15"/>
              </w:rPr>
              <w:t>高档针织面料及制品扩建改造项目</w:t>
            </w:r>
          </w:p>
        </w:tc>
        <w:tc>
          <w:tcPr>
            <w:tcW w:w="196" w:type="pct"/>
            <w:tcBorders>
              <w:top w:val="single" w:color="auto" w:sz="4" w:space="0"/>
              <w:left w:val="single" w:color="auto" w:sz="4" w:space="0"/>
              <w:bottom w:val="single" w:color="auto" w:sz="4" w:space="0"/>
              <w:right w:val="single" w:color="auto" w:sz="4" w:space="0"/>
            </w:tcBorders>
            <w:vAlign w:val="center"/>
          </w:tcPr>
          <w:p w14:paraId="7C45E6A9">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347A15EF">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351" w:type="pct"/>
            <w:tcBorders>
              <w:top w:val="single" w:color="auto" w:sz="4" w:space="0"/>
              <w:left w:val="single" w:color="auto" w:sz="4" w:space="0"/>
              <w:bottom w:val="single" w:color="auto" w:sz="4" w:space="0"/>
              <w:right w:val="single" w:color="auto" w:sz="4" w:space="0"/>
            </w:tcBorders>
            <w:vAlign w:val="center"/>
          </w:tcPr>
          <w:p w14:paraId="7E777DB0">
            <w:pPr>
              <w:rPr>
                <w:rFonts w:cs="Times New Roman"/>
                <w:bCs w:val="0"/>
                <w:color w:val="000000" w:themeColor="text1"/>
                <w:sz w:val="15"/>
                <w:szCs w:val="15"/>
                <w14:textFill>
                  <w14:solidFill>
                    <w14:schemeClr w14:val="tx1"/>
                  </w14:solidFill>
                </w14:textFill>
              </w:rPr>
            </w:pPr>
            <w:r>
              <w:rPr>
                <w:rFonts w:cs="Times New Roman"/>
                <w:sz w:val="15"/>
                <w:szCs w:val="15"/>
              </w:rPr>
              <w:t>是，此项目未取消，调整募集资金投资总额</w:t>
            </w:r>
          </w:p>
        </w:tc>
        <w:tc>
          <w:tcPr>
            <w:tcW w:w="330" w:type="pct"/>
            <w:tcBorders>
              <w:top w:val="single" w:color="auto" w:sz="4" w:space="0"/>
              <w:left w:val="nil"/>
              <w:bottom w:val="single" w:color="auto" w:sz="4" w:space="0"/>
              <w:right w:val="single" w:color="auto" w:sz="4" w:space="0"/>
            </w:tcBorders>
            <w:vAlign w:val="center"/>
          </w:tcPr>
          <w:p w14:paraId="5CCF4085">
            <w:pPr>
              <w:jc w:val="right"/>
              <w:rPr>
                <w:rFonts w:cs="Times New Roman"/>
                <w:sz w:val="15"/>
                <w:szCs w:val="15"/>
              </w:rPr>
            </w:pPr>
            <w:r>
              <w:rPr>
                <w:rFonts w:cs="Times New Roman"/>
                <w:sz w:val="15"/>
                <w:szCs w:val="15"/>
              </w:rPr>
              <w:t>4,429.32</w:t>
            </w:r>
          </w:p>
        </w:tc>
        <w:tc>
          <w:tcPr>
            <w:tcW w:w="314" w:type="pct"/>
            <w:tcBorders>
              <w:top w:val="single" w:color="auto" w:sz="4" w:space="0"/>
              <w:left w:val="single" w:color="auto" w:sz="4" w:space="0"/>
              <w:bottom w:val="single" w:color="auto" w:sz="4" w:space="0"/>
              <w:right w:val="single" w:color="auto" w:sz="4" w:space="0"/>
            </w:tcBorders>
            <w:vAlign w:val="center"/>
          </w:tcPr>
          <w:p w14:paraId="525419B6">
            <w:pPr>
              <w:jc w:val="right"/>
              <w:rPr>
                <w:rFonts w:cs="Times New Roman"/>
                <w:sz w:val="15"/>
                <w:szCs w:val="15"/>
              </w:rPr>
            </w:pPr>
          </w:p>
        </w:tc>
        <w:tc>
          <w:tcPr>
            <w:tcW w:w="324" w:type="pct"/>
            <w:tcBorders>
              <w:top w:val="single" w:color="auto" w:sz="4" w:space="0"/>
              <w:left w:val="single" w:color="auto" w:sz="4" w:space="0"/>
              <w:bottom w:val="single" w:color="auto" w:sz="4" w:space="0"/>
              <w:right w:val="single" w:color="auto" w:sz="4" w:space="0"/>
            </w:tcBorders>
            <w:vAlign w:val="center"/>
          </w:tcPr>
          <w:p w14:paraId="6716B011">
            <w:pPr>
              <w:jc w:val="right"/>
              <w:rPr>
                <w:rFonts w:cs="Times New Roman"/>
                <w:sz w:val="15"/>
                <w:szCs w:val="15"/>
              </w:rPr>
            </w:pPr>
            <w:r>
              <w:rPr>
                <w:rFonts w:cs="Times New Roman"/>
                <w:sz w:val="15"/>
                <w:szCs w:val="15"/>
              </w:rPr>
              <w:t>4,429.32</w:t>
            </w:r>
          </w:p>
        </w:tc>
        <w:tc>
          <w:tcPr>
            <w:tcW w:w="292" w:type="pct"/>
            <w:tcBorders>
              <w:top w:val="single" w:color="auto" w:sz="4" w:space="0"/>
              <w:left w:val="nil"/>
              <w:bottom w:val="single" w:color="auto" w:sz="4" w:space="0"/>
              <w:right w:val="single" w:color="auto" w:sz="4" w:space="0"/>
            </w:tcBorders>
            <w:vAlign w:val="center"/>
          </w:tcPr>
          <w:p w14:paraId="516542EE">
            <w:pPr>
              <w:jc w:val="right"/>
              <w:rPr>
                <w:rFonts w:cs="Times New Roman"/>
                <w:sz w:val="15"/>
                <w:szCs w:val="15"/>
              </w:rPr>
            </w:pPr>
            <w:r>
              <w:rPr>
                <w:rFonts w:cs="Times New Roman"/>
                <w:sz w:val="15"/>
                <w:szCs w:val="15"/>
              </w:rPr>
              <w:t>100</w:t>
            </w:r>
          </w:p>
        </w:tc>
        <w:tc>
          <w:tcPr>
            <w:tcW w:w="282" w:type="pct"/>
            <w:tcBorders>
              <w:top w:val="single" w:color="auto" w:sz="4" w:space="0"/>
              <w:left w:val="nil"/>
              <w:bottom w:val="single" w:color="auto" w:sz="4" w:space="0"/>
              <w:right w:val="single" w:color="auto" w:sz="4" w:space="0"/>
            </w:tcBorders>
            <w:vAlign w:val="center"/>
          </w:tcPr>
          <w:p w14:paraId="0354905F">
            <w:pPr>
              <w:jc w:val="center"/>
              <w:rPr>
                <w:rFonts w:cs="Times New Roman"/>
                <w:bCs w:val="0"/>
                <w:sz w:val="15"/>
                <w:szCs w:val="15"/>
              </w:rPr>
            </w:pPr>
            <w:r>
              <w:rPr>
                <w:rFonts w:cs="Times New Roman"/>
                <w:sz w:val="15"/>
                <w:szCs w:val="15"/>
              </w:rPr>
              <w:t>已达到</w:t>
            </w:r>
          </w:p>
        </w:tc>
        <w:tc>
          <w:tcPr>
            <w:tcW w:w="239" w:type="pct"/>
            <w:tcBorders>
              <w:top w:val="single" w:color="auto" w:sz="4" w:space="0"/>
              <w:left w:val="nil"/>
              <w:bottom w:val="single" w:color="auto" w:sz="4" w:space="0"/>
              <w:right w:val="single" w:color="auto" w:sz="4" w:space="0"/>
            </w:tcBorders>
            <w:vAlign w:val="center"/>
          </w:tcPr>
          <w:p w14:paraId="24BF2DFC">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98" w:type="pct"/>
            <w:tcBorders>
              <w:top w:val="single" w:color="auto" w:sz="4" w:space="0"/>
              <w:left w:val="nil"/>
              <w:bottom w:val="single" w:color="auto" w:sz="4" w:space="0"/>
              <w:right w:val="single" w:color="auto" w:sz="4" w:space="0"/>
            </w:tcBorders>
            <w:vAlign w:val="center"/>
          </w:tcPr>
          <w:p w14:paraId="1F2B1D13">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106A79CB">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286D98F8">
            <w:pPr>
              <w:jc w:val="right"/>
              <w:rPr>
                <w:rFonts w:cs="Times New Roman"/>
                <w:bCs w:val="0"/>
                <w:sz w:val="15"/>
                <w:szCs w:val="15"/>
              </w:rPr>
            </w:pPr>
            <w:r>
              <w:rPr>
                <w:rFonts w:cs="Times New Roman"/>
                <w:sz w:val="15"/>
                <w:szCs w:val="15"/>
              </w:rPr>
              <w:t>161.73</w:t>
            </w:r>
          </w:p>
        </w:tc>
        <w:tc>
          <w:tcPr>
            <w:tcW w:w="323" w:type="pct"/>
            <w:tcBorders>
              <w:top w:val="single" w:color="auto" w:sz="4" w:space="0"/>
              <w:left w:val="single" w:color="auto" w:sz="4" w:space="0"/>
              <w:bottom w:val="single" w:color="auto" w:sz="4" w:space="0"/>
              <w:right w:val="single" w:color="auto" w:sz="4" w:space="0"/>
            </w:tcBorders>
            <w:vAlign w:val="center"/>
          </w:tcPr>
          <w:p w14:paraId="2BD5A8FA">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2076FD51">
            <w:pPr>
              <w:jc w:val="center"/>
              <w:rPr>
                <w:rFonts w:cs="Times New Roman"/>
                <w:bCs w:val="0"/>
                <w:sz w:val="15"/>
                <w:szCs w:val="15"/>
              </w:rPr>
            </w:pPr>
            <w:r>
              <w:rPr>
                <w:rFonts w:cs="Times New Roman"/>
                <w:sz w:val="15"/>
                <w:szCs w:val="15"/>
              </w:rPr>
              <w:t>否</w:t>
            </w:r>
          </w:p>
        </w:tc>
        <w:tc>
          <w:tcPr>
            <w:tcW w:w="279" w:type="pct"/>
            <w:tcBorders>
              <w:top w:val="single" w:color="auto" w:sz="4" w:space="0"/>
              <w:left w:val="nil"/>
              <w:bottom w:val="single" w:color="auto" w:sz="4" w:space="0"/>
              <w:right w:val="single" w:color="auto" w:sz="4" w:space="0"/>
            </w:tcBorders>
            <w:vAlign w:val="center"/>
          </w:tcPr>
          <w:p w14:paraId="747E1DAE">
            <w:pPr>
              <w:jc w:val="right"/>
              <w:rPr>
                <w:rFonts w:cs="Times New Roman"/>
                <w:bCs w:val="0"/>
                <w:sz w:val="15"/>
                <w:szCs w:val="15"/>
              </w:rPr>
            </w:pPr>
          </w:p>
        </w:tc>
      </w:tr>
      <w:tr w14:paraId="1B54FED1">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66BE231D">
            <w:pPr>
              <w:jc w:val="center"/>
              <w:rPr>
                <w:rFonts w:cs="Times New Roman"/>
                <w:bCs w:val="0"/>
                <w:color w:val="000000" w:themeColor="text1"/>
                <w:sz w:val="15"/>
                <w:szCs w:val="15"/>
                <w14:textFill>
                  <w14:solidFill>
                    <w14:schemeClr w14:val="tx1"/>
                  </w14:solidFill>
                </w14:textFill>
              </w:rPr>
            </w:pPr>
            <w:r>
              <w:rPr>
                <w:rFonts w:cs="Times New Roman"/>
                <w:sz w:val="15"/>
                <w:szCs w:val="15"/>
              </w:rPr>
              <w:t>首次公开发行股票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00BDE58A">
            <w:pPr>
              <w:jc w:val="center"/>
              <w:rPr>
                <w:rFonts w:cs="Times New Roman"/>
                <w:bCs w:val="0"/>
                <w:sz w:val="15"/>
                <w:szCs w:val="15"/>
              </w:rPr>
            </w:pPr>
            <w:r>
              <w:rPr>
                <w:rFonts w:cs="Times New Roman"/>
                <w:sz w:val="15"/>
                <w:szCs w:val="15"/>
              </w:rPr>
              <w:t>军警靴、职业鞋靴技术装备升级扩建改造项目</w:t>
            </w:r>
          </w:p>
        </w:tc>
        <w:tc>
          <w:tcPr>
            <w:tcW w:w="196" w:type="pct"/>
            <w:tcBorders>
              <w:top w:val="single" w:color="auto" w:sz="4" w:space="0"/>
              <w:left w:val="single" w:color="auto" w:sz="4" w:space="0"/>
              <w:bottom w:val="single" w:color="auto" w:sz="4" w:space="0"/>
              <w:right w:val="single" w:color="auto" w:sz="4" w:space="0"/>
            </w:tcBorders>
            <w:vAlign w:val="center"/>
          </w:tcPr>
          <w:p w14:paraId="772C1068">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4F600CED">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351" w:type="pct"/>
            <w:tcBorders>
              <w:top w:val="single" w:color="auto" w:sz="4" w:space="0"/>
              <w:left w:val="single" w:color="auto" w:sz="4" w:space="0"/>
              <w:bottom w:val="single" w:color="auto" w:sz="4" w:space="0"/>
              <w:right w:val="single" w:color="auto" w:sz="4" w:space="0"/>
            </w:tcBorders>
            <w:vAlign w:val="center"/>
          </w:tcPr>
          <w:p w14:paraId="07EEB656">
            <w:pPr>
              <w:rPr>
                <w:rFonts w:cs="Times New Roman"/>
                <w:bCs w:val="0"/>
                <w:color w:val="000000" w:themeColor="text1"/>
                <w:sz w:val="15"/>
                <w:szCs w:val="15"/>
                <w14:textFill>
                  <w14:solidFill>
                    <w14:schemeClr w14:val="tx1"/>
                  </w14:solidFill>
                </w14:textFill>
              </w:rPr>
            </w:pPr>
            <w:r>
              <w:rPr>
                <w:rFonts w:cs="Times New Roman"/>
                <w:sz w:val="15"/>
                <w:szCs w:val="15"/>
              </w:rPr>
              <w:t>是，此项目未取消，调整募集资金投资总额</w:t>
            </w:r>
          </w:p>
        </w:tc>
        <w:tc>
          <w:tcPr>
            <w:tcW w:w="330" w:type="pct"/>
            <w:tcBorders>
              <w:top w:val="single" w:color="auto" w:sz="4" w:space="0"/>
              <w:left w:val="nil"/>
              <w:bottom w:val="single" w:color="auto" w:sz="4" w:space="0"/>
              <w:right w:val="single" w:color="auto" w:sz="4" w:space="0"/>
            </w:tcBorders>
            <w:vAlign w:val="center"/>
          </w:tcPr>
          <w:p w14:paraId="3112A1BB">
            <w:pPr>
              <w:jc w:val="right"/>
              <w:rPr>
                <w:rFonts w:cs="Times New Roman"/>
                <w:sz w:val="15"/>
                <w:szCs w:val="15"/>
              </w:rPr>
            </w:pPr>
            <w:r>
              <w:rPr>
                <w:rFonts w:cs="Times New Roman"/>
                <w:sz w:val="15"/>
                <w:szCs w:val="15"/>
              </w:rPr>
              <w:t>5,326.93</w:t>
            </w:r>
          </w:p>
        </w:tc>
        <w:tc>
          <w:tcPr>
            <w:tcW w:w="314" w:type="pct"/>
            <w:tcBorders>
              <w:top w:val="single" w:color="auto" w:sz="4" w:space="0"/>
              <w:left w:val="single" w:color="auto" w:sz="4" w:space="0"/>
              <w:bottom w:val="single" w:color="auto" w:sz="4" w:space="0"/>
              <w:right w:val="single" w:color="auto" w:sz="4" w:space="0"/>
            </w:tcBorders>
            <w:vAlign w:val="center"/>
          </w:tcPr>
          <w:p w14:paraId="555E5722">
            <w:pPr>
              <w:jc w:val="right"/>
              <w:rPr>
                <w:rFonts w:cs="Times New Roman"/>
                <w:sz w:val="15"/>
                <w:szCs w:val="15"/>
              </w:rPr>
            </w:pPr>
          </w:p>
        </w:tc>
        <w:tc>
          <w:tcPr>
            <w:tcW w:w="324" w:type="pct"/>
            <w:tcBorders>
              <w:top w:val="single" w:color="auto" w:sz="4" w:space="0"/>
              <w:left w:val="single" w:color="auto" w:sz="4" w:space="0"/>
              <w:bottom w:val="single" w:color="auto" w:sz="4" w:space="0"/>
              <w:right w:val="single" w:color="auto" w:sz="4" w:space="0"/>
            </w:tcBorders>
            <w:vAlign w:val="center"/>
          </w:tcPr>
          <w:p w14:paraId="603D5D93">
            <w:pPr>
              <w:jc w:val="right"/>
              <w:rPr>
                <w:rFonts w:cs="Times New Roman"/>
                <w:sz w:val="15"/>
                <w:szCs w:val="15"/>
              </w:rPr>
            </w:pPr>
            <w:r>
              <w:rPr>
                <w:rFonts w:cs="Times New Roman"/>
                <w:sz w:val="15"/>
                <w:szCs w:val="15"/>
              </w:rPr>
              <w:t>5,326.93</w:t>
            </w:r>
          </w:p>
        </w:tc>
        <w:tc>
          <w:tcPr>
            <w:tcW w:w="292" w:type="pct"/>
            <w:tcBorders>
              <w:top w:val="single" w:color="auto" w:sz="4" w:space="0"/>
              <w:left w:val="nil"/>
              <w:bottom w:val="single" w:color="auto" w:sz="4" w:space="0"/>
              <w:right w:val="single" w:color="auto" w:sz="4" w:space="0"/>
            </w:tcBorders>
            <w:vAlign w:val="center"/>
          </w:tcPr>
          <w:p w14:paraId="574740BD">
            <w:pPr>
              <w:jc w:val="right"/>
              <w:rPr>
                <w:rFonts w:cs="Times New Roman"/>
                <w:sz w:val="15"/>
                <w:szCs w:val="15"/>
              </w:rPr>
            </w:pPr>
            <w:r>
              <w:rPr>
                <w:rFonts w:cs="Times New Roman"/>
                <w:sz w:val="15"/>
                <w:szCs w:val="15"/>
              </w:rPr>
              <w:t>100</w:t>
            </w:r>
          </w:p>
        </w:tc>
        <w:tc>
          <w:tcPr>
            <w:tcW w:w="282" w:type="pct"/>
            <w:tcBorders>
              <w:top w:val="single" w:color="auto" w:sz="4" w:space="0"/>
              <w:left w:val="nil"/>
              <w:bottom w:val="single" w:color="auto" w:sz="4" w:space="0"/>
              <w:right w:val="single" w:color="auto" w:sz="4" w:space="0"/>
            </w:tcBorders>
            <w:vAlign w:val="center"/>
          </w:tcPr>
          <w:p w14:paraId="09F408FB">
            <w:pPr>
              <w:jc w:val="center"/>
              <w:rPr>
                <w:rFonts w:cs="Times New Roman"/>
                <w:bCs w:val="0"/>
                <w:sz w:val="15"/>
                <w:szCs w:val="15"/>
              </w:rPr>
            </w:pPr>
            <w:r>
              <w:rPr>
                <w:rFonts w:cs="Times New Roman"/>
                <w:sz w:val="15"/>
                <w:szCs w:val="15"/>
              </w:rPr>
              <w:t>已达到</w:t>
            </w:r>
          </w:p>
        </w:tc>
        <w:tc>
          <w:tcPr>
            <w:tcW w:w="239" w:type="pct"/>
            <w:tcBorders>
              <w:top w:val="single" w:color="auto" w:sz="4" w:space="0"/>
              <w:left w:val="nil"/>
              <w:bottom w:val="single" w:color="auto" w:sz="4" w:space="0"/>
              <w:right w:val="single" w:color="auto" w:sz="4" w:space="0"/>
            </w:tcBorders>
            <w:vAlign w:val="center"/>
          </w:tcPr>
          <w:p w14:paraId="6A57E172">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98" w:type="pct"/>
            <w:tcBorders>
              <w:top w:val="single" w:color="auto" w:sz="4" w:space="0"/>
              <w:left w:val="nil"/>
              <w:bottom w:val="single" w:color="auto" w:sz="4" w:space="0"/>
              <w:right w:val="single" w:color="auto" w:sz="4" w:space="0"/>
            </w:tcBorders>
            <w:vAlign w:val="center"/>
          </w:tcPr>
          <w:p w14:paraId="19183289">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4C85D5C6">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658DC0A1">
            <w:pPr>
              <w:jc w:val="right"/>
              <w:rPr>
                <w:rFonts w:cs="Times New Roman"/>
                <w:bCs w:val="0"/>
                <w:sz w:val="15"/>
                <w:szCs w:val="15"/>
              </w:rPr>
            </w:pPr>
            <w:r>
              <w:rPr>
                <w:rFonts w:cs="Times New Roman"/>
                <w:sz w:val="15"/>
                <w:szCs w:val="15"/>
              </w:rPr>
              <w:t>1,091.17</w:t>
            </w:r>
          </w:p>
        </w:tc>
        <w:tc>
          <w:tcPr>
            <w:tcW w:w="323" w:type="pct"/>
            <w:tcBorders>
              <w:top w:val="single" w:color="auto" w:sz="4" w:space="0"/>
              <w:left w:val="single" w:color="auto" w:sz="4" w:space="0"/>
              <w:bottom w:val="single" w:color="auto" w:sz="4" w:space="0"/>
              <w:right w:val="single" w:color="auto" w:sz="4" w:space="0"/>
            </w:tcBorders>
            <w:vAlign w:val="center"/>
          </w:tcPr>
          <w:p w14:paraId="0087065F">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29E0C134">
            <w:pPr>
              <w:jc w:val="center"/>
              <w:rPr>
                <w:rFonts w:cs="Times New Roman"/>
                <w:bCs w:val="0"/>
                <w:sz w:val="15"/>
                <w:szCs w:val="15"/>
              </w:rPr>
            </w:pPr>
            <w:r>
              <w:rPr>
                <w:rFonts w:cs="Times New Roman"/>
                <w:sz w:val="15"/>
                <w:szCs w:val="15"/>
              </w:rPr>
              <w:t>否</w:t>
            </w:r>
          </w:p>
        </w:tc>
        <w:tc>
          <w:tcPr>
            <w:tcW w:w="279" w:type="pct"/>
            <w:tcBorders>
              <w:top w:val="single" w:color="auto" w:sz="4" w:space="0"/>
              <w:left w:val="nil"/>
              <w:bottom w:val="single" w:color="auto" w:sz="4" w:space="0"/>
              <w:right w:val="single" w:color="auto" w:sz="4" w:space="0"/>
            </w:tcBorders>
            <w:vAlign w:val="center"/>
          </w:tcPr>
          <w:p w14:paraId="68C03C32">
            <w:pPr>
              <w:jc w:val="right"/>
              <w:rPr>
                <w:rFonts w:cs="Times New Roman"/>
                <w:bCs w:val="0"/>
                <w:sz w:val="15"/>
                <w:szCs w:val="15"/>
              </w:rPr>
            </w:pPr>
          </w:p>
        </w:tc>
      </w:tr>
      <w:tr w14:paraId="6E0CE498">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084822D7">
            <w:pPr>
              <w:jc w:val="center"/>
              <w:rPr>
                <w:rFonts w:cs="Times New Roman"/>
                <w:bCs w:val="0"/>
                <w:color w:val="000000" w:themeColor="text1"/>
                <w:sz w:val="15"/>
                <w:szCs w:val="15"/>
                <w14:textFill>
                  <w14:solidFill>
                    <w14:schemeClr w14:val="tx1"/>
                  </w14:solidFill>
                </w14:textFill>
              </w:rPr>
            </w:pPr>
            <w:r>
              <w:rPr>
                <w:rFonts w:cs="Times New Roman"/>
                <w:sz w:val="15"/>
                <w:szCs w:val="15"/>
              </w:rPr>
              <w:t>首次公开发行股票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3F0C444C">
            <w:pPr>
              <w:jc w:val="center"/>
              <w:rPr>
                <w:rFonts w:cs="Times New Roman"/>
                <w:bCs w:val="0"/>
                <w:sz w:val="15"/>
                <w:szCs w:val="15"/>
              </w:rPr>
            </w:pPr>
            <w:r>
              <w:rPr>
                <w:rFonts w:cs="Times New Roman"/>
                <w:sz w:val="15"/>
                <w:szCs w:val="15"/>
              </w:rPr>
              <w:t>功能性职业鞋靴等技改工程项目</w:t>
            </w:r>
          </w:p>
        </w:tc>
        <w:tc>
          <w:tcPr>
            <w:tcW w:w="196" w:type="pct"/>
            <w:tcBorders>
              <w:top w:val="single" w:color="auto" w:sz="4" w:space="0"/>
              <w:left w:val="single" w:color="auto" w:sz="4" w:space="0"/>
              <w:bottom w:val="single" w:color="auto" w:sz="4" w:space="0"/>
              <w:right w:val="single" w:color="auto" w:sz="4" w:space="0"/>
            </w:tcBorders>
            <w:vAlign w:val="center"/>
          </w:tcPr>
          <w:p w14:paraId="7670ACED">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6B4B78C0">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351" w:type="pct"/>
            <w:tcBorders>
              <w:top w:val="single" w:color="auto" w:sz="4" w:space="0"/>
              <w:left w:val="single" w:color="auto" w:sz="4" w:space="0"/>
              <w:bottom w:val="single" w:color="auto" w:sz="4" w:space="0"/>
              <w:right w:val="single" w:color="auto" w:sz="4" w:space="0"/>
            </w:tcBorders>
            <w:vAlign w:val="center"/>
          </w:tcPr>
          <w:p w14:paraId="03B5AFBF">
            <w:pPr>
              <w:rPr>
                <w:rFonts w:cs="Times New Roman"/>
                <w:bCs w:val="0"/>
                <w:color w:val="000000" w:themeColor="text1"/>
                <w:sz w:val="15"/>
                <w:szCs w:val="15"/>
                <w14:textFill>
                  <w14:solidFill>
                    <w14:schemeClr w14:val="tx1"/>
                  </w14:solidFill>
                </w14:textFill>
              </w:rPr>
            </w:pPr>
            <w:r>
              <w:rPr>
                <w:rFonts w:cs="Times New Roman"/>
                <w:sz w:val="15"/>
                <w:szCs w:val="15"/>
              </w:rPr>
              <w:t>是，此项目未取消，调整募集资金投资总额</w:t>
            </w:r>
          </w:p>
        </w:tc>
        <w:tc>
          <w:tcPr>
            <w:tcW w:w="330" w:type="pct"/>
            <w:tcBorders>
              <w:top w:val="single" w:color="auto" w:sz="4" w:space="0"/>
              <w:left w:val="nil"/>
              <w:bottom w:val="single" w:color="auto" w:sz="4" w:space="0"/>
              <w:right w:val="single" w:color="auto" w:sz="4" w:space="0"/>
            </w:tcBorders>
            <w:vAlign w:val="center"/>
          </w:tcPr>
          <w:p w14:paraId="107DA42B">
            <w:pPr>
              <w:jc w:val="right"/>
              <w:rPr>
                <w:rFonts w:cs="Times New Roman"/>
                <w:sz w:val="15"/>
                <w:szCs w:val="15"/>
              </w:rPr>
            </w:pPr>
            <w:r>
              <w:rPr>
                <w:rFonts w:cs="Times New Roman"/>
                <w:sz w:val="15"/>
                <w:szCs w:val="15"/>
              </w:rPr>
              <w:t>4,387.66</w:t>
            </w:r>
          </w:p>
        </w:tc>
        <w:tc>
          <w:tcPr>
            <w:tcW w:w="314" w:type="pct"/>
            <w:tcBorders>
              <w:top w:val="single" w:color="auto" w:sz="4" w:space="0"/>
              <w:left w:val="single" w:color="auto" w:sz="4" w:space="0"/>
              <w:bottom w:val="single" w:color="auto" w:sz="4" w:space="0"/>
              <w:right w:val="single" w:color="auto" w:sz="4" w:space="0"/>
            </w:tcBorders>
            <w:vAlign w:val="center"/>
          </w:tcPr>
          <w:p w14:paraId="43D43AAB">
            <w:pPr>
              <w:jc w:val="right"/>
              <w:rPr>
                <w:rFonts w:cs="Times New Roman"/>
                <w:sz w:val="15"/>
                <w:szCs w:val="15"/>
              </w:rPr>
            </w:pPr>
          </w:p>
        </w:tc>
        <w:tc>
          <w:tcPr>
            <w:tcW w:w="324" w:type="pct"/>
            <w:tcBorders>
              <w:top w:val="single" w:color="auto" w:sz="4" w:space="0"/>
              <w:left w:val="single" w:color="auto" w:sz="4" w:space="0"/>
              <w:bottom w:val="single" w:color="auto" w:sz="4" w:space="0"/>
              <w:right w:val="single" w:color="auto" w:sz="4" w:space="0"/>
            </w:tcBorders>
            <w:vAlign w:val="center"/>
          </w:tcPr>
          <w:p w14:paraId="7B57E8CB">
            <w:pPr>
              <w:jc w:val="right"/>
              <w:rPr>
                <w:rFonts w:cs="Times New Roman"/>
                <w:sz w:val="15"/>
                <w:szCs w:val="15"/>
              </w:rPr>
            </w:pPr>
            <w:r>
              <w:rPr>
                <w:rFonts w:cs="Times New Roman"/>
                <w:sz w:val="15"/>
                <w:szCs w:val="15"/>
              </w:rPr>
              <w:t>4,387.66</w:t>
            </w:r>
          </w:p>
        </w:tc>
        <w:tc>
          <w:tcPr>
            <w:tcW w:w="292" w:type="pct"/>
            <w:tcBorders>
              <w:top w:val="single" w:color="auto" w:sz="4" w:space="0"/>
              <w:left w:val="nil"/>
              <w:bottom w:val="single" w:color="auto" w:sz="4" w:space="0"/>
              <w:right w:val="single" w:color="auto" w:sz="4" w:space="0"/>
            </w:tcBorders>
            <w:vAlign w:val="center"/>
          </w:tcPr>
          <w:p w14:paraId="074EE77F">
            <w:pPr>
              <w:jc w:val="right"/>
              <w:rPr>
                <w:rFonts w:cs="Times New Roman"/>
                <w:sz w:val="15"/>
                <w:szCs w:val="15"/>
              </w:rPr>
            </w:pPr>
            <w:r>
              <w:rPr>
                <w:rFonts w:cs="Times New Roman"/>
                <w:sz w:val="15"/>
                <w:szCs w:val="15"/>
              </w:rPr>
              <w:t>100</w:t>
            </w:r>
          </w:p>
        </w:tc>
        <w:tc>
          <w:tcPr>
            <w:tcW w:w="282" w:type="pct"/>
            <w:tcBorders>
              <w:top w:val="single" w:color="auto" w:sz="4" w:space="0"/>
              <w:left w:val="nil"/>
              <w:bottom w:val="single" w:color="auto" w:sz="4" w:space="0"/>
              <w:right w:val="single" w:color="auto" w:sz="4" w:space="0"/>
            </w:tcBorders>
            <w:vAlign w:val="center"/>
          </w:tcPr>
          <w:p w14:paraId="19EC4990">
            <w:pPr>
              <w:jc w:val="center"/>
              <w:rPr>
                <w:rFonts w:cs="Times New Roman"/>
                <w:bCs w:val="0"/>
                <w:sz w:val="15"/>
                <w:szCs w:val="15"/>
              </w:rPr>
            </w:pPr>
            <w:r>
              <w:rPr>
                <w:rFonts w:cs="Times New Roman"/>
                <w:sz w:val="15"/>
                <w:szCs w:val="15"/>
              </w:rPr>
              <w:t>已达到</w:t>
            </w:r>
          </w:p>
        </w:tc>
        <w:tc>
          <w:tcPr>
            <w:tcW w:w="239" w:type="pct"/>
            <w:tcBorders>
              <w:top w:val="single" w:color="auto" w:sz="4" w:space="0"/>
              <w:left w:val="nil"/>
              <w:bottom w:val="single" w:color="auto" w:sz="4" w:space="0"/>
              <w:right w:val="single" w:color="auto" w:sz="4" w:space="0"/>
            </w:tcBorders>
            <w:vAlign w:val="center"/>
          </w:tcPr>
          <w:p w14:paraId="3C2F6D9D">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98" w:type="pct"/>
            <w:tcBorders>
              <w:top w:val="single" w:color="auto" w:sz="4" w:space="0"/>
              <w:left w:val="nil"/>
              <w:bottom w:val="single" w:color="auto" w:sz="4" w:space="0"/>
              <w:right w:val="single" w:color="auto" w:sz="4" w:space="0"/>
            </w:tcBorders>
            <w:vAlign w:val="center"/>
          </w:tcPr>
          <w:p w14:paraId="2614FB23">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37B51041">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77388275">
            <w:pPr>
              <w:jc w:val="right"/>
              <w:rPr>
                <w:rFonts w:cs="Times New Roman"/>
                <w:bCs w:val="0"/>
                <w:sz w:val="15"/>
                <w:szCs w:val="15"/>
              </w:rPr>
            </w:pPr>
            <w:r>
              <w:rPr>
                <w:rFonts w:cs="Times New Roman"/>
                <w:sz w:val="15"/>
                <w:szCs w:val="15"/>
              </w:rPr>
              <w:t>207.88</w:t>
            </w:r>
          </w:p>
        </w:tc>
        <w:tc>
          <w:tcPr>
            <w:tcW w:w="323" w:type="pct"/>
            <w:tcBorders>
              <w:top w:val="single" w:color="auto" w:sz="4" w:space="0"/>
              <w:left w:val="single" w:color="auto" w:sz="4" w:space="0"/>
              <w:bottom w:val="single" w:color="auto" w:sz="4" w:space="0"/>
              <w:right w:val="single" w:color="auto" w:sz="4" w:space="0"/>
            </w:tcBorders>
            <w:vAlign w:val="center"/>
          </w:tcPr>
          <w:p w14:paraId="2E609E72">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40F76C2E">
            <w:pPr>
              <w:jc w:val="center"/>
              <w:rPr>
                <w:rFonts w:cs="Times New Roman"/>
                <w:bCs w:val="0"/>
                <w:sz w:val="15"/>
                <w:szCs w:val="15"/>
              </w:rPr>
            </w:pPr>
            <w:r>
              <w:rPr>
                <w:rFonts w:cs="Times New Roman"/>
                <w:sz w:val="15"/>
                <w:szCs w:val="15"/>
              </w:rPr>
              <w:t>否</w:t>
            </w:r>
          </w:p>
        </w:tc>
        <w:tc>
          <w:tcPr>
            <w:tcW w:w="279" w:type="pct"/>
            <w:tcBorders>
              <w:top w:val="single" w:color="auto" w:sz="4" w:space="0"/>
              <w:left w:val="nil"/>
              <w:bottom w:val="single" w:color="auto" w:sz="4" w:space="0"/>
              <w:right w:val="single" w:color="auto" w:sz="4" w:space="0"/>
            </w:tcBorders>
            <w:vAlign w:val="center"/>
          </w:tcPr>
          <w:p w14:paraId="0C3A64A1">
            <w:pPr>
              <w:jc w:val="right"/>
              <w:rPr>
                <w:rFonts w:cs="Times New Roman"/>
                <w:bCs w:val="0"/>
                <w:sz w:val="15"/>
                <w:szCs w:val="15"/>
              </w:rPr>
            </w:pPr>
          </w:p>
        </w:tc>
      </w:tr>
      <w:tr w14:paraId="11E9C733">
        <w:tblPrEx>
          <w:tblCellMar>
            <w:top w:w="0" w:type="dxa"/>
            <w:left w:w="108" w:type="dxa"/>
            <w:bottom w:w="0" w:type="dxa"/>
            <w:right w:w="108" w:type="dxa"/>
          </w:tblCellMar>
        </w:tblPrEx>
        <w:trPr>
          <w:trHeight w:val="888"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1AB65324">
            <w:pPr>
              <w:jc w:val="center"/>
              <w:rPr>
                <w:rFonts w:cs="Times New Roman"/>
                <w:bCs w:val="0"/>
                <w:color w:val="000000" w:themeColor="text1"/>
                <w:sz w:val="15"/>
                <w:szCs w:val="15"/>
                <w14:textFill>
                  <w14:solidFill>
                    <w14:schemeClr w14:val="tx1"/>
                  </w14:solidFill>
                </w14:textFill>
              </w:rPr>
            </w:pPr>
            <w:r>
              <w:rPr>
                <w:rFonts w:cs="Times New Roman"/>
                <w:sz w:val="15"/>
                <w:szCs w:val="15"/>
              </w:rPr>
              <w:t>首次公开发行股票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0FA8AAF3">
            <w:pPr>
              <w:jc w:val="center"/>
              <w:rPr>
                <w:rFonts w:cs="Times New Roman"/>
                <w:bCs w:val="0"/>
                <w:sz w:val="15"/>
                <w:szCs w:val="15"/>
              </w:rPr>
            </w:pPr>
            <w:r>
              <w:rPr>
                <w:rFonts w:cs="Times New Roman"/>
                <w:sz w:val="15"/>
                <w:szCs w:val="15"/>
              </w:rPr>
              <w:t>功能性防护胶靴生产线技改项目</w:t>
            </w:r>
          </w:p>
        </w:tc>
        <w:tc>
          <w:tcPr>
            <w:tcW w:w="196" w:type="pct"/>
            <w:tcBorders>
              <w:top w:val="single" w:color="auto" w:sz="4" w:space="0"/>
              <w:left w:val="single" w:color="auto" w:sz="4" w:space="0"/>
              <w:bottom w:val="single" w:color="auto" w:sz="4" w:space="0"/>
              <w:right w:val="single" w:color="auto" w:sz="4" w:space="0"/>
            </w:tcBorders>
            <w:vAlign w:val="center"/>
          </w:tcPr>
          <w:p w14:paraId="65C8880A">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36B46B21">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351" w:type="pct"/>
            <w:tcBorders>
              <w:top w:val="single" w:color="auto" w:sz="4" w:space="0"/>
              <w:left w:val="single" w:color="auto" w:sz="4" w:space="0"/>
              <w:bottom w:val="single" w:color="auto" w:sz="4" w:space="0"/>
              <w:right w:val="single" w:color="auto" w:sz="4" w:space="0"/>
            </w:tcBorders>
            <w:vAlign w:val="center"/>
          </w:tcPr>
          <w:p w14:paraId="3033813E">
            <w:pP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330" w:type="pct"/>
            <w:tcBorders>
              <w:top w:val="single" w:color="auto" w:sz="4" w:space="0"/>
              <w:left w:val="nil"/>
              <w:bottom w:val="single" w:color="auto" w:sz="4" w:space="0"/>
              <w:right w:val="single" w:color="auto" w:sz="4" w:space="0"/>
            </w:tcBorders>
            <w:vAlign w:val="center"/>
          </w:tcPr>
          <w:p w14:paraId="32AD582D">
            <w:pPr>
              <w:jc w:val="right"/>
              <w:rPr>
                <w:rFonts w:cs="Times New Roman"/>
                <w:sz w:val="15"/>
                <w:szCs w:val="15"/>
              </w:rPr>
            </w:pPr>
            <w:r>
              <w:rPr>
                <w:rFonts w:cs="Times New Roman"/>
                <w:sz w:val="15"/>
                <w:szCs w:val="15"/>
              </w:rPr>
              <w:t>2,700.00</w:t>
            </w:r>
          </w:p>
        </w:tc>
        <w:tc>
          <w:tcPr>
            <w:tcW w:w="314" w:type="pct"/>
            <w:tcBorders>
              <w:top w:val="single" w:color="auto" w:sz="4" w:space="0"/>
              <w:left w:val="single" w:color="auto" w:sz="4" w:space="0"/>
              <w:bottom w:val="single" w:color="auto" w:sz="4" w:space="0"/>
              <w:right w:val="single" w:color="auto" w:sz="4" w:space="0"/>
            </w:tcBorders>
            <w:vAlign w:val="center"/>
          </w:tcPr>
          <w:p w14:paraId="57CCCF35">
            <w:pPr>
              <w:jc w:val="right"/>
              <w:rPr>
                <w:rFonts w:cs="Times New Roman"/>
                <w:sz w:val="15"/>
                <w:szCs w:val="15"/>
              </w:rPr>
            </w:pPr>
          </w:p>
        </w:tc>
        <w:tc>
          <w:tcPr>
            <w:tcW w:w="324" w:type="pct"/>
            <w:tcBorders>
              <w:top w:val="single" w:color="auto" w:sz="4" w:space="0"/>
              <w:left w:val="single" w:color="auto" w:sz="4" w:space="0"/>
              <w:bottom w:val="single" w:color="auto" w:sz="4" w:space="0"/>
              <w:right w:val="single" w:color="auto" w:sz="4" w:space="0"/>
            </w:tcBorders>
            <w:vAlign w:val="center"/>
          </w:tcPr>
          <w:p w14:paraId="02695CC7">
            <w:pPr>
              <w:jc w:val="right"/>
              <w:rPr>
                <w:rFonts w:cs="Times New Roman"/>
                <w:sz w:val="15"/>
                <w:szCs w:val="15"/>
              </w:rPr>
            </w:pPr>
            <w:r>
              <w:rPr>
                <w:rFonts w:cs="Times New Roman"/>
                <w:sz w:val="15"/>
                <w:szCs w:val="15"/>
              </w:rPr>
              <w:t>2,700.00</w:t>
            </w:r>
          </w:p>
        </w:tc>
        <w:tc>
          <w:tcPr>
            <w:tcW w:w="292" w:type="pct"/>
            <w:tcBorders>
              <w:top w:val="single" w:color="auto" w:sz="4" w:space="0"/>
              <w:left w:val="nil"/>
              <w:bottom w:val="single" w:color="auto" w:sz="4" w:space="0"/>
              <w:right w:val="single" w:color="auto" w:sz="4" w:space="0"/>
            </w:tcBorders>
            <w:vAlign w:val="center"/>
          </w:tcPr>
          <w:p w14:paraId="3CD3B6AC">
            <w:pPr>
              <w:jc w:val="right"/>
              <w:rPr>
                <w:rFonts w:cs="Times New Roman"/>
                <w:sz w:val="15"/>
                <w:szCs w:val="15"/>
              </w:rPr>
            </w:pPr>
            <w:r>
              <w:rPr>
                <w:rFonts w:cs="Times New Roman"/>
                <w:sz w:val="15"/>
                <w:szCs w:val="15"/>
              </w:rPr>
              <w:t>100</w:t>
            </w:r>
          </w:p>
        </w:tc>
        <w:tc>
          <w:tcPr>
            <w:tcW w:w="282" w:type="pct"/>
            <w:tcBorders>
              <w:top w:val="single" w:color="auto" w:sz="4" w:space="0"/>
              <w:left w:val="nil"/>
              <w:bottom w:val="single" w:color="auto" w:sz="4" w:space="0"/>
              <w:right w:val="single" w:color="auto" w:sz="4" w:space="0"/>
            </w:tcBorders>
            <w:vAlign w:val="center"/>
          </w:tcPr>
          <w:p w14:paraId="06C89AA4">
            <w:pPr>
              <w:jc w:val="center"/>
              <w:rPr>
                <w:rFonts w:cs="Times New Roman"/>
                <w:bCs w:val="0"/>
                <w:sz w:val="15"/>
                <w:szCs w:val="15"/>
              </w:rPr>
            </w:pPr>
            <w:r>
              <w:rPr>
                <w:rFonts w:cs="Times New Roman"/>
                <w:sz w:val="15"/>
                <w:szCs w:val="15"/>
              </w:rPr>
              <w:t>已达到</w:t>
            </w:r>
          </w:p>
        </w:tc>
        <w:tc>
          <w:tcPr>
            <w:tcW w:w="239" w:type="pct"/>
            <w:tcBorders>
              <w:top w:val="single" w:color="auto" w:sz="4" w:space="0"/>
              <w:left w:val="nil"/>
              <w:bottom w:val="single" w:color="auto" w:sz="4" w:space="0"/>
              <w:right w:val="single" w:color="auto" w:sz="4" w:space="0"/>
            </w:tcBorders>
            <w:vAlign w:val="center"/>
          </w:tcPr>
          <w:p w14:paraId="654FAAB5">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98" w:type="pct"/>
            <w:tcBorders>
              <w:top w:val="single" w:color="auto" w:sz="4" w:space="0"/>
              <w:left w:val="nil"/>
              <w:bottom w:val="single" w:color="auto" w:sz="4" w:space="0"/>
              <w:right w:val="single" w:color="auto" w:sz="4" w:space="0"/>
            </w:tcBorders>
            <w:vAlign w:val="center"/>
          </w:tcPr>
          <w:p w14:paraId="0CE95849">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23C0AF75">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35E33518">
            <w:pPr>
              <w:jc w:val="right"/>
              <w:rPr>
                <w:rFonts w:cs="Times New Roman"/>
                <w:bCs w:val="0"/>
                <w:sz w:val="15"/>
                <w:szCs w:val="15"/>
              </w:rPr>
            </w:pPr>
            <w:r>
              <w:rPr>
                <w:rFonts w:cs="Times New Roman"/>
                <w:sz w:val="15"/>
                <w:szCs w:val="15"/>
              </w:rPr>
              <w:t>-42.13</w:t>
            </w:r>
          </w:p>
        </w:tc>
        <w:tc>
          <w:tcPr>
            <w:tcW w:w="323" w:type="pct"/>
            <w:tcBorders>
              <w:top w:val="single" w:color="auto" w:sz="4" w:space="0"/>
              <w:left w:val="single" w:color="auto" w:sz="4" w:space="0"/>
              <w:bottom w:val="single" w:color="auto" w:sz="4" w:space="0"/>
              <w:right w:val="single" w:color="auto" w:sz="4" w:space="0"/>
            </w:tcBorders>
            <w:vAlign w:val="center"/>
          </w:tcPr>
          <w:p w14:paraId="10F561E8">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55923F66">
            <w:pPr>
              <w:jc w:val="center"/>
              <w:rPr>
                <w:rFonts w:cs="Times New Roman"/>
                <w:bCs w:val="0"/>
                <w:sz w:val="15"/>
                <w:szCs w:val="15"/>
              </w:rPr>
            </w:pPr>
            <w:r>
              <w:rPr>
                <w:rFonts w:cs="Times New Roman"/>
                <w:sz w:val="15"/>
                <w:szCs w:val="15"/>
              </w:rPr>
              <w:t>否</w:t>
            </w:r>
          </w:p>
        </w:tc>
        <w:tc>
          <w:tcPr>
            <w:tcW w:w="279" w:type="pct"/>
            <w:tcBorders>
              <w:top w:val="single" w:color="auto" w:sz="4" w:space="0"/>
              <w:left w:val="nil"/>
              <w:bottom w:val="single" w:color="auto" w:sz="4" w:space="0"/>
              <w:right w:val="single" w:color="auto" w:sz="4" w:space="0"/>
            </w:tcBorders>
            <w:vAlign w:val="center"/>
          </w:tcPr>
          <w:p w14:paraId="7EE39117">
            <w:pPr>
              <w:jc w:val="right"/>
              <w:rPr>
                <w:rFonts w:cs="Times New Roman"/>
                <w:bCs w:val="0"/>
                <w:sz w:val="15"/>
                <w:szCs w:val="15"/>
              </w:rPr>
            </w:pPr>
          </w:p>
        </w:tc>
      </w:tr>
      <w:tr w14:paraId="2E17A4A6">
        <w:tblPrEx>
          <w:tblCellMar>
            <w:top w:w="0" w:type="dxa"/>
            <w:left w:w="108" w:type="dxa"/>
            <w:bottom w:w="0" w:type="dxa"/>
            <w:right w:w="108" w:type="dxa"/>
          </w:tblCellMar>
        </w:tblPrEx>
        <w:trPr>
          <w:trHeight w:val="888"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5903C383">
            <w:pPr>
              <w:jc w:val="center"/>
              <w:rPr>
                <w:rFonts w:cs="Times New Roman"/>
                <w:bCs w:val="0"/>
                <w:color w:val="000000" w:themeColor="text1"/>
                <w:sz w:val="15"/>
                <w:szCs w:val="15"/>
                <w14:textFill>
                  <w14:solidFill>
                    <w14:schemeClr w14:val="tx1"/>
                  </w14:solidFill>
                </w14:textFill>
              </w:rPr>
            </w:pPr>
            <w:r>
              <w:rPr>
                <w:rFonts w:cs="Times New Roman"/>
                <w:sz w:val="15"/>
                <w:szCs w:val="15"/>
              </w:rPr>
              <w:t>首次公开发行股票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2BDDD306">
            <w:pPr>
              <w:jc w:val="center"/>
              <w:rPr>
                <w:rFonts w:cs="Times New Roman"/>
                <w:bCs w:val="0"/>
                <w:sz w:val="15"/>
                <w:szCs w:val="15"/>
              </w:rPr>
            </w:pPr>
            <w:r>
              <w:rPr>
                <w:rFonts w:cs="Times New Roman"/>
                <w:sz w:val="15"/>
                <w:szCs w:val="15"/>
              </w:rPr>
              <w:t>中高档防寒裘皮及制品扩建项目</w:t>
            </w:r>
          </w:p>
        </w:tc>
        <w:tc>
          <w:tcPr>
            <w:tcW w:w="196" w:type="pct"/>
            <w:tcBorders>
              <w:top w:val="single" w:color="auto" w:sz="4" w:space="0"/>
              <w:left w:val="single" w:color="auto" w:sz="4" w:space="0"/>
              <w:bottom w:val="single" w:color="auto" w:sz="4" w:space="0"/>
              <w:right w:val="single" w:color="auto" w:sz="4" w:space="0"/>
            </w:tcBorders>
            <w:vAlign w:val="center"/>
          </w:tcPr>
          <w:p w14:paraId="1C0F8D8B">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142EB23D">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351" w:type="pct"/>
            <w:tcBorders>
              <w:top w:val="single" w:color="auto" w:sz="4" w:space="0"/>
              <w:left w:val="single" w:color="auto" w:sz="4" w:space="0"/>
              <w:bottom w:val="single" w:color="auto" w:sz="4" w:space="0"/>
              <w:right w:val="single" w:color="auto" w:sz="4" w:space="0"/>
            </w:tcBorders>
            <w:vAlign w:val="center"/>
          </w:tcPr>
          <w:p w14:paraId="0FBB057F">
            <w:pPr>
              <w:rPr>
                <w:rFonts w:cs="Times New Roman"/>
                <w:bCs w:val="0"/>
                <w:color w:val="000000" w:themeColor="text1"/>
                <w:sz w:val="15"/>
                <w:szCs w:val="15"/>
                <w14:textFill>
                  <w14:solidFill>
                    <w14:schemeClr w14:val="tx1"/>
                  </w14:solidFill>
                </w14:textFill>
              </w:rPr>
            </w:pPr>
            <w:r>
              <w:rPr>
                <w:rFonts w:cs="Times New Roman"/>
                <w:sz w:val="15"/>
                <w:szCs w:val="15"/>
              </w:rPr>
              <w:t>是，此项目取消</w:t>
            </w:r>
          </w:p>
        </w:tc>
        <w:tc>
          <w:tcPr>
            <w:tcW w:w="330" w:type="pct"/>
            <w:tcBorders>
              <w:top w:val="single" w:color="auto" w:sz="4" w:space="0"/>
              <w:left w:val="nil"/>
              <w:bottom w:val="single" w:color="auto" w:sz="4" w:space="0"/>
              <w:right w:val="single" w:color="auto" w:sz="4" w:space="0"/>
            </w:tcBorders>
            <w:vAlign w:val="center"/>
          </w:tcPr>
          <w:p w14:paraId="16EB61DE">
            <w:pPr>
              <w:jc w:val="right"/>
              <w:rPr>
                <w:rFonts w:cs="Times New Roman"/>
                <w:sz w:val="15"/>
                <w:szCs w:val="15"/>
              </w:rPr>
            </w:pPr>
            <w:r>
              <w:rPr>
                <w:rFonts w:cs="Times New Roman"/>
                <w:sz w:val="15"/>
                <w:szCs w:val="15"/>
              </w:rPr>
              <w:t>550.39</w:t>
            </w:r>
          </w:p>
        </w:tc>
        <w:tc>
          <w:tcPr>
            <w:tcW w:w="314" w:type="pct"/>
            <w:tcBorders>
              <w:top w:val="single" w:color="auto" w:sz="4" w:space="0"/>
              <w:left w:val="single" w:color="auto" w:sz="4" w:space="0"/>
              <w:bottom w:val="single" w:color="auto" w:sz="4" w:space="0"/>
              <w:right w:val="single" w:color="auto" w:sz="4" w:space="0"/>
            </w:tcBorders>
            <w:vAlign w:val="center"/>
          </w:tcPr>
          <w:p w14:paraId="6AB26AA1">
            <w:pPr>
              <w:jc w:val="right"/>
              <w:rPr>
                <w:rFonts w:cs="Times New Roman"/>
                <w:sz w:val="15"/>
                <w:szCs w:val="15"/>
              </w:rPr>
            </w:pPr>
          </w:p>
        </w:tc>
        <w:tc>
          <w:tcPr>
            <w:tcW w:w="324" w:type="pct"/>
            <w:tcBorders>
              <w:top w:val="single" w:color="auto" w:sz="4" w:space="0"/>
              <w:left w:val="single" w:color="auto" w:sz="4" w:space="0"/>
              <w:bottom w:val="single" w:color="auto" w:sz="4" w:space="0"/>
              <w:right w:val="single" w:color="auto" w:sz="4" w:space="0"/>
            </w:tcBorders>
            <w:vAlign w:val="center"/>
          </w:tcPr>
          <w:p w14:paraId="4581E465">
            <w:pPr>
              <w:jc w:val="right"/>
              <w:rPr>
                <w:rFonts w:cs="Times New Roman"/>
                <w:sz w:val="15"/>
                <w:szCs w:val="15"/>
              </w:rPr>
            </w:pPr>
            <w:r>
              <w:rPr>
                <w:rFonts w:cs="Times New Roman"/>
                <w:sz w:val="15"/>
                <w:szCs w:val="15"/>
              </w:rPr>
              <w:t>550.39</w:t>
            </w:r>
          </w:p>
        </w:tc>
        <w:tc>
          <w:tcPr>
            <w:tcW w:w="292" w:type="pct"/>
            <w:tcBorders>
              <w:top w:val="single" w:color="auto" w:sz="4" w:space="0"/>
              <w:left w:val="nil"/>
              <w:bottom w:val="single" w:color="auto" w:sz="4" w:space="0"/>
              <w:right w:val="single" w:color="auto" w:sz="4" w:space="0"/>
            </w:tcBorders>
            <w:vAlign w:val="center"/>
          </w:tcPr>
          <w:p w14:paraId="40E5FB56">
            <w:pPr>
              <w:jc w:val="right"/>
              <w:rPr>
                <w:rFonts w:cs="Times New Roman"/>
                <w:sz w:val="15"/>
                <w:szCs w:val="15"/>
              </w:rPr>
            </w:pPr>
            <w:r>
              <w:rPr>
                <w:rFonts w:cs="Times New Roman"/>
                <w:sz w:val="15"/>
                <w:szCs w:val="15"/>
              </w:rPr>
              <w:t>100</w:t>
            </w:r>
          </w:p>
        </w:tc>
        <w:tc>
          <w:tcPr>
            <w:tcW w:w="282" w:type="pct"/>
            <w:tcBorders>
              <w:top w:val="single" w:color="auto" w:sz="4" w:space="0"/>
              <w:left w:val="nil"/>
              <w:bottom w:val="single" w:color="auto" w:sz="4" w:space="0"/>
              <w:right w:val="single" w:color="auto" w:sz="4" w:space="0"/>
            </w:tcBorders>
            <w:vAlign w:val="center"/>
          </w:tcPr>
          <w:p w14:paraId="58B76D6F">
            <w:pPr>
              <w:jc w:val="center"/>
              <w:rPr>
                <w:rFonts w:cs="Times New Roman"/>
                <w:bCs w:val="0"/>
                <w:sz w:val="15"/>
                <w:szCs w:val="15"/>
              </w:rPr>
            </w:pPr>
            <w:r>
              <w:rPr>
                <w:rFonts w:cs="Times New Roman"/>
                <w:sz w:val="15"/>
                <w:szCs w:val="15"/>
              </w:rPr>
              <w:t>停止实施</w:t>
            </w:r>
          </w:p>
        </w:tc>
        <w:tc>
          <w:tcPr>
            <w:tcW w:w="239" w:type="pct"/>
            <w:tcBorders>
              <w:top w:val="single" w:color="auto" w:sz="4" w:space="0"/>
              <w:left w:val="nil"/>
              <w:bottom w:val="single" w:color="auto" w:sz="4" w:space="0"/>
              <w:right w:val="single" w:color="auto" w:sz="4" w:space="0"/>
            </w:tcBorders>
            <w:vAlign w:val="center"/>
          </w:tcPr>
          <w:p w14:paraId="7ED9B304">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98" w:type="pct"/>
            <w:tcBorders>
              <w:top w:val="single" w:color="auto" w:sz="4" w:space="0"/>
              <w:left w:val="nil"/>
              <w:bottom w:val="single" w:color="auto" w:sz="4" w:space="0"/>
              <w:right w:val="single" w:color="auto" w:sz="4" w:space="0"/>
            </w:tcBorders>
            <w:vAlign w:val="center"/>
          </w:tcPr>
          <w:p w14:paraId="7179C990">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6F5AF0C6">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4215101A">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4748C5A0">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0E3C16F2">
            <w:pPr>
              <w:jc w:val="center"/>
              <w:rPr>
                <w:rFonts w:cs="Times New Roman"/>
                <w:bCs w:val="0"/>
                <w:sz w:val="15"/>
                <w:szCs w:val="15"/>
              </w:rPr>
            </w:pPr>
            <w:r>
              <w:rPr>
                <w:rFonts w:cs="Times New Roman"/>
                <w:sz w:val="15"/>
                <w:szCs w:val="15"/>
              </w:rPr>
              <w:t>是</w:t>
            </w:r>
          </w:p>
        </w:tc>
        <w:tc>
          <w:tcPr>
            <w:tcW w:w="279" w:type="pct"/>
            <w:tcBorders>
              <w:top w:val="single" w:color="auto" w:sz="4" w:space="0"/>
              <w:left w:val="nil"/>
              <w:bottom w:val="single" w:color="auto" w:sz="4" w:space="0"/>
              <w:right w:val="single" w:color="auto" w:sz="4" w:space="0"/>
            </w:tcBorders>
            <w:vAlign w:val="center"/>
          </w:tcPr>
          <w:p w14:paraId="1C37B4CC">
            <w:pPr>
              <w:jc w:val="right"/>
              <w:rPr>
                <w:rFonts w:cs="Times New Roman"/>
                <w:bCs w:val="0"/>
                <w:sz w:val="15"/>
                <w:szCs w:val="15"/>
              </w:rPr>
            </w:pPr>
          </w:p>
        </w:tc>
      </w:tr>
      <w:tr w14:paraId="5D16D4E1">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667C9CF4">
            <w:pPr>
              <w:jc w:val="center"/>
              <w:rPr>
                <w:rFonts w:cs="Times New Roman"/>
                <w:bCs w:val="0"/>
                <w:color w:val="000000" w:themeColor="text1"/>
                <w:sz w:val="15"/>
                <w:szCs w:val="15"/>
                <w14:textFill>
                  <w14:solidFill>
                    <w14:schemeClr w14:val="tx1"/>
                  </w14:solidFill>
                </w14:textFill>
              </w:rPr>
            </w:pPr>
            <w:r>
              <w:rPr>
                <w:rFonts w:cs="Times New Roman"/>
                <w:sz w:val="15"/>
                <w:szCs w:val="15"/>
              </w:rPr>
              <w:t>首次公开发行股票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3EFB0D60">
            <w:pPr>
              <w:jc w:val="center"/>
              <w:rPr>
                <w:rFonts w:cs="Times New Roman"/>
                <w:bCs w:val="0"/>
                <w:sz w:val="15"/>
                <w:szCs w:val="15"/>
              </w:rPr>
            </w:pPr>
            <w:r>
              <w:rPr>
                <w:rFonts w:cs="Times New Roman"/>
                <w:sz w:val="15"/>
                <w:szCs w:val="15"/>
              </w:rPr>
              <w:t>高档职业装面料、功能性面料及家纺制品技改项目</w:t>
            </w:r>
          </w:p>
        </w:tc>
        <w:tc>
          <w:tcPr>
            <w:tcW w:w="196" w:type="pct"/>
            <w:tcBorders>
              <w:top w:val="single" w:color="auto" w:sz="4" w:space="0"/>
              <w:left w:val="single" w:color="auto" w:sz="4" w:space="0"/>
              <w:bottom w:val="single" w:color="auto" w:sz="4" w:space="0"/>
              <w:right w:val="single" w:color="auto" w:sz="4" w:space="0"/>
            </w:tcBorders>
            <w:vAlign w:val="center"/>
          </w:tcPr>
          <w:p w14:paraId="2CF43A60">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32C89C5A">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351" w:type="pct"/>
            <w:tcBorders>
              <w:top w:val="single" w:color="auto" w:sz="4" w:space="0"/>
              <w:left w:val="single" w:color="auto" w:sz="4" w:space="0"/>
              <w:bottom w:val="single" w:color="auto" w:sz="4" w:space="0"/>
              <w:right w:val="single" w:color="auto" w:sz="4" w:space="0"/>
            </w:tcBorders>
            <w:vAlign w:val="center"/>
          </w:tcPr>
          <w:p w14:paraId="51F44FAE">
            <w:pPr>
              <w:rPr>
                <w:rFonts w:cs="Times New Roman"/>
                <w:bCs w:val="0"/>
                <w:color w:val="000000" w:themeColor="text1"/>
                <w:sz w:val="15"/>
                <w:szCs w:val="15"/>
                <w14:textFill>
                  <w14:solidFill>
                    <w14:schemeClr w14:val="tx1"/>
                  </w14:solidFill>
                </w14:textFill>
              </w:rPr>
            </w:pPr>
            <w:r>
              <w:rPr>
                <w:rFonts w:cs="Times New Roman"/>
                <w:sz w:val="15"/>
                <w:szCs w:val="15"/>
              </w:rPr>
              <w:t>是，此项目取消</w:t>
            </w:r>
          </w:p>
        </w:tc>
        <w:tc>
          <w:tcPr>
            <w:tcW w:w="330" w:type="pct"/>
            <w:tcBorders>
              <w:top w:val="single" w:color="auto" w:sz="4" w:space="0"/>
              <w:left w:val="nil"/>
              <w:bottom w:val="single" w:color="auto" w:sz="4" w:space="0"/>
              <w:right w:val="single" w:color="auto" w:sz="4" w:space="0"/>
            </w:tcBorders>
            <w:vAlign w:val="center"/>
          </w:tcPr>
          <w:p w14:paraId="06369962">
            <w:pPr>
              <w:jc w:val="right"/>
              <w:rPr>
                <w:rFonts w:cs="Times New Roman"/>
                <w:sz w:val="15"/>
                <w:szCs w:val="15"/>
              </w:rPr>
            </w:pPr>
            <w:r>
              <w:rPr>
                <w:rFonts w:cs="Times New Roman"/>
                <w:sz w:val="15"/>
                <w:szCs w:val="15"/>
              </w:rPr>
              <w:t>37,356.95</w:t>
            </w:r>
          </w:p>
        </w:tc>
        <w:tc>
          <w:tcPr>
            <w:tcW w:w="314" w:type="pct"/>
            <w:tcBorders>
              <w:top w:val="single" w:color="auto" w:sz="4" w:space="0"/>
              <w:left w:val="single" w:color="auto" w:sz="4" w:space="0"/>
              <w:bottom w:val="single" w:color="auto" w:sz="4" w:space="0"/>
              <w:right w:val="single" w:color="auto" w:sz="4" w:space="0"/>
            </w:tcBorders>
            <w:vAlign w:val="center"/>
          </w:tcPr>
          <w:p w14:paraId="52C4FD78">
            <w:pPr>
              <w:jc w:val="right"/>
              <w:rPr>
                <w:rFonts w:cs="Times New Roman"/>
                <w:sz w:val="15"/>
                <w:szCs w:val="15"/>
              </w:rPr>
            </w:pPr>
          </w:p>
        </w:tc>
        <w:tc>
          <w:tcPr>
            <w:tcW w:w="324" w:type="pct"/>
            <w:tcBorders>
              <w:top w:val="single" w:color="auto" w:sz="4" w:space="0"/>
              <w:left w:val="single" w:color="auto" w:sz="4" w:space="0"/>
              <w:bottom w:val="single" w:color="auto" w:sz="4" w:space="0"/>
              <w:right w:val="single" w:color="auto" w:sz="4" w:space="0"/>
            </w:tcBorders>
            <w:vAlign w:val="center"/>
          </w:tcPr>
          <w:p w14:paraId="23DD9485">
            <w:pPr>
              <w:jc w:val="right"/>
              <w:rPr>
                <w:rFonts w:cs="Times New Roman"/>
                <w:sz w:val="15"/>
                <w:szCs w:val="15"/>
              </w:rPr>
            </w:pPr>
            <w:r>
              <w:rPr>
                <w:rFonts w:cs="Times New Roman"/>
                <w:sz w:val="15"/>
                <w:szCs w:val="15"/>
              </w:rPr>
              <w:t>37,356.95</w:t>
            </w:r>
          </w:p>
        </w:tc>
        <w:tc>
          <w:tcPr>
            <w:tcW w:w="292" w:type="pct"/>
            <w:tcBorders>
              <w:top w:val="single" w:color="auto" w:sz="4" w:space="0"/>
              <w:left w:val="nil"/>
              <w:bottom w:val="single" w:color="auto" w:sz="4" w:space="0"/>
              <w:right w:val="single" w:color="auto" w:sz="4" w:space="0"/>
            </w:tcBorders>
            <w:vAlign w:val="center"/>
          </w:tcPr>
          <w:p w14:paraId="4CC0AACB">
            <w:pPr>
              <w:jc w:val="right"/>
              <w:rPr>
                <w:rFonts w:cs="Times New Roman"/>
                <w:sz w:val="15"/>
                <w:szCs w:val="15"/>
              </w:rPr>
            </w:pPr>
            <w:r>
              <w:rPr>
                <w:rFonts w:cs="Times New Roman"/>
                <w:sz w:val="15"/>
                <w:szCs w:val="15"/>
              </w:rPr>
              <w:t>100</w:t>
            </w:r>
          </w:p>
        </w:tc>
        <w:tc>
          <w:tcPr>
            <w:tcW w:w="282" w:type="pct"/>
            <w:tcBorders>
              <w:top w:val="single" w:color="auto" w:sz="4" w:space="0"/>
              <w:left w:val="nil"/>
              <w:bottom w:val="single" w:color="auto" w:sz="4" w:space="0"/>
              <w:right w:val="single" w:color="auto" w:sz="4" w:space="0"/>
            </w:tcBorders>
            <w:vAlign w:val="center"/>
          </w:tcPr>
          <w:p w14:paraId="342CC1BE">
            <w:pPr>
              <w:jc w:val="center"/>
              <w:rPr>
                <w:rFonts w:cs="Times New Roman"/>
                <w:bCs w:val="0"/>
                <w:sz w:val="15"/>
                <w:szCs w:val="15"/>
              </w:rPr>
            </w:pPr>
            <w:r>
              <w:rPr>
                <w:rFonts w:cs="Times New Roman"/>
                <w:sz w:val="15"/>
                <w:szCs w:val="15"/>
              </w:rPr>
              <w:t>停止实施</w:t>
            </w:r>
          </w:p>
        </w:tc>
        <w:tc>
          <w:tcPr>
            <w:tcW w:w="239" w:type="pct"/>
            <w:tcBorders>
              <w:top w:val="single" w:color="auto" w:sz="4" w:space="0"/>
              <w:left w:val="nil"/>
              <w:bottom w:val="single" w:color="auto" w:sz="4" w:space="0"/>
              <w:right w:val="single" w:color="auto" w:sz="4" w:space="0"/>
            </w:tcBorders>
            <w:vAlign w:val="center"/>
          </w:tcPr>
          <w:p w14:paraId="256CC0BB">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98" w:type="pct"/>
            <w:tcBorders>
              <w:top w:val="single" w:color="auto" w:sz="4" w:space="0"/>
              <w:left w:val="nil"/>
              <w:bottom w:val="single" w:color="auto" w:sz="4" w:space="0"/>
              <w:right w:val="single" w:color="auto" w:sz="4" w:space="0"/>
            </w:tcBorders>
            <w:vAlign w:val="center"/>
          </w:tcPr>
          <w:p w14:paraId="6E991D3A">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76478B2C">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65ECDF65">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78025C4F">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3F4E4119">
            <w:pPr>
              <w:jc w:val="center"/>
              <w:rPr>
                <w:rFonts w:cs="Times New Roman"/>
                <w:bCs w:val="0"/>
                <w:sz w:val="15"/>
                <w:szCs w:val="15"/>
              </w:rPr>
            </w:pPr>
            <w:r>
              <w:rPr>
                <w:rFonts w:cs="Times New Roman"/>
                <w:sz w:val="15"/>
                <w:szCs w:val="15"/>
              </w:rPr>
              <w:t>是</w:t>
            </w:r>
          </w:p>
        </w:tc>
        <w:tc>
          <w:tcPr>
            <w:tcW w:w="279" w:type="pct"/>
            <w:tcBorders>
              <w:top w:val="single" w:color="auto" w:sz="4" w:space="0"/>
              <w:left w:val="nil"/>
              <w:bottom w:val="single" w:color="auto" w:sz="4" w:space="0"/>
              <w:right w:val="single" w:color="auto" w:sz="4" w:space="0"/>
            </w:tcBorders>
            <w:vAlign w:val="center"/>
          </w:tcPr>
          <w:p w14:paraId="01CE0EAC">
            <w:pPr>
              <w:jc w:val="right"/>
              <w:rPr>
                <w:rFonts w:cs="Times New Roman"/>
                <w:bCs w:val="0"/>
                <w:sz w:val="15"/>
                <w:szCs w:val="15"/>
              </w:rPr>
            </w:pPr>
          </w:p>
        </w:tc>
      </w:tr>
      <w:tr w14:paraId="0C5FF844">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252593CD">
            <w:pPr>
              <w:jc w:val="center"/>
              <w:rPr>
                <w:rFonts w:cs="Times New Roman"/>
                <w:bCs w:val="0"/>
                <w:color w:val="000000" w:themeColor="text1"/>
                <w:sz w:val="15"/>
                <w:szCs w:val="15"/>
                <w14:textFill>
                  <w14:solidFill>
                    <w14:schemeClr w14:val="tx1"/>
                  </w14:solidFill>
                </w14:textFill>
              </w:rPr>
            </w:pPr>
            <w:r>
              <w:rPr>
                <w:rFonts w:cs="Times New Roman"/>
                <w:sz w:val="15"/>
                <w:szCs w:val="15"/>
              </w:rPr>
              <w:t>首次公开发行股票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67437D8A">
            <w:pPr>
              <w:jc w:val="center"/>
              <w:rPr>
                <w:rFonts w:cs="Times New Roman"/>
                <w:bCs w:val="0"/>
                <w:sz w:val="15"/>
                <w:szCs w:val="15"/>
              </w:rPr>
            </w:pPr>
            <w:r>
              <w:rPr>
                <w:rFonts w:cs="Times New Roman"/>
                <w:sz w:val="15"/>
                <w:szCs w:val="15"/>
              </w:rPr>
              <w:t>4万锭特种纱线技术改造项目</w:t>
            </w:r>
          </w:p>
        </w:tc>
        <w:tc>
          <w:tcPr>
            <w:tcW w:w="196" w:type="pct"/>
            <w:tcBorders>
              <w:top w:val="single" w:color="auto" w:sz="4" w:space="0"/>
              <w:left w:val="single" w:color="auto" w:sz="4" w:space="0"/>
              <w:bottom w:val="single" w:color="auto" w:sz="4" w:space="0"/>
              <w:right w:val="single" w:color="auto" w:sz="4" w:space="0"/>
            </w:tcBorders>
            <w:vAlign w:val="center"/>
          </w:tcPr>
          <w:p w14:paraId="5EB298D0">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6361E9EA">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351" w:type="pct"/>
            <w:tcBorders>
              <w:top w:val="single" w:color="auto" w:sz="4" w:space="0"/>
              <w:left w:val="single" w:color="auto" w:sz="4" w:space="0"/>
              <w:bottom w:val="single" w:color="auto" w:sz="4" w:space="0"/>
              <w:right w:val="single" w:color="auto" w:sz="4" w:space="0"/>
            </w:tcBorders>
            <w:vAlign w:val="center"/>
          </w:tcPr>
          <w:p w14:paraId="06252570">
            <w:pPr>
              <w:rPr>
                <w:rFonts w:cs="Times New Roman"/>
                <w:bCs w:val="0"/>
                <w:color w:val="000000" w:themeColor="text1"/>
                <w:sz w:val="15"/>
                <w:szCs w:val="15"/>
                <w14:textFill>
                  <w14:solidFill>
                    <w14:schemeClr w14:val="tx1"/>
                  </w14:solidFill>
                </w14:textFill>
              </w:rPr>
            </w:pPr>
            <w:r>
              <w:rPr>
                <w:rFonts w:cs="Times New Roman"/>
                <w:sz w:val="15"/>
                <w:szCs w:val="15"/>
              </w:rPr>
              <w:t>是，此项目未取消，调整募集资金投资总额</w:t>
            </w:r>
          </w:p>
        </w:tc>
        <w:tc>
          <w:tcPr>
            <w:tcW w:w="330" w:type="pct"/>
            <w:tcBorders>
              <w:top w:val="single" w:color="auto" w:sz="4" w:space="0"/>
              <w:left w:val="nil"/>
              <w:bottom w:val="single" w:color="auto" w:sz="4" w:space="0"/>
              <w:right w:val="single" w:color="auto" w:sz="4" w:space="0"/>
            </w:tcBorders>
            <w:vAlign w:val="center"/>
          </w:tcPr>
          <w:p w14:paraId="63403613">
            <w:pPr>
              <w:jc w:val="right"/>
              <w:rPr>
                <w:rFonts w:cs="Times New Roman"/>
                <w:sz w:val="15"/>
                <w:szCs w:val="15"/>
              </w:rPr>
            </w:pPr>
            <w:r>
              <w:rPr>
                <w:rFonts w:cs="Times New Roman"/>
                <w:sz w:val="15"/>
                <w:szCs w:val="15"/>
              </w:rPr>
              <w:t>6,102.66</w:t>
            </w:r>
          </w:p>
        </w:tc>
        <w:tc>
          <w:tcPr>
            <w:tcW w:w="314" w:type="pct"/>
            <w:tcBorders>
              <w:top w:val="single" w:color="auto" w:sz="4" w:space="0"/>
              <w:left w:val="single" w:color="auto" w:sz="4" w:space="0"/>
              <w:bottom w:val="single" w:color="auto" w:sz="4" w:space="0"/>
              <w:right w:val="single" w:color="auto" w:sz="4" w:space="0"/>
            </w:tcBorders>
            <w:vAlign w:val="center"/>
          </w:tcPr>
          <w:p w14:paraId="459D2786">
            <w:pPr>
              <w:jc w:val="right"/>
              <w:rPr>
                <w:rFonts w:cs="Times New Roman"/>
                <w:sz w:val="15"/>
                <w:szCs w:val="15"/>
              </w:rPr>
            </w:pPr>
          </w:p>
        </w:tc>
        <w:tc>
          <w:tcPr>
            <w:tcW w:w="324" w:type="pct"/>
            <w:tcBorders>
              <w:top w:val="single" w:color="auto" w:sz="4" w:space="0"/>
              <w:left w:val="single" w:color="auto" w:sz="4" w:space="0"/>
              <w:bottom w:val="single" w:color="auto" w:sz="4" w:space="0"/>
              <w:right w:val="single" w:color="auto" w:sz="4" w:space="0"/>
            </w:tcBorders>
            <w:vAlign w:val="center"/>
          </w:tcPr>
          <w:p w14:paraId="6E3B493D">
            <w:pPr>
              <w:jc w:val="right"/>
              <w:rPr>
                <w:rFonts w:cs="Times New Roman"/>
                <w:sz w:val="15"/>
                <w:szCs w:val="15"/>
              </w:rPr>
            </w:pPr>
            <w:r>
              <w:rPr>
                <w:rFonts w:cs="Times New Roman"/>
                <w:sz w:val="15"/>
                <w:szCs w:val="15"/>
              </w:rPr>
              <w:t>6,102.66</w:t>
            </w:r>
          </w:p>
        </w:tc>
        <w:tc>
          <w:tcPr>
            <w:tcW w:w="292" w:type="pct"/>
            <w:tcBorders>
              <w:top w:val="single" w:color="auto" w:sz="4" w:space="0"/>
              <w:left w:val="nil"/>
              <w:bottom w:val="single" w:color="auto" w:sz="4" w:space="0"/>
              <w:right w:val="single" w:color="auto" w:sz="4" w:space="0"/>
            </w:tcBorders>
            <w:vAlign w:val="center"/>
          </w:tcPr>
          <w:p w14:paraId="36DB750C">
            <w:pPr>
              <w:jc w:val="right"/>
              <w:rPr>
                <w:rFonts w:cs="Times New Roman"/>
                <w:sz w:val="15"/>
                <w:szCs w:val="15"/>
              </w:rPr>
            </w:pPr>
            <w:r>
              <w:rPr>
                <w:rFonts w:cs="Times New Roman"/>
                <w:sz w:val="15"/>
                <w:szCs w:val="15"/>
              </w:rPr>
              <w:t>100</w:t>
            </w:r>
          </w:p>
        </w:tc>
        <w:tc>
          <w:tcPr>
            <w:tcW w:w="282" w:type="pct"/>
            <w:tcBorders>
              <w:top w:val="single" w:color="auto" w:sz="4" w:space="0"/>
              <w:left w:val="nil"/>
              <w:bottom w:val="single" w:color="auto" w:sz="4" w:space="0"/>
              <w:right w:val="single" w:color="auto" w:sz="4" w:space="0"/>
            </w:tcBorders>
            <w:vAlign w:val="center"/>
          </w:tcPr>
          <w:p w14:paraId="3C03F8A3">
            <w:pPr>
              <w:jc w:val="center"/>
              <w:rPr>
                <w:rFonts w:cs="Times New Roman"/>
                <w:bCs w:val="0"/>
                <w:sz w:val="15"/>
                <w:szCs w:val="15"/>
              </w:rPr>
            </w:pPr>
            <w:r>
              <w:rPr>
                <w:rFonts w:cs="Times New Roman"/>
                <w:sz w:val="15"/>
                <w:szCs w:val="15"/>
              </w:rPr>
              <w:t>已达到</w:t>
            </w:r>
          </w:p>
        </w:tc>
        <w:tc>
          <w:tcPr>
            <w:tcW w:w="239" w:type="pct"/>
            <w:tcBorders>
              <w:top w:val="single" w:color="auto" w:sz="4" w:space="0"/>
              <w:left w:val="nil"/>
              <w:bottom w:val="single" w:color="auto" w:sz="4" w:space="0"/>
              <w:right w:val="single" w:color="auto" w:sz="4" w:space="0"/>
            </w:tcBorders>
            <w:vAlign w:val="center"/>
          </w:tcPr>
          <w:p w14:paraId="4C3C1816">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98" w:type="pct"/>
            <w:tcBorders>
              <w:top w:val="single" w:color="auto" w:sz="4" w:space="0"/>
              <w:left w:val="nil"/>
              <w:bottom w:val="single" w:color="auto" w:sz="4" w:space="0"/>
              <w:right w:val="single" w:color="auto" w:sz="4" w:space="0"/>
            </w:tcBorders>
            <w:vAlign w:val="center"/>
          </w:tcPr>
          <w:p w14:paraId="39CDADDE">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58B34484">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0BD7131C">
            <w:pPr>
              <w:jc w:val="right"/>
              <w:rPr>
                <w:rFonts w:cs="Times New Roman"/>
                <w:bCs w:val="0"/>
                <w:sz w:val="15"/>
                <w:szCs w:val="15"/>
              </w:rPr>
            </w:pPr>
            <w:r>
              <w:rPr>
                <w:rFonts w:cs="Times New Roman"/>
                <w:sz w:val="15"/>
                <w:szCs w:val="15"/>
              </w:rPr>
              <w:t>5.32</w:t>
            </w:r>
          </w:p>
        </w:tc>
        <w:tc>
          <w:tcPr>
            <w:tcW w:w="323" w:type="pct"/>
            <w:tcBorders>
              <w:top w:val="single" w:color="auto" w:sz="4" w:space="0"/>
              <w:left w:val="single" w:color="auto" w:sz="4" w:space="0"/>
              <w:bottom w:val="single" w:color="auto" w:sz="4" w:space="0"/>
              <w:right w:val="single" w:color="auto" w:sz="4" w:space="0"/>
            </w:tcBorders>
            <w:vAlign w:val="center"/>
          </w:tcPr>
          <w:p w14:paraId="7B1EBB00">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39C24961">
            <w:pPr>
              <w:jc w:val="center"/>
              <w:rPr>
                <w:rFonts w:cs="Times New Roman"/>
                <w:bCs w:val="0"/>
                <w:sz w:val="15"/>
                <w:szCs w:val="15"/>
              </w:rPr>
            </w:pPr>
            <w:r>
              <w:rPr>
                <w:rFonts w:cs="Times New Roman"/>
                <w:sz w:val="15"/>
                <w:szCs w:val="15"/>
              </w:rPr>
              <w:t>否</w:t>
            </w:r>
          </w:p>
        </w:tc>
        <w:tc>
          <w:tcPr>
            <w:tcW w:w="279" w:type="pct"/>
            <w:tcBorders>
              <w:top w:val="single" w:color="auto" w:sz="4" w:space="0"/>
              <w:left w:val="nil"/>
              <w:bottom w:val="single" w:color="auto" w:sz="4" w:space="0"/>
              <w:right w:val="single" w:color="auto" w:sz="4" w:space="0"/>
            </w:tcBorders>
            <w:vAlign w:val="center"/>
          </w:tcPr>
          <w:p w14:paraId="54EC4C0B">
            <w:pPr>
              <w:jc w:val="right"/>
              <w:rPr>
                <w:rFonts w:cs="Times New Roman"/>
                <w:bCs w:val="0"/>
                <w:sz w:val="15"/>
                <w:szCs w:val="15"/>
              </w:rPr>
            </w:pPr>
          </w:p>
        </w:tc>
      </w:tr>
      <w:tr w14:paraId="31792740">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2A521F39">
            <w:pPr>
              <w:jc w:val="center"/>
              <w:rPr>
                <w:rFonts w:cs="Times New Roman"/>
                <w:bCs w:val="0"/>
                <w:color w:val="000000" w:themeColor="text1"/>
                <w:sz w:val="15"/>
                <w:szCs w:val="15"/>
                <w14:textFill>
                  <w14:solidFill>
                    <w14:schemeClr w14:val="tx1"/>
                  </w14:solidFill>
                </w14:textFill>
              </w:rPr>
            </w:pPr>
            <w:r>
              <w:rPr>
                <w:rFonts w:cs="Times New Roman"/>
                <w:sz w:val="15"/>
                <w:szCs w:val="15"/>
              </w:rPr>
              <w:t>首次公开发行股票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67909A9F">
            <w:pPr>
              <w:jc w:val="center"/>
              <w:rPr>
                <w:rFonts w:cs="Times New Roman"/>
                <w:bCs w:val="0"/>
                <w:sz w:val="15"/>
                <w:szCs w:val="15"/>
              </w:rPr>
            </w:pPr>
            <w:r>
              <w:rPr>
                <w:rFonts w:cs="Times New Roman"/>
                <w:sz w:val="15"/>
                <w:szCs w:val="15"/>
              </w:rPr>
              <w:t>功能性伪装防护装具生产线技改项目</w:t>
            </w:r>
          </w:p>
        </w:tc>
        <w:tc>
          <w:tcPr>
            <w:tcW w:w="196" w:type="pct"/>
            <w:tcBorders>
              <w:top w:val="single" w:color="auto" w:sz="4" w:space="0"/>
              <w:left w:val="single" w:color="auto" w:sz="4" w:space="0"/>
              <w:bottom w:val="single" w:color="auto" w:sz="4" w:space="0"/>
              <w:right w:val="single" w:color="auto" w:sz="4" w:space="0"/>
            </w:tcBorders>
            <w:vAlign w:val="center"/>
          </w:tcPr>
          <w:p w14:paraId="17E24923">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0B682494">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351" w:type="pct"/>
            <w:tcBorders>
              <w:top w:val="single" w:color="auto" w:sz="4" w:space="0"/>
              <w:left w:val="single" w:color="auto" w:sz="4" w:space="0"/>
              <w:bottom w:val="single" w:color="auto" w:sz="4" w:space="0"/>
              <w:right w:val="single" w:color="auto" w:sz="4" w:space="0"/>
            </w:tcBorders>
            <w:vAlign w:val="center"/>
          </w:tcPr>
          <w:p w14:paraId="0DC42E14">
            <w:pPr>
              <w:rPr>
                <w:rFonts w:cs="Times New Roman"/>
                <w:bCs w:val="0"/>
                <w:color w:val="000000" w:themeColor="text1"/>
                <w:sz w:val="15"/>
                <w:szCs w:val="15"/>
                <w14:textFill>
                  <w14:solidFill>
                    <w14:schemeClr w14:val="tx1"/>
                  </w14:solidFill>
                </w14:textFill>
              </w:rPr>
            </w:pPr>
            <w:r>
              <w:rPr>
                <w:rFonts w:cs="Times New Roman"/>
                <w:sz w:val="15"/>
                <w:szCs w:val="15"/>
              </w:rPr>
              <w:t>是，此项目取消</w:t>
            </w:r>
          </w:p>
        </w:tc>
        <w:tc>
          <w:tcPr>
            <w:tcW w:w="330" w:type="pct"/>
            <w:tcBorders>
              <w:top w:val="single" w:color="auto" w:sz="4" w:space="0"/>
              <w:left w:val="nil"/>
              <w:bottom w:val="single" w:color="auto" w:sz="4" w:space="0"/>
              <w:right w:val="single" w:color="auto" w:sz="4" w:space="0"/>
            </w:tcBorders>
            <w:vAlign w:val="center"/>
          </w:tcPr>
          <w:p w14:paraId="1D20D7CF">
            <w:pPr>
              <w:jc w:val="right"/>
              <w:rPr>
                <w:rFonts w:cs="Times New Roman"/>
                <w:sz w:val="15"/>
                <w:szCs w:val="15"/>
              </w:rPr>
            </w:pPr>
          </w:p>
        </w:tc>
        <w:tc>
          <w:tcPr>
            <w:tcW w:w="314" w:type="pct"/>
            <w:tcBorders>
              <w:top w:val="single" w:color="auto" w:sz="4" w:space="0"/>
              <w:left w:val="single" w:color="auto" w:sz="4" w:space="0"/>
              <w:bottom w:val="single" w:color="auto" w:sz="4" w:space="0"/>
              <w:right w:val="single" w:color="auto" w:sz="4" w:space="0"/>
            </w:tcBorders>
            <w:vAlign w:val="center"/>
          </w:tcPr>
          <w:p w14:paraId="77D989AF">
            <w:pPr>
              <w:jc w:val="right"/>
              <w:rPr>
                <w:rFonts w:cs="Times New Roman"/>
                <w:sz w:val="15"/>
                <w:szCs w:val="15"/>
              </w:rPr>
            </w:pPr>
          </w:p>
        </w:tc>
        <w:tc>
          <w:tcPr>
            <w:tcW w:w="324" w:type="pct"/>
            <w:tcBorders>
              <w:top w:val="single" w:color="auto" w:sz="4" w:space="0"/>
              <w:left w:val="single" w:color="auto" w:sz="4" w:space="0"/>
              <w:bottom w:val="single" w:color="auto" w:sz="4" w:space="0"/>
              <w:right w:val="single" w:color="auto" w:sz="4" w:space="0"/>
            </w:tcBorders>
            <w:vAlign w:val="center"/>
          </w:tcPr>
          <w:p w14:paraId="3DAE7813">
            <w:pPr>
              <w:jc w:val="right"/>
              <w:rPr>
                <w:rFonts w:cs="Times New Roman"/>
                <w:sz w:val="15"/>
                <w:szCs w:val="15"/>
              </w:rPr>
            </w:pPr>
          </w:p>
        </w:tc>
        <w:tc>
          <w:tcPr>
            <w:tcW w:w="292" w:type="pct"/>
            <w:tcBorders>
              <w:top w:val="single" w:color="auto" w:sz="4" w:space="0"/>
              <w:left w:val="nil"/>
              <w:bottom w:val="single" w:color="auto" w:sz="4" w:space="0"/>
              <w:right w:val="single" w:color="auto" w:sz="4" w:space="0"/>
            </w:tcBorders>
            <w:vAlign w:val="center"/>
          </w:tcPr>
          <w:p w14:paraId="018D9A1B">
            <w:pPr>
              <w:jc w:val="right"/>
              <w:rPr>
                <w:rFonts w:cs="Times New Roman"/>
                <w:sz w:val="15"/>
                <w:szCs w:val="15"/>
              </w:rPr>
            </w:pPr>
            <w:r>
              <w:rPr>
                <w:rFonts w:cs="Times New Roman"/>
                <w:sz w:val="15"/>
                <w:szCs w:val="15"/>
              </w:rPr>
              <w:t>/</w:t>
            </w:r>
          </w:p>
        </w:tc>
        <w:tc>
          <w:tcPr>
            <w:tcW w:w="282" w:type="pct"/>
            <w:tcBorders>
              <w:top w:val="single" w:color="auto" w:sz="4" w:space="0"/>
              <w:left w:val="nil"/>
              <w:bottom w:val="single" w:color="auto" w:sz="4" w:space="0"/>
              <w:right w:val="single" w:color="auto" w:sz="4" w:space="0"/>
            </w:tcBorders>
            <w:vAlign w:val="center"/>
          </w:tcPr>
          <w:p w14:paraId="24BD231C">
            <w:pPr>
              <w:jc w:val="center"/>
              <w:rPr>
                <w:rFonts w:cs="Times New Roman"/>
                <w:bCs w:val="0"/>
                <w:sz w:val="15"/>
                <w:szCs w:val="15"/>
              </w:rPr>
            </w:pPr>
            <w:r>
              <w:rPr>
                <w:rFonts w:cs="Times New Roman"/>
                <w:sz w:val="15"/>
                <w:szCs w:val="15"/>
              </w:rPr>
              <w:t>停止实施</w:t>
            </w:r>
          </w:p>
        </w:tc>
        <w:tc>
          <w:tcPr>
            <w:tcW w:w="239" w:type="pct"/>
            <w:tcBorders>
              <w:top w:val="single" w:color="auto" w:sz="4" w:space="0"/>
              <w:left w:val="nil"/>
              <w:bottom w:val="single" w:color="auto" w:sz="4" w:space="0"/>
              <w:right w:val="single" w:color="auto" w:sz="4" w:space="0"/>
            </w:tcBorders>
            <w:vAlign w:val="center"/>
          </w:tcPr>
          <w:p w14:paraId="69F066F0">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98" w:type="pct"/>
            <w:tcBorders>
              <w:top w:val="single" w:color="auto" w:sz="4" w:space="0"/>
              <w:left w:val="nil"/>
              <w:bottom w:val="single" w:color="auto" w:sz="4" w:space="0"/>
              <w:right w:val="single" w:color="auto" w:sz="4" w:space="0"/>
            </w:tcBorders>
            <w:vAlign w:val="center"/>
          </w:tcPr>
          <w:p w14:paraId="212BDA29">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7EF0EA36">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34256EC3">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2B31496B">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42D0EBE5">
            <w:pPr>
              <w:jc w:val="center"/>
              <w:rPr>
                <w:rFonts w:cs="Times New Roman"/>
                <w:bCs w:val="0"/>
                <w:sz w:val="15"/>
                <w:szCs w:val="15"/>
              </w:rPr>
            </w:pPr>
            <w:r>
              <w:rPr>
                <w:rFonts w:cs="Times New Roman"/>
                <w:sz w:val="15"/>
                <w:szCs w:val="15"/>
              </w:rPr>
              <w:t>是</w:t>
            </w:r>
          </w:p>
        </w:tc>
        <w:tc>
          <w:tcPr>
            <w:tcW w:w="279" w:type="pct"/>
            <w:tcBorders>
              <w:top w:val="single" w:color="auto" w:sz="4" w:space="0"/>
              <w:left w:val="nil"/>
              <w:bottom w:val="single" w:color="auto" w:sz="4" w:space="0"/>
              <w:right w:val="single" w:color="auto" w:sz="4" w:space="0"/>
            </w:tcBorders>
            <w:vAlign w:val="center"/>
          </w:tcPr>
          <w:p w14:paraId="257CA169">
            <w:pPr>
              <w:jc w:val="right"/>
              <w:rPr>
                <w:rFonts w:cs="Times New Roman"/>
                <w:bCs w:val="0"/>
                <w:sz w:val="15"/>
                <w:szCs w:val="15"/>
              </w:rPr>
            </w:pPr>
          </w:p>
        </w:tc>
      </w:tr>
      <w:tr w14:paraId="28AB4395">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464A10F6">
            <w:pPr>
              <w:jc w:val="center"/>
              <w:rPr>
                <w:rFonts w:cs="Times New Roman"/>
                <w:bCs w:val="0"/>
                <w:color w:val="000000" w:themeColor="text1"/>
                <w:sz w:val="15"/>
                <w:szCs w:val="15"/>
                <w14:textFill>
                  <w14:solidFill>
                    <w14:schemeClr w14:val="tx1"/>
                  </w14:solidFill>
                </w14:textFill>
              </w:rPr>
            </w:pPr>
            <w:r>
              <w:rPr>
                <w:rFonts w:cs="Times New Roman"/>
                <w:sz w:val="15"/>
                <w:szCs w:val="15"/>
              </w:rPr>
              <w:t>首次公开发行股票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65BD576A">
            <w:pPr>
              <w:jc w:val="center"/>
              <w:rPr>
                <w:rFonts w:cs="Times New Roman"/>
                <w:bCs w:val="0"/>
                <w:sz w:val="15"/>
                <w:szCs w:val="15"/>
              </w:rPr>
            </w:pPr>
            <w:r>
              <w:rPr>
                <w:rFonts w:cs="Times New Roman"/>
                <w:sz w:val="15"/>
                <w:szCs w:val="15"/>
              </w:rPr>
              <w:t>高性能防弹材料及制品技术改造项目</w:t>
            </w:r>
          </w:p>
        </w:tc>
        <w:tc>
          <w:tcPr>
            <w:tcW w:w="196" w:type="pct"/>
            <w:tcBorders>
              <w:top w:val="single" w:color="auto" w:sz="4" w:space="0"/>
              <w:left w:val="single" w:color="auto" w:sz="4" w:space="0"/>
              <w:bottom w:val="single" w:color="auto" w:sz="4" w:space="0"/>
              <w:right w:val="single" w:color="auto" w:sz="4" w:space="0"/>
            </w:tcBorders>
            <w:vAlign w:val="center"/>
          </w:tcPr>
          <w:p w14:paraId="3C61C1FD">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4D4FD7D9">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351" w:type="pct"/>
            <w:tcBorders>
              <w:top w:val="single" w:color="auto" w:sz="4" w:space="0"/>
              <w:left w:val="single" w:color="auto" w:sz="4" w:space="0"/>
              <w:bottom w:val="single" w:color="auto" w:sz="4" w:space="0"/>
              <w:right w:val="single" w:color="auto" w:sz="4" w:space="0"/>
            </w:tcBorders>
            <w:vAlign w:val="center"/>
          </w:tcPr>
          <w:p w14:paraId="254BEA9D">
            <w:pPr>
              <w:rPr>
                <w:rFonts w:cs="Times New Roman"/>
                <w:bCs w:val="0"/>
                <w:color w:val="000000" w:themeColor="text1"/>
                <w:sz w:val="15"/>
                <w:szCs w:val="15"/>
                <w14:textFill>
                  <w14:solidFill>
                    <w14:schemeClr w14:val="tx1"/>
                  </w14:solidFill>
                </w14:textFill>
              </w:rPr>
            </w:pPr>
            <w:r>
              <w:rPr>
                <w:rFonts w:cs="Times New Roman"/>
                <w:sz w:val="15"/>
                <w:szCs w:val="15"/>
              </w:rPr>
              <w:t>是，此项目取消</w:t>
            </w:r>
          </w:p>
        </w:tc>
        <w:tc>
          <w:tcPr>
            <w:tcW w:w="330" w:type="pct"/>
            <w:tcBorders>
              <w:top w:val="single" w:color="auto" w:sz="4" w:space="0"/>
              <w:left w:val="nil"/>
              <w:bottom w:val="single" w:color="auto" w:sz="4" w:space="0"/>
              <w:right w:val="single" w:color="auto" w:sz="4" w:space="0"/>
            </w:tcBorders>
            <w:vAlign w:val="center"/>
          </w:tcPr>
          <w:p w14:paraId="0D97D3B4">
            <w:pPr>
              <w:jc w:val="right"/>
              <w:rPr>
                <w:rFonts w:cs="Times New Roman"/>
                <w:sz w:val="15"/>
                <w:szCs w:val="15"/>
              </w:rPr>
            </w:pPr>
            <w:r>
              <w:rPr>
                <w:rFonts w:cs="Times New Roman"/>
                <w:sz w:val="15"/>
                <w:szCs w:val="15"/>
              </w:rPr>
              <w:t>2,650.18</w:t>
            </w:r>
          </w:p>
        </w:tc>
        <w:tc>
          <w:tcPr>
            <w:tcW w:w="314" w:type="pct"/>
            <w:tcBorders>
              <w:top w:val="single" w:color="auto" w:sz="4" w:space="0"/>
              <w:left w:val="single" w:color="auto" w:sz="4" w:space="0"/>
              <w:bottom w:val="single" w:color="auto" w:sz="4" w:space="0"/>
              <w:right w:val="single" w:color="auto" w:sz="4" w:space="0"/>
            </w:tcBorders>
            <w:vAlign w:val="center"/>
          </w:tcPr>
          <w:p w14:paraId="0151D9BC">
            <w:pPr>
              <w:jc w:val="right"/>
              <w:rPr>
                <w:rFonts w:cs="Times New Roman"/>
                <w:sz w:val="15"/>
                <w:szCs w:val="15"/>
              </w:rPr>
            </w:pPr>
          </w:p>
        </w:tc>
        <w:tc>
          <w:tcPr>
            <w:tcW w:w="324" w:type="pct"/>
            <w:tcBorders>
              <w:top w:val="single" w:color="auto" w:sz="4" w:space="0"/>
              <w:left w:val="single" w:color="auto" w:sz="4" w:space="0"/>
              <w:bottom w:val="single" w:color="auto" w:sz="4" w:space="0"/>
              <w:right w:val="single" w:color="auto" w:sz="4" w:space="0"/>
            </w:tcBorders>
            <w:vAlign w:val="center"/>
          </w:tcPr>
          <w:p w14:paraId="1AEC0CE4">
            <w:pPr>
              <w:jc w:val="right"/>
              <w:rPr>
                <w:rFonts w:cs="Times New Roman"/>
                <w:sz w:val="15"/>
                <w:szCs w:val="15"/>
              </w:rPr>
            </w:pPr>
            <w:r>
              <w:rPr>
                <w:rFonts w:cs="Times New Roman"/>
                <w:sz w:val="15"/>
                <w:szCs w:val="15"/>
              </w:rPr>
              <w:t>2,650.18</w:t>
            </w:r>
          </w:p>
        </w:tc>
        <w:tc>
          <w:tcPr>
            <w:tcW w:w="292" w:type="pct"/>
            <w:tcBorders>
              <w:top w:val="single" w:color="auto" w:sz="4" w:space="0"/>
              <w:left w:val="nil"/>
              <w:bottom w:val="single" w:color="auto" w:sz="4" w:space="0"/>
              <w:right w:val="single" w:color="auto" w:sz="4" w:space="0"/>
            </w:tcBorders>
            <w:vAlign w:val="center"/>
          </w:tcPr>
          <w:p w14:paraId="440D4003">
            <w:pPr>
              <w:jc w:val="right"/>
              <w:rPr>
                <w:rFonts w:cs="Times New Roman"/>
                <w:sz w:val="15"/>
                <w:szCs w:val="15"/>
              </w:rPr>
            </w:pPr>
            <w:r>
              <w:rPr>
                <w:rFonts w:cs="Times New Roman"/>
                <w:sz w:val="15"/>
                <w:szCs w:val="15"/>
              </w:rPr>
              <w:t>100</w:t>
            </w:r>
          </w:p>
        </w:tc>
        <w:tc>
          <w:tcPr>
            <w:tcW w:w="282" w:type="pct"/>
            <w:tcBorders>
              <w:top w:val="single" w:color="auto" w:sz="4" w:space="0"/>
              <w:left w:val="nil"/>
              <w:bottom w:val="single" w:color="auto" w:sz="4" w:space="0"/>
              <w:right w:val="single" w:color="auto" w:sz="4" w:space="0"/>
            </w:tcBorders>
            <w:vAlign w:val="center"/>
          </w:tcPr>
          <w:p w14:paraId="406CCA53">
            <w:pPr>
              <w:jc w:val="center"/>
              <w:rPr>
                <w:rFonts w:cs="Times New Roman"/>
                <w:bCs w:val="0"/>
                <w:sz w:val="15"/>
                <w:szCs w:val="15"/>
              </w:rPr>
            </w:pPr>
            <w:r>
              <w:rPr>
                <w:rFonts w:cs="Times New Roman"/>
                <w:sz w:val="15"/>
                <w:szCs w:val="15"/>
              </w:rPr>
              <w:t>停止实施</w:t>
            </w:r>
          </w:p>
        </w:tc>
        <w:tc>
          <w:tcPr>
            <w:tcW w:w="239" w:type="pct"/>
            <w:tcBorders>
              <w:top w:val="single" w:color="auto" w:sz="4" w:space="0"/>
              <w:left w:val="nil"/>
              <w:bottom w:val="single" w:color="auto" w:sz="4" w:space="0"/>
              <w:right w:val="single" w:color="auto" w:sz="4" w:space="0"/>
            </w:tcBorders>
            <w:vAlign w:val="center"/>
          </w:tcPr>
          <w:p w14:paraId="5EDC832B">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98" w:type="pct"/>
            <w:tcBorders>
              <w:top w:val="single" w:color="auto" w:sz="4" w:space="0"/>
              <w:left w:val="nil"/>
              <w:bottom w:val="single" w:color="auto" w:sz="4" w:space="0"/>
              <w:right w:val="single" w:color="auto" w:sz="4" w:space="0"/>
            </w:tcBorders>
            <w:vAlign w:val="center"/>
          </w:tcPr>
          <w:p w14:paraId="31E00170">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268345EA">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758F78C9">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1B7218EF">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1BECF477">
            <w:pPr>
              <w:jc w:val="center"/>
              <w:rPr>
                <w:rFonts w:cs="Times New Roman"/>
                <w:bCs w:val="0"/>
                <w:sz w:val="15"/>
                <w:szCs w:val="15"/>
              </w:rPr>
            </w:pPr>
            <w:r>
              <w:rPr>
                <w:rFonts w:cs="Times New Roman"/>
                <w:sz w:val="15"/>
                <w:szCs w:val="15"/>
              </w:rPr>
              <w:t>是</w:t>
            </w:r>
          </w:p>
        </w:tc>
        <w:tc>
          <w:tcPr>
            <w:tcW w:w="279" w:type="pct"/>
            <w:tcBorders>
              <w:top w:val="single" w:color="auto" w:sz="4" w:space="0"/>
              <w:left w:val="nil"/>
              <w:bottom w:val="single" w:color="auto" w:sz="4" w:space="0"/>
              <w:right w:val="single" w:color="auto" w:sz="4" w:space="0"/>
            </w:tcBorders>
            <w:vAlign w:val="center"/>
          </w:tcPr>
          <w:p w14:paraId="54C2F519">
            <w:pPr>
              <w:jc w:val="right"/>
              <w:rPr>
                <w:rFonts w:cs="Times New Roman"/>
                <w:bCs w:val="0"/>
                <w:sz w:val="15"/>
                <w:szCs w:val="15"/>
              </w:rPr>
            </w:pPr>
          </w:p>
        </w:tc>
      </w:tr>
      <w:tr w14:paraId="73CA9791">
        <w:tblPrEx>
          <w:tblCellMar>
            <w:top w:w="0" w:type="dxa"/>
            <w:left w:w="108" w:type="dxa"/>
            <w:bottom w:w="0" w:type="dxa"/>
            <w:right w:w="108" w:type="dxa"/>
          </w:tblCellMar>
        </w:tblPrEx>
        <w:trPr>
          <w:trHeight w:val="693"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3B83766F">
            <w:pPr>
              <w:jc w:val="center"/>
              <w:rPr>
                <w:rFonts w:cs="Times New Roman"/>
                <w:bCs w:val="0"/>
                <w:color w:val="000000" w:themeColor="text1"/>
                <w:sz w:val="15"/>
                <w:szCs w:val="15"/>
                <w14:textFill>
                  <w14:solidFill>
                    <w14:schemeClr w14:val="tx1"/>
                  </w14:solidFill>
                </w14:textFill>
              </w:rPr>
            </w:pPr>
            <w:r>
              <w:rPr>
                <w:rFonts w:cs="Times New Roman"/>
                <w:sz w:val="15"/>
                <w:szCs w:val="15"/>
              </w:rPr>
              <w:t>首次公开发行股票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73EB141F">
            <w:pPr>
              <w:jc w:val="center"/>
              <w:rPr>
                <w:rFonts w:cs="Times New Roman"/>
                <w:bCs w:val="0"/>
                <w:sz w:val="15"/>
                <w:szCs w:val="15"/>
              </w:rPr>
            </w:pPr>
            <w:r>
              <w:rPr>
                <w:rFonts w:cs="Times New Roman"/>
                <w:sz w:val="15"/>
                <w:szCs w:val="15"/>
              </w:rPr>
              <w:t>多功能运输装备舱技改项目</w:t>
            </w:r>
          </w:p>
        </w:tc>
        <w:tc>
          <w:tcPr>
            <w:tcW w:w="196" w:type="pct"/>
            <w:tcBorders>
              <w:top w:val="single" w:color="auto" w:sz="4" w:space="0"/>
              <w:left w:val="single" w:color="auto" w:sz="4" w:space="0"/>
              <w:bottom w:val="single" w:color="auto" w:sz="4" w:space="0"/>
              <w:right w:val="single" w:color="auto" w:sz="4" w:space="0"/>
            </w:tcBorders>
            <w:vAlign w:val="center"/>
          </w:tcPr>
          <w:p w14:paraId="3B511BE1">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6F0CBA15">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351" w:type="pct"/>
            <w:tcBorders>
              <w:top w:val="single" w:color="auto" w:sz="4" w:space="0"/>
              <w:left w:val="single" w:color="auto" w:sz="4" w:space="0"/>
              <w:bottom w:val="single" w:color="auto" w:sz="4" w:space="0"/>
              <w:right w:val="single" w:color="auto" w:sz="4" w:space="0"/>
            </w:tcBorders>
            <w:vAlign w:val="center"/>
          </w:tcPr>
          <w:p w14:paraId="2299890A">
            <w:pP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330" w:type="pct"/>
            <w:tcBorders>
              <w:top w:val="single" w:color="auto" w:sz="4" w:space="0"/>
              <w:left w:val="nil"/>
              <w:bottom w:val="single" w:color="auto" w:sz="4" w:space="0"/>
              <w:right w:val="single" w:color="auto" w:sz="4" w:space="0"/>
            </w:tcBorders>
            <w:vAlign w:val="center"/>
          </w:tcPr>
          <w:p w14:paraId="6EB925FC">
            <w:pPr>
              <w:jc w:val="right"/>
              <w:rPr>
                <w:rFonts w:cs="Times New Roman"/>
                <w:sz w:val="15"/>
                <w:szCs w:val="15"/>
              </w:rPr>
            </w:pPr>
            <w:r>
              <w:rPr>
                <w:rFonts w:cs="Times New Roman"/>
                <w:sz w:val="15"/>
                <w:szCs w:val="15"/>
              </w:rPr>
              <w:t>5,000.00</w:t>
            </w:r>
          </w:p>
        </w:tc>
        <w:tc>
          <w:tcPr>
            <w:tcW w:w="314" w:type="pct"/>
            <w:tcBorders>
              <w:top w:val="single" w:color="auto" w:sz="4" w:space="0"/>
              <w:left w:val="single" w:color="auto" w:sz="4" w:space="0"/>
              <w:bottom w:val="single" w:color="auto" w:sz="4" w:space="0"/>
              <w:right w:val="single" w:color="auto" w:sz="4" w:space="0"/>
            </w:tcBorders>
            <w:vAlign w:val="center"/>
          </w:tcPr>
          <w:p w14:paraId="18D8C5E8">
            <w:pPr>
              <w:jc w:val="right"/>
              <w:rPr>
                <w:rFonts w:cs="Times New Roman"/>
                <w:sz w:val="15"/>
                <w:szCs w:val="15"/>
              </w:rPr>
            </w:pPr>
          </w:p>
        </w:tc>
        <w:tc>
          <w:tcPr>
            <w:tcW w:w="324" w:type="pct"/>
            <w:tcBorders>
              <w:top w:val="single" w:color="auto" w:sz="4" w:space="0"/>
              <w:left w:val="single" w:color="auto" w:sz="4" w:space="0"/>
              <w:bottom w:val="single" w:color="auto" w:sz="4" w:space="0"/>
              <w:right w:val="single" w:color="auto" w:sz="4" w:space="0"/>
            </w:tcBorders>
            <w:vAlign w:val="center"/>
          </w:tcPr>
          <w:p w14:paraId="41CA604B">
            <w:pPr>
              <w:jc w:val="right"/>
              <w:rPr>
                <w:rFonts w:cs="Times New Roman"/>
                <w:sz w:val="15"/>
                <w:szCs w:val="15"/>
              </w:rPr>
            </w:pPr>
            <w:r>
              <w:rPr>
                <w:rFonts w:cs="Times New Roman"/>
                <w:sz w:val="15"/>
                <w:szCs w:val="15"/>
              </w:rPr>
              <w:t>5,000.00</w:t>
            </w:r>
          </w:p>
        </w:tc>
        <w:tc>
          <w:tcPr>
            <w:tcW w:w="292" w:type="pct"/>
            <w:tcBorders>
              <w:top w:val="single" w:color="auto" w:sz="4" w:space="0"/>
              <w:left w:val="nil"/>
              <w:bottom w:val="single" w:color="auto" w:sz="4" w:space="0"/>
              <w:right w:val="single" w:color="auto" w:sz="4" w:space="0"/>
            </w:tcBorders>
            <w:vAlign w:val="center"/>
          </w:tcPr>
          <w:p w14:paraId="2DE6780A">
            <w:pPr>
              <w:jc w:val="right"/>
              <w:rPr>
                <w:rFonts w:cs="Times New Roman"/>
                <w:sz w:val="15"/>
                <w:szCs w:val="15"/>
              </w:rPr>
            </w:pPr>
            <w:r>
              <w:rPr>
                <w:rFonts w:cs="Times New Roman"/>
                <w:sz w:val="15"/>
                <w:szCs w:val="15"/>
              </w:rPr>
              <w:t>100</w:t>
            </w:r>
          </w:p>
        </w:tc>
        <w:tc>
          <w:tcPr>
            <w:tcW w:w="282" w:type="pct"/>
            <w:tcBorders>
              <w:top w:val="single" w:color="auto" w:sz="4" w:space="0"/>
              <w:left w:val="nil"/>
              <w:bottom w:val="single" w:color="auto" w:sz="4" w:space="0"/>
              <w:right w:val="single" w:color="auto" w:sz="4" w:space="0"/>
            </w:tcBorders>
            <w:vAlign w:val="center"/>
          </w:tcPr>
          <w:p w14:paraId="11FFB9F1">
            <w:pPr>
              <w:jc w:val="center"/>
              <w:rPr>
                <w:rFonts w:cs="Times New Roman"/>
                <w:bCs w:val="0"/>
                <w:sz w:val="15"/>
                <w:szCs w:val="15"/>
              </w:rPr>
            </w:pPr>
            <w:r>
              <w:rPr>
                <w:rFonts w:cs="Times New Roman"/>
                <w:sz w:val="15"/>
                <w:szCs w:val="15"/>
              </w:rPr>
              <w:t>已转让</w:t>
            </w:r>
          </w:p>
        </w:tc>
        <w:tc>
          <w:tcPr>
            <w:tcW w:w="239" w:type="pct"/>
            <w:tcBorders>
              <w:top w:val="single" w:color="auto" w:sz="4" w:space="0"/>
              <w:left w:val="nil"/>
              <w:bottom w:val="single" w:color="auto" w:sz="4" w:space="0"/>
              <w:right w:val="single" w:color="auto" w:sz="4" w:space="0"/>
            </w:tcBorders>
            <w:vAlign w:val="center"/>
          </w:tcPr>
          <w:p w14:paraId="08B7EF73">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98" w:type="pct"/>
            <w:tcBorders>
              <w:top w:val="single" w:color="auto" w:sz="4" w:space="0"/>
              <w:left w:val="nil"/>
              <w:bottom w:val="single" w:color="auto" w:sz="4" w:space="0"/>
              <w:right w:val="single" w:color="auto" w:sz="4" w:space="0"/>
            </w:tcBorders>
            <w:vAlign w:val="center"/>
          </w:tcPr>
          <w:p w14:paraId="6A3772DB">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4FFF4E1E">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27272280">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494F70D5">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4BBDA83B">
            <w:pPr>
              <w:jc w:val="center"/>
              <w:rPr>
                <w:rFonts w:cs="Times New Roman"/>
                <w:bCs w:val="0"/>
                <w:sz w:val="15"/>
                <w:szCs w:val="15"/>
              </w:rPr>
            </w:pPr>
            <w:r>
              <w:rPr>
                <w:rFonts w:cs="Times New Roman"/>
                <w:sz w:val="15"/>
                <w:szCs w:val="15"/>
              </w:rPr>
              <w:t>否</w:t>
            </w:r>
          </w:p>
        </w:tc>
        <w:tc>
          <w:tcPr>
            <w:tcW w:w="279" w:type="pct"/>
            <w:tcBorders>
              <w:top w:val="single" w:color="auto" w:sz="4" w:space="0"/>
              <w:left w:val="nil"/>
              <w:bottom w:val="single" w:color="auto" w:sz="4" w:space="0"/>
              <w:right w:val="single" w:color="auto" w:sz="4" w:space="0"/>
            </w:tcBorders>
            <w:vAlign w:val="center"/>
          </w:tcPr>
          <w:p w14:paraId="4644D1A1">
            <w:pPr>
              <w:jc w:val="right"/>
              <w:rPr>
                <w:rFonts w:cs="Times New Roman"/>
                <w:bCs w:val="0"/>
                <w:sz w:val="15"/>
                <w:szCs w:val="15"/>
              </w:rPr>
            </w:pPr>
          </w:p>
        </w:tc>
      </w:tr>
      <w:tr w14:paraId="4D4D9DAD">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0B6F2999">
            <w:pPr>
              <w:jc w:val="center"/>
              <w:rPr>
                <w:rFonts w:cs="Times New Roman"/>
                <w:bCs w:val="0"/>
                <w:color w:val="000000" w:themeColor="text1"/>
                <w:sz w:val="15"/>
                <w:szCs w:val="15"/>
                <w14:textFill>
                  <w14:solidFill>
                    <w14:schemeClr w14:val="tx1"/>
                  </w14:solidFill>
                </w14:textFill>
              </w:rPr>
            </w:pPr>
            <w:r>
              <w:rPr>
                <w:rFonts w:cs="Times New Roman"/>
                <w:sz w:val="15"/>
                <w:szCs w:val="15"/>
              </w:rPr>
              <w:t>首次公开发行股票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37E0BE20">
            <w:pPr>
              <w:jc w:val="center"/>
              <w:rPr>
                <w:rFonts w:cs="Times New Roman"/>
                <w:bCs w:val="0"/>
                <w:sz w:val="15"/>
                <w:szCs w:val="15"/>
              </w:rPr>
            </w:pPr>
            <w:r>
              <w:rPr>
                <w:rFonts w:cs="Times New Roman"/>
                <w:sz w:val="15"/>
                <w:szCs w:val="15"/>
              </w:rPr>
              <w:t>耐高温、耐腐蚀环保滤材技改扩建项目</w:t>
            </w:r>
          </w:p>
        </w:tc>
        <w:tc>
          <w:tcPr>
            <w:tcW w:w="196" w:type="pct"/>
            <w:tcBorders>
              <w:top w:val="single" w:color="auto" w:sz="4" w:space="0"/>
              <w:left w:val="single" w:color="auto" w:sz="4" w:space="0"/>
              <w:bottom w:val="single" w:color="auto" w:sz="4" w:space="0"/>
              <w:right w:val="single" w:color="auto" w:sz="4" w:space="0"/>
            </w:tcBorders>
            <w:vAlign w:val="center"/>
          </w:tcPr>
          <w:p w14:paraId="1247B7B4">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36E22EB1">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351" w:type="pct"/>
            <w:tcBorders>
              <w:top w:val="single" w:color="auto" w:sz="4" w:space="0"/>
              <w:left w:val="single" w:color="auto" w:sz="4" w:space="0"/>
              <w:bottom w:val="single" w:color="auto" w:sz="4" w:space="0"/>
              <w:right w:val="single" w:color="auto" w:sz="4" w:space="0"/>
            </w:tcBorders>
            <w:vAlign w:val="center"/>
          </w:tcPr>
          <w:p w14:paraId="5113F01D">
            <w:pP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330" w:type="pct"/>
            <w:tcBorders>
              <w:top w:val="single" w:color="auto" w:sz="4" w:space="0"/>
              <w:left w:val="nil"/>
              <w:bottom w:val="single" w:color="auto" w:sz="4" w:space="0"/>
              <w:right w:val="single" w:color="auto" w:sz="4" w:space="0"/>
            </w:tcBorders>
            <w:vAlign w:val="center"/>
          </w:tcPr>
          <w:p w14:paraId="18C03FAD">
            <w:pPr>
              <w:jc w:val="right"/>
              <w:rPr>
                <w:rFonts w:cs="Times New Roman"/>
                <w:sz w:val="15"/>
                <w:szCs w:val="15"/>
              </w:rPr>
            </w:pPr>
            <w:r>
              <w:rPr>
                <w:rFonts w:cs="Times New Roman"/>
                <w:sz w:val="15"/>
                <w:szCs w:val="15"/>
              </w:rPr>
              <w:t>32,333.82</w:t>
            </w:r>
          </w:p>
        </w:tc>
        <w:tc>
          <w:tcPr>
            <w:tcW w:w="314" w:type="pct"/>
            <w:tcBorders>
              <w:top w:val="single" w:color="auto" w:sz="4" w:space="0"/>
              <w:left w:val="single" w:color="auto" w:sz="4" w:space="0"/>
              <w:bottom w:val="single" w:color="auto" w:sz="4" w:space="0"/>
              <w:right w:val="single" w:color="auto" w:sz="4" w:space="0"/>
            </w:tcBorders>
            <w:vAlign w:val="center"/>
          </w:tcPr>
          <w:p w14:paraId="77F70D93">
            <w:pPr>
              <w:jc w:val="right"/>
              <w:rPr>
                <w:rFonts w:cs="Times New Roman"/>
                <w:sz w:val="15"/>
                <w:szCs w:val="15"/>
              </w:rPr>
            </w:pPr>
          </w:p>
        </w:tc>
        <w:tc>
          <w:tcPr>
            <w:tcW w:w="324" w:type="pct"/>
            <w:tcBorders>
              <w:top w:val="single" w:color="auto" w:sz="4" w:space="0"/>
              <w:left w:val="single" w:color="auto" w:sz="4" w:space="0"/>
              <w:bottom w:val="single" w:color="auto" w:sz="4" w:space="0"/>
              <w:right w:val="single" w:color="auto" w:sz="4" w:space="0"/>
            </w:tcBorders>
            <w:vAlign w:val="center"/>
          </w:tcPr>
          <w:p w14:paraId="40652345">
            <w:pPr>
              <w:jc w:val="right"/>
              <w:rPr>
                <w:rFonts w:cs="Times New Roman"/>
                <w:sz w:val="15"/>
                <w:szCs w:val="15"/>
              </w:rPr>
            </w:pPr>
            <w:r>
              <w:rPr>
                <w:rFonts w:cs="Times New Roman"/>
                <w:sz w:val="15"/>
                <w:szCs w:val="15"/>
              </w:rPr>
              <w:t>32,333.82</w:t>
            </w:r>
          </w:p>
        </w:tc>
        <w:tc>
          <w:tcPr>
            <w:tcW w:w="292" w:type="pct"/>
            <w:tcBorders>
              <w:top w:val="single" w:color="auto" w:sz="4" w:space="0"/>
              <w:left w:val="nil"/>
              <w:bottom w:val="single" w:color="auto" w:sz="4" w:space="0"/>
              <w:right w:val="single" w:color="auto" w:sz="4" w:space="0"/>
            </w:tcBorders>
            <w:vAlign w:val="center"/>
          </w:tcPr>
          <w:p w14:paraId="0DA106BF">
            <w:pPr>
              <w:jc w:val="right"/>
              <w:rPr>
                <w:rFonts w:cs="Times New Roman"/>
                <w:sz w:val="15"/>
                <w:szCs w:val="15"/>
              </w:rPr>
            </w:pPr>
            <w:r>
              <w:rPr>
                <w:rFonts w:cs="Times New Roman"/>
                <w:sz w:val="15"/>
                <w:szCs w:val="15"/>
              </w:rPr>
              <w:t>100</w:t>
            </w:r>
          </w:p>
        </w:tc>
        <w:tc>
          <w:tcPr>
            <w:tcW w:w="282" w:type="pct"/>
            <w:tcBorders>
              <w:top w:val="single" w:color="auto" w:sz="4" w:space="0"/>
              <w:left w:val="nil"/>
              <w:bottom w:val="single" w:color="auto" w:sz="4" w:space="0"/>
              <w:right w:val="single" w:color="auto" w:sz="4" w:space="0"/>
            </w:tcBorders>
            <w:vAlign w:val="center"/>
          </w:tcPr>
          <w:p w14:paraId="7246A1F0">
            <w:pPr>
              <w:jc w:val="center"/>
              <w:rPr>
                <w:rFonts w:cs="Times New Roman"/>
                <w:bCs w:val="0"/>
                <w:sz w:val="15"/>
                <w:szCs w:val="15"/>
              </w:rPr>
            </w:pPr>
            <w:r>
              <w:rPr>
                <w:rFonts w:cs="Times New Roman"/>
                <w:sz w:val="15"/>
                <w:szCs w:val="15"/>
              </w:rPr>
              <w:t>已达到</w:t>
            </w:r>
          </w:p>
        </w:tc>
        <w:tc>
          <w:tcPr>
            <w:tcW w:w="239" w:type="pct"/>
            <w:tcBorders>
              <w:top w:val="single" w:color="auto" w:sz="4" w:space="0"/>
              <w:left w:val="nil"/>
              <w:bottom w:val="single" w:color="auto" w:sz="4" w:space="0"/>
              <w:right w:val="single" w:color="auto" w:sz="4" w:space="0"/>
            </w:tcBorders>
            <w:vAlign w:val="center"/>
          </w:tcPr>
          <w:p w14:paraId="5DB926B3">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98" w:type="pct"/>
            <w:tcBorders>
              <w:top w:val="single" w:color="auto" w:sz="4" w:space="0"/>
              <w:left w:val="nil"/>
              <w:bottom w:val="single" w:color="auto" w:sz="4" w:space="0"/>
              <w:right w:val="single" w:color="auto" w:sz="4" w:space="0"/>
            </w:tcBorders>
            <w:vAlign w:val="center"/>
          </w:tcPr>
          <w:p w14:paraId="177DDD25">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0CDF65F5">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4E6B971D">
            <w:pPr>
              <w:jc w:val="right"/>
              <w:rPr>
                <w:rFonts w:cs="Times New Roman"/>
                <w:bCs w:val="0"/>
                <w:sz w:val="15"/>
                <w:szCs w:val="15"/>
              </w:rPr>
            </w:pPr>
            <w:r>
              <w:rPr>
                <w:rFonts w:cs="Times New Roman"/>
                <w:sz w:val="15"/>
                <w:szCs w:val="15"/>
              </w:rPr>
              <w:t>1,356.41</w:t>
            </w:r>
          </w:p>
        </w:tc>
        <w:tc>
          <w:tcPr>
            <w:tcW w:w="323" w:type="pct"/>
            <w:tcBorders>
              <w:top w:val="single" w:color="auto" w:sz="4" w:space="0"/>
              <w:left w:val="single" w:color="auto" w:sz="4" w:space="0"/>
              <w:bottom w:val="single" w:color="auto" w:sz="4" w:space="0"/>
              <w:right w:val="single" w:color="auto" w:sz="4" w:space="0"/>
            </w:tcBorders>
            <w:vAlign w:val="center"/>
          </w:tcPr>
          <w:p w14:paraId="7A7EEDCE">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75314784">
            <w:pPr>
              <w:jc w:val="center"/>
              <w:rPr>
                <w:rFonts w:cs="Times New Roman"/>
                <w:bCs w:val="0"/>
                <w:sz w:val="15"/>
                <w:szCs w:val="15"/>
              </w:rPr>
            </w:pPr>
            <w:r>
              <w:rPr>
                <w:rFonts w:cs="Times New Roman"/>
                <w:sz w:val="15"/>
                <w:szCs w:val="15"/>
              </w:rPr>
              <w:t>否</w:t>
            </w:r>
          </w:p>
        </w:tc>
        <w:tc>
          <w:tcPr>
            <w:tcW w:w="279" w:type="pct"/>
            <w:tcBorders>
              <w:top w:val="single" w:color="auto" w:sz="4" w:space="0"/>
              <w:left w:val="nil"/>
              <w:bottom w:val="single" w:color="auto" w:sz="4" w:space="0"/>
              <w:right w:val="single" w:color="auto" w:sz="4" w:space="0"/>
            </w:tcBorders>
            <w:vAlign w:val="center"/>
          </w:tcPr>
          <w:p w14:paraId="1EED2A9F">
            <w:pPr>
              <w:jc w:val="right"/>
              <w:rPr>
                <w:rFonts w:cs="Times New Roman"/>
                <w:bCs w:val="0"/>
                <w:sz w:val="15"/>
                <w:szCs w:val="15"/>
              </w:rPr>
            </w:pPr>
          </w:p>
        </w:tc>
      </w:tr>
      <w:tr w14:paraId="698D602D">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47B13E47">
            <w:pPr>
              <w:jc w:val="center"/>
              <w:rPr>
                <w:rFonts w:cs="Times New Roman"/>
                <w:bCs w:val="0"/>
                <w:color w:val="000000" w:themeColor="text1"/>
                <w:sz w:val="15"/>
                <w:szCs w:val="15"/>
                <w14:textFill>
                  <w14:solidFill>
                    <w14:schemeClr w14:val="tx1"/>
                  </w14:solidFill>
                </w14:textFill>
              </w:rPr>
            </w:pPr>
            <w:r>
              <w:rPr>
                <w:rFonts w:cs="Times New Roman"/>
                <w:sz w:val="15"/>
                <w:szCs w:val="15"/>
              </w:rPr>
              <w:t>首次公开发行股票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078281FE">
            <w:pPr>
              <w:jc w:val="center"/>
              <w:rPr>
                <w:rFonts w:cs="Times New Roman"/>
                <w:bCs w:val="0"/>
                <w:sz w:val="15"/>
                <w:szCs w:val="15"/>
              </w:rPr>
            </w:pPr>
            <w:r>
              <w:rPr>
                <w:rFonts w:cs="Times New Roman"/>
                <w:sz w:val="15"/>
                <w:szCs w:val="15"/>
              </w:rPr>
              <w:t>军警职业服饰件表面处理装备改造项目</w:t>
            </w:r>
          </w:p>
        </w:tc>
        <w:tc>
          <w:tcPr>
            <w:tcW w:w="196" w:type="pct"/>
            <w:tcBorders>
              <w:top w:val="single" w:color="auto" w:sz="4" w:space="0"/>
              <w:left w:val="single" w:color="auto" w:sz="4" w:space="0"/>
              <w:bottom w:val="single" w:color="auto" w:sz="4" w:space="0"/>
              <w:right w:val="single" w:color="auto" w:sz="4" w:space="0"/>
            </w:tcBorders>
            <w:vAlign w:val="center"/>
          </w:tcPr>
          <w:p w14:paraId="01A5A715">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5949CDF3">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351" w:type="pct"/>
            <w:tcBorders>
              <w:top w:val="single" w:color="auto" w:sz="4" w:space="0"/>
              <w:left w:val="single" w:color="auto" w:sz="4" w:space="0"/>
              <w:bottom w:val="single" w:color="auto" w:sz="4" w:space="0"/>
              <w:right w:val="single" w:color="auto" w:sz="4" w:space="0"/>
            </w:tcBorders>
            <w:vAlign w:val="center"/>
          </w:tcPr>
          <w:p w14:paraId="5356B9BD">
            <w:pPr>
              <w:rPr>
                <w:rFonts w:cs="Times New Roman"/>
                <w:bCs w:val="0"/>
                <w:color w:val="000000" w:themeColor="text1"/>
                <w:sz w:val="15"/>
                <w:szCs w:val="15"/>
                <w14:textFill>
                  <w14:solidFill>
                    <w14:schemeClr w14:val="tx1"/>
                  </w14:solidFill>
                </w14:textFill>
              </w:rPr>
            </w:pPr>
            <w:r>
              <w:rPr>
                <w:rFonts w:cs="Times New Roman"/>
                <w:sz w:val="15"/>
                <w:szCs w:val="15"/>
              </w:rPr>
              <w:t>是，此项目取消</w:t>
            </w:r>
          </w:p>
        </w:tc>
        <w:tc>
          <w:tcPr>
            <w:tcW w:w="330" w:type="pct"/>
            <w:tcBorders>
              <w:top w:val="single" w:color="auto" w:sz="4" w:space="0"/>
              <w:left w:val="nil"/>
              <w:bottom w:val="single" w:color="auto" w:sz="4" w:space="0"/>
              <w:right w:val="single" w:color="auto" w:sz="4" w:space="0"/>
            </w:tcBorders>
            <w:vAlign w:val="center"/>
          </w:tcPr>
          <w:p w14:paraId="015FEC15">
            <w:pPr>
              <w:jc w:val="right"/>
              <w:rPr>
                <w:rFonts w:cs="Times New Roman"/>
                <w:sz w:val="15"/>
                <w:szCs w:val="15"/>
              </w:rPr>
            </w:pPr>
          </w:p>
        </w:tc>
        <w:tc>
          <w:tcPr>
            <w:tcW w:w="314" w:type="pct"/>
            <w:tcBorders>
              <w:top w:val="single" w:color="auto" w:sz="4" w:space="0"/>
              <w:left w:val="single" w:color="auto" w:sz="4" w:space="0"/>
              <w:bottom w:val="single" w:color="auto" w:sz="4" w:space="0"/>
              <w:right w:val="single" w:color="auto" w:sz="4" w:space="0"/>
            </w:tcBorders>
            <w:vAlign w:val="center"/>
          </w:tcPr>
          <w:p w14:paraId="033943F9">
            <w:pPr>
              <w:jc w:val="right"/>
              <w:rPr>
                <w:rFonts w:cs="Times New Roman"/>
                <w:sz w:val="15"/>
                <w:szCs w:val="15"/>
              </w:rPr>
            </w:pPr>
          </w:p>
        </w:tc>
        <w:tc>
          <w:tcPr>
            <w:tcW w:w="324" w:type="pct"/>
            <w:tcBorders>
              <w:top w:val="single" w:color="auto" w:sz="4" w:space="0"/>
              <w:left w:val="single" w:color="auto" w:sz="4" w:space="0"/>
              <w:bottom w:val="single" w:color="auto" w:sz="4" w:space="0"/>
              <w:right w:val="single" w:color="auto" w:sz="4" w:space="0"/>
            </w:tcBorders>
            <w:vAlign w:val="center"/>
          </w:tcPr>
          <w:p w14:paraId="3AD9AF5E">
            <w:pPr>
              <w:jc w:val="right"/>
              <w:rPr>
                <w:rFonts w:cs="Times New Roman"/>
                <w:sz w:val="15"/>
                <w:szCs w:val="15"/>
              </w:rPr>
            </w:pPr>
          </w:p>
        </w:tc>
        <w:tc>
          <w:tcPr>
            <w:tcW w:w="292" w:type="pct"/>
            <w:tcBorders>
              <w:top w:val="single" w:color="auto" w:sz="4" w:space="0"/>
              <w:left w:val="nil"/>
              <w:bottom w:val="single" w:color="auto" w:sz="4" w:space="0"/>
              <w:right w:val="single" w:color="auto" w:sz="4" w:space="0"/>
            </w:tcBorders>
            <w:vAlign w:val="center"/>
          </w:tcPr>
          <w:p w14:paraId="0EECE524">
            <w:pPr>
              <w:jc w:val="right"/>
              <w:rPr>
                <w:rFonts w:cs="Times New Roman"/>
                <w:sz w:val="15"/>
                <w:szCs w:val="15"/>
              </w:rPr>
            </w:pPr>
            <w:r>
              <w:rPr>
                <w:rFonts w:cs="Times New Roman"/>
                <w:sz w:val="15"/>
                <w:szCs w:val="15"/>
              </w:rPr>
              <w:t>/</w:t>
            </w:r>
          </w:p>
        </w:tc>
        <w:tc>
          <w:tcPr>
            <w:tcW w:w="282" w:type="pct"/>
            <w:tcBorders>
              <w:top w:val="single" w:color="auto" w:sz="4" w:space="0"/>
              <w:left w:val="nil"/>
              <w:bottom w:val="single" w:color="auto" w:sz="4" w:space="0"/>
              <w:right w:val="single" w:color="auto" w:sz="4" w:space="0"/>
            </w:tcBorders>
            <w:vAlign w:val="center"/>
          </w:tcPr>
          <w:p w14:paraId="0C16D4C1">
            <w:pPr>
              <w:jc w:val="center"/>
              <w:rPr>
                <w:rFonts w:cs="Times New Roman"/>
                <w:bCs w:val="0"/>
                <w:sz w:val="15"/>
                <w:szCs w:val="15"/>
              </w:rPr>
            </w:pPr>
            <w:r>
              <w:rPr>
                <w:rFonts w:cs="Times New Roman"/>
                <w:sz w:val="15"/>
                <w:szCs w:val="15"/>
              </w:rPr>
              <w:t>停止实施</w:t>
            </w:r>
          </w:p>
        </w:tc>
        <w:tc>
          <w:tcPr>
            <w:tcW w:w="239" w:type="pct"/>
            <w:tcBorders>
              <w:top w:val="single" w:color="auto" w:sz="4" w:space="0"/>
              <w:left w:val="nil"/>
              <w:bottom w:val="single" w:color="auto" w:sz="4" w:space="0"/>
              <w:right w:val="single" w:color="auto" w:sz="4" w:space="0"/>
            </w:tcBorders>
            <w:vAlign w:val="center"/>
          </w:tcPr>
          <w:p w14:paraId="5BE5ABE4">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98" w:type="pct"/>
            <w:tcBorders>
              <w:top w:val="single" w:color="auto" w:sz="4" w:space="0"/>
              <w:left w:val="nil"/>
              <w:bottom w:val="single" w:color="auto" w:sz="4" w:space="0"/>
              <w:right w:val="single" w:color="auto" w:sz="4" w:space="0"/>
            </w:tcBorders>
            <w:vAlign w:val="center"/>
          </w:tcPr>
          <w:p w14:paraId="40269A0E">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2A7B45F4">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49B0A2BA">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30E4C80F">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35B74F6E">
            <w:pPr>
              <w:jc w:val="center"/>
              <w:rPr>
                <w:rFonts w:cs="Times New Roman"/>
                <w:bCs w:val="0"/>
                <w:sz w:val="15"/>
                <w:szCs w:val="15"/>
              </w:rPr>
            </w:pPr>
            <w:r>
              <w:rPr>
                <w:rFonts w:cs="Times New Roman"/>
                <w:sz w:val="15"/>
                <w:szCs w:val="15"/>
              </w:rPr>
              <w:t>是</w:t>
            </w:r>
          </w:p>
        </w:tc>
        <w:tc>
          <w:tcPr>
            <w:tcW w:w="279" w:type="pct"/>
            <w:tcBorders>
              <w:top w:val="single" w:color="auto" w:sz="4" w:space="0"/>
              <w:left w:val="nil"/>
              <w:bottom w:val="single" w:color="auto" w:sz="4" w:space="0"/>
              <w:right w:val="single" w:color="auto" w:sz="4" w:space="0"/>
            </w:tcBorders>
            <w:vAlign w:val="center"/>
          </w:tcPr>
          <w:p w14:paraId="47C12C43">
            <w:pPr>
              <w:jc w:val="right"/>
              <w:rPr>
                <w:rFonts w:cs="Times New Roman"/>
                <w:bCs w:val="0"/>
                <w:sz w:val="15"/>
                <w:szCs w:val="15"/>
              </w:rPr>
            </w:pPr>
          </w:p>
        </w:tc>
      </w:tr>
      <w:tr w14:paraId="5850675A">
        <w:tblPrEx>
          <w:tblCellMar>
            <w:top w:w="0" w:type="dxa"/>
            <w:left w:w="108" w:type="dxa"/>
            <w:bottom w:w="0" w:type="dxa"/>
            <w:right w:w="108" w:type="dxa"/>
          </w:tblCellMar>
        </w:tblPrEx>
        <w:trPr>
          <w:trHeight w:val="858"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473963B2">
            <w:pPr>
              <w:jc w:val="center"/>
              <w:rPr>
                <w:rFonts w:cs="Times New Roman"/>
                <w:bCs w:val="0"/>
                <w:color w:val="000000" w:themeColor="text1"/>
                <w:sz w:val="15"/>
                <w:szCs w:val="15"/>
                <w14:textFill>
                  <w14:solidFill>
                    <w14:schemeClr w14:val="tx1"/>
                  </w14:solidFill>
                </w14:textFill>
              </w:rPr>
            </w:pPr>
            <w:r>
              <w:rPr>
                <w:rFonts w:cs="Times New Roman"/>
                <w:sz w:val="15"/>
                <w:szCs w:val="15"/>
              </w:rPr>
              <w:t>首次公开发行股票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1C6277DB">
            <w:pPr>
              <w:jc w:val="center"/>
              <w:rPr>
                <w:rFonts w:cs="Times New Roman"/>
                <w:bCs w:val="0"/>
                <w:sz w:val="15"/>
                <w:szCs w:val="15"/>
              </w:rPr>
            </w:pPr>
            <w:r>
              <w:rPr>
                <w:rFonts w:cs="Times New Roman"/>
                <w:sz w:val="15"/>
                <w:szCs w:val="15"/>
              </w:rPr>
              <w:t>精密模具装备生产线改造项目</w:t>
            </w:r>
          </w:p>
        </w:tc>
        <w:tc>
          <w:tcPr>
            <w:tcW w:w="196" w:type="pct"/>
            <w:tcBorders>
              <w:top w:val="single" w:color="auto" w:sz="4" w:space="0"/>
              <w:left w:val="single" w:color="auto" w:sz="4" w:space="0"/>
              <w:bottom w:val="single" w:color="auto" w:sz="4" w:space="0"/>
              <w:right w:val="single" w:color="auto" w:sz="4" w:space="0"/>
            </w:tcBorders>
            <w:vAlign w:val="center"/>
          </w:tcPr>
          <w:p w14:paraId="6C49A2C5">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658583C1">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351" w:type="pct"/>
            <w:tcBorders>
              <w:top w:val="single" w:color="auto" w:sz="4" w:space="0"/>
              <w:left w:val="single" w:color="auto" w:sz="4" w:space="0"/>
              <w:bottom w:val="single" w:color="auto" w:sz="4" w:space="0"/>
              <w:right w:val="single" w:color="auto" w:sz="4" w:space="0"/>
            </w:tcBorders>
            <w:vAlign w:val="center"/>
          </w:tcPr>
          <w:p w14:paraId="21CACB5B">
            <w:pPr>
              <w:rPr>
                <w:rFonts w:cs="Times New Roman"/>
                <w:bCs w:val="0"/>
                <w:color w:val="000000" w:themeColor="text1"/>
                <w:sz w:val="15"/>
                <w:szCs w:val="15"/>
                <w14:textFill>
                  <w14:solidFill>
                    <w14:schemeClr w14:val="tx1"/>
                  </w14:solidFill>
                </w14:textFill>
              </w:rPr>
            </w:pPr>
            <w:r>
              <w:rPr>
                <w:rFonts w:cs="Times New Roman"/>
                <w:sz w:val="15"/>
                <w:szCs w:val="15"/>
              </w:rPr>
              <w:t>是，此项目取消</w:t>
            </w:r>
          </w:p>
        </w:tc>
        <w:tc>
          <w:tcPr>
            <w:tcW w:w="330" w:type="pct"/>
            <w:tcBorders>
              <w:top w:val="single" w:color="auto" w:sz="4" w:space="0"/>
              <w:left w:val="nil"/>
              <w:bottom w:val="single" w:color="auto" w:sz="4" w:space="0"/>
              <w:right w:val="single" w:color="auto" w:sz="4" w:space="0"/>
            </w:tcBorders>
            <w:vAlign w:val="center"/>
          </w:tcPr>
          <w:p w14:paraId="40EB94F4">
            <w:pPr>
              <w:jc w:val="right"/>
              <w:rPr>
                <w:rFonts w:cs="Times New Roman"/>
                <w:sz w:val="15"/>
                <w:szCs w:val="15"/>
              </w:rPr>
            </w:pPr>
            <w:r>
              <w:rPr>
                <w:rFonts w:cs="Times New Roman"/>
                <w:sz w:val="15"/>
                <w:szCs w:val="15"/>
              </w:rPr>
              <w:t>656.58</w:t>
            </w:r>
          </w:p>
        </w:tc>
        <w:tc>
          <w:tcPr>
            <w:tcW w:w="314" w:type="pct"/>
            <w:tcBorders>
              <w:top w:val="single" w:color="auto" w:sz="4" w:space="0"/>
              <w:left w:val="single" w:color="auto" w:sz="4" w:space="0"/>
              <w:bottom w:val="single" w:color="auto" w:sz="4" w:space="0"/>
              <w:right w:val="single" w:color="auto" w:sz="4" w:space="0"/>
            </w:tcBorders>
            <w:vAlign w:val="center"/>
          </w:tcPr>
          <w:p w14:paraId="330BAB01">
            <w:pPr>
              <w:jc w:val="right"/>
              <w:rPr>
                <w:rFonts w:cs="Times New Roman"/>
                <w:sz w:val="15"/>
                <w:szCs w:val="15"/>
              </w:rPr>
            </w:pPr>
          </w:p>
        </w:tc>
        <w:tc>
          <w:tcPr>
            <w:tcW w:w="324" w:type="pct"/>
            <w:tcBorders>
              <w:top w:val="single" w:color="auto" w:sz="4" w:space="0"/>
              <w:left w:val="single" w:color="auto" w:sz="4" w:space="0"/>
              <w:bottom w:val="single" w:color="auto" w:sz="4" w:space="0"/>
              <w:right w:val="single" w:color="auto" w:sz="4" w:space="0"/>
            </w:tcBorders>
            <w:vAlign w:val="center"/>
          </w:tcPr>
          <w:p w14:paraId="5D711834">
            <w:pPr>
              <w:jc w:val="right"/>
              <w:rPr>
                <w:rFonts w:cs="Times New Roman"/>
                <w:sz w:val="15"/>
                <w:szCs w:val="15"/>
              </w:rPr>
            </w:pPr>
            <w:r>
              <w:rPr>
                <w:rFonts w:cs="Times New Roman"/>
                <w:sz w:val="15"/>
                <w:szCs w:val="15"/>
              </w:rPr>
              <w:t>656.58</w:t>
            </w:r>
          </w:p>
        </w:tc>
        <w:tc>
          <w:tcPr>
            <w:tcW w:w="292" w:type="pct"/>
            <w:tcBorders>
              <w:top w:val="single" w:color="auto" w:sz="4" w:space="0"/>
              <w:left w:val="nil"/>
              <w:bottom w:val="single" w:color="auto" w:sz="4" w:space="0"/>
              <w:right w:val="single" w:color="auto" w:sz="4" w:space="0"/>
            </w:tcBorders>
            <w:vAlign w:val="center"/>
          </w:tcPr>
          <w:p w14:paraId="3C798C09">
            <w:pPr>
              <w:jc w:val="right"/>
              <w:rPr>
                <w:rFonts w:cs="Times New Roman"/>
                <w:sz w:val="15"/>
                <w:szCs w:val="15"/>
              </w:rPr>
            </w:pPr>
            <w:r>
              <w:rPr>
                <w:rFonts w:cs="Times New Roman"/>
                <w:sz w:val="15"/>
                <w:szCs w:val="15"/>
              </w:rPr>
              <w:t>100</w:t>
            </w:r>
          </w:p>
        </w:tc>
        <w:tc>
          <w:tcPr>
            <w:tcW w:w="282" w:type="pct"/>
            <w:tcBorders>
              <w:top w:val="single" w:color="auto" w:sz="4" w:space="0"/>
              <w:left w:val="nil"/>
              <w:bottom w:val="single" w:color="auto" w:sz="4" w:space="0"/>
              <w:right w:val="single" w:color="auto" w:sz="4" w:space="0"/>
            </w:tcBorders>
            <w:vAlign w:val="center"/>
          </w:tcPr>
          <w:p w14:paraId="61289F29">
            <w:pPr>
              <w:jc w:val="center"/>
              <w:rPr>
                <w:rFonts w:cs="Times New Roman"/>
                <w:bCs w:val="0"/>
                <w:sz w:val="15"/>
                <w:szCs w:val="15"/>
              </w:rPr>
            </w:pPr>
            <w:r>
              <w:rPr>
                <w:rFonts w:cs="Times New Roman"/>
                <w:sz w:val="15"/>
                <w:szCs w:val="15"/>
              </w:rPr>
              <w:t>停止实施</w:t>
            </w:r>
          </w:p>
        </w:tc>
        <w:tc>
          <w:tcPr>
            <w:tcW w:w="239" w:type="pct"/>
            <w:tcBorders>
              <w:top w:val="single" w:color="auto" w:sz="4" w:space="0"/>
              <w:left w:val="nil"/>
              <w:bottom w:val="single" w:color="auto" w:sz="4" w:space="0"/>
              <w:right w:val="single" w:color="auto" w:sz="4" w:space="0"/>
            </w:tcBorders>
            <w:vAlign w:val="center"/>
          </w:tcPr>
          <w:p w14:paraId="7520DB02">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98" w:type="pct"/>
            <w:tcBorders>
              <w:top w:val="single" w:color="auto" w:sz="4" w:space="0"/>
              <w:left w:val="nil"/>
              <w:bottom w:val="single" w:color="auto" w:sz="4" w:space="0"/>
              <w:right w:val="single" w:color="auto" w:sz="4" w:space="0"/>
            </w:tcBorders>
            <w:vAlign w:val="center"/>
          </w:tcPr>
          <w:p w14:paraId="281898BD">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25995765">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30581938">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367A880F">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01D26CBB">
            <w:pPr>
              <w:jc w:val="center"/>
              <w:rPr>
                <w:rFonts w:cs="Times New Roman"/>
                <w:bCs w:val="0"/>
                <w:sz w:val="15"/>
                <w:szCs w:val="15"/>
              </w:rPr>
            </w:pPr>
            <w:r>
              <w:rPr>
                <w:rFonts w:cs="Times New Roman"/>
                <w:sz w:val="15"/>
                <w:szCs w:val="15"/>
              </w:rPr>
              <w:t>是</w:t>
            </w:r>
          </w:p>
        </w:tc>
        <w:tc>
          <w:tcPr>
            <w:tcW w:w="279" w:type="pct"/>
            <w:tcBorders>
              <w:top w:val="single" w:color="auto" w:sz="4" w:space="0"/>
              <w:left w:val="nil"/>
              <w:bottom w:val="single" w:color="auto" w:sz="4" w:space="0"/>
              <w:right w:val="single" w:color="auto" w:sz="4" w:space="0"/>
            </w:tcBorders>
            <w:vAlign w:val="center"/>
          </w:tcPr>
          <w:p w14:paraId="728EEAAF">
            <w:pPr>
              <w:jc w:val="right"/>
              <w:rPr>
                <w:rFonts w:cs="Times New Roman"/>
                <w:bCs w:val="0"/>
                <w:sz w:val="15"/>
                <w:szCs w:val="15"/>
              </w:rPr>
            </w:pPr>
          </w:p>
        </w:tc>
      </w:tr>
      <w:tr w14:paraId="30003709">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10DB6E2E">
            <w:pPr>
              <w:jc w:val="center"/>
              <w:rPr>
                <w:rFonts w:cs="Times New Roman"/>
                <w:bCs w:val="0"/>
                <w:color w:val="000000" w:themeColor="text1"/>
                <w:sz w:val="15"/>
                <w:szCs w:val="15"/>
                <w14:textFill>
                  <w14:solidFill>
                    <w14:schemeClr w14:val="tx1"/>
                  </w14:solidFill>
                </w14:textFill>
              </w:rPr>
            </w:pPr>
            <w:r>
              <w:rPr>
                <w:rFonts w:cs="Times New Roman"/>
                <w:sz w:val="15"/>
                <w:szCs w:val="15"/>
              </w:rPr>
              <w:t>首次公开发行股票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6EE07599">
            <w:pPr>
              <w:jc w:val="center"/>
              <w:rPr>
                <w:rFonts w:cs="Times New Roman"/>
                <w:bCs w:val="0"/>
                <w:sz w:val="15"/>
                <w:szCs w:val="15"/>
              </w:rPr>
            </w:pPr>
            <w:r>
              <w:rPr>
                <w:rFonts w:cs="Times New Roman"/>
                <w:sz w:val="15"/>
                <w:szCs w:val="15"/>
              </w:rPr>
              <w:t>功能性桑拿桶和智能化充气睡具扩建项目</w:t>
            </w:r>
          </w:p>
        </w:tc>
        <w:tc>
          <w:tcPr>
            <w:tcW w:w="196" w:type="pct"/>
            <w:tcBorders>
              <w:top w:val="single" w:color="auto" w:sz="4" w:space="0"/>
              <w:left w:val="single" w:color="auto" w:sz="4" w:space="0"/>
              <w:bottom w:val="single" w:color="auto" w:sz="4" w:space="0"/>
              <w:right w:val="single" w:color="auto" w:sz="4" w:space="0"/>
            </w:tcBorders>
            <w:vAlign w:val="center"/>
          </w:tcPr>
          <w:p w14:paraId="17899762">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0AA0F4AB">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351" w:type="pct"/>
            <w:tcBorders>
              <w:top w:val="single" w:color="auto" w:sz="4" w:space="0"/>
              <w:left w:val="single" w:color="auto" w:sz="4" w:space="0"/>
              <w:bottom w:val="single" w:color="auto" w:sz="4" w:space="0"/>
              <w:right w:val="single" w:color="auto" w:sz="4" w:space="0"/>
            </w:tcBorders>
            <w:vAlign w:val="center"/>
          </w:tcPr>
          <w:p w14:paraId="199FC070">
            <w:pPr>
              <w:rPr>
                <w:rFonts w:cs="Times New Roman"/>
                <w:bCs w:val="0"/>
                <w:color w:val="000000" w:themeColor="text1"/>
                <w:sz w:val="15"/>
                <w:szCs w:val="15"/>
                <w14:textFill>
                  <w14:solidFill>
                    <w14:schemeClr w14:val="tx1"/>
                  </w14:solidFill>
                </w14:textFill>
              </w:rPr>
            </w:pPr>
            <w:r>
              <w:rPr>
                <w:rFonts w:cs="Times New Roman"/>
                <w:sz w:val="15"/>
                <w:szCs w:val="15"/>
              </w:rPr>
              <w:t>是，此项目取消</w:t>
            </w:r>
          </w:p>
        </w:tc>
        <w:tc>
          <w:tcPr>
            <w:tcW w:w="330" w:type="pct"/>
            <w:tcBorders>
              <w:top w:val="single" w:color="auto" w:sz="4" w:space="0"/>
              <w:left w:val="nil"/>
              <w:bottom w:val="single" w:color="auto" w:sz="4" w:space="0"/>
              <w:right w:val="single" w:color="auto" w:sz="4" w:space="0"/>
            </w:tcBorders>
            <w:vAlign w:val="center"/>
          </w:tcPr>
          <w:p w14:paraId="219CD4D7">
            <w:pPr>
              <w:jc w:val="right"/>
              <w:rPr>
                <w:rFonts w:cs="Times New Roman"/>
                <w:sz w:val="15"/>
                <w:szCs w:val="15"/>
              </w:rPr>
            </w:pPr>
            <w:r>
              <w:rPr>
                <w:rFonts w:cs="Times New Roman"/>
                <w:sz w:val="15"/>
                <w:szCs w:val="15"/>
              </w:rPr>
              <w:t>345.91</w:t>
            </w:r>
          </w:p>
        </w:tc>
        <w:tc>
          <w:tcPr>
            <w:tcW w:w="314" w:type="pct"/>
            <w:tcBorders>
              <w:top w:val="single" w:color="auto" w:sz="4" w:space="0"/>
              <w:left w:val="single" w:color="auto" w:sz="4" w:space="0"/>
              <w:bottom w:val="single" w:color="auto" w:sz="4" w:space="0"/>
              <w:right w:val="single" w:color="auto" w:sz="4" w:space="0"/>
            </w:tcBorders>
            <w:vAlign w:val="center"/>
          </w:tcPr>
          <w:p w14:paraId="141C0262">
            <w:pPr>
              <w:jc w:val="right"/>
              <w:rPr>
                <w:rFonts w:cs="Times New Roman"/>
                <w:sz w:val="15"/>
                <w:szCs w:val="15"/>
              </w:rPr>
            </w:pPr>
          </w:p>
        </w:tc>
        <w:tc>
          <w:tcPr>
            <w:tcW w:w="324" w:type="pct"/>
            <w:tcBorders>
              <w:top w:val="single" w:color="auto" w:sz="4" w:space="0"/>
              <w:left w:val="single" w:color="auto" w:sz="4" w:space="0"/>
              <w:bottom w:val="single" w:color="auto" w:sz="4" w:space="0"/>
              <w:right w:val="single" w:color="auto" w:sz="4" w:space="0"/>
            </w:tcBorders>
            <w:vAlign w:val="center"/>
          </w:tcPr>
          <w:p w14:paraId="2A3BA77F">
            <w:pPr>
              <w:jc w:val="right"/>
              <w:rPr>
                <w:rFonts w:cs="Times New Roman"/>
                <w:sz w:val="15"/>
                <w:szCs w:val="15"/>
              </w:rPr>
            </w:pPr>
            <w:r>
              <w:rPr>
                <w:rFonts w:cs="Times New Roman"/>
                <w:sz w:val="15"/>
                <w:szCs w:val="15"/>
              </w:rPr>
              <w:t>345.91</w:t>
            </w:r>
          </w:p>
        </w:tc>
        <w:tc>
          <w:tcPr>
            <w:tcW w:w="292" w:type="pct"/>
            <w:tcBorders>
              <w:top w:val="single" w:color="auto" w:sz="4" w:space="0"/>
              <w:left w:val="nil"/>
              <w:bottom w:val="single" w:color="auto" w:sz="4" w:space="0"/>
              <w:right w:val="single" w:color="auto" w:sz="4" w:space="0"/>
            </w:tcBorders>
            <w:vAlign w:val="center"/>
          </w:tcPr>
          <w:p w14:paraId="236802C5">
            <w:pPr>
              <w:jc w:val="right"/>
              <w:rPr>
                <w:rFonts w:cs="Times New Roman"/>
                <w:sz w:val="15"/>
                <w:szCs w:val="15"/>
              </w:rPr>
            </w:pPr>
            <w:r>
              <w:rPr>
                <w:rFonts w:cs="Times New Roman"/>
                <w:sz w:val="15"/>
                <w:szCs w:val="15"/>
              </w:rPr>
              <w:t>100</w:t>
            </w:r>
          </w:p>
        </w:tc>
        <w:tc>
          <w:tcPr>
            <w:tcW w:w="282" w:type="pct"/>
            <w:tcBorders>
              <w:top w:val="single" w:color="auto" w:sz="4" w:space="0"/>
              <w:left w:val="nil"/>
              <w:bottom w:val="single" w:color="auto" w:sz="4" w:space="0"/>
              <w:right w:val="single" w:color="auto" w:sz="4" w:space="0"/>
            </w:tcBorders>
            <w:vAlign w:val="center"/>
          </w:tcPr>
          <w:p w14:paraId="4E711BCB">
            <w:pPr>
              <w:jc w:val="center"/>
              <w:rPr>
                <w:rFonts w:cs="Times New Roman"/>
                <w:bCs w:val="0"/>
                <w:sz w:val="15"/>
                <w:szCs w:val="15"/>
              </w:rPr>
            </w:pPr>
            <w:r>
              <w:rPr>
                <w:rFonts w:cs="Times New Roman"/>
                <w:sz w:val="15"/>
                <w:szCs w:val="15"/>
              </w:rPr>
              <w:t>停止实施</w:t>
            </w:r>
          </w:p>
        </w:tc>
        <w:tc>
          <w:tcPr>
            <w:tcW w:w="239" w:type="pct"/>
            <w:tcBorders>
              <w:top w:val="single" w:color="auto" w:sz="4" w:space="0"/>
              <w:left w:val="nil"/>
              <w:bottom w:val="single" w:color="auto" w:sz="4" w:space="0"/>
              <w:right w:val="single" w:color="auto" w:sz="4" w:space="0"/>
            </w:tcBorders>
            <w:vAlign w:val="center"/>
          </w:tcPr>
          <w:p w14:paraId="79F93524">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98" w:type="pct"/>
            <w:tcBorders>
              <w:top w:val="single" w:color="auto" w:sz="4" w:space="0"/>
              <w:left w:val="nil"/>
              <w:bottom w:val="single" w:color="auto" w:sz="4" w:space="0"/>
              <w:right w:val="single" w:color="auto" w:sz="4" w:space="0"/>
            </w:tcBorders>
            <w:vAlign w:val="center"/>
          </w:tcPr>
          <w:p w14:paraId="4C67888E">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6EA17CEF">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1AFC1AA8">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46AD4689">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1B05C954">
            <w:pPr>
              <w:jc w:val="center"/>
              <w:rPr>
                <w:rFonts w:cs="Times New Roman"/>
                <w:bCs w:val="0"/>
                <w:sz w:val="15"/>
                <w:szCs w:val="15"/>
              </w:rPr>
            </w:pPr>
            <w:r>
              <w:rPr>
                <w:rFonts w:cs="Times New Roman"/>
                <w:sz w:val="15"/>
                <w:szCs w:val="15"/>
              </w:rPr>
              <w:t>是</w:t>
            </w:r>
          </w:p>
        </w:tc>
        <w:tc>
          <w:tcPr>
            <w:tcW w:w="279" w:type="pct"/>
            <w:tcBorders>
              <w:top w:val="single" w:color="auto" w:sz="4" w:space="0"/>
              <w:left w:val="nil"/>
              <w:bottom w:val="single" w:color="auto" w:sz="4" w:space="0"/>
              <w:right w:val="single" w:color="auto" w:sz="4" w:space="0"/>
            </w:tcBorders>
            <w:vAlign w:val="center"/>
          </w:tcPr>
          <w:p w14:paraId="7B6F3588">
            <w:pPr>
              <w:jc w:val="right"/>
              <w:rPr>
                <w:rFonts w:cs="Times New Roman"/>
                <w:bCs w:val="0"/>
                <w:sz w:val="15"/>
                <w:szCs w:val="15"/>
              </w:rPr>
            </w:pPr>
          </w:p>
        </w:tc>
      </w:tr>
      <w:tr w14:paraId="1421D6C0">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05D7D0DA">
            <w:pPr>
              <w:jc w:val="center"/>
              <w:rPr>
                <w:rFonts w:cs="Times New Roman"/>
                <w:bCs w:val="0"/>
                <w:color w:val="000000" w:themeColor="text1"/>
                <w:sz w:val="15"/>
                <w:szCs w:val="15"/>
                <w14:textFill>
                  <w14:solidFill>
                    <w14:schemeClr w14:val="tx1"/>
                  </w14:solidFill>
                </w14:textFill>
              </w:rPr>
            </w:pPr>
            <w:r>
              <w:rPr>
                <w:rFonts w:cs="Times New Roman"/>
                <w:sz w:val="15"/>
                <w:szCs w:val="15"/>
              </w:rPr>
              <w:t>首次公开发行股票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28709409">
            <w:pPr>
              <w:jc w:val="center"/>
              <w:rPr>
                <w:rFonts w:cs="Times New Roman"/>
                <w:bCs w:val="0"/>
                <w:sz w:val="15"/>
                <w:szCs w:val="15"/>
              </w:rPr>
            </w:pPr>
            <w:r>
              <w:rPr>
                <w:rFonts w:cs="Times New Roman"/>
                <w:sz w:val="15"/>
                <w:szCs w:val="15"/>
              </w:rPr>
              <w:t>完善各专业研究院功能建设项目</w:t>
            </w:r>
          </w:p>
        </w:tc>
        <w:tc>
          <w:tcPr>
            <w:tcW w:w="196" w:type="pct"/>
            <w:tcBorders>
              <w:top w:val="single" w:color="auto" w:sz="4" w:space="0"/>
              <w:left w:val="single" w:color="auto" w:sz="4" w:space="0"/>
              <w:bottom w:val="single" w:color="auto" w:sz="4" w:space="0"/>
              <w:right w:val="single" w:color="auto" w:sz="4" w:space="0"/>
            </w:tcBorders>
            <w:vAlign w:val="center"/>
          </w:tcPr>
          <w:p w14:paraId="3CE20C51">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33EC827F">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351" w:type="pct"/>
            <w:tcBorders>
              <w:top w:val="single" w:color="auto" w:sz="4" w:space="0"/>
              <w:left w:val="single" w:color="auto" w:sz="4" w:space="0"/>
              <w:bottom w:val="single" w:color="auto" w:sz="4" w:space="0"/>
              <w:right w:val="single" w:color="auto" w:sz="4" w:space="0"/>
            </w:tcBorders>
            <w:vAlign w:val="center"/>
          </w:tcPr>
          <w:p w14:paraId="0ACA0A5F">
            <w:pPr>
              <w:rPr>
                <w:rFonts w:cs="Times New Roman"/>
                <w:bCs w:val="0"/>
                <w:color w:val="000000" w:themeColor="text1"/>
                <w:sz w:val="15"/>
                <w:szCs w:val="15"/>
                <w14:textFill>
                  <w14:solidFill>
                    <w14:schemeClr w14:val="tx1"/>
                  </w14:solidFill>
                </w14:textFill>
              </w:rPr>
            </w:pPr>
            <w:r>
              <w:rPr>
                <w:rFonts w:cs="Times New Roman"/>
                <w:sz w:val="15"/>
                <w:szCs w:val="15"/>
              </w:rPr>
              <w:t>是，此项目未取消，调整募集资金投资总额</w:t>
            </w:r>
          </w:p>
        </w:tc>
        <w:tc>
          <w:tcPr>
            <w:tcW w:w="330" w:type="pct"/>
            <w:tcBorders>
              <w:top w:val="single" w:color="auto" w:sz="4" w:space="0"/>
              <w:left w:val="nil"/>
              <w:bottom w:val="single" w:color="auto" w:sz="4" w:space="0"/>
              <w:right w:val="single" w:color="auto" w:sz="4" w:space="0"/>
            </w:tcBorders>
            <w:vAlign w:val="center"/>
          </w:tcPr>
          <w:p w14:paraId="6A55AD2D">
            <w:pPr>
              <w:jc w:val="right"/>
              <w:rPr>
                <w:rFonts w:cs="Times New Roman"/>
                <w:sz w:val="15"/>
                <w:szCs w:val="15"/>
              </w:rPr>
            </w:pPr>
            <w:r>
              <w:rPr>
                <w:rFonts w:cs="Times New Roman"/>
                <w:sz w:val="15"/>
                <w:szCs w:val="15"/>
              </w:rPr>
              <w:t>5,900.00</w:t>
            </w:r>
          </w:p>
        </w:tc>
        <w:tc>
          <w:tcPr>
            <w:tcW w:w="314" w:type="pct"/>
            <w:tcBorders>
              <w:top w:val="single" w:color="auto" w:sz="4" w:space="0"/>
              <w:left w:val="single" w:color="auto" w:sz="4" w:space="0"/>
              <w:bottom w:val="single" w:color="auto" w:sz="4" w:space="0"/>
              <w:right w:val="single" w:color="auto" w:sz="4" w:space="0"/>
            </w:tcBorders>
            <w:vAlign w:val="center"/>
          </w:tcPr>
          <w:p w14:paraId="4BA70365">
            <w:pPr>
              <w:jc w:val="right"/>
              <w:rPr>
                <w:rFonts w:cs="Times New Roman"/>
                <w:sz w:val="15"/>
                <w:szCs w:val="15"/>
              </w:rPr>
            </w:pPr>
            <w:r>
              <w:rPr>
                <w:rFonts w:cs="Times New Roman"/>
                <w:sz w:val="15"/>
                <w:szCs w:val="15"/>
              </w:rPr>
              <w:t>883.26</w:t>
            </w:r>
          </w:p>
        </w:tc>
        <w:tc>
          <w:tcPr>
            <w:tcW w:w="324" w:type="pct"/>
            <w:tcBorders>
              <w:top w:val="single" w:color="auto" w:sz="4" w:space="0"/>
              <w:left w:val="single" w:color="auto" w:sz="4" w:space="0"/>
              <w:bottom w:val="single" w:color="auto" w:sz="4" w:space="0"/>
              <w:right w:val="single" w:color="auto" w:sz="4" w:space="0"/>
            </w:tcBorders>
            <w:vAlign w:val="center"/>
          </w:tcPr>
          <w:p w14:paraId="25B7FEED">
            <w:pPr>
              <w:jc w:val="right"/>
              <w:rPr>
                <w:rFonts w:cs="Times New Roman"/>
                <w:sz w:val="15"/>
                <w:szCs w:val="15"/>
              </w:rPr>
            </w:pPr>
            <w:r>
              <w:rPr>
                <w:rFonts w:cs="Times New Roman"/>
                <w:sz w:val="15"/>
                <w:szCs w:val="15"/>
              </w:rPr>
              <w:t>3,786.59</w:t>
            </w:r>
          </w:p>
        </w:tc>
        <w:tc>
          <w:tcPr>
            <w:tcW w:w="292" w:type="pct"/>
            <w:tcBorders>
              <w:top w:val="single" w:color="auto" w:sz="4" w:space="0"/>
              <w:left w:val="nil"/>
              <w:bottom w:val="single" w:color="auto" w:sz="4" w:space="0"/>
              <w:right w:val="single" w:color="auto" w:sz="4" w:space="0"/>
            </w:tcBorders>
            <w:vAlign w:val="center"/>
          </w:tcPr>
          <w:p w14:paraId="3373CFAA">
            <w:pPr>
              <w:jc w:val="right"/>
              <w:rPr>
                <w:rFonts w:cs="Times New Roman"/>
                <w:sz w:val="15"/>
                <w:szCs w:val="15"/>
              </w:rPr>
            </w:pPr>
            <w:r>
              <w:rPr>
                <w:rFonts w:cs="Times New Roman"/>
                <w:sz w:val="15"/>
                <w:szCs w:val="15"/>
              </w:rPr>
              <w:t>64.18</w:t>
            </w:r>
          </w:p>
        </w:tc>
        <w:tc>
          <w:tcPr>
            <w:tcW w:w="282" w:type="pct"/>
            <w:tcBorders>
              <w:top w:val="single" w:color="auto" w:sz="4" w:space="0"/>
              <w:left w:val="nil"/>
              <w:bottom w:val="single" w:color="auto" w:sz="4" w:space="0"/>
              <w:right w:val="single" w:color="auto" w:sz="4" w:space="0"/>
            </w:tcBorders>
            <w:vAlign w:val="center"/>
          </w:tcPr>
          <w:p w14:paraId="23854906">
            <w:pPr>
              <w:jc w:val="center"/>
              <w:rPr>
                <w:rFonts w:cs="Times New Roman"/>
                <w:bCs w:val="0"/>
                <w:sz w:val="15"/>
                <w:szCs w:val="15"/>
              </w:rPr>
            </w:pPr>
            <w:r>
              <w:rPr>
                <w:rFonts w:cs="Times New Roman"/>
                <w:sz w:val="15"/>
                <w:szCs w:val="15"/>
              </w:rPr>
              <w:t>2025年12月</w:t>
            </w:r>
          </w:p>
        </w:tc>
        <w:tc>
          <w:tcPr>
            <w:tcW w:w="239" w:type="pct"/>
            <w:tcBorders>
              <w:top w:val="single" w:color="auto" w:sz="4" w:space="0"/>
              <w:left w:val="nil"/>
              <w:bottom w:val="single" w:color="auto" w:sz="4" w:space="0"/>
              <w:right w:val="single" w:color="auto" w:sz="4" w:space="0"/>
            </w:tcBorders>
            <w:vAlign w:val="center"/>
          </w:tcPr>
          <w:p w14:paraId="41EEBDD8">
            <w:pPr>
              <w:jc w:val="cente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298" w:type="pct"/>
            <w:tcBorders>
              <w:top w:val="single" w:color="auto" w:sz="4" w:space="0"/>
              <w:left w:val="nil"/>
              <w:bottom w:val="single" w:color="auto" w:sz="4" w:space="0"/>
              <w:right w:val="single" w:color="auto" w:sz="4" w:space="0"/>
            </w:tcBorders>
            <w:vAlign w:val="center"/>
          </w:tcPr>
          <w:p w14:paraId="7C6278B3">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01AF6038">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32E38B34">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09D681C9">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17970A14">
            <w:pPr>
              <w:jc w:val="center"/>
              <w:rPr>
                <w:rFonts w:cs="Times New Roman"/>
                <w:bCs w:val="0"/>
                <w:sz w:val="15"/>
                <w:szCs w:val="15"/>
              </w:rPr>
            </w:pPr>
            <w:r>
              <w:rPr>
                <w:rFonts w:cs="Times New Roman"/>
                <w:sz w:val="15"/>
                <w:szCs w:val="15"/>
              </w:rPr>
              <w:t>否</w:t>
            </w:r>
          </w:p>
        </w:tc>
        <w:tc>
          <w:tcPr>
            <w:tcW w:w="279" w:type="pct"/>
            <w:tcBorders>
              <w:top w:val="single" w:color="auto" w:sz="4" w:space="0"/>
              <w:left w:val="nil"/>
              <w:bottom w:val="single" w:color="auto" w:sz="4" w:space="0"/>
              <w:right w:val="single" w:color="auto" w:sz="4" w:space="0"/>
            </w:tcBorders>
            <w:vAlign w:val="center"/>
          </w:tcPr>
          <w:p w14:paraId="2FFD3EDD">
            <w:pPr>
              <w:jc w:val="right"/>
              <w:rPr>
                <w:rFonts w:cs="Times New Roman"/>
                <w:bCs w:val="0"/>
                <w:sz w:val="15"/>
                <w:szCs w:val="15"/>
              </w:rPr>
            </w:pPr>
          </w:p>
        </w:tc>
      </w:tr>
      <w:tr w14:paraId="022AC547">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6D3BE1DD">
            <w:pPr>
              <w:jc w:val="center"/>
              <w:rPr>
                <w:rFonts w:cs="Times New Roman"/>
                <w:bCs w:val="0"/>
                <w:color w:val="000000" w:themeColor="text1"/>
                <w:sz w:val="15"/>
                <w:szCs w:val="15"/>
                <w14:textFill>
                  <w14:solidFill>
                    <w14:schemeClr w14:val="tx1"/>
                  </w14:solidFill>
                </w14:textFill>
              </w:rPr>
            </w:pPr>
            <w:r>
              <w:rPr>
                <w:rFonts w:cs="Times New Roman"/>
                <w:sz w:val="15"/>
                <w:szCs w:val="15"/>
              </w:rPr>
              <w:t>首次公开发行股票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210F52E5">
            <w:pPr>
              <w:jc w:val="center"/>
              <w:rPr>
                <w:rFonts w:cs="Times New Roman"/>
                <w:bCs w:val="0"/>
                <w:sz w:val="15"/>
                <w:szCs w:val="15"/>
              </w:rPr>
            </w:pPr>
            <w:r>
              <w:rPr>
                <w:rFonts w:cs="Times New Roman"/>
                <w:sz w:val="15"/>
                <w:szCs w:val="15"/>
              </w:rPr>
              <w:t>际华长春目的地中心项目一期</w:t>
            </w:r>
          </w:p>
        </w:tc>
        <w:tc>
          <w:tcPr>
            <w:tcW w:w="196" w:type="pct"/>
            <w:tcBorders>
              <w:top w:val="single" w:color="auto" w:sz="4" w:space="0"/>
              <w:left w:val="single" w:color="auto" w:sz="4" w:space="0"/>
              <w:bottom w:val="single" w:color="auto" w:sz="4" w:space="0"/>
              <w:right w:val="single" w:color="auto" w:sz="4" w:space="0"/>
            </w:tcBorders>
            <w:vAlign w:val="center"/>
          </w:tcPr>
          <w:p w14:paraId="0E5F623C">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708B157C">
            <w:pPr>
              <w:jc w:val="cente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351" w:type="pct"/>
            <w:tcBorders>
              <w:top w:val="single" w:color="auto" w:sz="4" w:space="0"/>
              <w:left w:val="single" w:color="auto" w:sz="4" w:space="0"/>
              <w:bottom w:val="single" w:color="auto" w:sz="4" w:space="0"/>
              <w:right w:val="single" w:color="auto" w:sz="4" w:space="0"/>
            </w:tcBorders>
            <w:vAlign w:val="center"/>
          </w:tcPr>
          <w:p w14:paraId="50A54714">
            <w:pPr>
              <w:rPr>
                <w:rFonts w:cs="Times New Roman"/>
                <w:bCs w:val="0"/>
                <w:color w:val="000000" w:themeColor="text1"/>
                <w:sz w:val="15"/>
                <w:szCs w:val="15"/>
                <w14:textFill>
                  <w14:solidFill>
                    <w14:schemeClr w14:val="tx1"/>
                  </w14:solidFill>
                </w14:textFill>
              </w:rPr>
            </w:pPr>
            <w:r>
              <w:rPr>
                <w:rFonts w:cs="Times New Roman"/>
                <w:sz w:val="15"/>
                <w:szCs w:val="15"/>
              </w:rPr>
              <w:t>是，此项目取消</w:t>
            </w:r>
          </w:p>
        </w:tc>
        <w:tc>
          <w:tcPr>
            <w:tcW w:w="330" w:type="pct"/>
            <w:tcBorders>
              <w:top w:val="single" w:color="auto" w:sz="4" w:space="0"/>
              <w:left w:val="nil"/>
              <w:bottom w:val="single" w:color="auto" w:sz="4" w:space="0"/>
              <w:right w:val="single" w:color="auto" w:sz="4" w:space="0"/>
            </w:tcBorders>
            <w:vAlign w:val="center"/>
          </w:tcPr>
          <w:p w14:paraId="0400AC6A">
            <w:pPr>
              <w:jc w:val="right"/>
              <w:rPr>
                <w:rFonts w:cs="Times New Roman"/>
                <w:sz w:val="15"/>
                <w:szCs w:val="15"/>
              </w:rPr>
            </w:pPr>
            <w:r>
              <w:rPr>
                <w:rFonts w:cs="Times New Roman"/>
                <w:sz w:val="15"/>
                <w:szCs w:val="15"/>
              </w:rPr>
              <w:t>70,128.42</w:t>
            </w:r>
          </w:p>
        </w:tc>
        <w:tc>
          <w:tcPr>
            <w:tcW w:w="314" w:type="pct"/>
            <w:tcBorders>
              <w:top w:val="single" w:color="auto" w:sz="4" w:space="0"/>
              <w:left w:val="single" w:color="auto" w:sz="4" w:space="0"/>
              <w:bottom w:val="single" w:color="auto" w:sz="4" w:space="0"/>
              <w:right w:val="single" w:color="auto" w:sz="4" w:space="0"/>
            </w:tcBorders>
            <w:vAlign w:val="center"/>
          </w:tcPr>
          <w:p w14:paraId="5C74DD83">
            <w:pPr>
              <w:jc w:val="right"/>
              <w:rPr>
                <w:rFonts w:cs="Times New Roman"/>
                <w:sz w:val="15"/>
                <w:szCs w:val="15"/>
              </w:rPr>
            </w:pPr>
          </w:p>
        </w:tc>
        <w:tc>
          <w:tcPr>
            <w:tcW w:w="324" w:type="pct"/>
            <w:tcBorders>
              <w:top w:val="single" w:color="auto" w:sz="4" w:space="0"/>
              <w:left w:val="single" w:color="auto" w:sz="4" w:space="0"/>
              <w:bottom w:val="single" w:color="auto" w:sz="4" w:space="0"/>
              <w:right w:val="single" w:color="auto" w:sz="4" w:space="0"/>
            </w:tcBorders>
            <w:vAlign w:val="center"/>
          </w:tcPr>
          <w:p w14:paraId="3BB4E935">
            <w:pPr>
              <w:jc w:val="right"/>
              <w:rPr>
                <w:rFonts w:cs="Times New Roman"/>
                <w:sz w:val="15"/>
                <w:szCs w:val="15"/>
              </w:rPr>
            </w:pPr>
            <w:r>
              <w:rPr>
                <w:rFonts w:cs="Times New Roman"/>
                <w:sz w:val="15"/>
                <w:szCs w:val="15"/>
              </w:rPr>
              <w:t>70,128.42</w:t>
            </w:r>
          </w:p>
        </w:tc>
        <w:tc>
          <w:tcPr>
            <w:tcW w:w="292" w:type="pct"/>
            <w:tcBorders>
              <w:top w:val="single" w:color="auto" w:sz="4" w:space="0"/>
              <w:left w:val="nil"/>
              <w:bottom w:val="single" w:color="auto" w:sz="4" w:space="0"/>
              <w:right w:val="single" w:color="auto" w:sz="4" w:space="0"/>
            </w:tcBorders>
            <w:vAlign w:val="center"/>
          </w:tcPr>
          <w:p w14:paraId="264B7A47">
            <w:pPr>
              <w:jc w:val="right"/>
              <w:rPr>
                <w:rFonts w:cs="Times New Roman"/>
                <w:sz w:val="15"/>
                <w:szCs w:val="15"/>
              </w:rPr>
            </w:pPr>
            <w:r>
              <w:rPr>
                <w:rFonts w:cs="Times New Roman"/>
                <w:sz w:val="15"/>
                <w:szCs w:val="15"/>
              </w:rPr>
              <w:t>100</w:t>
            </w:r>
          </w:p>
        </w:tc>
        <w:tc>
          <w:tcPr>
            <w:tcW w:w="282" w:type="pct"/>
            <w:tcBorders>
              <w:top w:val="single" w:color="auto" w:sz="4" w:space="0"/>
              <w:left w:val="nil"/>
              <w:bottom w:val="single" w:color="auto" w:sz="4" w:space="0"/>
              <w:right w:val="single" w:color="auto" w:sz="4" w:space="0"/>
            </w:tcBorders>
            <w:vAlign w:val="center"/>
          </w:tcPr>
          <w:p w14:paraId="126D19F7">
            <w:pPr>
              <w:jc w:val="center"/>
              <w:rPr>
                <w:rFonts w:cs="Times New Roman"/>
                <w:bCs w:val="0"/>
                <w:sz w:val="15"/>
                <w:szCs w:val="15"/>
              </w:rPr>
            </w:pPr>
            <w:r>
              <w:rPr>
                <w:rFonts w:cs="Times New Roman"/>
                <w:sz w:val="15"/>
                <w:szCs w:val="15"/>
              </w:rPr>
              <w:t>停止实施</w:t>
            </w:r>
          </w:p>
        </w:tc>
        <w:tc>
          <w:tcPr>
            <w:tcW w:w="239" w:type="pct"/>
            <w:tcBorders>
              <w:top w:val="single" w:color="auto" w:sz="4" w:space="0"/>
              <w:left w:val="nil"/>
              <w:bottom w:val="single" w:color="auto" w:sz="4" w:space="0"/>
              <w:right w:val="single" w:color="auto" w:sz="4" w:space="0"/>
            </w:tcBorders>
            <w:vAlign w:val="center"/>
          </w:tcPr>
          <w:p w14:paraId="5AA4C6D7">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98" w:type="pct"/>
            <w:tcBorders>
              <w:top w:val="single" w:color="auto" w:sz="4" w:space="0"/>
              <w:left w:val="nil"/>
              <w:bottom w:val="single" w:color="auto" w:sz="4" w:space="0"/>
              <w:right w:val="single" w:color="auto" w:sz="4" w:space="0"/>
            </w:tcBorders>
            <w:vAlign w:val="center"/>
          </w:tcPr>
          <w:p w14:paraId="4F5C564E">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2C2109AC">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561A6DC2">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0EF2D1ED">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0F074902">
            <w:pPr>
              <w:jc w:val="center"/>
              <w:rPr>
                <w:rFonts w:cs="Times New Roman"/>
                <w:bCs w:val="0"/>
                <w:sz w:val="15"/>
                <w:szCs w:val="15"/>
              </w:rPr>
            </w:pPr>
            <w:r>
              <w:rPr>
                <w:rFonts w:cs="Times New Roman"/>
                <w:sz w:val="15"/>
                <w:szCs w:val="15"/>
              </w:rPr>
              <w:t>是</w:t>
            </w:r>
          </w:p>
        </w:tc>
        <w:tc>
          <w:tcPr>
            <w:tcW w:w="279" w:type="pct"/>
            <w:tcBorders>
              <w:top w:val="single" w:color="auto" w:sz="4" w:space="0"/>
              <w:left w:val="nil"/>
              <w:bottom w:val="single" w:color="auto" w:sz="4" w:space="0"/>
              <w:right w:val="single" w:color="auto" w:sz="4" w:space="0"/>
            </w:tcBorders>
            <w:vAlign w:val="center"/>
          </w:tcPr>
          <w:p w14:paraId="07EBAB4E">
            <w:pPr>
              <w:jc w:val="right"/>
              <w:rPr>
                <w:rFonts w:cs="Times New Roman"/>
                <w:bCs w:val="0"/>
                <w:sz w:val="15"/>
                <w:szCs w:val="15"/>
              </w:rPr>
            </w:pPr>
          </w:p>
        </w:tc>
      </w:tr>
      <w:tr w14:paraId="1A341535">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1DE1B2FD">
            <w:pPr>
              <w:jc w:val="center"/>
              <w:rPr>
                <w:rFonts w:cs="Times New Roman"/>
                <w:bCs w:val="0"/>
                <w:color w:val="000000" w:themeColor="text1"/>
                <w:sz w:val="15"/>
                <w:szCs w:val="15"/>
                <w14:textFill>
                  <w14:solidFill>
                    <w14:schemeClr w14:val="tx1"/>
                  </w14:solidFill>
                </w14:textFill>
              </w:rPr>
            </w:pPr>
            <w:r>
              <w:rPr>
                <w:rFonts w:cs="Times New Roman"/>
                <w:sz w:val="15"/>
                <w:szCs w:val="15"/>
              </w:rPr>
              <w:t>首次公开发行股票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4209C5E7">
            <w:pPr>
              <w:jc w:val="center"/>
              <w:rPr>
                <w:rFonts w:cs="Times New Roman"/>
                <w:bCs w:val="0"/>
                <w:sz w:val="15"/>
                <w:szCs w:val="15"/>
              </w:rPr>
            </w:pPr>
            <w:r>
              <w:rPr>
                <w:rFonts w:cs="Times New Roman"/>
                <w:sz w:val="15"/>
                <w:szCs w:val="15"/>
              </w:rPr>
              <w:t>际华重庆目的地中心项目一期</w:t>
            </w:r>
          </w:p>
        </w:tc>
        <w:tc>
          <w:tcPr>
            <w:tcW w:w="196" w:type="pct"/>
            <w:tcBorders>
              <w:top w:val="single" w:color="auto" w:sz="4" w:space="0"/>
              <w:left w:val="single" w:color="auto" w:sz="4" w:space="0"/>
              <w:bottom w:val="single" w:color="auto" w:sz="4" w:space="0"/>
              <w:right w:val="single" w:color="auto" w:sz="4" w:space="0"/>
            </w:tcBorders>
            <w:vAlign w:val="center"/>
          </w:tcPr>
          <w:p w14:paraId="471BC576">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25756526">
            <w:pPr>
              <w:jc w:val="cente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351" w:type="pct"/>
            <w:tcBorders>
              <w:top w:val="single" w:color="auto" w:sz="4" w:space="0"/>
              <w:left w:val="single" w:color="auto" w:sz="4" w:space="0"/>
              <w:bottom w:val="single" w:color="auto" w:sz="4" w:space="0"/>
              <w:right w:val="single" w:color="auto" w:sz="4" w:space="0"/>
            </w:tcBorders>
            <w:vAlign w:val="center"/>
          </w:tcPr>
          <w:p w14:paraId="7357F7AF">
            <w:pPr>
              <w:rPr>
                <w:rFonts w:cs="Times New Roman"/>
                <w:bCs w:val="0"/>
                <w:color w:val="000000" w:themeColor="text1"/>
                <w:sz w:val="15"/>
                <w:szCs w:val="15"/>
                <w14:textFill>
                  <w14:solidFill>
                    <w14:schemeClr w14:val="tx1"/>
                  </w14:solidFill>
                </w14:textFill>
              </w:rPr>
            </w:pPr>
            <w:r>
              <w:rPr>
                <w:rFonts w:cs="Times New Roman"/>
                <w:sz w:val="15"/>
                <w:szCs w:val="15"/>
              </w:rPr>
              <w:t>是，此项目为新项目</w:t>
            </w:r>
          </w:p>
        </w:tc>
        <w:tc>
          <w:tcPr>
            <w:tcW w:w="330" w:type="pct"/>
            <w:tcBorders>
              <w:top w:val="single" w:color="auto" w:sz="4" w:space="0"/>
              <w:left w:val="nil"/>
              <w:bottom w:val="single" w:color="auto" w:sz="4" w:space="0"/>
              <w:right w:val="single" w:color="auto" w:sz="4" w:space="0"/>
            </w:tcBorders>
            <w:vAlign w:val="center"/>
          </w:tcPr>
          <w:p w14:paraId="3FF794A1">
            <w:pPr>
              <w:jc w:val="right"/>
              <w:rPr>
                <w:rFonts w:cs="Times New Roman"/>
                <w:sz w:val="15"/>
                <w:szCs w:val="15"/>
              </w:rPr>
            </w:pPr>
            <w:r>
              <w:rPr>
                <w:rFonts w:cs="Times New Roman"/>
                <w:sz w:val="15"/>
                <w:szCs w:val="15"/>
              </w:rPr>
              <w:t>70,000.00</w:t>
            </w:r>
          </w:p>
        </w:tc>
        <w:tc>
          <w:tcPr>
            <w:tcW w:w="314" w:type="pct"/>
            <w:tcBorders>
              <w:top w:val="single" w:color="auto" w:sz="4" w:space="0"/>
              <w:left w:val="single" w:color="auto" w:sz="4" w:space="0"/>
              <w:bottom w:val="single" w:color="auto" w:sz="4" w:space="0"/>
              <w:right w:val="single" w:color="auto" w:sz="4" w:space="0"/>
            </w:tcBorders>
            <w:vAlign w:val="center"/>
          </w:tcPr>
          <w:p w14:paraId="1EF2D91E">
            <w:pPr>
              <w:jc w:val="right"/>
              <w:rPr>
                <w:rFonts w:cs="Times New Roman"/>
                <w:sz w:val="15"/>
                <w:szCs w:val="15"/>
              </w:rPr>
            </w:pPr>
          </w:p>
        </w:tc>
        <w:tc>
          <w:tcPr>
            <w:tcW w:w="324" w:type="pct"/>
            <w:tcBorders>
              <w:top w:val="single" w:color="auto" w:sz="4" w:space="0"/>
              <w:left w:val="single" w:color="auto" w:sz="4" w:space="0"/>
              <w:bottom w:val="single" w:color="auto" w:sz="4" w:space="0"/>
              <w:right w:val="single" w:color="auto" w:sz="4" w:space="0"/>
            </w:tcBorders>
            <w:vAlign w:val="center"/>
          </w:tcPr>
          <w:p w14:paraId="1C7E49F1">
            <w:pPr>
              <w:jc w:val="right"/>
              <w:rPr>
                <w:rFonts w:cs="Times New Roman"/>
                <w:sz w:val="15"/>
                <w:szCs w:val="15"/>
              </w:rPr>
            </w:pPr>
            <w:r>
              <w:rPr>
                <w:rFonts w:cs="Times New Roman"/>
                <w:sz w:val="15"/>
                <w:szCs w:val="15"/>
              </w:rPr>
              <w:t>70,000.00</w:t>
            </w:r>
          </w:p>
        </w:tc>
        <w:tc>
          <w:tcPr>
            <w:tcW w:w="292" w:type="pct"/>
            <w:tcBorders>
              <w:top w:val="single" w:color="auto" w:sz="4" w:space="0"/>
              <w:left w:val="nil"/>
              <w:bottom w:val="single" w:color="auto" w:sz="4" w:space="0"/>
              <w:right w:val="single" w:color="auto" w:sz="4" w:space="0"/>
            </w:tcBorders>
            <w:vAlign w:val="center"/>
          </w:tcPr>
          <w:p w14:paraId="75AEA049">
            <w:pPr>
              <w:jc w:val="right"/>
              <w:rPr>
                <w:rFonts w:cs="Times New Roman"/>
                <w:sz w:val="15"/>
                <w:szCs w:val="15"/>
              </w:rPr>
            </w:pPr>
            <w:r>
              <w:rPr>
                <w:rFonts w:cs="Times New Roman"/>
                <w:sz w:val="15"/>
                <w:szCs w:val="15"/>
              </w:rPr>
              <w:t>100</w:t>
            </w:r>
          </w:p>
        </w:tc>
        <w:tc>
          <w:tcPr>
            <w:tcW w:w="282" w:type="pct"/>
            <w:tcBorders>
              <w:top w:val="single" w:color="auto" w:sz="4" w:space="0"/>
              <w:left w:val="nil"/>
              <w:bottom w:val="single" w:color="auto" w:sz="4" w:space="0"/>
              <w:right w:val="single" w:color="auto" w:sz="4" w:space="0"/>
            </w:tcBorders>
            <w:vAlign w:val="center"/>
          </w:tcPr>
          <w:p w14:paraId="31F8713C">
            <w:pPr>
              <w:jc w:val="center"/>
              <w:rPr>
                <w:rFonts w:cs="Times New Roman"/>
                <w:bCs w:val="0"/>
                <w:sz w:val="15"/>
                <w:szCs w:val="15"/>
              </w:rPr>
            </w:pPr>
            <w:r>
              <w:rPr>
                <w:rFonts w:cs="Times New Roman"/>
                <w:sz w:val="15"/>
                <w:szCs w:val="15"/>
              </w:rPr>
              <w:t>2018年12月</w:t>
            </w:r>
          </w:p>
        </w:tc>
        <w:tc>
          <w:tcPr>
            <w:tcW w:w="239" w:type="pct"/>
            <w:tcBorders>
              <w:top w:val="single" w:color="auto" w:sz="4" w:space="0"/>
              <w:left w:val="nil"/>
              <w:bottom w:val="single" w:color="auto" w:sz="4" w:space="0"/>
              <w:right w:val="single" w:color="auto" w:sz="4" w:space="0"/>
            </w:tcBorders>
            <w:vAlign w:val="center"/>
          </w:tcPr>
          <w:p w14:paraId="5B2C8E82">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98" w:type="pct"/>
            <w:tcBorders>
              <w:top w:val="single" w:color="auto" w:sz="4" w:space="0"/>
              <w:left w:val="nil"/>
              <w:bottom w:val="single" w:color="auto" w:sz="4" w:space="0"/>
              <w:right w:val="single" w:color="auto" w:sz="4" w:space="0"/>
            </w:tcBorders>
            <w:vAlign w:val="center"/>
          </w:tcPr>
          <w:p w14:paraId="63E06033">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5BA7833C">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1CBA1674">
            <w:pPr>
              <w:jc w:val="right"/>
              <w:rPr>
                <w:rFonts w:cs="Times New Roman"/>
                <w:bCs w:val="0"/>
                <w:sz w:val="15"/>
                <w:szCs w:val="15"/>
              </w:rPr>
            </w:pPr>
            <w:r>
              <w:rPr>
                <w:rFonts w:cs="Times New Roman"/>
                <w:sz w:val="15"/>
                <w:szCs w:val="15"/>
              </w:rPr>
              <w:t>-1,523.14</w:t>
            </w:r>
          </w:p>
        </w:tc>
        <w:tc>
          <w:tcPr>
            <w:tcW w:w="323" w:type="pct"/>
            <w:tcBorders>
              <w:top w:val="single" w:color="auto" w:sz="4" w:space="0"/>
              <w:left w:val="single" w:color="auto" w:sz="4" w:space="0"/>
              <w:bottom w:val="single" w:color="auto" w:sz="4" w:space="0"/>
              <w:right w:val="single" w:color="auto" w:sz="4" w:space="0"/>
            </w:tcBorders>
            <w:vAlign w:val="center"/>
          </w:tcPr>
          <w:p w14:paraId="50DDA9B8">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54F8C428">
            <w:pPr>
              <w:jc w:val="center"/>
              <w:rPr>
                <w:rFonts w:cs="Times New Roman"/>
                <w:bCs w:val="0"/>
                <w:sz w:val="15"/>
                <w:szCs w:val="15"/>
              </w:rPr>
            </w:pPr>
            <w:r>
              <w:rPr>
                <w:rFonts w:cs="Times New Roman"/>
                <w:sz w:val="15"/>
                <w:szCs w:val="15"/>
              </w:rPr>
              <w:t>否</w:t>
            </w:r>
          </w:p>
        </w:tc>
        <w:tc>
          <w:tcPr>
            <w:tcW w:w="279" w:type="pct"/>
            <w:tcBorders>
              <w:top w:val="single" w:color="auto" w:sz="4" w:space="0"/>
              <w:left w:val="nil"/>
              <w:bottom w:val="single" w:color="auto" w:sz="4" w:space="0"/>
              <w:right w:val="single" w:color="auto" w:sz="4" w:space="0"/>
            </w:tcBorders>
            <w:vAlign w:val="center"/>
          </w:tcPr>
          <w:p w14:paraId="496CA681">
            <w:pPr>
              <w:jc w:val="right"/>
              <w:rPr>
                <w:rFonts w:cs="Times New Roman"/>
                <w:bCs w:val="0"/>
                <w:sz w:val="15"/>
                <w:szCs w:val="15"/>
              </w:rPr>
            </w:pPr>
          </w:p>
        </w:tc>
      </w:tr>
      <w:tr w14:paraId="4ECDE6A7">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77C74FA6">
            <w:pPr>
              <w:jc w:val="center"/>
              <w:rPr>
                <w:rFonts w:cs="Times New Roman"/>
                <w:bCs w:val="0"/>
                <w:color w:val="000000" w:themeColor="text1"/>
                <w:sz w:val="15"/>
                <w:szCs w:val="15"/>
                <w14:textFill>
                  <w14:solidFill>
                    <w14:schemeClr w14:val="tx1"/>
                  </w14:solidFill>
                </w14:textFill>
              </w:rPr>
            </w:pPr>
            <w:r>
              <w:rPr>
                <w:rFonts w:cs="Times New Roman"/>
                <w:sz w:val="15"/>
                <w:szCs w:val="15"/>
              </w:rPr>
              <w:t>首次公开发行股票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3C6F99D4">
            <w:pPr>
              <w:jc w:val="center"/>
              <w:rPr>
                <w:rFonts w:cs="Times New Roman"/>
                <w:bCs w:val="0"/>
                <w:sz w:val="15"/>
                <w:szCs w:val="15"/>
              </w:rPr>
            </w:pPr>
            <w:r>
              <w:rPr>
                <w:rFonts w:cs="Times New Roman"/>
                <w:sz w:val="15"/>
                <w:szCs w:val="15"/>
              </w:rPr>
              <w:t>补充流动资金</w:t>
            </w:r>
          </w:p>
        </w:tc>
        <w:tc>
          <w:tcPr>
            <w:tcW w:w="196" w:type="pct"/>
            <w:tcBorders>
              <w:top w:val="single" w:color="auto" w:sz="4" w:space="0"/>
              <w:left w:val="single" w:color="auto" w:sz="4" w:space="0"/>
              <w:bottom w:val="single" w:color="auto" w:sz="4" w:space="0"/>
              <w:right w:val="single" w:color="auto" w:sz="4" w:space="0"/>
            </w:tcBorders>
            <w:vAlign w:val="center"/>
          </w:tcPr>
          <w:p w14:paraId="021079DF">
            <w:pPr>
              <w:rPr>
                <w:rFonts w:cs="Times New Roman"/>
                <w:bCs w:val="0"/>
                <w:color w:val="000000" w:themeColor="text1"/>
                <w:sz w:val="15"/>
                <w:szCs w:val="15"/>
                <w14:textFill>
                  <w14:solidFill>
                    <w14:schemeClr w14:val="tx1"/>
                  </w14:solidFill>
                </w14:textFill>
              </w:rPr>
            </w:pPr>
            <w:r>
              <w:rPr>
                <w:rFonts w:cs="Times New Roman"/>
                <w:sz w:val="15"/>
                <w:szCs w:val="15"/>
              </w:rPr>
              <w:t>补流还贷</w:t>
            </w:r>
          </w:p>
        </w:tc>
        <w:tc>
          <w:tcPr>
            <w:tcW w:w="298" w:type="pct"/>
            <w:tcBorders>
              <w:top w:val="single" w:color="auto" w:sz="4" w:space="0"/>
              <w:left w:val="single" w:color="auto" w:sz="4" w:space="0"/>
              <w:bottom w:val="single" w:color="auto" w:sz="4" w:space="0"/>
              <w:right w:val="single" w:color="auto" w:sz="4" w:space="0"/>
            </w:tcBorders>
            <w:vAlign w:val="center"/>
          </w:tcPr>
          <w:p w14:paraId="257CF4A5">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351" w:type="pct"/>
            <w:tcBorders>
              <w:top w:val="single" w:color="auto" w:sz="4" w:space="0"/>
              <w:left w:val="single" w:color="auto" w:sz="4" w:space="0"/>
              <w:bottom w:val="single" w:color="auto" w:sz="4" w:space="0"/>
              <w:right w:val="single" w:color="auto" w:sz="4" w:space="0"/>
            </w:tcBorders>
            <w:vAlign w:val="center"/>
          </w:tcPr>
          <w:p w14:paraId="1E9E9BF0">
            <w:pP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330" w:type="pct"/>
            <w:tcBorders>
              <w:top w:val="single" w:color="auto" w:sz="4" w:space="0"/>
              <w:left w:val="nil"/>
              <w:bottom w:val="single" w:color="auto" w:sz="4" w:space="0"/>
              <w:right w:val="single" w:color="auto" w:sz="4" w:space="0"/>
            </w:tcBorders>
            <w:vAlign w:val="center"/>
          </w:tcPr>
          <w:p w14:paraId="089E293C">
            <w:pPr>
              <w:jc w:val="right"/>
              <w:rPr>
                <w:rFonts w:cs="Times New Roman"/>
                <w:sz w:val="15"/>
                <w:szCs w:val="15"/>
              </w:rPr>
            </w:pPr>
            <w:r>
              <w:rPr>
                <w:rFonts w:cs="Times New Roman"/>
                <w:sz w:val="15"/>
                <w:szCs w:val="15"/>
              </w:rPr>
              <w:t>115,147.42</w:t>
            </w:r>
          </w:p>
        </w:tc>
        <w:tc>
          <w:tcPr>
            <w:tcW w:w="314" w:type="pct"/>
            <w:tcBorders>
              <w:top w:val="single" w:color="auto" w:sz="4" w:space="0"/>
              <w:left w:val="single" w:color="auto" w:sz="4" w:space="0"/>
              <w:bottom w:val="single" w:color="auto" w:sz="4" w:space="0"/>
              <w:right w:val="single" w:color="auto" w:sz="4" w:space="0"/>
            </w:tcBorders>
            <w:vAlign w:val="center"/>
          </w:tcPr>
          <w:p w14:paraId="57F46FE2">
            <w:pPr>
              <w:jc w:val="right"/>
              <w:rPr>
                <w:rFonts w:cs="Times New Roman"/>
                <w:sz w:val="15"/>
                <w:szCs w:val="15"/>
              </w:rPr>
            </w:pPr>
          </w:p>
        </w:tc>
        <w:tc>
          <w:tcPr>
            <w:tcW w:w="324" w:type="pct"/>
            <w:tcBorders>
              <w:top w:val="single" w:color="auto" w:sz="4" w:space="0"/>
              <w:left w:val="single" w:color="auto" w:sz="4" w:space="0"/>
              <w:bottom w:val="single" w:color="auto" w:sz="4" w:space="0"/>
              <w:right w:val="single" w:color="auto" w:sz="4" w:space="0"/>
            </w:tcBorders>
            <w:vAlign w:val="center"/>
          </w:tcPr>
          <w:p w14:paraId="56636B4B">
            <w:pPr>
              <w:jc w:val="right"/>
              <w:rPr>
                <w:rFonts w:cs="Times New Roman"/>
                <w:sz w:val="15"/>
                <w:szCs w:val="15"/>
              </w:rPr>
            </w:pPr>
            <w:r>
              <w:rPr>
                <w:rFonts w:cs="Times New Roman"/>
                <w:sz w:val="15"/>
                <w:szCs w:val="15"/>
              </w:rPr>
              <w:t>115,147.42</w:t>
            </w:r>
          </w:p>
        </w:tc>
        <w:tc>
          <w:tcPr>
            <w:tcW w:w="292" w:type="pct"/>
            <w:tcBorders>
              <w:top w:val="single" w:color="auto" w:sz="4" w:space="0"/>
              <w:left w:val="nil"/>
              <w:bottom w:val="single" w:color="auto" w:sz="4" w:space="0"/>
              <w:right w:val="single" w:color="auto" w:sz="4" w:space="0"/>
            </w:tcBorders>
            <w:vAlign w:val="center"/>
          </w:tcPr>
          <w:p w14:paraId="0065732D">
            <w:pPr>
              <w:jc w:val="right"/>
              <w:rPr>
                <w:rFonts w:cs="Times New Roman"/>
                <w:sz w:val="15"/>
                <w:szCs w:val="15"/>
              </w:rPr>
            </w:pPr>
            <w:r>
              <w:rPr>
                <w:rFonts w:cs="Times New Roman"/>
                <w:sz w:val="15"/>
                <w:szCs w:val="15"/>
              </w:rPr>
              <w:t>100</w:t>
            </w:r>
          </w:p>
        </w:tc>
        <w:tc>
          <w:tcPr>
            <w:tcW w:w="282" w:type="pct"/>
            <w:tcBorders>
              <w:top w:val="single" w:color="auto" w:sz="4" w:space="0"/>
              <w:left w:val="nil"/>
              <w:bottom w:val="single" w:color="auto" w:sz="4" w:space="0"/>
              <w:right w:val="single" w:color="auto" w:sz="4" w:space="0"/>
            </w:tcBorders>
            <w:vAlign w:val="center"/>
          </w:tcPr>
          <w:p w14:paraId="18494680">
            <w:pPr>
              <w:jc w:val="center"/>
              <w:rPr>
                <w:rFonts w:cs="Times New Roman"/>
                <w:bCs w:val="0"/>
                <w:sz w:val="15"/>
                <w:szCs w:val="15"/>
              </w:rPr>
            </w:pPr>
            <w:r>
              <w:rPr>
                <w:rFonts w:cs="Times New Roman"/>
                <w:sz w:val="15"/>
                <w:szCs w:val="15"/>
              </w:rPr>
              <w:t>不适用</w:t>
            </w:r>
          </w:p>
        </w:tc>
        <w:tc>
          <w:tcPr>
            <w:tcW w:w="239" w:type="pct"/>
            <w:tcBorders>
              <w:top w:val="single" w:color="auto" w:sz="4" w:space="0"/>
              <w:left w:val="nil"/>
              <w:bottom w:val="single" w:color="auto" w:sz="4" w:space="0"/>
              <w:right w:val="single" w:color="auto" w:sz="4" w:space="0"/>
            </w:tcBorders>
            <w:vAlign w:val="center"/>
          </w:tcPr>
          <w:p w14:paraId="27FF534B">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98" w:type="pct"/>
            <w:tcBorders>
              <w:top w:val="single" w:color="auto" w:sz="4" w:space="0"/>
              <w:left w:val="nil"/>
              <w:bottom w:val="single" w:color="auto" w:sz="4" w:space="0"/>
              <w:right w:val="single" w:color="auto" w:sz="4" w:space="0"/>
            </w:tcBorders>
            <w:vAlign w:val="center"/>
          </w:tcPr>
          <w:p w14:paraId="6A8A1FB2">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5E8A893F">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2165427F">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3BA2F9AD">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47CE8CDB">
            <w:pPr>
              <w:jc w:val="center"/>
              <w:rPr>
                <w:rFonts w:cs="Times New Roman"/>
                <w:bCs w:val="0"/>
                <w:sz w:val="15"/>
                <w:szCs w:val="15"/>
              </w:rPr>
            </w:pPr>
            <w:r>
              <w:rPr>
                <w:rFonts w:cs="Times New Roman"/>
                <w:sz w:val="15"/>
                <w:szCs w:val="15"/>
              </w:rPr>
              <w:t>否</w:t>
            </w:r>
          </w:p>
        </w:tc>
        <w:tc>
          <w:tcPr>
            <w:tcW w:w="279" w:type="pct"/>
            <w:tcBorders>
              <w:top w:val="single" w:color="auto" w:sz="4" w:space="0"/>
              <w:left w:val="nil"/>
              <w:bottom w:val="single" w:color="auto" w:sz="4" w:space="0"/>
              <w:right w:val="single" w:color="auto" w:sz="4" w:space="0"/>
            </w:tcBorders>
            <w:vAlign w:val="center"/>
          </w:tcPr>
          <w:p w14:paraId="0B30C85E">
            <w:pPr>
              <w:jc w:val="right"/>
              <w:rPr>
                <w:rFonts w:cs="Times New Roman"/>
                <w:bCs w:val="0"/>
                <w:sz w:val="15"/>
                <w:szCs w:val="15"/>
              </w:rPr>
            </w:pPr>
          </w:p>
        </w:tc>
      </w:tr>
      <w:tr w14:paraId="466CF3BC">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4A196714">
            <w:pPr>
              <w:jc w:val="center"/>
              <w:rPr>
                <w:rFonts w:cs="Times New Roman"/>
                <w:bCs w:val="0"/>
                <w:color w:val="000000" w:themeColor="text1"/>
                <w:sz w:val="15"/>
                <w:szCs w:val="15"/>
                <w14:textFill>
                  <w14:solidFill>
                    <w14:schemeClr w14:val="tx1"/>
                  </w14:solidFill>
                </w14:textFill>
              </w:rPr>
            </w:pPr>
            <w:r>
              <w:rPr>
                <w:rFonts w:cs="Times New Roman"/>
                <w:sz w:val="15"/>
                <w:szCs w:val="15"/>
              </w:rPr>
              <w:t>首次公开发行股票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0F35C1FE">
            <w:pPr>
              <w:jc w:val="center"/>
              <w:rPr>
                <w:rFonts w:cs="Times New Roman"/>
                <w:bCs w:val="0"/>
                <w:sz w:val="15"/>
                <w:szCs w:val="15"/>
              </w:rPr>
            </w:pPr>
            <w:r>
              <w:rPr>
                <w:rFonts w:cs="Times New Roman"/>
                <w:sz w:val="15"/>
                <w:szCs w:val="15"/>
              </w:rPr>
              <w:t>3542公司搬迁建设功能性面料、家纺制品项目</w:t>
            </w:r>
          </w:p>
        </w:tc>
        <w:tc>
          <w:tcPr>
            <w:tcW w:w="196" w:type="pct"/>
            <w:tcBorders>
              <w:top w:val="single" w:color="auto" w:sz="4" w:space="0"/>
              <w:left w:val="single" w:color="auto" w:sz="4" w:space="0"/>
              <w:bottom w:val="single" w:color="auto" w:sz="4" w:space="0"/>
              <w:right w:val="single" w:color="auto" w:sz="4" w:space="0"/>
            </w:tcBorders>
            <w:vAlign w:val="center"/>
          </w:tcPr>
          <w:p w14:paraId="78CDBD1A">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661DF7BF">
            <w:pPr>
              <w:jc w:val="cente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351" w:type="pct"/>
            <w:tcBorders>
              <w:top w:val="single" w:color="auto" w:sz="4" w:space="0"/>
              <w:left w:val="single" w:color="auto" w:sz="4" w:space="0"/>
              <w:bottom w:val="single" w:color="auto" w:sz="4" w:space="0"/>
              <w:right w:val="single" w:color="auto" w:sz="4" w:space="0"/>
            </w:tcBorders>
            <w:vAlign w:val="center"/>
          </w:tcPr>
          <w:p w14:paraId="64112000">
            <w:pPr>
              <w:rPr>
                <w:rFonts w:cs="Times New Roman"/>
                <w:bCs w:val="0"/>
                <w:color w:val="000000" w:themeColor="text1"/>
                <w:sz w:val="15"/>
                <w:szCs w:val="15"/>
                <w14:textFill>
                  <w14:solidFill>
                    <w14:schemeClr w14:val="tx1"/>
                  </w14:solidFill>
                </w14:textFill>
              </w:rPr>
            </w:pPr>
            <w:r>
              <w:rPr>
                <w:rFonts w:cs="Times New Roman"/>
                <w:sz w:val="15"/>
                <w:szCs w:val="15"/>
              </w:rPr>
              <w:t>是，此项目为新项目</w:t>
            </w:r>
          </w:p>
        </w:tc>
        <w:tc>
          <w:tcPr>
            <w:tcW w:w="330" w:type="pct"/>
            <w:tcBorders>
              <w:top w:val="single" w:color="auto" w:sz="4" w:space="0"/>
              <w:left w:val="nil"/>
              <w:bottom w:val="single" w:color="auto" w:sz="4" w:space="0"/>
              <w:right w:val="single" w:color="auto" w:sz="4" w:space="0"/>
            </w:tcBorders>
            <w:vAlign w:val="center"/>
          </w:tcPr>
          <w:p w14:paraId="7E4ECDEB">
            <w:pPr>
              <w:jc w:val="right"/>
              <w:rPr>
                <w:rFonts w:cs="Times New Roman"/>
                <w:sz w:val="15"/>
                <w:szCs w:val="15"/>
              </w:rPr>
            </w:pPr>
            <w:r>
              <w:rPr>
                <w:rFonts w:cs="Times New Roman"/>
                <w:sz w:val="15"/>
                <w:szCs w:val="15"/>
              </w:rPr>
              <w:t>24,557.85</w:t>
            </w:r>
          </w:p>
        </w:tc>
        <w:tc>
          <w:tcPr>
            <w:tcW w:w="314" w:type="pct"/>
            <w:tcBorders>
              <w:top w:val="single" w:color="auto" w:sz="4" w:space="0"/>
              <w:left w:val="single" w:color="auto" w:sz="4" w:space="0"/>
              <w:bottom w:val="single" w:color="auto" w:sz="4" w:space="0"/>
              <w:right w:val="single" w:color="auto" w:sz="4" w:space="0"/>
            </w:tcBorders>
            <w:vAlign w:val="center"/>
          </w:tcPr>
          <w:p w14:paraId="6515B7F2">
            <w:pPr>
              <w:jc w:val="right"/>
              <w:rPr>
                <w:rFonts w:cs="Times New Roman"/>
                <w:sz w:val="15"/>
                <w:szCs w:val="15"/>
              </w:rPr>
            </w:pPr>
            <w:r>
              <w:rPr>
                <w:rFonts w:cs="Times New Roman"/>
                <w:sz w:val="15"/>
                <w:szCs w:val="15"/>
              </w:rPr>
              <w:t>34.47</w:t>
            </w:r>
          </w:p>
        </w:tc>
        <w:tc>
          <w:tcPr>
            <w:tcW w:w="324" w:type="pct"/>
            <w:tcBorders>
              <w:top w:val="single" w:color="auto" w:sz="4" w:space="0"/>
              <w:left w:val="single" w:color="auto" w:sz="4" w:space="0"/>
              <w:bottom w:val="single" w:color="auto" w:sz="4" w:space="0"/>
              <w:right w:val="single" w:color="auto" w:sz="4" w:space="0"/>
            </w:tcBorders>
            <w:vAlign w:val="center"/>
          </w:tcPr>
          <w:p w14:paraId="6BD210AB">
            <w:pPr>
              <w:jc w:val="right"/>
              <w:rPr>
                <w:rFonts w:cs="Times New Roman"/>
                <w:sz w:val="15"/>
                <w:szCs w:val="15"/>
              </w:rPr>
            </w:pPr>
            <w:r>
              <w:rPr>
                <w:rFonts w:cs="Times New Roman"/>
                <w:sz w:val="15"/>
                <w:szCs w:val="15"/>
              </w:rPr>
              <w:t>23,273.87</w:t>
            </w:r>
          </w:p>
        </w:tc>
        <w:tc>
          <w:tcPr>
            <w:tcW w:w="292" w:type="pct"/>
            <w:tcBorders>
              <w:top w:val="single" w:color="auto" w:sz="4" w:space="0"/>
              <w:left w:val="nil"/>
              <w:bottom w:val="single" w:color="auto" w:sz="4" w:space="0"/>
              <w:right w:val="single" w:color="auto" w:sz="4" w:space="0"/>
            </w:tcBorders>
            <w:vAlign w:val="center"/>
          </w:tcPr>
          <w:p w14:paraId="21220D68">
            <w:pPr>
              <w:jc w:val="right"/>
              <w:rPr>
                <w:rFonts w:cs="Times New Roman"/>
                <w:sz w:val="15"/>
                <w:szCs w:val="15"/>
              </w:rPr>
            </w:pPr>
            <w:r>
              <w:rPr>
                <w:rFonts w:cs="Times New Roman"/>
                <w:sz w:val="15"/>
                <w:szCs w:val="15"/>
              </w:rPr>
              <w:t>94.77</w:t>
            </w:r>
          </w:p>
        </w:tc>
        <w:tc>
          <w:tcPr>
            <w:tcW w:w="282" w:type="pct"/>
            <w:tcBorders>
              <w:top w:val="single" w:color="auto" w:sz="4" w:space="0"/>
              <w:left w:val="nil"/>
              <w:bottom w:val="single" w:color="auto" w:sz="4" w:space="0"/>
              <w:right w:val="single" w:color="auto" w:sz="4" w:space="0"/>
            </w:tcBorders>
            <w:vAlign w:val="center"/>
          </w:tcPr>
          <w:p w14:paraId="4E692555">
            <w:pPr>
              <w:jc w:val="center"/>
              <w:rPr>
                <w:rFonts w:cs="Times New Roman"/>
                <w:bCs w:val="0"/>
                <w:sz w:val="15"/>
                <w:szCs w:val="15"/>
              </w:rPr>
            </w:pPr>
            <w:r>
              <w:rPr>
                <w:rFonts w:cs="Times New Roman"/>
                <w:sz w:val="15"/>
                <w:szCs w:val="15"/>
              </w:rPr>
              <w:t>2022年7月</w:t>
            </w:r>
          </w:p>
        </w:tc>
        <w:tc>
          <w:tcPr>
            <w:tcW w:w="239" w:type="pct"/>
            <w:tcBorders>
              <w:top w:val="single" w:color="auto" w:sz="4" w:space="0"/>
              <w:left w:val="nil"/>
              <w:bottom w:val="single" w:color="auto" w:sz="4" w:space="0"/>
              <w:right w:val="single" w:color="auto" w:sz="4" w:space="0"/>
            </w:tcBorders>
            <w:vAlign w:val="center"/>
          </w:tcPr>
          <w:p w14:paraId="6B7139B1">
            <w:pPr>
              <w:jc w:val="cente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298" w:type="pct"/>
            <w:tcBorders>
              <w:top w:val="single" w:color="auto" w:sz="4" w:space="0"/>
              <w:left w:val="nil"/>
              <w:bottom w:val="single" w:color="auto" w:sz="4" w:space="0"/>
              <w:right w:val="single" w:color="auto" w:sz="4" w:space="0"/>
            </w:tcBorders>
            <w:vAlign w:val="center"/>
          </w:tcPr>
          <w:p w14:paraId="006C657A">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1FC291E9">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02E880BF">
            <w:pPr>
              <w:jc w:val="right"/>
              <w:rPr>
                <w:rFonts w:cs="Times New Roman"/>
                <w:bCs w:val="0"/>
                <w:sz w:val="15"/>
                <w:szCs w:val="15"/>
              </w:rPr>
            </w:pPr>
            <w:r>
              <w:rPr>
                <w:rFonts w:cs="Times New Roman"/>
                <w:sz w:val="15"/>
                <w:szCs w:val="15"/>
              </w:rPr>
              <w:t>-1,883.53</w:t>
            </w:r>
          </w:p>
        </w:tc>
        <w:tc>
          <w:tcPr>
            <w:tcW w:w="323" w:type="pct"/>
            <w:tcBorders>
              <w:top w:val="single" w:color="auto" w:sz="4" w:space="0"/>
              <w:left w:val="single" w:color="auto" w:sz="4" w:space="0"/>
              <w:bottom w:val="single" w:color="auto" w:sz="4" w:space="0"/>
              <w:right w:val="single" w:color="auto" w:sz="4" w:space="0"/>
            </w:tcBorders>
            <w:vAlign w:val="center"/>
          </w:tcPr>
          <w:p w14:paraId="0764E580">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23702F85">
            <w:pPr>
              <w:jc w:val="center"/>
              <w:rPr>
                <w:rFonts w:cs="Times New Roman"/>
                <w:bCs w:val="0"/>
                <w:sz w:val="15"/>
                <w:szCs w:val="15"/>
              </w:rPr>
            </w:pPr>
            <w:r>
              <w:rPr>
                <w:rFonts w:cs="Times New Roman"/>
                <w:sz w:val="15"/>
                <w:szCs w:val="15"/>
              </w:rPr>
              <w:t>否</w:t>
            </w:r>
          </w:p>
        </w:tc>
        <w:tc>
          <w:tcPr>
            <w:tcW w:w="279" w:type="pct"/>
            <w:tcBorders>
              <w:top w:val="single" w:color="auto" w:sz="4" w:space="0"/>
              <w:left w:val="nil"/>
              <w:bottom w:val="single" w:color="auto" w:sz="4" w:space="0"/>
              <w:right w:val="single" w:color="auto" w:sz="4" w:space="0"/>
            </w:tcBorders>
            <w:vAlign w:val="center"/>
          </w:tcPr>
          <w:p w14:paraId="1A06148E">
            <w:pPr>
              <w:jc w:val="right"/>
              <w:rPr>
                <w:rFonts w:cs="Times New Roman"/>
                <w:bCs w:val="0"/>
                <w:sz w:val="15"/>
                <w:szCs w:val="15"/>
              </w:rPr>
            </w:pPr>
          </w:p>
        </w:tc>
      </w:tr>
      <w:tr w14:paraId="3764F806">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26BA5565">
            <w:pPr>
              <w:jc w:val="center"/>
              <w:rPr>
                <w:rFonts w:cs="Times New Roman"/>
                <w:bCs w:val="0"/>
                <w:color w:val="000000" w:themeColor="text1"/>
                <w:sz w:val="15"/>
                <w:szCs w:val="15"/>
                <w14:textFill>
                  <w14:solidFill>
                    <w14:schemeClr w14:val="tx1"/>
                  </w14:solidFill>
                </w14:textFill>
              </w:rPr>
            </w:pPr>
            <w:r>
              <w:rPr>
                <w:rFonts w:cs="Times New Roman"/>
                <w:sz w:val="15"/>
                <w:szCs w:val="15"/>
              </w:rPr>
              <w:t>首次公开发行股票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0493F5D6">
            <w:pPr>
              <w:jc w:val="center"/>
              <w:rPr>
                <w:rFonts w:cs="Times New Roman"/>
                <w:bCs w:val="0"/>
                <w:sz w:val="15"/>
                <w:szCs w:val="15"/>
              </w:rPr>
            </w:pPr>
            <w:r>
              <w:rPr>
                <w:rFonts w:cs="Times New Roman"/>
                <w:sz w:val="15"/>
                <w:szCs w:val="15"/>
              </w:rPr>
              <w:t>年产2500吨特种尼龙66长丝中试线建设项目</w:t>
            </w:r>
          </w:p>
        </w:tc>
        <w:tc>
          <w:tcPr>
            <w:tcW w:w="196" w:type="pct"/>
            <w:tcBorders>
              <w:top w:val="single" w:color="auto" w:sz="4" w:space="0"/>
              <w:left w:val="single" w:color="auto" w:sz="4" w:space="0"/>
              <w:bottom w:val="single" w:color="auto" w:sz="4" w:space="0"/>
              <w:right w:val="single" w:color="auto" w:sz="4" w:space="0"/>
            </w:tcBorders>
            <w:vAlign w:val="center"/>
          </w:tcPr>
          <w:p w14:paraId="25BC5CDB">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1753926D">
            <w:pPr>
              <w:jc w:val="cente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351" w:type="pct"/>
            <w:tcBorders>
              <w:top w:val="single" w:color="auto" w:sz="4" w:space="0"/>
              <w:left w:val="single" w:color="auto" w:sz="4" w:space="0"/>
              <w:bottom w:val="single" w:color="auto" w:sz="4" w:space="0"/>
              <w:right w:val="single" w:color="auto" w:sz="4" w:space="0"/>
            </w:tcBorders>
            <w:vAlign w:val="center"/>
          </w:tcPr>
          <w:p w14:paraId="1457D67E">
            <w:pPr>
              <w:rPr>
                <w:rFonts w:cs="Times New Roman"/>
                <w:bCs w:val="0"/>
                <w:color w:val="000000" w:themeColor="text1"/>
                <w:sz w:val="15"/>
                <w:szCs w:val="15"/>
                <w14:textFill>
                  <w14:solidFill>
                    <w14:schemeClr w14:val="tx1"/>
                  </w14:solidFill>
                </w14:textFill>
              </w:rPr>
            </w:pPr>
            <w:r>
              <w:rPr>
                <w:rFonts w:cs="Times New Roman"/>
                <w:sz w:val="15"/>
                <w:szCs w:val="15"/>
              </w:rPr>
              <w:t>是，此项目为新项目</w:t>
            </w:r>
          </w:p>
        </w:tc>
        <w:tc>
          <w:tcPr>
            <w:tcW w:w="330" w:type="pct"/>
            <w:tcBorders>
              <w:top w:val="single" w:color="auto" w:sz="4" w:space="0"/>
              <w:left w:val="nil"/>
              <w:bottom w:val="single" w:color="auto" w:sz="4" w:space="0"/>
              <w:right w:val="single" w:color="auto" w:sz="4" w:space="0"/>
            </w:tcBorders>
            <w:vAlign w:val="center"/>
          </w:tcPr>
          <w:p w14:paraId="175D98A9">
            <w:pPr>
              <w:jc w:val="right"/>
              <w:rPr>
                <w:rFonts w:cs="Times New Roman"/>
                <w:sz w:val="15"/>
                <w:szCs w:val="15"/>
              </w:rPr>
            </w:pPr>
            <w:r>
              <w:rPr>
                <w:rFonts w:cs="Times New Roman"/>
                <w:sz w:val="15"/>
                <w:szCs w:val="15"/>
              </w:rPr>
              <w:t>5,449.82</w:t>
            </w:r>
          </w:p>
        </w:tc>
        <w:tc>
          <w:tcPr>
            <w:tcW w:w="314" w:type="pct"/>
            <w:tcBorders>
              <w:top w:val="single" w:color="auto" w:sz="4" w:space="0"/>
              <w:left w:val="single" w:color="auto" w:sz="4" w:space="0"/>
              <w:bottom w:val="single" w:color="auto" w:sz="4" w:space="0"/>
              <w:right w:val="single" w:color="auto" w:sz="4" w:space="0"/>
            </w:tcBorders>
            <w:vAlign w:val="center"/>
          </w:tcPr>
          <w:p w14:paraId="37EA229D">
            <w:pPr>
              <w:jc w:val="right"/>
              <w:rPr>
                <w:rFonts w:cs="Times New Roman"/>
                <w:sz w:val="15"/>
                <w:szCs w:val="15"/>
              </w:rPr>
            </w:pPr>
            <w:r>
              <w:rPr>
                <w:rFonts w:cs="Times New Roman"/>
                <w:sz w:val="15"/>
                <w:szCs w:val="15"/>
              </w:rPr>
              <w:t>2,456.24</w:t>
            </w:r>
          </w:p>
        </w:tc>
        <w:tc>
          <w:tcPr>
            <w:tcW w:w="324" w:type="pct"/>
            <w:tcBorders>
              <w:top w:val="single" w:color="auto" w:sz="4" w:space="0"/>
              <w:left w:val="single" w:color="auto" w:sz="4" w:space="0"/>
              <w:bottom w:val="single" w:color="auto" w:sz="4" w:space="0"/>
              <w:right w:val="single" w:color="auto" w:sz="4" w:space="0"/>
            </w:tcBorders>
            <w:vAlign w:val="center"/>
          </w:tcPr>
          <w:p w14:paraId="508320B2">
            <w:pPr>
              <w:jc w:val="right"/>
              <w:rPr>
                <w:rFonts w:cs="Times New Roman"/>
                <w:sz w:val="15"/>
                <w:szCs w:val="15"/>
              </w:rPr>
            </w:pPr>
            <w:r>
              <w:rPr>
                <w:rFonts w:cs="Times New Roman"/>
                <w:sz w:val="15"/>
                <w:szCs w:val="15"/>
              </w:rPr>
              <w:t>2,456.24</w:t>
            </w:r>
          </w:p>
        </w:tc>
        <w:tc>
          <w:tcPr>
            <w:tcW w:w="292" w:type="pct"/>
            <w:tcBorders>
              <w:top w:val="single" w:color="auto" w:sz="4" w:space="0"/>
              <w:left w:val="nil"/>
              <w:bottom w:val="single" w:color="auto" w:sz="4" w:space="0"/>
              <w:right w:val="single" w:color="auto" w:sz="4" w:space="0"/>
            </w:tcBorders>
            <w:vAlign w:val="center"/>
          </w:tcPr>
          <w:p w14:paraId="35986DDD">
            <w:pPr>
              <w:jc w:val="right"/>
              <w:rPr>
                <w:rFonts w:cs="Times New Roman"/>
                <w:sz w:val="15"/>
                <w:szCs w:val="15"/>
              </w:rPr>
            </w:pPr>
            <w:r>
              <w:rPr>
                <w:rFonts w:cs="Times New Roman"/>
                <w:sz w:val="15"/>
                <w:szCs w:val="15"/>
              </w:rPr>
              <w:t>45.07</w:t>
            </w:r>
          </w:p>
        </w:tc>
        <w:tc>
          <w:tcPr>
            <w:tcW w:w="282" w:type="pct"/>
            <w:tcBorders>
              <w:top w:val="single" w:color="auto" w:sz="4" w:space="0"/>
              <w:left w:val="nil"/>
              <w:bottom w:val="single" w:color="auto" w:sz="4" w:space="0"/>
              <w:right w:val="single" w:color="auto" w:sz="4" w:space="0"/>
            </w:tcBorders>
            <w:vAlign w:val="center"/>
          </w:tcPr>
          <w:p w14:paraId="5D6A3E0C">
            <w:pPr>
              <w:jc w:val="center"/>
              <w:rPr>
                <w:rFonts w:cs="Times New Roman"/>
                <w:bCs w:val="0"/>
                <w:sz w:val="15"/>
                <w:szCs w:val="15"/>
              </w:rPr>
            </w:pPr>
            <w:r>
              <w:rPr>
                <w:rFonts w:cs="Times New Roman"/>
                <w:sz w:val="15"/>
                <w:szCs w:val="15"/>
              </w:rPr>
              <w:t>2025年12月</w:t>
            </w:r>
          </w:p>
        </w:tc>
        <w:tc>
          <w:tcPr>
            <w:tcW w:w="239" w:type="pct"/>
            <w:tcBorders>
              <w:top w:val="single" w:color="auto" w:sz="4" w:space="0"/>
              <w:left w:val="nil"/>
              <w:bottom w:val="single" w:color="auto" w:sz="4" w:space="0"/>
              <w:right w:val="single" w:color="auto" w:sz="4" w:space="0"/>
            </w:tcBorders>
            <w:vAlign w:val="center"/>
          </w:tcPr>
          <w:p w14:paraId="4FE58407">
            <w:pPr>
              <w:jc w:val="cente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298" w:type="pct"/>
            <w:tcBorders>
              <w:top w:val="single" w:color="auto" w:sz="4" w:space="0"/>
              <w:left w:val="nil"/>
              <w:bottom w:val="single" w:color="auto" w:sz="4" w:space="0"/>
              <w:right w:val="single" w:color="auto" w:sz="4" w:space="0"/>
            </w:tcBorders>
            <w:vAlign w:val="center"/>
          </w:tcPr>
          <w:p w14:paraId="7D8621CA">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481EC440">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14EC0203">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4CE76895">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4B163F7A">
            <w:pPr>
              <w:jc w:val="center"/>
              <w:rPr>
                <w:rFonts w:cs="Times New Roman"/>
                <w:bCs w:val="0"/>
                <w:sz w:val="15"/>
                <w:szCs w:val="15"/>
              </w:rPr>
            </w:pPr>
            <w:r>
              <w:rPr>
                <w:rFonts w:cs="Times New Roman"/>
                <w:sz w:val="15"/>
                <w:szCs w:val="15"/>
              </w:rPr>
              <w:t>否</w:t>
            </w:r>
          </w:p>
        </w:tc>
        <w:tc>
          <w:tcPr>
            <w:tcW w:w="279" w:type="pct"/>
            <w:tcBorders>
              <w:top w:val="single" w:color="auto" w:sz="4" w:space="0"/>
              <w:left w:val="nil"/>
              <w:bottom w:val="single" w:color="auto" w:sz="4" w:space="0"/>
              <w:right w:val="single" w:color="auto" w:sz="4" w:space="0"/>
            </w:tcBorders>
            <w:vAlign w:val="center"/>
          </w:tcPr>
          <w:p w14:paraId="1D902692">
            <w:pPr>
              <w:jc w:val="right"/>
              <w:rPr>
                <w:rFonts w:cs="Times New Roman"/>
                <w:bCs w:val="0"/>
                <w:sz w:val="15"/>
                <w:szCs w:val="15"/>
              </w:rPr>
            </w:pPr>
          </w:p>
        </w:tc>
      </w:tr>
      <w:tr w14:paraId="2F5E8A65">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1AA0B06D">
            <w:pPr>
              <w:jc w:val="center"/>
              <w:rPr>
                <w:rFonts w:cs="Times New Roman"/>
                <w:bCs w:val="0"/>
                <w:color w:val="000000" w:themeColor="text1"/>
                <w:sz w:val="15"/>
                <w:szCs w:val="15"/>
                <w14:textFill>
                  <w14:solidFill>
                    <w14:schemeClr w14:val="tx1"/>
                  </w14:solidFill>
                </w14:textFill>
              </w:rPr>
            </w:pPr>
            <w:r>
              <w:rPr>
                <w:rFonts w:cs="Times New Roman"/>
                <w:sz w:val="15"/>
                <w:szCs w:val="15"/>
              </w:rPr>
              <w:t>向特定对象发行股票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2B5F729A">
            <w:pPr>
              <w:jc w:val="center"/>
              <w:rPr>
                <w:rFonts w:cs="Times New Roman"/>
                <w:bCs w:val="0"/>
                <w:sz w:val="15"/>
                <w:szCs w:val="15"/>
              </w:rPr>
            </w:pPr>
            <w:r>
              <w:rPr>
                <w:rFonts w:cs="Times New Roman"/>
                <w:sz w:val="15"/>
                <w:szCs w:val="15"/>
              </w:rPr>
              <w:t>际华集团终端市场网络建设项目</w:t>
            </w:r>
          </w:p>
        </w:tc>
        <w:tc>
          <w:tcPr>
            <w:tcW w:w="196" w:type="pct"/>
            <w:tcBorders>
              <w:top w:val="single" w:color="auto" w:sz="4" w:space="0"/>
              <w:left w:val="single" w:color="auto" w:sz="4" w:space="0"/>
              <w:bottom w:val="single" w:color="auto" w:sz="4" w:space="0"/>
              <w:right w:val="single" w:color="auto" w:sz="4" w:space="0"/>
            </w:tcBorders>
            <w:vAlign w:val="center"/>
          </w:tcPr>
          <w:p w14:paraId="0CECF9E6">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75C27D1D">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351" w:type="pct"/>
            <w:tcBorders>
              <w:top w:val="single" w:color="auto" w:sz="4" w:space="0"/>
              <w:left w:val="single" w:color="auto" w:sz="4" w:space="0"/>
              <w:bottom w:val="single" w:color="auto" w:sz="4" w:space="0"/>
              <w:right w:val="single" w:color="auto" w:sz="4" w:space="0"/>
            </w:tcBorders>
            <w:vAlign w:val="center"/>
          </w:tcPr>
          <w:p w14:paraId="53465B0A">
            <w:pP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330" w:type="pct"/>
            <w:tcBorders>
              <w:top w:val="single" w:color="auto" w:sz="4" w:space="0"/>
              <w:left w:val="nil"/>
              <w:bottom w:val="single" w:color="auto" w:sz="4" w:space="0"/>
              <w:right w:val="single" w:color="auto" w:sz="4" w:space="0"/>
            </w:tcBorders>
            <w:vAlign w:val="center"/>
          </w:tcPr>
          <w:p w14:paraId="2221A84F">
            <w:pPr>
              <w:jc w:val="right"/>
              <w:rPr>
                <w:rFonts w:cs="Times New Roman"/>
                <w:sz w:val="15"/>
                <w:szCs w:val="15"/>
              </w:rPr>
            </w:pPr>
            <w:r>
              <w:rPr>
                <w:rFonts w:cs="Times New Roman"/>
                <w:sz w:val="15"/>
                <w:szCs w:val="15"/>
              </w:rPr>
              <w:t>21,291.50</w:t>
            </w:r>
          </w:p>
        </w:tc>
        <w:tc>
          <w:tcPr>
            <w:tcW w:w="314" w:type="pct"/>
            <w:tcBorders>
              <w:top w:val="single" w:color="auto" w:sz="4" w:space="0"/>
              <w:left w:val="single" w:color="auto" w:sz="4" w:space="0"/>
              <w:bottom w:val="single" w:color="auto" w:sz="4" w:space="0"/>
              <w:right w:val="single" w:color="auto" w:sz="4" w:space="0"/>
            </w:tcBorders>
            <w:vAlign w:val="center"/>
          </w:tcPr>
          <w:p w14:paraId="39B955AE">
            <w:pPr>
              <w:jc w:val="right"/>
              <w:rPr>
                <w:rFonts w:cs="Times New Roman"/>
                <w:sz w:val="15"/>
                <w:szCs w:val="15"/>
              </w:rPr>
            </w:pPr>
            <w:r>
              <w:rPr>
                <w:rFonts w:cs="Times New Roman"/>
                <w:sz w:val="15"/>
                <w:szCs w:val="15"/>
              </w:rPr>
              <w:t>1,342.18</w:t>
            </w:r>
          </w:p>
        </w:tc>
        <w:tc>
          <w:tcPr>
            <w:tcW w:w="324" w:type="pct"/>
            <w:tcBorders>
              <w:top w:val="single" w:color="auto" w:sz="4" w:space="0"/>
              <w:left w:val="single" w:color="auto" w:sz="4" w:space="0"/>
              <w:bottom w:val="single" w:color="auto" w:sz="4" w:space="0"/>
              <w:right w:val="single" w:color="auto" w:sz="4" w:space="0"/>
            </w:tcBorders>
            <w:vAlign w:val="center"/>
          </w:tcPr>
          <w:p w14:paraId="150506A9">
            <w:pPr>
              <w:jc w:val="right"/>
              <w:rPr>
                <w:rFonts w:cs="Times New Roman"/>
                <w:sz w:val="15"/>
                <w:szCs w:val="15"/>
              </w:rPr>
            </w:pPr>
            <w:r>
              <w:rPr>
                <w:rFonts w:cs="Times New Roman"/>
                <w:sz w:val="15"/>
                <w:szCs w:val="15"/>
              </w:rPr>
              <w:t>8,218.41</w:t>
            </w:r>
          </w:p>
        </w:tc>
        <w:tc>
          <w:tcPr>
            <w:tcW w:w="292" w:type="pct"/>
            <w:tcBorders>
              <w:top w:val="single" w:color="auto" w:sz="4" w:space="0"/>
              <w:left w:val="nil"/>
              <w:bottom w:val="single" w:color="auto" w:sz="4" w:space="0"/>
              <w:right w:val="single" w:color="auto" w:sz="4" w:space="0"/>
            </w:tcBorders>
            <w:vAlign w:val="center"/>
          </w:tcPr>
          <w:p w14:paraId="618281F0">
            <w:pPr>
              <w:jc w:val="right"/>
              <w:rPr>
                <w:rFonts w:cs="Times New Roman"/>
                <w:sz w:val="15"/>
                <w:szCs w:val="15"/>
              </w:rPr>
            </w:pPr>
            <w:r>
              <w:rPr>
                <w:rFonts w:cs="Times New Roman"/>
                <w:sz w:val="15"/>
                <w:szCs w:val="15"/>
              </w:rPr>
              <w:t>38.60</w:t>
            </w:r>
          </w:p>
        </w:tc>
        <w:tc>
          <w:tcPr>
            <w:tcW w:w="282" w:type="pct"/>
            <w:tcBorders>
              <w:top w:val="single" w:color="auto" w:sz="4" w:space="0"/>
              <w:left w:val="nil"/>
              <w:bottom w:val="single" w:color="auto" w:sz="4" w:space="0"/>
              <w:right w:val="single" w:color="auto" w:sz="4" w:space="0"/>
            </w:tcBorders>
            <w:vAlign w:val="center"/>
          </w:tcPr>
          <w:p w14:paraId="25DC7076">
            <w:pPr>
              <w:jc w:val="center"/>
              <w:rPr>
                <w:rFonts w:cs="Times New Roman"/>
                <w:bCs w:val="0"/>
                <w:sz w:val="15"/>
                <w:szCs w:val="15"/>
              </w:rPr>
            </w:pPr>
            <w:r>
              <w:rPr>
                <w:rFonts w:cs="Times New Roman"/>
                <w:sz w:val="15"/>
                <w:szCs w:val="15"/>
              </w:rPr>
              <w:t>2025年12月</w:t>
            </w:r>
          </w:p>
        </w:tc>
        <w:tc>
          <w:tcPr>
            <w:tcW w:w="239" w:type="pct"/>
            <w:tcBorders>
              <w:top w:val="single" w:color="auto" w:sz="4" w:space="0"/>
              <w:left w:val="nil"/>
              <w:bottom w:val="single" w:color="auto" w:sz="4" w:space="0"/>
              <w:right w:val="single" w:color="auto" w:sz="4" w:space="0"/>
            </w:tcBorders>
            <w:vAlign w:val="center"/>
          </w:tcPr>
          <w:p w14:paraId="65C6103A">
            <w:pPr>
              <w:jc w:val="cente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298" w:type="pct"/>
            <w:tcBorders>
              <w:top w:val="single" w:color="auto" w:sz="4" w:space="0"/>
              <w:left w:val="nil"/>
              <w:bottom w:val="single" w:color="auto" w:sz="4" w:space="0"/>
              <w:right w:val="single" w:color="auto" w:sz="4" w:space="0"/>
            </w:tcBorders>
            <w:vAlign w:val="center"/>
          </w:tcPr>
          <w:p w14:paraId="67A5E4D8">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6D9D4B8B">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1CBFA289">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0502F24D">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5B4FE1A9">
            <w:pPr>
              <w:jc w:val="center"/>
              <w:rPr>
                <w:rFonts w:cs="Times New Roman"/>
                <w:bCs w:val="0"/>
                <w:sz w:val="15"/>
                <w:szCs w:val="15"/>
              </w:rPr>
            </w:pPr>
            <w:r>
              <w:rPr>
                <w:rFonts w:cs="Times New Roman"/>
                <w:sz w:val="15"/>
                <w:szCs w:val="15"/>
              </w:rPr>
              <w:t>否</w:t>
            </w:r>
          </w:p>
        </w:tc>
        <w:tc>
          <w:tcPr>
            <w:tcW w:w="279" w:type="pct"/>
            <w:tcBorders>
              <w:top w:val="single" w:color="auto" w:sz="4" w:space="0"/>
              <w:left w:val="nil"/>
              <w:bottom w:val="single" w:color="auto" w:sz="4" w:space="0"/>
              <w:right w:val="single" w:color="auto" w:sz="4" w:space="0"/>
            </w:tcBorders>
            <w:vAlign w:val="center"/>
          </w:tcPr>
          <w:p w14:paraId="10C69959">
            <w:pPr>
              <w:jc w:val="right"/>
              <w:rPr>
                <w:rFonts w:cs="Times New Roman"/>
                <w:bCs w:val="0"/>
                <w:sz w:val="15"/>
                <w:szCs w:val="15"/>
              </w:rPr>
            </w:pPr>
          </w:p>
        </w:tc>
      </w:tr>
      <w:tr w14:paraId="44DCE810">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4AFA978A">
            <w:pPr>
              <w:jc w:val="center"/>
              <w:rPr>
                <w:rFonts w:cs="Times New Roman"/>
                <w:bCs w:val="0"/>
                <w:color w:val="000000" w:themeColor="text1"/>
                <w:sz w:val="15"/>
                <w:szCs w:val="15"/>
                <w14:textFill>
                  <w14:solidFill>
                    <w14:schemeClr w14:val="tx1"/>
                  </w14:solidFill>
                </w14:textFill>
              </w:rPr>
            </w:pPr>
            <w:r>
              <w:rPr>
                <w:rFonts w:cs="Times New Roman"/>
                <w:sz w:val="15"/>
                <w:szCs w:val="15"/>
              </w:rPr>
              <w:t>向特定对象发行股票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6D86C242">
            <w:pPr>
              <w:jc w:val="center"/>
              <w:rPr>
                <w:rFonts w:cs="Times New Roman"/>
                <w:bCs w:val="0"/>
                <w:sz w:val="15"/>
                <w:szCs w:val="15"/>
              </w:rPr>
            </w:pPr>
            <w:r>
              <w:rPr>
                <w:rFonts w:cs="Times New Roman"/>
                <w:sz w:val="15"/>
                <w:szCs w:val="15"/>
              </w:rPr>
              <w:t>重庆际华园目的地中心项目一期二阶段</w:t>
            </w:r>
          </w:p>
        </w:tc>
        <w:tc>
          <w:tcPr>
            <w:tcW w:w="196" w:type="pct"/>
            <w:tcBorders>
              <w:top w:val="single" w:color="auto" w:sz="4" w:space="0"/>
              <w:left w:val="single" w:color="auto" w:sz="4" w:space="0"/>
              <w:bottom w:val="single" w:color="auto" w:sz="4" w:space="0"/>
              <w:right w:val="single" w:color="auto" w:sz="4" w:space="0"/>
            </w:tcBorders>
            <w:vAlign w:val="center"/>
          </w:tcPr>
          <w:p w14:paraId="70CEFB25">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51D39BCB">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351" w:type="pct"/>
            <w:tcBorders>
              <w:top w:val="single" w:color="auto" w:sz="4" w:space="0"/>
              <w:left w:val="single" w:color="auto" w:sz="4" w:space="0"/>
              <w:bottom w:val="single" w:color="auto" w:sz="4" w:space="0"/>
              <w:right w:val="single" w:color="auto" w:sz="4" w:space="0"/>
            </w:tcBorders>
            <w:vAlign w:val="center"/>
          </w:tcPr>
          <w:p w14:paraId="7911033E">
            <w:pPr>
              <w:rPr>
                <w:rFonts w:cs="Times New Roman"/>
                <w:bCs w:val="0"/>
                <w:color w:val="000000" w:themeColor="text1"/>
                <w:sz w:val="15"/>
                <w:szCs w:val="15"/>
                <w14:textFill>
                  <w14:solidFill>
                    <w14:schemeClr w14:val="tx1"/>
                  </w14:solidFill>
                </w14:textFill>
              </w:rPr>
            </w:pPr>
            <w:r>
              <w:rPr>
                <w:rFonts w:cs="Times New Roman"/>
                <w:sz w:val="15"/>
                <w:szCs w:val="15"/>
              </w:rPr>
              <w:t>是，此项目取消</w:t>
            </w:r>
          </w:p>
        </w:tc>
        <w:tc>
          <w:tcPr>
            <w:tcW w:w="330" w:type="pct"/>
            <w:tcBorders>
              <w:top w:val="single" w:color="auto" w:sz="4" w:space="0"/>
              <w:left w:val="nil"/>
              <w:bottom w:val="single" w:color="auto" w:sz="4" w:space="0"/>
              <w:right w:val="single" w:color="auto" w:sz="4" w:space="0"/>
            </w:tcBorders>
            <w:vAlign w:val="center"/>
          </w:tcPr>
          <w:p w14:paraId="7374D8DC">
            <w:pPr>
              <w:jc w:val="right"/>
              <w:rPr>
                <w:rFonts w:cs="Times New Roman"/>
                <w:sz w:val="15"/>
                <w:szCs w:val="15"/>
              </w:rPr>
            </w:pPr>
            <w:r>
              <w:rPr>
                <w:rFonts w:cs="Times New Roman"/>
                <w:sz w:val="15"/>
                <w:szCs w:val="15"/>
              </w:rPr>
              <w:t>24,615.65</w:t>
            </w:r>
          </w:p>
        </w:tc>
        <w:tc>
          <w:tcPr>
            <w:tcW w:w="314" w:type="pct"/>
            <w:tcBorders>
              <w:top w:val="single" w:color="auto" w:sz="4" w:space="0"/>
              <w:left w:val="single" w:color="auto" w:sz="4" w:space="0"/>
              <w:bottom w:val="single" w:color="auto" w:sz="4" w:space="0"/>
              <w:right w:val="single" w:color="auto" w:sz="4" w:space="0"/>
            </w:tcBorders>
            <w:vAlign w:val="center"/>
          </w:tcPr>
          <w:p w14:paraId="05B002A0">
            <w:pPr>
              <w:jc w:val="right"/>
              <w:rPr>
                <w:rFonts w:cs="Times New Roman"/>
                <w:sz w:val="15"/>
                <w:szCs w:val="15"/>
              </w:rPr>
            </w:pPr>
          </w:p>
        </w:tc>
        <w:tc>
          <w:tcPr>
            <w:tcW w:w="324" w:type="pct"/>
            <w:tcBorders>
              <w:top w:val="single" w:color="auto" w:sz="4" w:space="0"/>
              <w:left w:val="single" w:color="auto" w:sz="4" w:space="0"/>
              <w:bottom w:val="single" w:color="auto" w:sz="4" w:space="0"/>
              <w:right w:val="single" w:color="auto" w:sz="4" w:space="0"/>
            </w:tcBorders>
            <w:vAlign w:val="center"/>
          </w:tcPr>
          <w:p w14:paraId="5C376B72">
            <w:pPr>
              <w:jc w:val="right"/>
              <w:rPr>
                <w:rFonts w:cs="Times New Roman"/>
                <w:sz w:val="15"/>
                <w:szCs w:val="15"/>
              </w:rPr>
            </w:pPr>
            <w:r>
              <w:rPr>
                <w:rFonts w:cs="Times New Roman"/>
                <w:sz w:val="15"/>
                <w:szCs w:val="15"/>
              </w:rPr>
              <w:t>24,615.65</w:t>
            </w:r>
          </w:p>
        </w:tc>
        <w:tc>
          <w:tcPr>
            <w:tcW w:w="292" w:type="pct"/>
            <w:tcBorders>
              <w:top w:val="single" w:color="auto" w:sz="4" w:space="0"/>
              <w:left w:val="nil"/>
              <w:bottom w:val="single" w:color="auto" w:sz="4" w:space="0"/>
              <w:right w:val="single" w:color="auto" w:sz="4" w:space="0"/>
            </w:tcBorders>
            <w:vAlign w:val="center"/>
          </w:tcPr>
          <w:p w14:paraId="0D4516EA">
            <w:pPr>
              <w:jc w:val="right"/>
              <w:rPr>
                <w:rFonts w:cs="Times New Roman"/>
                <w:sz w:val="15"/>
                <w:szCs w:val="15"/>
              </w:rPr>
            </w:pPr>
            <w:r>
              <w:rPr>
                <w:rFonts w:cs="Times New Roman"/>
                <w:sz w:val="15"/>
                <w:szCs w:val="15"/>
              </w:rPr>
              <w:t>100</w:t>
            </w:r>
          </w:p>
        </w:tc>
        <w:tc>
          <w:tcPr>
            <w:tcW w:w="282" w:type="pct"/>
            <w:tcBorders>
              <w:top w:val="single" w:color="auto" w:sz="4" w:space="0"/>
              <w:left w:val="nil"/>
              <w:bottom w:val="single" w:color="auto" w:sz="4" w:space="0"/>
              <w:right w:val="single" w:color="auto" w:sz="4" w:space="0"/>
            </w:tcBorders>
            <w:vAlign w:val="center"/>
          </w:tcPr>
          <w:p w14:paraId="1BDB2F7F">
            <w:pPr>
              <w:jc w:val="center"/>
              <w:rPr>
                <w:rFonts w:cs="Times New Roman"/>
                <w:bCs w:val="0"/>
                <w:sz w:val="15"/>
                <w:szCs w:val="15"/>
              </w:rPr>
            </w:pPr>
            <w:r>
              <w:rPr>
                <w:rFonts w:cs="Times New Roman"/>
                <w:sz w:val="15"/>
                <w:szCs w:val="15"/>
              </w:rPr>
              <w:t>停止实施</w:t>
            </w:r>
          </w:p>
        </w:tc>
        <w:tc>
          <w:tcPr>
            <w:tcW w:w="239" w:type="pct"/>
            <w:tcBorders>
              <w:top w:val="single" w:color="auto" w:sz="4" w:space="0"/>
              <w:left w:val="nil"/>
              <w:bottom w:val="single" w:color="auto" w:sz="4" w:space="0"/>
              <w:right w:val="single" w:color="auto" w:sz="4" w:space="0"/>
            </w:tcBorders>
            <w:vAlign w:val="center"/>
          </w:tcPr>
          <w:p w14:paraId="6BEC6A84">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98" w:type="pct"/>
            <w:tcBorders>
              <w:top w:val="single" w:color="auto" w:sz="4" w:space="0"/>
              <w:left w:val="nil"/>
              <w:bottom w:val="single" w:color="auto" w:sz="4" w:space="0"/>
              <w:right w:val="single" w:color="auto" w:sz="4" w:space="0"/>
            </w:tcBorders>
            <w:vAlign w:val="center"/>
          </w:tcPr>
          <w:p w14:paraId="1849464B">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191C8C33">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42791DAF">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42B68326">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7D4FB3D3">
            <w:pPr>
              <w:jc w:val="center"/>
              <w:rPr>
                <w:rFonts w:cs="Times New Roman"/>
                <w:bCs w:val="0"/>
                <w:sz w:val="15"/>
                <w:szCs w:val="15"/>
              </w:rPr>
            </w:pPr>
            <w:r>
              <w:rPr>
                <w:rFonts w:cs="Times New Roman"/>
                <w:sz w:val="15"/>
                <w:szCs w:val="15"/>
              </w:rPr>
              <w:t>是</w:t>
            </w:r>
          </w:p>
        </w:tc>
        <w:tc>
          <w:tcPr>
            <w:tcW w:w="279" w:type="pct"/>
            <w:tcBorders>
              <w:top w:val="single" w:color="auto" w:sz="4" w:space="0"/>
              <w:left w:val="nil"/>
              <w:bottom w:val="single" w:color="auto" w:sz="4" w:space="0"/>
              <w:right w:val="single" w:color="auto" w:sz="4" w:space="0"/>
            </w:tcBorders>
            <w:vAlign w:val="center"/>
          </w:tcPr>
          <w:p w14:paraId="6AF6C82D">
            <w:pPr>
              <w:jc w:val="right"/>
              <w:rPr>
                <w:rFonts w:cs="Times New Roman"/>
                <w:bCs w:val="0"/>
                <w:sz w:val="15"/>
                <w:szCs w:val="15"/>
              </w:rPr>
            </w:pPr>
          </w:p>
        </w:tc>
      </w:tr>
      <w:tr w14:paraId="7529567B">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4F61F617">
            <w:pPr>
              <w:jc w:val="center"/>
              <w:rPr>
                <w:rFonts w:cs="Times New Roman"/>
                <w:bCs w:val="0"/>
                <w:color w:val="000000" w:themeColor="text1"/>
                <w:sz w:val="15"/>
                <w:szCs w:val="15"/>
                <w14:textFill>
                  <w14:solidFill>
                    <w14:schemeClr w14:val="tx1"/>
                  </w14:solidFill>
                </w14:textFill>
              </w:rPr>
            </w:pPr>
            <w:r>
              <w:rPr>
                <w:rFonts w:cs="Times New Roman"/>
                <w:sz w:val="15"/>
                <w:szCs w:val="15"/>
              </w:rPr>
              <w:t>向特定对象发行股票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58D2CD68">
            <w:pPr>
              <w:jc w:val="center"/>
              <w:rPr>
                <w:rFonts w:cs="Times New Roman"/>
                <w:bCs w:val="0"/>
                <w:sz w:val="15"/>
                <w:szCs w:val="15"/>
              </w:rPr>
            </w:pPr>
            <w:r>
              <w:rPr>
                <w:rFonts w:cs="Times New Roman"/>
                <w:sz w:val="15"/>
                <w:szCs w:val="15"/>
              </w:rPr>
              <w:t>际华园•长春目的地中心一期项目二阶段</w:t>
            </w:r>
          </w:p>
        </w:tc>
        <w:tc>
          <w:tcPr>
            <w:tcW w:w="196" w:type="pct"/>
            <w:tcBorders>
              <w:top w:val="single" w:color="auto" w:sz="4" w:space="0"/>
              <w:left w:val="single" w:color="auto" w:sz="4" w:space="0"/>
              <w:bottom w:val="single" w:color="auto" w:sz="4" w:space="0"/>
              <w:right w:val="single" w:color="auto" w:sz="4" w:space="0"/>
            </w:tcBorders>
            <w:vAlign w:val="center"/>
          </w:tcPr>
          <w:p w14:paraId="196F4312">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6A97DC22">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351" w:type="pct"/>
            <w:tcBorders>
              <w:top w:val="single" w:color="auto" w:sz="4" w:space="0"/>
              <w:left w:val="single" w:color="auto" w:sz="4" w:space="0"/>
              <w:bottom w:val="single" w:color="auto" w:sz="4" w:space="0"/>
              <w:right w:val="single" w:color="auto" w:sz="4" w:space="0"/>
            </w:tcBorders>
            <w:vAlign w:val="center"/>
          </w:tcPr>
          <w:p w14:paraId="1AC3464A">
            <w:pPr>
              <w:rPr>
                <w:rFonts w:cs="Times New Roman"/>
                <w:bCs w:val="0"/>
                <w:color w:val="000000" w:themeColor="text1"/>
                <w:sz w:val="15"/>
                <w:szCs w:val="15"/>
                <w14:textFill>
                  <w14:solidFill>
                    <w14:schemeClr w14:val="tx1"/>
                  </w14:solidFill>
                </w14:textFill>
              </w:rPr>
            </w:pPr>
            <w:r>
              <w:rPr>
                <w:rFonts w:cs="Times New Roman"/>
                <w:sz w:val="15"/>
                <w:szCs w:val="15"/>
              </w:rPr>
              <w:t>是，此项目取消</w:t>
            </w:r>
          </w:p>
        </w:tc>
        <w:tc>
          <w:tcPr>
            <w:tcW w:w="330" w:type="pct"/>
            <w:tcBorders>
              <w:top w:val="single" w:color="auto" w:sz="4" w:space="0"/>
              <w:left w:val="nil"/>
              <w:bottom w:val="single" w:color="auto" w:sz="4" w:space="0"/>
              <w:right w:val="single" w:color="auto" w:sz="4" w:space="0"/>
            </w:tcBorders>
            <w:vAlign w:val="center"/>
          </w:tcPr>
          <w:p w14:paraId="2E5C84BC">
            <w:pPr>
              <w:jc w:val="right"/>
              <w:rPr>
                <w:rFonts w:cs="Times New Roman"/>
                <w:sz w:val="15"/>
                <w:szCs w:val="15"/>
              </w:rPr>
            </w:pPr>
            <w:r>
              <w:rPr>
                <w:rFonts w:cs="Times New Roman"/>
                <w:sz w:val="15"/>
                <w:szCs w:val="15"/>
              </w:rPr>
              <w:t>25,513.71</w:t>
            </w:r>
          </w:p>
        </w:tc>
        <w:tc>
          <w:tcPr>
            <w:tcW w:w="314" w:type="pct"/>
            <w:tcBorders>
              <w:top w:val="single" w:color="auto" w:sz="4" w:space="0"/>
              <w:left w:val="single" w:color="auto" w:sz="4" w:space="0"/>
              <w:bottom w:val="single" w:color="auto" w:sz="4" w:space="0"/>
              <w:right w:val="single" w:color="auto" w:sz="4" w:space="0"/>
            </w:tcBorders>
            <w:vAlign w:val="center"/>
          </w:tcPr>
          <w:p w14:paraId="268285A1">
            <w:pPr>
              <w:jc w:val="right"/>
              <w:rPr>
                <w:rFonts w:cs="Times New Roman"/>
                <w:sz w:val="15"/>
                <w:szCs w:val="15"/>
              </w:rPr>
            </w:pPr>
          </w:p>
        </w:tc>
        <w:tc>
          <w:tcPr>
            <w:tcW w:w="324" w:type="pct"/>
            <w:tcBorders>
              <w:top w:val="single" w:color="auto" w:sz="4" w:space="0"/>
              <w:left w:val="single" w:color="auto" w:sz="4" w:space="0"/>
              <w:bottom w:val="single" w:color="auto" w:sz="4" w:space="0"/>
              <w:right w:val="single" w:color="auto" w:sz="4" w:space="0"/>
            </w:tcBorders>
            <w:vAlign w:val="center"/>
          </w:tcPr>
          <w:p w14:paraId="54967971">
            <w:pPr>
              <w:jc w:val="right"/>
              <w:rPr>
                <w:rFonts w:cs="Times New Roman"/>
                <w:sz w:val="15"/>
                <w:szCs w:val="15"/>
              </w:rPr>
            </w:pPr>
            <w:r>
              <w:rPr>
                <w:rFonts w:cs="Times New Roman"/>
                <w:sz w:val="15"/>
                <w:szCs w:val="15"/>
              </w:rPr>
              <w:t>25,513.71</w:t>
            </w:r>
          </w:p>
        </w:tc>
        <w:tc>
          <w:tcPr>
            <w:tcW w:w="292" w:type="pct"/>
            <w:tcBorders>
              <w:top w:val="single" w:color="auto" w:sz="4" w:space="0"/>
              <w:left w:val="nil"/>
              <w:bottom w:val="single" w:color="auto" w:sz="4" w:space="0"/>
              <w:right w:val="single" w:color="auto" w:sz="4" w:space="0"/>
            </w:tcBorders>
            <w:vAlign w:val="center"/>
          </w:tcPr>
          <w:p w14:paraId="1FCC19BA">
            <w:pPr>
              <w:jc w:val="right"/>
              <w:rPr>
                <w:rFonts w:cs="Times New Roman"/>
                <w:sz w:val="15"/>
                <w:szCs w:val="15"/>
              </w:rPr>
            </w:pPr>
            <w:r>
              <w:rPr>
                <w:rFonts w:cs="Times New Roman"/>
                <w:sz w:val="15"/>
                <w:szCs w:val="15"/>
              </w:rPr>
              <w:t>100</w:t>
            </w:r>
          </w:p>
        </w:tc>
        <w:tc>
          <w:tcPr>
            <w:tcW w:w="282" w:type="pct"/>
            <w:tcBorders>
              <w:top w:val="single" w:color="auto" w:sz="4" w:space="0"/>
              <w:left w:val="nil"/>
              <w:bottom w:val="single" w:color="auto" w:sz="4" w:space="0"/>
              <w:right w:val="single" w:color="auto" w:sz="4" w:space="0"/>
            </w:tcBorders>
            <w:vAlign w:val="center"/>
          </w:tcPr>
          <w:p w14:paraId="7F195510">
            <w:pPr>
              <w:jc w:val="center"/>
              <w:rPr>
                <w:rFonts w:cs="Times New Roman"/>
                <w:bCs w:val="0"/>
                <w:sz w:val="15"/>
                <w:szCs w:val="15"/>
              </w:rPr>
            </w:pPr>
            <w:r>
              <w:rPr>
                <w:rFonts w:cs="Times New Roman"/>
                <w:sz w:val="15"/>
                <w:szCs w:val="15"/>
              </w:rPr>
              <w:t>停止实施</w:t>
            </w:r>
          </w:p>
        </w:tc>
        <w:tc>
          <w:tcPr>
            <w:tcW w:w="239" w:type="pct"/>
            <w:tcBorders>
              <w:top w:val="single" w:color="auto" w:sz="4" w:space="0"/>
              <w:left w:val="nil"/>
              <w:bottom w:val="single" w:color="auto" w:sz="4" w:space="0"/>
              <w:right w:val="single" w:color="auto" w:sz="4" w:space="0"/>
            </w:tcBorders>
            <w:vAlign w:val="center"/>
          </w:tcPr>
          <w:p w14:paraId="5B90C4D1">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98" w:type="pct"/>
            <w:tcBorders>
              <w:top w:val="single" w:color="auto" w:sz="4" w:space="0"/>
              <w:left w:val="nil"/>
              <w:bottom w:val="single" w:color="auto" w:sz="4" w:space="0"/>
              <w:right w:val="single" w:color="auto" w:sz="4" w:space="0"/>
            </w:tcBorders>
            <w:vAlign w:val="center"/>
          </w:tcPr>
          <w:p w14:paraId="6C1F768A">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4B06EF4A">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478E7596">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11AD8052">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428ECE30">
            <w:pPr>
              <w:jc w:val="center"/>
              <w:rPr>
                <w:rFonts w:cs="Times New Roman"/>
                <w:bCs w:val="0"/>
                <w:sz w:val="15"/>
                <w:szCs w:val="15"/>
              </w:rPr>
            </w:pPr>
            <w:r>
              <w:rPr>
                <w:rFonts w:cs="Times New Roman"/>
                <w:sz w:val="15"/>
                <w:szCs w:val="15"/>
              </w:rPr>
              <w:t>是</w:t>
            </w:r>
          </w:p>
        </w:tc>
        <w:tc>
          <w:tcPr>
            <w:tcW w:w="279" w:type="pct"/>
            <w:tcBorders>
              <w:top w:val="single" w:color="auto" w:sz="4" w:space="0"/>
              <w:left w:val="nil"/>
              <w:bottom w:val="single" w:color="auto" w:sz="4" w:space="0"/>
              <w:right w:val="single" w:color="auto" w:sz="4" w:space="0"/>
            </w:tcBorders>
            <w:vAlign w:val="center"/>
          </w:tcPr>
          <w:p w14:paraId="4E355C90">
            <w:pPr>
              <w:jc w:val="right"/>
              <w:rPr>
                <w:rFonts w:cs="Times New Roman"/>
                <w:bCs w:val="0"/>
                <w:sz w:val="15"/>
                <w:szCs w:val="15"/>
              </w:rPr>
            </w:pPr>
          </w:p>
        </w:tc>
      </w:tr>
      <w:tr w14:paraId="77CE8558">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1F3006DF">
            <w:pPr>
              <w:jc w:val="center"/>
              <w:rPr>
                <w:rFonts w:cs="Times New Roman"/>
                <w:bCs w:val="0"/>
                <w:color w:val="000000" w:themeColor="text1"/>
                <w:sz w:val="15"/>
                <w:szCs w:val="15"/>
                <w14:textFill>
                  <w14:solidFill>
                    <w14:schemeClr w14:val="tx1"/>
                  </w14:solidFill>
                </w14:textFill>
              </w:rPr>
            </w:pPr>
            <w:r>
              <w:rPr>
                <w:rFonts w:cs="Times New Roman"/>
                <w:sz w:val="15"/>
                <w:szCs w:val="15"/>
              </w:rPr>
              <w:t>向特定对象发行股票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7A15C73E">
            <w:pPr>
              <w:jc w:val="center"/>
              <w:rPr>
                <w:rFonts w:cs="Times New Roman"/>
                <w:bCs w:val="0"/>
                <w:sz w:val="15"/>
                <w:szCs w:val="15"/>
              </w:rPr>
            </w:pPr>
            <w:r>
              <w:rPr>
                <w:rFonts w:cs="Times New Roman"/>
                <w:sz w:val="15"/>
                <w:szCs w:val="15"/>
              </w:rPr>
              <w:t>际华园扬中项目、咸宁项目、清远项目</w:t>
            </w:r>
          </w:p>
        </w:tc>
        <w:tc>
          <w:tcPr>
            <w:tcW w:w="196" w:type="pct"/>
            <w:tcBorders>
              <w:top w:val="single" w:color="auto" w:sz="4" w:space="0"/>
              <w:left w:val="single" w:color="auto" w:sz="4" w:space="0"/>
              <w:bottom w:val="single" w:color="auto" w:sz="4" w:space="0"/>
              <w:right w:val="single" w:color="auto" w:sz="4" w:space="0"/>
            </w:tcBorders>
            <w:vAlign w:val="center"/>
          </w:tcPr>
          <w:p w14:paraId="7AA04F77">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7C81CB17">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351" w:type="pct"/>
            <w:tcBorders>
              <w:top w:val="single" w:color="auto" w:sz="4" w:space="0"/>
              <w:left w:val="single" w:color="auto" w:sz="4" w:space="0"/>
              <w:bottom w:val="single" w:color="auto" w:sz="4" w:space="0"/>
              <w:right w:val="single" w:color="auto" w:sz="4" w:space="0"/>
            </w:tcBorders>
            <w:vAlign w:val="center"/>
          </w:tcPr>
          <w:p w14:paraId="66B65C84">
            <w:pPr>
              <w:rPr>
                <w:rFonts w:cs="Times New Roman"/>
                <w:bCs w:val="0"/>
                <w:color w:val="000000" w:themeColor="text1"/>
                <w:sz w:val="15"/>
                <w:szCs w:val="15"/>
                <w14:textFill>
                  <w14:solidFill>
                    <w14:schemeClr w14:val="tx1"/>
                  </w14:solidFill>
                </w14:textFill>
              </w:rPr>
            </w:pPr>
            <w:r>
              <w:rPr>
                <w:rFonts w:cs="Times New Roman"/>
                <w:sz w:val="15"/>
                <w:szCs w:val="15"/>
              </w:rPr>
              <w:t>是，此项目取消</w:t>
            </w:r>
          </w:p>
        </w:tc>
        <w:tc>
          <w:tcPr>
            <w:tcW w:w="330" w:type="pct"/>
            <w:tcBorders>
              <w:top w:val="single" w:color="auto" w:sz="4" w:space="0"/>
              <w:left w:val="nil"/>
              <w:bottom w:val="single" w:color="auto" w:sz="4" w:space="0"/>
              <w:right w:val="single" w:color="auto" w:sz="4" w:space="0"/>
            </w:tcBorders>
            <w:vAlign w:val="center"/>
          </w:tcPr>
          <w:p w14:paraId="35B3E77B">
            <w:pPr>
              <w:jc w:val="right"/>
              <w:rPr>
                <w:rFonts w:cs="Times New Roman"/>
                <w:sz w:val="15"/>
                <w:szCs w:val="15"/>
              </w:rPr>
            </w:pPr>
            <w:r>
              <w:rPr>
                <w:rFonts w:cs="Times New Roman"/>
                <w:sz w:val="15"/>
                <w:szCs w:val="15"/>
              </w:rPr>
              <w:t>89,048.28</w:t>
            </w:r>
          </w:p>
        </w:tc>
        <w:tc>
          <w:tcPr>
            <w:tcW w:w="314" w:type="pct"/>
            <w:tcBorders>
              <w:top w:val="single" w:color="auto" w:sz="4" w:space="0"/>
              <w:left w:val="single" w:color="auto" w:sz="4" w:space="0"/>
              <w:bottom w:val="single" w:color="auto" w:sz="4" w:space="0"/>
              <w:right w:val="single" w:color="auto" w:sz="4" w:space="0"/>
            </w:tcBorders>
            <w:vAlign w:val="center"/>
          </w:tcPr>
          <w:p w14:paraId="349E6F8A">
            <w:pPr>
              <w:jc w:val="right"/>
              <w:rPr>
                <w:rFonts w:cs="Times New Roman"/>
                <w:sz w:val="15"/>
                <w:szCs w:val="15"/>
              </w:rPr>
            </w:pPr>
          </w:p>
        </w:tc>
        <w:tc>
          <w:tcPr>
            <w:tcW w:w="324" w:type="pct"/>
            <w:tcBorders>
              <w:top w:val="single" w:color="auto" w:sz="4" w:space="0"/>
              <w:left w:val="single" w:color="auto" w:sz="4" w:space="0"/>
              <w:bottom w:val="single" w:color="auto" w:sz="4" w:space="0"/>
              <w:right w:val="single" w:color="auto" w:sz="4" w:space="0"/>
            </w:tcBorders>
            <w:vAlign w:val="center"/>
          </w:tcPr>
          <w:p w14:paraId="6A8F8F4F">
            <w:pPr>
              <w:jc w:val="right"/>
              <w:rPr>
                <w:rFonts w:cs="Times New Roman"/>
                <w:sz w:val="15"/>
                <w:szCs w:val="15"/>
              </w:rPr>
            </w:pPr>
            <w:r>
              <w:rPr>
                <w:rFonts w:cs="Times New Roman"/>
                <w:sz w:val="15"/>
                <w:szCs w:val="15"/>
              </w:rPr>
              <w:t>89,048.28</w:t>
            </w:r>
          </w:p>
        </w:tc>
        <w:tc>
          <w:tcPr>
            <w:tcW w:w="292" w:type="pct"/>
            <w:tcBorders>
              <w:top w:val="single" w:color="auto" w:sz="4" w:space="0"/>
              <w:left w:val="nil"/>
              <w:bottom w:val="single" w:color="auto" w:sz="4" w:space="0"/>
              <w:right w:val="single" w:color="auto" w:sz="4" w:space="0"/>
            </w:tcBorders>
            <w:vAlign w:val="center"/>
          </w:tcPr>
          <w:p w14:paraId="635F2C63">
            <w:pPr>
              <w:jc w:val="right"/>
              <w:rPr>
                <w:rFonts w:cs="Times New Roman"/>
                <w:sz w:val="15"/>
                <w:szCs w:val="15"/>
              </w:rPr>
            </w:pPr>
            <w:r>
              <w:rPr>
                <w:rFonts w:cs="Times New Roman"/>
                <w:sz w:val="15"/>
                <w:szCs w:val="15"/>
              </w:rPr>
              <w:t>100</w:t>
            </w:r>
          </w:p>
        </w:tc>
        <w:tc>
          <w:tcPr>
            <w:tcW w:w="282" w:type="pct"/>
            <w:tcBorders>
              <w:top w:val="single" w:color="auto" w:sz="4" w:space="0"/>
              <w:left w:val="nil"/>
              <w:bottom w:val="single" w:color="auto" w:sz="4" w:space="0"/>
              <w:right w:val="single" w:color="auto" w:sz="4" w:space="0"/>
            </w:tcBorders>
            <w:vAlign w:val="center"/>
          </w:tcPr>
          <w:p w14:paraId="324D5FB2">
            <w:pPr>
              <w:jc w:val="center"/>
              <w:rPr>
                <w:rFonts w:cs="Times New Roman"/>
                <w:bCs w:val="0"/>
                <w:sz w:val="15"/>
                <w:szCs w:val="15"/>
              </w:rPr>
            </w:pPr>
            <w:r>
              <w:rPr>
                <w:rFonts w:cs="Times New Roman"/>
                <w:sz w:val="15"/>
                <w:szCs w:val="15"/>
              </w:rPr>
              <w:t>项目已转让</w:t>
            </w:r>
          </w:p>
        </w:tc>
        <w:tc>
          <w:tcPr>
            <w:tcW w:w="239" w:type="pct"/>
            <w:tcBorders>
              <w:top w:val="single" w:color="auto" w:sz="4" w:space="0"/>
              <w:left w:val="nil"/>
              <w:bottom w:val="single" w:color="auto" w:sz="4" w:space="0"/>
              <w:right w:val="single" w:color="auto" w:sz="4" w:space="0"/>
            </w:tcBorders>
            <w:vAlign w:val="center"/>
          </w:tcPr>
          <w:p w14:paraId="24B36A45">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98" w:type="pct"/>
            <w:tcBorders>
              <w:top w:val="single" w:color="auto" w:sz="4" w:space="0"/>
              <w:left w:val="nil"/>
              <w:bottom w:val="single" w:color="auto" w:sz="4" w:space="0"/>
              <w:right w:val="single" w:color="auto" w:sz="4" w:space="0"/>
            </w:tcBorders>
            <w:vAlign w:val="center"/>
          </w:tcPr>
          <w:p w14:paraId="0BAC580F">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7C3BAF86">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697FA6CD">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786AEB04">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71DFB570">
            <w:pPr>
              <w:jc w:val="center"/>
              <w:rPr>
                <w:rFonts w:cs="Times New Roman"/>
                <w:bCs w:val="0"/>
                <w:sz w:val="15"/>
                <w:szCs w:val="15"/>
              </w:rPr>
            </w:pPr>
            <w:r>
              <w:rPr>
                <w:rFonts w:cs="Times New Roman"/>
                <w:sz w:val="15"/>
                <w:szCs w:val="15"/>
              </w:rPr>
              <w:t>是</w:t>
            </w:r>
          </w:p>
        </w:tc>
        <w:tc>
          <w:tcPr>
            <w:tcW w:w="279" w:type="pct"/>
            <w:tcBorders>
              <w:top w:val="single" w:color="auto" w:sz="4" w:space="0"/>
              <w:left w:val="nil"/>
              <w:bottom w:val="single" w:color="auto" w:sz="4" w:space="0"/>
              <w:right w:val="single" w:color="auto" w:sz="4" w:space="0"/>
            </w:tcBorders>
            <w:vAlign w:val="center"/>
          </w:tcPr>
          <w:p w14:paraId="2036CB50">
            <w:pPr>
              <w:jc w:val="right"/>
              <w:rPr>
                <w:rFonts w:cs="Times New Roman"/>
                <w:bCs w:val="0"/>
                <w:sz w:val="15"/>
                <w:szCs w:val="15"/>
              </w:rPr>
            </w:pPr>
          </w:p>
        </w:tc>
      </w:tr>
      <w:tr w14:paraId="668DBC1A">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19C194CC">
            <w:pPr>
              <w:jc w:val="center"/>
              <w:rPr>
                <w:rFonts w:cs="Times New Roman"/>
                <w:bCs w:val="0"/>
                <w:color w:val="000000" w:themeColor="text1"/>
                <w:sz w:val="15"/>
                <w:szCs w:val="15"/>
                <w14:textFill>
                  <w14:solidFill>
                    <w14:schemeClr w14:val="tx1"/>
                  </w14:solidFill>
                </w14:textFill>
              </w:rPr>
            </w:pPr>
            <w:r>
              <w:rPr>
                <w:rFonts w:cs="Times New Roman"/>
                <w:sz w:val="15"/>
                <w:szCs w:val="15"/>
              </w:rPr>
              <w:t>向特定对象发行股票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73265789">
            <w:pPr>
              <w:jc w:val="center"/>
              <w:rPr>
                <w:rFonts w:cs="Times New Roman"/>
                <w:bCs w:val="0"/>
                <w:sz w:val="15"/>
                <w:szCs w:val="15"/>
              </w:rPr>
            </w:pPr>
            <w:r>
              <w:rPr>
                <w:rFonts w:cs="Times New Roman"/>
                <w:sz w:val="15"/>
                <w:szCs w:val="15"/>
              </w:rPr>
              <w:t>际华园西安项目</w:t>
            </w:r>
          </w:p>
        </w:tc>
        <w:tc>
          <w:tcPr>
            <w:tcW w:w="196" w:type="pct"/>
            <w:tcBorders>
              <w:top w:val="single" w:color="auto" w:sz="4" w:space="0"/>
              <w:left w:val="single" w:color="auto" w:sz="4" w:space="0"/>
              <w:bottom w:val="single" w:color="auto" w:sz="4" w:space="0"/>
              <w:right w:val="single" w:color="auto" w:sz="4" w:space="0"/>
            </w:tcBorders>
            <w:vAlign w:val="center"/>
          </w:tcPr>
          <w:p w14:paraId="1DF4DE2A">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7BF77B4F">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351" w:type="pct"/>
            <w:tcBorders>
              <w:top w:val="single" w:color="auto" w:sz="4" w:space="0"/>
              <w:left w:val="single" w:color="auto" w:sz="4" w:space="0"/>
              <w:bottom w:val="single" w:color="auto" w:sz="4" w:space="0"/>
              <w:right w:val="single" w:color="auto" w:sz="4" w:space="0"/>
            </w:tcBorders>
            <w:vAlign w:val="center"/>
          </w:tcPr>
          <w:p w14:paraId="47999C34">
            <w:pPr>
              <w:rPr>
                <w:rFonts w:cs="Times New Roman"/>
                <w:bCs w:val="0"/>
                <w:color w:val="000000" w:themeColor="text1"/>
                <w:sz w:val="15"/>
                <w:szCs w:val="15"/>
                <w14:textFill>
                  <w14:solidFill>
                    <w14:schemeClr w14:val="tx1"/>
                  </w14:solidFill>
                </w14:textFill>
              </w:rPr>
            </w:pPr>
            <w:r>
              <w:rPr>
                <w:rFonts w:cs="Times New Roman"/>
                <w:sz w:val="15"/>
                <w:szCs w:val="15"/>
              </w:rPr>
              <w:t>是，此项目取消</w:t>
            </w:r>
          </w:p>
        </w:tc>
        <w:tc>
          <w:tcPr>
            <w:tcW w:w="330" w:type="pct"/>
            <w:tcBorders>
              <w:top w:val="single" w:color="auto" w:sz="4" w:space="0"/>
              <w:left w:val="nil"/>
              <w:bottom w:val="single" w:color="auto" w:sz="4" w:space="0"/>
              <w:right w:val="single" w:color="auto" w:sz="4" w:space="0"/>
            </w:tcBorders>
            <w:vAlign w:val="center"/>
          </w:tcPr>
          <w:p w14:paraId="74CDB0A8">
            <w:pPr>
              <w:jc w:val="right"/>
              <w:rPr>
                <w:rFonts w:cs="Times New Roman"/>
                <w:sz w:val="15"/>
                <w:szCs w:val="15"/>
              </w:rPr>
            </w:pPr>
            <w:r>
              <w:rPr>
                <w:rFonts w:cs="Times New Roman"/>
                <w:sz w:val="15"/>
                <w:szCs w:val="15"/>
              </w:rPr>
              <w:t>36,434.49</w:t>
            </w:r>
          </w:p>
        </w:tc>
        <w:tc>
          <w:tcPr>
            <w:tcW w:w="314" w:type="pct"/>
            <w:tcBorders>
              <w:top w:val="single" w:color="auto" w:sz="4" w:space="0"/>
              <w:left w:val="single" w:color="auto" w:sz="4" w:space="0"/>
              <w:bottom w:val="single" w:color="auto" w:sz="4" w:space="0"/>
              <w:right w:val="single" w:color="auto" w:sz="4" w:space="0"/>
            </w:tcBorders>
            <w:vAlign w:val="center"/>
          </w:tcPr>
          <w:p w14:paraId="315A217E">
            <w:pPr>
              <w:jc w:val="right"/>
              <w:rPr>
                <w:rFonts w:cs="Times New Roman"/>
                <w:sz w:val="15"/>
                <w:szCs w:val="15"/>
              </w:rPr>
            </w:pPr>
          </w:p>
        </w:tc>
        <w:tc>
          <w:tcPr>
            <w:tcW w:w="324" w:type="pct"/>
            <w:tcBorders>
              <w:top w:val="single" w:color="auto" w:sz="4" w:space="0"/>
              <w:left w:val="single" w:color="auto" w:sz="4" w:space="0"/>
              <w:bottom w:val="single" w:color="auto" w:sz="4" w:space="0"/>
              <w:right w:val="single" w:color="auto" w:sz="4" w:space="0"/>
            </w:tcBorders>
            <w:vAlign w:val="center"/>
          </w:tcPr>
          <w:p w14:paraId="7D9961D5">
            <w:pPr>
              <w:jc w:val="right"/>
              <w:rPr>
                <w:rFonts w:cs="Times New Roman"/>
                <w:sz w:val="15"/>
                <w:szCs w:val="15"/>
              </w:rPr>
            </w:pPr>
            <w:r>
              <w:rPr>
                <w:rFonts w:cs="Times New Roman"/>
                <w:sz w:val="15"/>
                <w:szCs w:val="15"/>
              </w:rPr>
              <w:t>36,434.49</w:t>
            </w:r>
          </w:p>
        </w:tc>
        <w:tc>
          <w:tcPr>
            <w:tcW w:w="292" w:type="pct"/>
            <w:tcBorders>
              <w:top w:val="single" w:color="auto" w:sz="4" w:space="0"/>
              <w:left w:val="nil"/>
              <w:bottom w:val="single" w:color="auto" w:sz="4" w:space="0"/>
              <w:right w:val="single" w:color="auto" w:sz="4" w:space="0"/>
            </w:tcBorders>
            <w:vAlign w:val="center"/>
          </w:tcPr>
          <w:p w14:paraId="2E6E88CD">
            <w:pPr>
              <w:jc w:val="right"/>
              <w:rPr>
                <w:rFonts w:cs="Times New Roman"/>
                <w:sz w:val="15"/>
                <w:szCs w:val="15"/>
              </w:rPr>
            </w:pPr>
            <w:r>
              <w:rPr>
                <w:rFonts w:cs="Times New Roman"/>
                <w:sz w:val="15"/>
                <w:szCs w:val="15"/>
              </w:rPr>
              <w:t>100</w:t>
            </w:r>
          </w:p>
        </w:tc>
        <w:tc>
          <w:tcPr>
            <w:tcW w:w="282" w:type="pct"/>
            <w:tcBorders>
              <w:top w:val="single" w:color="auto" w:sz="4" w:space="0"/>
              <w:left w:val="nil"/>
              <w:bottom w:val="single" w:color="auto" w:sz="4" w:space="0"/>
              <w:right w:val="single" w:color="auto" w:sz="4" w:space="0"/>
            </w:tcBorders>
            <w:vAlign w:val="center"/>
          </w:tcPr>
          <w:p w14:paraId="0F4189B5">
            <w:pPr>
              <w:jc w:val="center"/>
              <w:rPr>
                <w:rFonts w:cs="Times New Roman"/>
                <w:bCs w:val="0"/>
                <w:sz w:val="15"/>
                <w:szCs w:val="15"/>
              </w:rPr>
            </w:pPr>
            <w:r>
              <w:rPr>
                <w:rFonts w:cs="Times New Roman"/>
                <w:sz w:val="15"/>
                <w:szCs w:val="15"/>
              </w:rPr>
              <w:t>项目已转让</w:t>
            </w:r>
          </w:p>
        </w:tc>
        <w:tc>
          <w:tcPr>
            <w:tcW w:w="239" w:type="pct"/>
            <w:tcBorders>
              <w:top w:val="single" w:color="auto" w:sz="4" w:space="0"/>
              <w:left w:val="nil"/>
              <w:bottom w:val="single" w:color="auto" w:sz="4" w:space="0"/>
              <w:right w:val="single" w:color="auto" w:sz="4" w:space="0"/>
            </w:tcBorders>
            <w:vAlign w:val="center"/>
          </w:tcPr>
          <w:p w14:paraId="12E165B3">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98" w:type="pct"/>
            <w:tcBorders>
              <w:top w:val="single" w:color="auto" w:sz="4" w:space="0"/>
              <w:left w:val="nil"/>
              <w:bottom w:val="single" w:color="auto" w:sz="4" w:space="0"/>
              <w:right w:val="single" w:color="auto" w:sz="4" w:space="0"/>
            </w:tcBorders>
            <w:vAlign w:val="center"/>
          </w:tcPr>
          <w:p w14:paraId="0671CE59">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1ABAE6CA">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0D39B7B3">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600F387F">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5EEBF295">
            <w:pPr>
              <w:jc w:val="center"/>
              <w:rPr>
                <w:rFonts w:cs="Times New Roman"/>
                <w:bCs w:val="0"/>
                <w:sz w:val="15"/>
                <w:szCs w:val="15"/>
              </w:rPr>
            </w:pPr>
            <w:r>
              <w:rPr>
                <w:rFonts w:cs="Times New Roman"/>
                <w:sz w:val="15"/>
                <w:szCs w:val="15"/>
              </w:rPr>
              <w:t>是</w:t>
            </w:r>
          </w:p>
        </w:tc>
        <w:tc>
          <w:tcPr>
            <w:tcW w:w="279" w:type="pct"/>
            <w:tcBorders>
              <w:top w:val="single" w:color="auto" w:sz="4" w:space="0"/>
              <w:left w:val="nil"/>
              <w:bottom w:val="single" w:color="auto" w:sz="4" w:space="0"/>
              <w:right w:val="single" w:color="auto" w:sz="4" w:space="0"/>
            </w:tcBorders>
            <w:vAlign w:val="center"/>
          </w:tcPr>
          <w:p w14:paraId="1DAECE99">
            <w:pPr>
              <w:jc w:val="right"/>
              <w:rPr>
                <w:rFonts w:cs="Times New Roman"/>
                <w:bCs w:val="0"/>
                <w:sz w:val="15"/>
                <w:szCs w:val="15"/>
              </w:rPr>
            </w:pPr>
          </w:p>
        </w:tc>
      </w:tr>
      <w:tr w14:paraId="627AE15D">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4454C2D8">
            <w:pPr>
              <w:jc w:val="center"/>
              <w:rPr>
                <w:rFonts w:cs="Times New Roman"/>
                <w:bCs w:val="0"/>
                <w:color w:val="000000" w:themeColor="text1"/>
                <w:sz w:val="15"/>
                <w:szCs w:val="15"/>
                <w14:textFill>
                  <w14:solidFill>
                    <w14:schemeClr w14:val="tx1"/>
                  </w14:solidFill>
                </w14:textFill>
              </w:rPr>
            </w:pPr>
            <w:r>
              <w:rPr>
                <w:rFonts w:cs="Times New Roman"/>
                <w:sz w:val="15"/>
                <w:szCs w:val="15"/>
              </w:rPr>
              <w:t>向特定对象发行股票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30EE0C7A">
            <w:pPr>
              <w:jc w:val="center"/>
              <w:rPr>
                <w:rFonts w:cs="Times New Roman"/>
                <w:bCs w:val="0"/>
                <w:sz w:val="15"/>
                <w:szCs w:val="15"/>
              </w:rPr>
            </w:pPr>
            <w:r>
              <w:rPr>
                <w:rFonts w:cs="Times New Roman"/>
                <w:sz w:val="15"/>
                <w:szCs w:val="15"/>
              </w:rPr>
              <w:t>际华服装智能化生产线改造</w:t>
            </w:r>
          </w:p>
        </w:tc>
        <w:tc>
          <w:tcPr>
            <w:tcW w:w="196" w:type="pct"/>
            <w:tcBorders>
              <w:top w:val="single" w:color="auto" w:sz="4" w:space="0"/>
              <w:left w:val="single" w:color="auto" w:sz="4" w:space="0"/>
              <w:bottom w:val="single" w:color="auto" w:sz="4" w:space="0"/>
              <w:right w:val="single" w:color="auto" w:sz="4" w:space="0"/>
            </w:tcBorders>
            <w:vAlign w:val="center"/>
          </w:tcPr>
          <w:p w14:paraId="1711BEE5">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6913026D">
            <w:pPr>
              <w:jc w:val="cente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351" w:type="pct"/>
            <w:tcBorders>
              <w:top w:val="single" w:color="auto" w:sz="4" w:space="0"/>
              <w:left w:val="single" w:color="auto" w:sz="4" w:space="0"/>
              <w:bottom w:val="single" w:color="auto" w:sz="4" w:space="0"/>
              <w:right w:val="single" w:color="auto" w:sz="4" w:space="0"/>
            </w:tcBorders>
            <w:vAlign w:val="center"/>
          </w:tcPr>
          <w:p w14:paraId="06A535F2">
            <w:pPr>
              <w:rPr>
                <w:rFonts w:cs="Times New Roman"/>
                <w:bCs w:val="0"/>
                <w:color w:val="000000" w:themeColor="text1"/>
                <w:sz w:val="15"/>
                <w:szCs w:val="15"/>
                <w14:textFill>
                  <w14:solidFill>
                    <w14:schemeClr w14:val="tx1"/>
                  </w14:solidFill>
                </w14:textFill>
              </w:rPr>
            </w:pPr>
            <w:r>
              <w:rPr>
                <w:rFonts w:cs="Times New Roman"/>
                <w:sz w:val="15"/>
                <w:szCs w:val="15"/>
              </w:rPr>
              <w:t>是，此项目未取消，调整募集资金投资总额</w:t>
            </w:r>
          </w:p>
        </w:tc>
        <w:tc>
          <w:tcPr>
            <w:tcW w:w="330" w:type="pct"/>
            <w:tcBorders>
              <w:top w:val="single" w:color="auto" w:sz="4" w:space="0"/>
              <w:left w:val="nil"/>
              <w:bottom w:val="single" w:color="auto" w:sz="4" w:space="0"/>
              <w:right w:val="single" w:color="auto" w:sz="4" w:space="0"/>
            </w:tcBorders>
            <w:vAlign w:val="center"/>
          </w:tcPr>
          <w:p w14:paraId="455AC4BC">
            <w:pPr>
              <w:jc w:val="right"/>
              <w:rPr>
                <w:rFonts w:cs="Times New Roman"/>
                <w:sz w:val="15"/>
                <w:szCs w:val="15"/>
              </w:rPr>
            </w:pPr>
            <w:r>
              <w:rPr>
                <w:rFonts w:cs="Times New Roman"/>
                <w:sz w:val="15"/>
                <w:szCs w:val="15"/>
              </w:rPr>
              <w:t>22,692.65</w:t>
            </w:r>
          </w:p>
        </w:tc>
        <w:tc>
          <w:tcPr>
            <w:tcW w:w="314" w:type="pct"/>
            <w:tcBorders>
              <w:top w:val="single" w:color="auto" w:sz="4" w:space="0"/>
              <w:left w:val="single" w:color="auto" w:sz="4" w:space="0"/>
              <w:bottom w:val="single" w:color="auto" w:sz="4" w:space="0"/>
              <w:right w:val="single" w:color="auto" w:sz="4" w:space="0"/>
            </w:tcBorders>
            <w:vAlign w:val="center"/>
          </w:tcPr>
          <w:p w14:paraId="312A48D1">
            <w:pPr>
              <w:jc w:val="right"/>
              <w:rPr>
                <w:rFonts w:cs="Times New Roman"/>
                <w:sz w:val="15"/>
                <w:szCs w:val="15"/>
              </w:rPr>
            </w:pPr>
            <w:r>
              <w:rPr>
                <w:rFonts w:cs="Times New Roman"/>
                <w:sz w:val="15"/>
                <w:szCs w:val="15"/>
              </w:rPr>
              <w:t>1,381.97</w:t>
            </w:r>
          </w:p>
        </w:tc>
        <w:tc>
          <w:tcPr>
            <w:tcW w:w="324" w:type="pct"/>
            <w:tcBorders>
              <w:top w:val="single" w:color="auto" w:sz="4" w:space="0"/>
              <w:left w:val="single" w:color="auto" w:sz="4" w:space="0"/>
              <w:bottom w:val="single" w:color="auto" w:sz="4" w:space="0"/>
              <w:right w:val="single" w:color="auto" w:sz="4" w:space="0"/>
            </w:tcBorders>
            <w:vAlign w:val="center"/>
          </w:tcPr>
          <w:p w14:paraId="3EB9CBA7">
            <w:pPr>
              <w:jc w:val="right"/>
              <w:rPr>
                <w:rFonts w:cs="Times New Roman"/>
                <w:sz w:val="15"/>
                <w:szCs w:val="15"/>
              </w:rPr>
            </w:pPr>
            <w:r>
              <w:rPr>
                <w:rFonts w:cs="Times New Roman"/>
                <w:sz w:val="15"/>
                <w:szCs w:val="15"/>
              </w:rPr>
              <w:t>12,444.47</w:t>
            </w:r>
          </w:p>
        </w:tc>
        <w:tc>
          <w:tcPr>
            <w:tcW w:w="292" w:type="pct"/>
            <w:tcBorders>
              <w:top w:val="single" w:color="auto" w:sz="4" w:space="0"/>
              <w:left w:val="nil"/>
              <w:bottom w:val="single" w:color="auto" w:sz="4" w:space="0"/>
              <w:right w:val="single" w:color="auto" w:sz="4" w:space="0"/>
            </w:tcBorders>
            <w:vAlign w:val="center"/>
          </w:tcPr>
          <w:p w14:paraId="4F43CAE4">
            <w:pPr>
              <w:jc w:val="right"/>
              <w:rPr>
                <w:rFonts w:cs="Times New Roman"/>
                <w:sz w:val="15"/>
                <w:szCs w:val="15"/>
              </w:rPr>
            </w:pPr>
            <w:r>
              <w:rPr>
                <w:rFonts w:cs="Times New Roman"/>
                <w:sz w:val="15"/>
                <w:szCs w:val="15"/>
              </w:rPr>
              <w:t>54.84</w:t>
            </w:r>
          </w:p>
        </w:tc>
        <w:tc>
          <w:tcPr>
            <w:tcW w:w="282" w:type="pct"/>
            <w:tcBorders>
              <w:top w:val="single" w:color="auto" w:sz="4" w:space="0"/>
              <w:left w:val="nil"/>
              <w:bottom w:val="single" w:color="auto" w:sz="4" w:space="0"/>
              <w:right w:val="single" w:color="auto" w:sz="4" w:space="0"/>
            </w:tcBorders>
            <w:vAlign w:val="center"/>
          </w:tcPr>
          <w:p w14:paraId="7BF5C1E9">
            <w:pPr>
              <w:jc w:val="center"/>
              <w:rPr>
                <w:rFonts w:cs="Times New Roman"/>
                <w:bCs w:val="0"/>
                <w:sz w:val="15"/>
                <w:szCs w:val="15"/>
              </w:rPr>
            </w:pPr>
            <w:r>
              <w:rPr>
                <w:rFonts w:cs="Times New Roman"/>
                <w:sz w:val="15"/>
                <w:szCs w:val="15"/>
              </w:rPr>
              <w:t>2025年12月</w:t>
            </w:r>
          </w:p>
        </w:tc>
        <w:tc>
          <w:tcPr>
            <w:tcW w:w="239" w:type="pct"/>
            <w:tcBorders>
              <w:top w:val="single" w:color="auto" w:sz="4" w:space="0"/>
              <w:left w:val="nil"/>
              <w:bottom w:val="single" w:color="auto" w:sz="4" w:space="0"/>
              <w:right w:val="single" w:color="auto" w:sz="4" w:space="0"/>
            </w:tcBorders>
            <w:vAlign w:val="center"/>
          </w:tcPr>
          <w:p w14:paraId="717F3EB4">
            <w:pPr>
              <w:jc w:val="cente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298" w:type="pct"/>
            <w:tcBorders>
              <w:top w:val="single" w:color="auto" w:sz="4" w:space="0"/>
              <w:left w:val="nil"/>
              <w:bottom w:val="single" w:color="auto" w:sz="4" w:space="0"/>
              <w:right w:val="single" w:color="auto" w:sz="4" w:space="0"/>
            </w:tcBorders>
            <w:vAlign w:val="center"/>
          </w:tcPr>
          <w:p w14:paraId="3AD70177">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3F4047C9">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2D093561">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0EC4178A">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6CF46ACE">
            <w:pPr>
              <w:jc w:val="center"/>
              <w:rPr>
                <w:rFonts w:cs="Times New Roman"/>
                <w:bCs w:val="0"/>
                <w:sz w:val="15"/>
                <w:szCs w:val="15"/>
              </w:rPr>
            </w:pPr>
            <w:r>
              <w:rPr>
                <w:rFonts w:cs="Times New Roman"/>
                <w:sz w:val="15"/>
                <w:szCs w:val="15"/>
              </w:rPr>
              <w:t>否</w:t>
            </w:r>
          </w:p>
        </w:tc>
        <w:tc>
          <w:tcPr>
            <w:tcW w:w="279" w:type="pct"/>
            <w:tcBorders>
              <w:top w:val="single" w:color="auto" w:sz="4" w:space="0"/>
              <w:left w:val="nil"/>
              <w:bottom w:val="single" w:color="auto" w:sz="4" w:space="0"/>
              <w:right w:val="single" w:color="auto" w:sz="4" w:space="0"/>
            </w:tcBorders>
            <w:vAlign w:val="center"/>
          </w:tcPr>
          <w:p w14:paraId="14D80BF2">
            <w:pPr>
              <w:jc w:val="right"/>
              <w:rPr>
                <w:rFonts w:cs="Times New Roman"/>
                <w:bCs w:val="0"/>
                <w:sz w:val="15"/>
                <w:szCs w:val="15"/>
              </w:rPr>
            </w:pPr>
          </w:p>
        </w:tc>
      </w:tr>
      <w:tr w14:paraId="4BA686BA">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5045B579">
            <w:pPr>
              <w:jc w:val="center"/>
              <w:rPr>
                <w:rFonts w:cs="Times New Roman"/>
                <w:bCs w:val="0"/>
                <w:color w:val="000000" w:themeColor="text1"/>
                <w:sz w:val="15"/>
                <w:szCs w:val="15"/>
                <w14:textFill>
                  <w14:solidFill>
                    <w14:schemeClr w14:val="tx1"/>
                  </w14:solidFill>
                </w14:textFill>
              </w:rPr>
            </w:pPr>
            <w:r>
              <w:rPr>
                <w:rFonts w:cs="Times New Roman"/>
                <w:sz w:val="15"/>
                <w:szCs w:val="15"/>
              </w:rPr>
              <w:t>向特定对象发行股票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79A52B2F">
            <w:pPr>
              <w:jc w:val="center"/>
              <w:rPr>
                <w:rFonts w:cs="Times New Roman"/>
                <w:bCs w:val="0"/>
                <w:sz w:val="15"/>
                <w:szCs w:val="15"/>
              </w:rPr>
            </w:pPr>
            <w:r>
              <w:rPr>
                <w:rFonts w:cs="Times New Roman"/>
                <w:sz w:val="15"/>
                <w:szCs w:val="15"/>
              </w:rPr>
              <w:t>际华鞋靴智能化生产线改造</w:t>
            </w:r>
          </w:p>
        </w:tc>
        <w:tc>
          <w:tcPr>
            <w:tcW w:w="196" w:type="pct"/>
            <w:tcBorders>
              <w:top w:val="single" w:color="auto" w:sz="4" w:space="0"/>
              <w:left w:val="single" w:color="auto" w:sz="4" w:space="0"/>
              <w:bottom w:val="single" w:color="auto" w:sz="4" w:space="0"/>
              <w:right w:val="single" w:color="auto" w:sz="4" w:space="0"/>
            </w:tcBorders>
            <w:vAlign w:val="center"/>
          </w:tcPr>
          <w:p w14:paraId="7ACE2FA5">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1DBEC775">
            <w:pPr>
              <w:jc w:val="cente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351" w:type="pct"/>
            <w:tcBorders>
              <w:top w:val="single" w:color="auto" w:sz="4" w:space="0"/>
              <w:left w:val="single" w:color="auto" w:sz="4" w:space="0"/>
              <w:bottom w:val="single" w:color="auto" w:sz="4" w:space="0"/>
              <w:right w:val="single" w:color="auto" w:sz="4" w:space="0"/>
            </w:tcBorders>
            <w:vAlign w:val="center"/>
          </w:tcPr>
          <w:p w14:paraId="144883E9">
            <w:pPr>
              <w:rPr>
                <w:rFonts w:cs="Times New Roman"/>
                <w:bCs w:val="0"/>
                <w:color w:val="000000" w:themeColor="text1"/>
                <w:sz w:val="15"/>
                <w:szCs w:val="15"/>
                <w14:textFill>
                  <w14:solidFill>
                    <w14:schemeClr w14:val="tx1"/>
                  </w14:solidFill>
                </w14:textFill>
              </w:rPr>
            </w:pPr>
            <w:r>
              <w:rPr>
                <w:rFonts w:cs="Times New Roman"/>
                <w:sz w:val="15"/>
                <w:szCs w:val="15"/>
              </w:rPr>
              <w:t>是，此项目为新项目</w:t>
            </w:r>
          </w:p>
        </w:tc>
        <w:tc>
          <w:tcPr>
            <w:tcW w:w="330" w:type="pct"/>
            <w:tcBorders>
              <w:top w:val="single" w:color="auto" w:sz="4" w:space="0"/>
              <w:left w:val="nil"/>
              <w:bottom w:val="single" w:color="auto" w:sz="4" w:space="0"/>
              <w:right w:val="single" w:color="auto" w:sz="4" w:space="0"/>
            </w:tcBorders>
            <w:vAlign w:val="center"/>
          </w:tcPr>
          <w:p w14:paraId="12E22603">
            <w:pPr>
              <w:jc w:val="right"/>
              <w:rPr>
                <w:rFonts w:cs="Times New Roman"/>
                <w:sz w:val="15"/>
                <w:szCs w:val="15"/>
              </w:rPr>
            </w:pPr>
            <w:r>
              <w:rPr>
                <w:rFonts w:cs="Times New Roman"/>
                <w:sz w:val="15"/>
                <w:szCs w:val="15"/>
              </w:rPr>
              <w:t>20,852.70</w:t>
            </w:r>
          </w:p>
        </w:tc>
        <w:tc>
          <w:tcPr>
            <w:tcW w:w="314" w:type="pct"/>
            <w:tcBorders>
              <w:top w:val="single" w:color="auto" w:sz="4" w:space="0"/>
              <w:left w:val="single" w:color="auto" w:sz="4" w:space="0"/>
              <w:bottom w:val="single" w:color="auto" w:sz="4" w:space="0"/>
              <w:right w:val="single" w:color="auto" w:sz="4" w:space="0"/>
            </w:tcBorders>
            <w:vAlign w:val="center"/>
          </w:tcPr>
          <w:p w14:paraId="52B8F2DA">
            <w:pPr>
              <w:jc w:val="right"/>
              <w:rPr>
                <w:rFonts w:cs="Times New Roman"/>
                <w:sz w:val="15"/>
                <w:szCs w:val="15"/>
              </w:rPr>
            </w:pPr>
            <w:r>
              <w:rPr>
                <w:rFonts w:cs="Times New Roman"/>
                <w:sz w:val="15"/>
                <w:szCs w:val="15"/>
              </w:rPr>
              <w:t>15.60</w:t>
            </w:r>
          </w:p>
        </w:tc>
        <w:tc>
          <w:tcPr>
            <w:tcW w:w="324" w:type="pct"/>
            <w:tcBorders>
              <w:top w:val="single" w:color="auto" w:sz="4" w:space="0"/>
              <w:left w:val="single" w:color="auto" w:sz="4" w:space="0"/>
              <w:bottom w:val="single" w:color="auto" w:sz="4" w:space="0"/>
              <w:right w:val="single" w:color="auto" w:sz="4" w:space="0"/>
            </w:tcBorders>
            <w:vAlign w:val="center"/>
          </w:tcPr>
          <w:p w14:paraId="7DACF199">
            <w:pPr>
              <w:jc w:val="right"/>
              <w:rPr>
                <w:rFonts w:cs="Times New Roman"/>
                <w:sz w:val="15"/>
                <w:szCs w:val="15"/>
              </w:rPr>
            </w:pPr>
            <w:r>
              <w:rPr>
                <w:rFonts w:cs="Times New Roman"/>
                <w:sz w:val="15"/>
                <w:szCs w:val="15"/>
              </w:rPr>
              <w:t>7,346.10</w:t>
            </w:r>
          </w:p>
        </w:tc>
        <w:tc>
          <w:tcPr>
            <w:tcW w:w="292" w:type="pct"/>
            <w:tcBorders>
              <w:top w:val="single" w:color="auto" w:sz="4" w:space="0"/>
              <w:left w:val="nil"/>
              <w:bottom w:val="single" w:color="auto" w:sz="4" w:space="0"/>
              <w:right w:val="single" w:color="auto" w:sz="4" w:space="0"/>
            </w:tcBorders>
            <w:vAlign w:val="center"/>
          </w:tcPr>
          <w:p w14:paraId="3E637BA0">
            <w:pPr>
              <w:jc w:val="right"/>
              <w:rPr>
                <w:rFonts w:cs="Times New Roman"/>
                <w:sz w:val="15"/>
                <w:szCs w:val="15"/>
              </w:rPr>
            </w:pPr>
            <w:r>
              <w:rPr>
                <w:rFonts w:cs="Times New Roman"/>
                <w:sz w:val="15"/>
                <w:szCs w:val="15"/>
              </w:rPr>
              <w:t>35.23</w:t>
            </w:r>
          </w:p>
        </w:tc>
        <w:tc>
          <w:tcPr>
            <w:tcW w:w="282" w:type="pct"/>
            <w:tcBorders>
              <w:top w:val="single" w:color="auto" w:sz="4" w:space="0"/>
              <w:left w:val="nil"/>
              <w:bottom w:val="single" w:color="auto" w:sz="4" w:space="0"/>
              <w:right w:val="single" w:color="auto" w:sz="4" w:space="0"/>
            </w:tcBorders>
            <w:vAlign w:val="center"/>
          </w:tcPr>
          <w:p w14:paraId="0E75C9FF">
            <w:pPr>
              <w:jc w:val="center"/>
              <w:rPr>
                <w:rFonts w:cs="Times New Roman"/>
                <w:bCs w:val="0"/>
                <w:sz w:val="15"/>
                <w:szCs w:val="15"/>
              </w:rPr>
            </w:pPr>
            <w:r>
              <w:rPr>
                <w:rFonts w:cs="Times New Roman"/>
                <w:sz w:val="15"/>
                <w:szCs w:val="15"/>
              </w:rPr>
              <w:t>2025年12月</w:t>
            </w:r>
          </w:p>
        </w:tc>
        <w:tc>
          <w:tcPr>
            <w:tcW w:w="239" w:type="pct"/>
            <w:tcBorders>
              <w:top w:val="single" w:color="auto" w:sz="4" w:space="0"/>
              <w:left w:val="nil"/>
              <w:bottom w:val="single" w:color="auto" w:sz="4" w:space="0"/>
              <w:right w:val="single" w:color="auto" w:sz="4" w:space="0"/>
            </w:tcBorders>
            <w:vAlign w:val="center"/>
          </w:tcPr>
          <w:p w14:paraId="37DB0DE4">
            <w:pPr>
              <w:jc w:val="cente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298" w:type="pct"/>
            <w:tcBorders>
              <w:top w:val="single" w:color="auto" w:sz="4" w:space="0"/>
              <w:left w:val="nil"/>
              <w:bottom w:val="single" w:color="auto" w:sz="4" w:space="0"/>
              <w:right w:val="single" w:color="auto" w:sz="4" w:space="0"/>
            </w:tcBorders>
            <w:vAlign w:val="center"/>
          </w:tcPr>
          <w:p w14:paraId="4D402C90">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3E38ECF8">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1B53DB19">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402CE437">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4875D4C5">
            <w:pPr>
              <w:jc w:val="center"/>
              <w:rPr>
                <w:rFonts w:cs="Times New Roman"/>
                <w:bCs w:val="0"/>
                <w:sz w:val="15"/>
                <w:szCs w:val="15"/>
              </w:rPr>
            </w:pPr>
            <w:r>
              <w:rPr>
                <w:rFonts w:cs="Times New Roman"/>
                <w:sz w:val="15"/>
                <w:szCs w:val="15"/>
              </w:rPr>
              <w:t>否</w:t>
            </w:r>
          </w:p>
        </w:tc>
        <w:tc>
          <w:tcPr>
            <w:tcW w:w="279" w:type="pct"/>
            <w:tcBorders>
              <w:top w:val="single" w:color="auto" w:sz="4" w:space="0"/>
              <w:left w:val="nil"/>
              <w:bottom w:val="single" w:color="auto" w:sz="4" w:space="0"/>
              <w:right w:val="single" w:color="auto" w:sz="4" w:space="0"/>
            </w:tcBorders>
            <w:vAlign w:val="center"/>
          </w:tcPr>
          <w:p w14:paraId="3342AD57">
            <w:pPr>
              <w:jc w:val="right"/>
              <w:rPr>
                <w:rFonts w:cs="Times New Roman"/>
                <w:bCs w:val="0"/>
                <w:sz w:val="15"/>
                <w:szCs w:val="15"/>
              </w:rPr>
            </w:pPr>
          </w:p>
        </w:tc>
      </w:tr>
      <w:tr w14:paraId="7C4485C7">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77F1F927">
            <w:pPr>
              <w:jc w:val="center"/>
              <w:rPr>
                <w:rFonts w:cs="Times New Roman"/>
                <w:bCs w:val="0"/>
                <w:color w:val="000000" w:themeColor="text1"/>
                <w:sz w:val="15"/>
                <w:szCs w:val="15"/>
                <w14:textFill>
                  <w14:solidFill>
                    <w14:schemeClr w14:val="tx1"/>
                  </w14:solidFill>
                </w14:textFill>
              </w:rPr>
            </w:pPr>
            <w:r>
              <w:rPr>
                <w:rFonts w:cs="Times New Roman"/>
                <w:sz w:val="15"/>
                <w:szCs w:val="15"/>
              </w:rPr>
              <w:t>向特定对象发行股票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4F2EE69A">
            <w:pPr>
              <w:jc w:val="center"/>
              <w:rPr>
                <w:rFonts w:cs="Times New Roman"/>
                <w:bCs w:val="0"/>
                <w:sz w:val="15"/>
                <w:szCs w:val="15"/>
              </w:rPr>
            </w:pPr>
            <w:r>
              <w:rPr>
                <w:rFonts w:cs="Times New Roman"/>
                <w:sz w:val="15"/>
                <w:szCs w:val="15"/>
              </w:rPr>
              <w:t>际华集团信息化系统建设</w:t>
            </w:r>
          </w:p>
        </w:tc>
        <w:tc>
          <w:tcPr>
            <w:tcW w:w="196" w:type="pct"/>
            <w:tcBorders>
              <w:top w:val="single" w:color="auto" w:sz="4" w:space="0"/>
              <w:left w:val="single" w:color="auto" w:sz="4" w:space="0"/>
              <w:bottom w:val="single" w:color="auto" w:sz="4" w:space="0"/>
              <w:right w:val="single" w:color="auto" w:sz="4" w:space="0"/>
            </w:tcBorders>
            <w:vAlign w:val="center"/>
          </w:tcPr>
          <w:p w14:paraId="45B96ADE">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572EC3D0">
            <w:pPr>
              <w:jc w:val="cente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351" w:type="pct"/>
            <w:tcBorders>
              <w:top w:val="single" w:color="auto" w:sz="4" w:space="0"/>
              <w:left w:val="single" w:color="auto" w:sz="4" w:space="0"/>
              <w:bottom w:val="single" w:color="auto" w:sz="4" w:space="0"/>
              <w:right w:val="single" w:color="auto" w:sz="4" w:space="0"/>
            </w:tcBorders>
            <w:vAlign w:val="center"/>
          </w:tcPr>
          <w:p w14:paraId="63486C04">
            <w:pPr>
              <w:rPr>
                <w:rFonts w:cs="Times New Roman"/>
                <w:bCs w:val="0"/>
                <w:color w:val="000000" w:themeColor="text1"/>
                <w:sz w:val="15"/>
                <w:szCs w:val="15"/>
                <w14:textFill>
                  <w14:solidFill>
                    <w14:schemeClr w14:val="tx1"/>
                  </w14:solidFill>
                </w14:textFill>
              </w:rPr>
            </w:pPr>
            <w:r>
              <w:rPr>
                <w:rFonts w:cs="Times New Roman"/>
                <w:sz w:val="15"/>
                <w:szCs w:val="15"/>
              </w:rPr>
              <w:t>是，此项目为新项目</w:t>
            </w:r>
          </w:p>
        </w:tc>
        <w:tc>
          <w:tcPr>
            <w:tcW w:w="330" w:type="pct"/>
            <w:tcBorders>
              <w:top w:val="single" w:color="auto" w:sz="4" w:space="0"/>
              <w:left w:val="nil"/>
              <w:bottom w:val="single" w:color="auto" w:sz="4" w:space="0"/>
              <w:right w:val="single" w:color="auto" w:sz="4" w:space="0"/>
            </w:tcBorders>
            <w:vAlign w:val="center"/>
          </w:tcPr>
          <w:p w14:paraId="5A388FE0">
            <w:pPr>
              <w:jc w:val="right"/>
              <w:rPr>
                <w:rFonts w:cs="Times New Roman"/>
                <w:sz w:val="15"/>
                <w:szCs w:val="15"/>
              </w:rPr>
            </w:pPr>
            <w:r>
              <w:rPr>
                <w:rFonts w:cs="Times New Roman"/>
                <w:sz w:val="15"/>
                <w:szCs w:val="15"/>
              </w:rPr>
              <w:t>9,475.00</w:t>
            </w:r>
          </w:p>
        </w:tc>
        <w:tc>
          <w:tcPr>
            <w:tcW w:w="314" w:type="pct"/>
            <w:tcBorders>
              <w:top w:val="single" w:color="auto" w:sz="4" w:space="0"/>
              <w:left w:val="single" w:color="auto" w:sz="4" w:space="0"/>
              <w:bottom w:val="single" w:color="auto" w:sz="4" w:space="0"/>
              <w:right w:val="single" w:color="auto" w:sz="4" w:space="0"/>
            </w:tcBorders>
            <w:vAlign w:val="center"/>
          </w:tcPr>
          <w:p w14:paraId="5464CDDB">
            <w:pPr>
              <w:jc w:val="right"/>
              <w:rPr>
                <w:rFonts w:cs="Times New Roman"/>
                <w:sz w:val="15"/>
                <w:szCs w:val="15"/>
              </w:rPr>
            </w:pPr>
            <w:r>
              <w:rPr>
                <w:rFonts w:cs="Times New Roman"/>
                <w:sz w:val="15"/>
                <w:szCs w:val="15"/>
              </w:rPr>
              <w:t>247.78</w:t>
            </w:r>
          </w:p>
        </w:tc>
        <w:tc>
          <w:tcPr>
            <w:tcW w:w="324" w:type="pct"/>
            <w:tcBorders>
              <w:top w:val="single" w:color="auto" w:sz="4" w:space="0"/>
              <w:left w:val="single" w:color="auto" w:sz="4" w:space="0"/>
              <w:bottom w:val="single" w:color="auto" w:sz="4" w:space="0"/>
              <w:right w:val="single" w:color="auto" w:sz="4" w:space="0"/>
            </w:tcBorders>
            <w:vAlign w:val="center"/>
          </w:tcPr>
          <w:p w14:paraId="0124D6CC">
            <w:pPr>
              <w:jc w:val="right"/>
              <w:rPr>
                <w:rFonts w:cs="Times New Roman"/>
                <w:sz w:val="15"/>
                <w:szCs w:val="15"/>
              </w:rPr>
            </w:pPr>
            <w:r>
              <w:rPr>
                <w:rFonts w:cs="Times New Roman"/>
                <w:sz w:val="15"/>
                <w:szCs w:val="15"/>
              </w:rPr>
              <w:t>3,316.38</w:t>
            </w:r>
          </w:p>
        </w:tc>
        <w:tc>
          <w:tcPr>
            <w:tcW w:w="292" w:type="pct"/>
            <w:tcBorders>
              <w:top w:val="single" w:color="auto" w:sz="4" w:space="0"/>
              <w:left w:val="nil"/>
              <w:bottom w:val="single" w:color="auto" w:sz="4" w:space="0"/>
              <w:right w:val="single" w:color="auto" w:sz="4" w:space="0"/>
            </w:tcBorders>
            <w:vAlign w:val="center"/>
          </w:tcPr>
          <w:p w14:paraId="1B54C1F4">
            <w:pPr>
              <w:jc w:val="right"/>
              <w:rPr>
                <w:rFonts w:cs="Times New Roman"/>
                <w:sz w:val="15"/>
                <w:szCs w:val="15"/>
              </w:rPr>
            </w:pPr>
            <w:r>
              <w:rPr>
                <w:rFonts w:cs="Times New Roman"/>
                <w:sz w:val="15"/>
                <w:szCs w:val="15"/>
              </w:rPr>
              <w:t>35</w:t>
            </w:r>
          </w:p>
        </w:tc>
        <w:tc>
          <w:tcPr>
            <w:tcW w:w="282" w:type="pct"/>
            <w:tcBorders>
              <w:top w:val="single" w:color="auto" w:sz="4" w:space="0"/>
              <w:left w:val="nil"/>
              <w:bottom w:val="single" w:color="auto" w:sz="4" w:space="0"/>
              <w:right w:val="single" w:color="auto" w:sz="4" w:space="0"/>
            </w:tcBorders>
            <w:vAlign w:val="center"/>
          </w:tcPr>
          <w:p w14:paraId="367EF9FA">
            <w:pPr>
              <w:jc w:val="center"/>
              <w:rPr>
                <w:rFonts w:cs="Times New Roman"/>
                <w:bCs w:val="0"/>
                <w:sz w:val="15"/>
                <w:szCs w:val="15"/>
              </w:rPr>
            </w:pPr>
            <w:r>
              <w:rPr>
                <w:rFonts w:cs="Times New Roman"/>
                <w:sz w:val="15"/>
                <w:szCs w:val="15"/>
              </w:rPr>
              <w:t>2026年12月</w:t>
            </w:r>
          </w:p>
        </w:tc>
        <w:tc>
          <w:tcPr>
            <w:tcW w:w="239" w:type="pct"/>
            <w:tcBorders>
              <w:top w:val="single" w:color="auto" w:sz="4" w:space="0"/>
              <w:left w:val="nil"/>
              <w:bottom w:val="single" w:color="auto" w:sz="4" w:space="0"/>
              <w:right w:val="single" w:color="auto" w:sz="4" w:space="0"/>
            </w:tcBorders>
            <w:vAlign w:val="center"/>
          </w:tcPr>
          <w:p w14:paraId="3F1571B8">
            <w:pPr>
              <w:jc w:val="cente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298" w:type="pct"/>
            <w:tcBorders>
              <w:top w:val="single" w:color="auto" w:sz="4" w:space="0"/>
              <w:left w:val="nil"/>
              <w:bottom w:val="single" w:color="auto" w:sz="4" w:space="0"/>
              <w:right w:val="single" w:color="auto" w:sz="4" w:space="0"/>
            </w:tcBorders>
            <w:vAlign w:val="center"/>
          </w:tcPr>
          <w:p w14:paraId="20A9A68F">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3739A584">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4A3F55E9">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535EAAA4">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4AAD10C7">
            <w:pPr>
              <w:jc w:val="center"/>
              <w:rPr>
                <w:rFonts w:cs="Times New Roman"/>
                <w:bCs w:val="0"/>
                <w:sz w:val="15"/>
                <w:szCs w:val="15"/>
              </w:rPr>
            </w:pPr>
            <w:r>
              <w:rPr>
                <w:rFonts w:cs="Times New Roman"/>
                <w:sz w:val="15"/>
                <w:szCs w:val="15"/>
              </w:rPr>
              <w:t>否</w:t>
            </w:r>
          </w:p>
        </w:tc>
        <w:tc>
          <w:tcPr>
            <w:tcW w:w="279" w:type="pct"/>
            <w:tcBorders>
              <w:top w:val="single" w:color="auto" w:sz="4" w:space="0"/>
              <w:left w:val="nil"/>
              <w:bottom w:val="single" w:color="auto" w:sz="4" w:space="0"/>
              <w:right w:val="single" w:color="auto" w:sz="4" w:space="0"/>
            </w:tcBorders>
            <w:vAlign w:val="center"/>
          </w:tcPr>
          <w:p w14:paraId="33D879DE">
            <w:pPr>
              <w:jc w:val="right"/>
              <w:rPr>
                <w:rFonts w:cs="Times New Roman"/>
                <w:bCs w:val="0"/>
                <w:sz w:val="15"/>
                <w:szCs w:val="15"/>
              </w:rPr>
            </w:pPr>
          </w:p>
        </w:tc>
      </w:tr>
      <w:tr w14:paraId="76A64BDF">
        <w:tblPrEx>
          <w:tblCellMar>
            <w:top w:w="0" w:type="dxa"/>
            <w:left w:w="108" w:type="dxa"/>
            <w:bottom w:w="0" w:type="dxa"/>
            <w:right w:w="108" w:type="dxa"/>
          </w:tblCellMar>
        </w:tblPrEx>
        <w:trPr>
          <w:trHeight w:val="693"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73D8F33C">
            <w:pPr>
              <w:jc w:val="center"/>
              <w:rPr>
                <w:rFonts w:cs="Times New Roman"/>
                <w:bCs w:val="0"/>
                <w:color w:val="000000" w:themeColor="text1"/>
                <w:sz w:val="15"/>
                <w:szCs w:val="15"/>
                <w14:textFill>
                  <w14:solidFill>
                    <w14:schemeClr w14:val="tx1"/>
                  </w14:solidFill>
                </w14:textFill>
              </w:rPr>
            </w:pPr>
            <w:r>
              <w:rPr>
                <w:rFonts w:cs="Times New Roman"/>
                <w:sz w:val="15"/>
                <w:szCs w:val="15"/>
              </w:rPr>
              <w:t>向特定对象发行股票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32938EB4">
            <w:pPr>
              <w:jc w:val="center"/>
              <w:rPr>
                <w:rFonts w:cs="Times New Roman"/>
                <w:bCs w:val="0"/>
                <w:sz w:val="15"/>
                <w:szCs w:val="15"/>
              </w:rPr>
            </w:pPr>
            <w:r>
              <w:rPr>
                <w:rFonts w:cs="Times New Roman"/>
                <w:sz w:val="15"/>
                <w:szCs w:val="15"/>
              </w:rPr>
              <w:t>际华应急保障基地</w:t>
            </w:r>
          </w:p>
        </w:tc>
        <w:tc>
          <w:tcPr>
            <w:tcW w:w="196" w:type="pct"/>
            <w:tcBorders>
              <w:top w:val="single" w:color="auto" w:sz="4" w:space="0"/>
              <w:left w:val="single" w:color="auto" w:sz="4" w:space="0"/>
              <w:bottom w:val="single" w:color="auto" w:sz="4" w:space="0"/>
              <w:right w:val="single" w:color="auto" w:sz="4" w:space="0"/>
            </w:tcBorders>
            <w:vAlign w:val="center"/>
          </w:tcPr>
          <w:p w14:paraId="26463B88">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5C292762">
            <w:pPr>
              <w:jc w:val="cente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351" w:type="pct"/>
            <w:tcBorders>
              <w:top w:val="single" w:color="auto" w:sz="4" w:space="0"/>
              <w:left w:val="single" w:color="auto" w:sz="4" w:space="0"/>
              <w:bottom w:val="single" w:color="auto" w:sz="4" w:space="0"/>
              <w:right w:val="single" w:color="auto" w:sz="4" w:space="0"/>
            </w:tcBorders>
            <w:vAlign w:val="center"/>
          </w:tcPr>
          <w:p w14:paraId="21B1DED2">
            <w:pPr>
              <w:rPr>
                <w:rFonts w:cs="Times New Roman"/>
                <w:bCs w:val="0"/>
                <w:color w:val="000000" w:themeColor="text1"/>
                <w:sz w:val="15"/>
                <w:szCs w:val="15"/>
                <w14:textFill>
                  <w14:solidFill>
                    <w14:schemeClr w14:val="tx1"/>
                  </w14:solidFill>
                </w14:textFill>
              </w:rPr>
            </w:pPr>
            <w:r>
              <w:rPr>
                <w:rFonts w:cs="Times New Roman"/>
                <w:sz w:val="15"/>
                <w:szCs w:val="15"/>
              </w:rPr>
              <w:t>是，此项目为新项目</w:t>
            </w:r>
          </w:p>
        </w:tc>
        <w:tc>
          <w:tcPr>
            <w:tcW w:w="330" w:type="pct"/>
            <w:tcBorders>
              <w:top w:val="single" w:color="auto" w:sz="4" w:space="0"/>
              <w:left w:val="nil"/>
              <w:bottom w:val="single" w:color="auto" w:sz="4" w:space="0"/>
              <w:right w:val="single" w:color="auto" w:sz="4" w:space="0"/>
            </w:tcBorders>
            <w:vAlign w:val="center"/>
          </w:tcPr>
          <w:p w14:paraId="328F777F">
            <w:pPr>
              <w:jc w:val="right"/>
              <w:rPr>
                <w:rFonts w:cs="Times New Roman"/>
                <w:sz w:val="15"/>
                <w:szCs w:val="15"/>
              </w:rPr>
            </w:pPr>
            <w:r>
              <w:rPr>
                <w:rFonts w:cs="Times New Roman"/>
                <w:sz w:val="15"/>
                <w:szCs w:val="15"/>
              </w:rPr>
              <w:t>15,153.00</w:t>
            </w:r>
          </w:p>
        </w:tc>
        <w:tc>
          <w:tcPr>
            <w:tcW w:w="314" w:type="pct"/>
            <w:tcBorders>
              <w:top w:val="single" w:color="auto" w:sz="4" w:space="0"/>
              <w:left w:val="single" w:color="auto" w:sz="4" w:space="0"/>
              <w:bottom w:val="single" w:color="auto" w:sz="4" w:space="0"/>
              <w:right w:val="single" w:color="auto" w:sz="4" w:space="0"/>
            </w:tcBorders>
            <w:vAlign w:val="center"/>
          </w:tcPr>
          <w:p w14:paraId="4D6BED6C">
            <w:pPr>
              <w:jc w:val="right"/>
              <w:rPr>
                <w:rFonts w:cs="Times New Roman"/>
                <w:sz w:val="15"/>
                <w:szCs w:val="15"/>
              </w:rPr>
            </w:pPr>
            <w:r>
              <w:rPr>
                <w:rFonts w:cs="Times New Roman"/>
                <w:sz w:val="15"/>
                <w:szCs w:val="15"/>
              </w:rPr>
              <w:t>168.86</w:t>
            </w:r>
          </w:p>
        </w:tc>
        <w:tc>
          <w:tcPr>
            <w:tcW w:w="324" w:type="pct"/>
            <w:tcBorders>
              <w:top w:val="single" w:color="auto" w:sz="4" w:space="0"/>
              <w:left w:val="single" w:color="auto" w:sz="4" w:space="0"/>
              <w:bottom w:val="single" w:color="auto" w:sz="4" w:space="0"/>
              <w:right w:val="single" w:color="auto" w:sz="4" w:space="0"/>
            </w:tcBorders>
            <w:vAlign w:val="center"/>
          </w:tcPr>
          <w:p w14:paraId="299F9636">
            <w:pPr>
              <w:jc w:val="right"/>
              <w:rPr>
                <w:rFonts w:cs="Times New Roman"/>
                <w:sz w:val="15"/>
                <w:szCs w:val="15"/>
              </w:rPr>
            </w:pPr>
            <w:r>
              <w:rPr>
                <w:rFonts w:cs="Times New Roman"/>
                <w:sz w:val="15"/>
                <w:szCs w:val="15"/>
              </w:rPr>
              <w:t>2,787.83</w:t>
            </w:r>
          </w:p>
        </w:tc>
        <w:tc>
          <w:tcPr>
            <w:tcW w:w="292" w:type="pct"/>
            <w:tcBorders>
              <w:top w:val="single" w:color="auto" w:sz="4" w:space="0"/>
              <w:left w:val="nil"/>
              <w:bottom w:val="single" w:color="auto" w:sz="4" w:space="0"/>
              <w:right w:val="single" w:color="auto" w:sz="4" w:space="0"/>
            </w:tcBorders>
            <w:vAlign w:val="center"/>
          </w:tcPr>
          <w:p w14:paraId="5AFEDDC1">
            <w:pPr>
              <w:jc w:val="right"/>
              <w:rPr>
                <w:rFonts w:cs="Times New Roman"/>
                <w:sz w:val="15"/>
                <w:szCs w:val="15"/>
              </w:rPr>
            </w:pPr>
            <w:r>
              <w:rPr>
                <w:rFonts w:cs="Times New Roman"/>
                <w:sz w:val="15"/>
                <w:szCs w:val="15"/>
              </w:rPr>
              <w:t>18.40</w:t>
            </w:r>
          </w:p>
        </w:tc>
        <w:tc>
          <w:tcPr>
            <w:tcW w:w="282" w:type="pct"/>
            <w:tcBorders>
              <w:top w:val="single" w:color="auto" w:sz="4" w:space="0"/>
              <w:left w:val="nil"/>
              <w:bottom w:val="single" w:color="auto" w:sz="4" w:space="0"/>
              <w:right w:val="single" w:color="auto" w:sz="4" w:space="0"/>
            </w:tcBorders>
            <w:vAlign w:val="center"/>
          </w:tcPr>
          <w:p w14:paraId="47A22B50">
            <w:pPr>
              <w:jc w:val="center"/>
              <w:rPr>
                <w:rFonts w:cs="Times New Roman"/>
                <w:bCs w:val="0"/>
                <w:sz w:val="15"/>
                <w:szCs w:val="15"/>
              </w:rPr>
            </w:pPr>
            <w:r>
              <w:rPr>
                <w:rFonts w:cs="Times New Roman"/>
                <w:sz w:val="15"/>
                <w:szCs w:val="15"/>
              </w:rPr>
              <w:t>2026年12月</w:t>
            </w:r>
          </w:p>
        </w:tc>
        <w:tc>
          <w:tcPr>
            <w:tcW w:w="239" w:type="pct"/>
            <w:tcBorders>
              <w:top w:val="single" w:color="auto" w:sz="4" w:space="0"/>
              <w:left w:val="nil"/>
              <w:bottom w:val="single" w:color="auto" w:sz="4" w:space="0"/>
              <w:right w:val="single" w:color="auto" w:sz="4" w:space="0"/>
            </w:tcBorders>
            <w:vAlign w:val="center"/>
          </w:tcPr>
          <w:p w14:paraId="68D62DE2">
            <w:pPr>
              <w:jc w:val="cente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298" w:type="pct"/>
            <w:tcBorders>
              <w:top w:val="single" w:color="auto" w:sz="4" w:space="0"/>
              <w:left w:val="nil"/>
              <w:bottom w:val="single" w:color="auto" w:sz="4" w:space="0"/>
              <w:right w:val="single" w:color="auto" w:sz="4" w:space="0"/>
            </w:tcBorders>
            <w:vAlign w:val="center"/>
          </w:tcPr>
          <w:p w14:paraId="76C55073">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552CC9D4">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4718B09F">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0320F577">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47289A1D">
            <w:pPr>
              <w:jc w:val="center"/>
              <w:rPr>
                <w:rFonts w:cs="Times New Roman"/>
                <w:bCs w:val="0"/>
                <w:sz w:val="15"/>
                <w:szCs w:val="15"/>
              </w:rPr>
            </w:pPr>
            <w:r>
              <w:rPr>
                <w:rFonts w:cs="Times New Roman"/>
                <w:sz w:val="15"/>
                <w:szCs w:val="15"/>
              </w:rPr>
              <w:t>否</w:t>
            </w:r>
          </w:p>
        </w:tc>
        <w:tc>
          <w:tcPr>
            <w:tcW w:w="279" w:type="pct"/>
            <w:tcBorders>
              <w:top w:val="single" w:color="auto" w:sz="4" w:space="0"/>
              <w:left w:val="nil"/>
              <w:bottom w:val="single" w:color="auto" w:sz="4" w:space="0"/>
              <w:right w:val="single" w:color="auto" w:sz="4" w:space="0"/>
            </w:tcBorders>
            <w:vAlign w:val="center"/>
          </w:tcPr>
          <w:p w14:paraId="68FA9BDD">
            <w:pPr>
              <w:jc w:val="right"/>
              <w:rPr>
                <w:rFonts w:cs="Times New Roman"/>
                <w:bCs w:val="0"/>
                <w:sz w:val="15"/>
                <w:szCs w:val="15"/>
              </w:rPr>
            </w:pPr>
          </w:p>
        </w:tc>
      </w:tr>
      <w:tr w14:paraId="495D77F4">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44C6F21D">
            <w:pPr>
              <w:jc w:val="center"/>
              <w:rPr>
                <w:rFonts w:cs="Times New Roman"/>
                <w:bCs w:val="0"/>
                <w:color w:val="000000" w:themeColor="text1"/>
                <w:sz w:val="15"/>
                <w:szCs w:val="15"/>
                <w14:textFill>
                  <w14:solidFill>
                    <w14:schemeClr w14:val="tx1"/>
                  </w14:solidFill>
                </w14:textFill>
              </w:rPr>
            </w:pPr>
            <w:r>
              <w:rPr>
                <w:rFonts w:cs="Times New Roman"/>
                <w:sz w:val="15"/>
                <w:szCs w:val="15"/>
              </w:rPr>
              <w:t>向特定对象发行股票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526729DC">
            <w:pPr>
              <w:jc w:val="center"/>
              <w:rPr>
                <w:rFonts w:cs="Times New Roman"/>
                <w:bCs w:val="0"/>
                <w:sz w:val="15"/>
                <w:szCs w:val="15"/>
              </w:rPr>
            </w:pPr>
            <w:r>
              <w:rPr>
                <w:rFonts w:cs="Times New Roman"/>
                <w:sz w:val="15"/>
                <w:szCs w:val="15"/>
              </w:rPr>
              <w:t>际华特种防护装备生产研发基地</w:t>
            </w:r>
          </w:p>
        </w:tc>
        <w:tc>
          <w:tcPr>
            <w:tcW w:w="196" w:type="pct"/>
            <w:tcBorders>
              <w:top w:val="single" w:color="auto" w:sz="4" w:space="0"/>
              <w:left w:val="single" w:color="auto" w:sz="4" w:space="0"/>
              <w:bottom w:val="single" w:color="auto" w:sz="4" w:space="0"/>
              <w:right w:val="single" w:color="auto" w:sz="4" w:space="0"/>
            </w:tcBorders>
            <w:vAlign w:val="center"/>
          </w:tcPr>
          <w:p w14:paraId="212F6FFB">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1EE3BE50">
            <w:pPr>
              <w:jc w:val="cente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351" w:type="pct"/>
            <w:tcBorders>
              <w:top w:val="single" w:color="auto" w:sz="4" w:space="0"/>
              <w:left w:val="single" w:color="auto" w:sz="4" w:space="0"/>
              <w:bottom w:val="single" w:color="auto" w:sz="4" w:space="0"/>
              <w:right w:val="single" w:color="auto" w:sz="4" w:space="0"/>
            </w:tcBorders>
            <w:vAlign w:val="center"/>
          </w:tcPr>
          <w:p w14:paraId="045408C6">
            <w:pPr>
              <w:rPr>
                <w:rFonts w:cs="Times New Roman"/>
                <w:bCs w:val="0"/>
                <w:color w:val="000000" w:themeColor="text1"/>
                <w:sz w:val="15"/>
                <w:szCs w:val="15"/>
                <w14:textFill>
                  <w14:solidFill>
                    <w14:schemeClr w14:val="tx1"/>
                  </w14:solidFill>
                </w14:textFill>
              </w:rPr>
            </w:pPr>
            <w:r>
              <w:rPr>
                <w:rFonts w:cs="Times New Roman"/>
                <w:sz w:val="15"/>
                <w:szCs w:val="15"/>
              </w:rPr>
              <w:t>是，此项目为新项目</w:t>
            </w:r>
          </w:p>
        </w:tc>
        <w:tc>
          <w:tcPr>
            <w:tcW w:w="330" w:type="pct"/>
            <w:tcBorders>
              <w:top w:val="single" w:color="auto" w:sz="4" w:space="0"/>
              <w:left w:val="nil"/>
              <w:bottom w:val="single" w:color="auto" w:sz="4" w:space="0"/>
              <w:right w:val="single" w:color="auto" w:sz="4" w:space="0"/>
            </w:tcBorders>
            <w:vAlign w:val="center"/>
          </w:tcPr>
          <w:p w14:paraId="09D6852D">
            <w:pPr>
              <w:jc w:val="right"/>
              <w:rPr>
                <w:rFonts w:cs="Times New Roman"/>
                <w:sz w:val="15"/>
                <w:szCs w:val="15"/>
              </w:rPr>
            </w:pPr>
            <w:r>
              <w:rPr>
                <w:rFonts w:cs="Times New Roman"/>
                <w:sz w:val="15"/>
                <w:szCs w:val="15"/>
              </w:rPr>
              <w:t>16,441.00</w:t>
            </w:r>
          </w:p>
        </w:tc>
        <w:tc>
          <w:tcPr>
            <w:tcW w:w="314" w:type="pct"/>
            <w:tcBorders>
              <w:top w:val="single" w:color="auto" w:sz="4" w:space="0"/>
              <w:left w:val="single" w:color="auto" w:sz="4" w:space="0"/>
              <w:bottom w:val="single" w:color="auto" w:sz="4" w:space="0"/>
              <w:right w:val="single" w:color="auto" w:sz="4" w:space="0"/>
            </w:tcBorders>
            <w:vAlign w:val="center"/>
          </w:tcPr>
          <w:p w14:paraId="258BF826">
            <w:pPr>
              <w:jc w:val="right"/>
              <w:rPr>
                <w:rFonts w:cs="Times New Roman"/>
                <w:sz w:val="15"/>
                <w:szCs w:val="15"/>
              </w:rPr>
            </w:pPr>
            <w:r>
              <w:rPr>
                <w:rFonts w:cs="Times New Roman"/>
                <w:sz w:val="15"/>
                <w:szCs w:val="15"/>
              </w:rPr>
              <w:t>1,158.80</w:t>
            </w:r>
          </w:p>
        </w:tc>
        <w:tc>
          <w:tcPr>
            <w:tcW w:w="324" w:type="pct"/>
            <w:tcBorders>
              <w:top w:val="single" w:color="auto" w:sz="4" w:space="0"/>
              <w:left w:val="single" w:color="auto" w:sz="4" w:space="0"/>
              <w:bottom w:val="single" w:color="auto" w:sz="4" w:space="0"/>
              <w:right w:val="single" w:color="auto" w:sz="4" w:space="0"/>
            </w:tcBorders>
            <w:vAlign w:val="center"/>
          </w:tcPr>
          <w:p w14:paraId="4652211E">
            <w:pPr>
              <w:jc w:val="right"/>
              <w:rPr>
                <w:rFonts w:cs="Times New Roman"/>
                <w:sz w:val="15"/>
                <w:szCs w:val="15"/>
              </w:rPr>
            </w:pPr>
            <w:r>
              <w:rPr>
                <w:rFonts w:cs="Times New Roman"/>
                <w:sz w:val="15"/>
                <w:szCs w:val="15"/>
              </w:rPr>
              <w:t>15,427.37</w:t>
            </w:r>
          </w:p>
        </w:tc>
        <w:tc>
          <w:tcPr>
            <w:tcW w:w="292" w:type="pct"/>
            <w:tcBorders>
              <w:top w:val="single" w:color="auto" w:sz="4" w:space="0"/>
              <w:left w:val="nil"/>
              <w:bottom w:val="single" w:color="auto" w:sz="4" w:space="0"/>
              <w:right w:val="single" w:color="auto" w:sz="4" w:space="0"/>
            </w:tcBorders>
            <w:vAlign w:val="center"/>
          </w:tcPr>
          <w:p w14:paraId="3D5BAADF">
            <w:pPr>
              <w:jc w:val="right"/>
              <w:rPr>
                <w:rFonts w:cs="Times New Roman"/>
                <w:sz w:val="15"/>
                <w:szCs w:val="15"/>
              </w:rPr>
            </w:pPr>
            <w:r>
              <w:rPr>
                <w:rFonts w:cs="Times New Roman"/>
                <w:sz w:val="15"/>
                <w:szCs w:val="15"/>
              </w:rPr>
              <w:t>93.83</w:t>
            </w:r>
          </w:p>
        </w:tc>
        <w:tc>
          <w:tcPr>
            <w:tcW w:w="282" w:type="pct"/>
            <w:tcBorders>
              <w:top w:val="single" w:color="auto" w:sz="4" w:space="0"/>
              <w:left w:val="nil"/>
              <w:bottom w:val="single" w:color="auto" w:sz="4" w:space="0"/>
              <w:right w:val="single" w:color="auto" w:sz="4" w:space="0"/>
            </w:tcBorders>
            <w:vAlign w:val="center"/>
          </w:tcPr>
          <w:p w14:paraId="30AB6DE7">
            <w:pPr>
              <w:jc w:val="center"/>
              <w:rPr>
                <w:rFonts w:cs="Times New Roman"/>
                <w:bCs w:val="0"/>
                <w:sz w:val="15"/>
                <w:szCs w:val="15"/>
              </w:rPr>
            </w:pPr>
            <w:r>
              <w:rPr>
                <w:rFonts w:cs="Times New Roman"/>
                <w:sz w:val="15"/>
                <w:szCs w:val="15"/>
              </w:rPr>
              <w:t>2025年12月</w:t>
            </w:r>
          </w:p>
        </w:tc>
        <w:tc>
          <w:tcPr>
            <w:tcW w:w="239" w:type="pct"/>
            <w:tcBorders>
              <w:top w:val="single" w:color="auto" w:sz="4" w:space="0"/>
              <w:left w:val="nil"/>
              <w:bottom w:val="single" w:color="auto" w:sz="4" w:space="0"/>
              <w:right w:val="single" w:color="auto" w:sz="4" w:space="0"/>
            </w:tcBorders>
            <w:vAlign w:val="center"/>
          </w:tcPr>
          <w:p w14:paraId="294DEA24">
            <w:pPr>
              <w:jc w:val="cente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298" w:type="pct"/>
            <w:tcBorders>
              <w:top w:val="single" w:color="auto" w:sz="4" w:space="0"/>
              <w:left w:val="nil"/>
              <w:bottom w:val="single" w:color="auto" w:sz="4" w:space="0"/>
              <w:right w:val="single" w:color="auto" w:sz="4" w:space="0"/>
            </w:tcBorders>
            <w:vAlign w:val="center"/>
          </w:tcPr>
          <w:p w14:paraId="78FAB7E3">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71FD7073">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20E2A605">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66556595">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6A5778EE">
            <w:pPr>
              <w:jc w:val="center"/>
              <w:rPr>
                <w:rFonts w:cs="Times New Roman"/>
                <w:bCs w:val="0"/>
                <w:sz w:val="15"/>
                <w:szCs w:val="15"/>
              </w:rPr>
            </w:pPr>
            <w:r>
              <w:rPr>
                <w:rFonts w:cs="Times New Roman"/>
                <w:sz w:val="15"/>
                <w:szCs w:val="15"/>
              </w:rPr>
              <w:t>否</w:t>
            </w:r>
          </w:p>
        </w:tc>
        <w:tc>
          <w:tcPr>
            <w:tcW w:w="279" w:type="pct"/>
            <w:tcBorders>
              <w:top w:val="single" w:color="auto" w:sz="4" w:space="0"/>
              <w:left w:val="nil"/>
              <w:bottom w:val="single" w:color="auto" w:sz="4" w:space="0"/>
              <w:right w:val="single" w:color="auto" w:sz="4" w:space="0"/>
            </w:tcBorders>
            <w:vAlign w:val="center"/>
          </w:tcPr>
          <w:p w14:paraId="05E3587D">
            <w:pPr>
              <w:jc w:val="right"/>
              <w:rPr>
                <w:rFonts w:cs="Times New Roman"/>
                <w:bCs w:val="0"/>
                <w:sz w:val="15"/>
                <w:szCs w:val="15"/>
              </w:rPr>
            </w:pPr>
          </w:p>
        </w:tc>
      </w:tr>
      <w:tr w14:paraId="142AF0F2">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60B42D58">
            <w:pPr>
              <w:jc w:val="center"/>
              <w:rPr>
                <w:rFonts w:cs="Times New Roman"/>
                <w:bCs w:val="0"/>
                <w:color w:val="000000" w:themeColor="text1"/>
                <w:sz w:val="15"/>
                <w:szCs w:val="15"/>
                <w14:textFill>
                  <w14:solidFill>
                    <w14:schemeClr w14:val="tx1"/>
                  </w14:solidFill>
                </w14:textFill>
              </w:rPr>
            </w:pPr>
            <w:r>
              <w:rPr>
                <w:rFonts w:cs="Times New Roman"/>
                <w:sz w:val="15"/>
                <w:szCs w:val="15"/>
              </w:rPr>
              <w:t>向特定对象发行股票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5025E7AF">
            <w:pPr>
              <w:jc w:val="center"/>
              <w:rPr>
                <w:rFonts w:cs="Times New Roman"/>
                <w:bCs w:val="0"/>
                <w:sz w:val="15"/>
                <w:szCs w:val="15"/>
              </w:rPr>
            </w:pPr>
            <w:r>
              <w:rPr>
                <w:rFonts w:cs="Times New Roman"/>
                <w:sz w:val="15"/>
                <w:szCs w:val="15"/>
              </w:rPr>
              <w:t>2.83万锭智能纺纱生产线改造项目</w:t>
            </w:r>
          </w:p>
        </w:tc>
        <w:tc>
          <w:tcPr>
            <w:tcW w:w="196" w:type="pct"/>
            <w:tcBorders>
              <w:top w:val="single" w:color="auto" w:sz="4" w:space="0"/>
              <w:left w:val="single" w:color="auto" w:sz="4" w:space="0"/>
              <w:bottom w:val="single" w:color="auto" w:sz="4" w:space="0"/>
              <w:right w:val="single" w:color="auto" w:sz="4" w:space="0"/>
            </w:tcBorders>
            <w:vAlign w:val="center"/>
          </w:tcPr>
          <w:p w14:paraId="47CB2A95">
            <w:pPr>
              <w:rPr>
                <w:rFonts w:cs="Times New Roman"/>
                <w:bCs w:val="0"/>
                <w:color w:val="000000" w:themeColor="text1"/>
                <w:sz w:val="15"/>
                <w:szCs w:val="15"/>
                <w14:textFill>
                  <w14:solidFill>
                    <w14:schemeClr w14:val="tx1"/>
                  </w14:solidFill>
                </w14:textFill>
              </w:rPr>
            </w:pPr>
            <w:r>
              <w:rPr>
                <w:rFonts w:cs="Times New Roman"/>
                <w:sz w:val="15"/>
                <w:szCs w:val="15"/>
              </w:rPr>
              <w:t>生产建设</w:t>
            </w:r>
          </w:p>
        </w:tc>
        <w:tc>
          <w:tcPr>
            <w:tcW w:w="298" w:type="pct"/>
            <w:tcBorders>
              <w:top w:val="single" w:color="auto" w:sz="4" w:space="0"/>
              <w:left w:val="single" w:color="auto" w:sz="4" w:space="0"/>
              <w:bottom w:val="single" w:color="auto" w:sz="4" w:space="0"/>
              <w:right w:val="single" w:color="auto" w:sz="4" w:space="0"/>
            </w:tcBorders>
            <w:vAlign w:val="center"/>
          </w:tcPr>
          <w:p w14:paraId="2DFAA53E">
            <w:pPr>
              <w:jc w:val="cente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351" w:type="pct"/>
            <w:tcBorders>
              <w:top w:val="single" w:color="auto" w:sz="4" w:space="0"/>
              <w:left w:val="single" w:color="auto" w:sz="4" w:space="0"/>
              <w:bottom w:val="single" w:color="auto" w:sz="4" w:space="0"/>
              <w:right w:val="single" w:color="auto" w:sz="4" w:space="0"/>
            </w:tcBorders>
            <w:vAlign w:val="center"/>
          </w:tcPr>
          <w:p w14:paraId="48B6EDAC">
            <w:pPr>
              <w:rPr>
                <w:rFonts w:cs="Times New Roman"/>
                <w:bCs w:val="0"/>
                <w:color w:val="000000" w:themeColor="text1"/>
                <w:sz w:val="15"/>
                <w:szCs w:val="15"/>
                <w14:textFill>
                  <w14:solidFill>
                    <w14:schemeClr w14:val="tx1"/>
                  </w14:solidFill>
                </w14:textFill>
              </w:rPr>
            </w:pPr>
            <w:r>
              <w:rPr>
                <w:rFonts w:cs="Times New Roman"/>
                <w:sz w:val="15"/>
                <w:szCs w:val="15"/>
              </w:rPr>
              <w:t>是，此项目为新项目</w:t>
            </w:r>
          </w:p>
        </w:tc>
        <w:tc>
          <w:tcPr>
            <w:tcW w:w="330" w:type="pct"/>
            <w:tcBorders>
              <w:top w:val="single" w:color="auto" w:sz="4" w:space="0"/>
              <w:left w:val="nil"/>
              <w:bottom w:val="single" w:color="auto" w:sz="4" w:space="0"/>
              <w:right w:val="single" w:color="auto" w:sz="4" w:space="0"/>
            </w:tcBorders>
            <w:vAlign w:val="center"/>
          </w:tcPr>
          <w:p w14:paraId="0E44988F">
            <w:pPr>
              <w:jc w:val="right"/>
              <w:rPr>
                <w:rFonts w:cs="Times New Roman"/>
                <w:sz w:val="15"/>
                <w:szCs w:val="15"/>
              </w:rPr>
            </w:pPr>
            <w:r>
              <w:rPr>
                <w:rFonts w:cs="Times New Roman"/>
                <w:sz w:val="15"/>
                <w:szCs w:val="15"/>
              </w:rPr>
              <w:t>2,532.20</w:t>
            </w:r>
          </w:p>
        </w:tc>
        <w:tc>
          <w:tcPr>
            <w:tcW w:w="314" w:type="pct"/>
            <w:tcBorders>
              <w:top w:val="single" w:color="auto" w:sz="4" w:space="0"/>
              <w:left w:val="single" w:color="auto" w:sz="4" w:space="0"/>
              <w:bottom w:val="single" w:color="auto" w:sz="4" w:space="0"/>
              <w:right w:val="single" w:color="auto" w:sz="4" w:space="0"/>
            </w:tcBorders>
            <w:vAlign w:val="center"/>
          </w:tcPr>
          <w:p w14:paraId="239B2AE3">
            <w:pPr>
              <w:jc w:val="right"/>
              <w:rPr>
                <w:rFonts w:cs="Times New Roman"/>
                <w:sz w:val="15"/>
                <w:szCs w:val="15"/>
              </w:rPr>
            </w:pPr>
            <w:r>
              <w:rPr>
                <w:rFonts w:cs="Times New Roman"/>
                <w:sz w:val="15"/>
                <w:szCs w:val="15"/>
              </w:rPr>
              <w:t>2,407.40</w:t>
            </w:r>
          </w:p>
        </w:tc>
        <w:tc>
          <w:tcPr>
            <w:tcW w:w="324" w:type="pct"/>
            <w:tcBorders>
              <w:top w:val="single" w:color="auto" w:sz="4" w:space="0"/>
              <w:left w:val="single" w:color="auto" w:sz="4" w:space="0"/>
              <w:bottom w:val="single" w:color="auto" w:sz="4" w:space="0"/>
              <w:right w:val="single" w:color="auto" w:sz="4" w:space="0"/>
            </w:tcBorders>
            <w:vAlign w:val="center"/>
          </w:tcPr>
          <w:p w14:paraId="1D05A2AF">
            <w:pPr>
              <w:jc w:val="right"/>
              <w:rPr>
                <w:rFonts w:cs="Times New Roman"/>
                <w:sz w:val="15"/>
                <w:szCs w:val="15"/>
              </w:rPr>
            </w:pPr>
            <w:r>
              <w:rPr>
                <w:rFonts w:cs="Times New Roman"/>
                <w:sz w:val="15"/>
                <w:szCs w:val="15"/>
              </w:rPr>
              <w:t>2,407.40</w:t>
            </w:r>
          </w:p>
        </w:tc>
        <w:tc>
          <w:tcPr>
            <w:tcW w:w="292" w:type="pct"/>
            <w:tcBorders>
              <w:top w:val="single" w:color="auto" w:sz="4" w:space="0"/>
              <w:left w:val="nil"/>
              <w:bottom w:val="single" w:color="auto" w:sz="4" w:space="0"/>
              <w:right w:val="single" w:color="auto" w:sz="4" w:space="0"/>
            </w:tcBorders>
            <w:vAlign w:val="center"/>
          </w:tcPr>
          <w:p w14:paraId="36F8FA36">
            <w:pPr>
              <w:jc w:val="right"/>
              <w:rPr>
                <w:rFonts w:cs="Times New Roman"/>
                <w:sz w:val="15"/>
                <w:szCs w:val="15"/>
              </w:rPr>
            </w:pPr>
            <w:r>
              <w:rPr>
                <w:rFonts w:cs="Times New Roman"/>
                <w:sz w:val="15"/>
                <w:szCs w:val="15"/>
              </w:rPr>
              <w:t>95.07</w:t>
            </w:r>
          </w:p>
        </w:tc>
        <w:tc>
          <w:tcPr>
            <w:tcW w:w="282" w:type="pct"/>
            <w:tcBorders>
              <w:top w:val="single" w:color="auto" w:sz="4" w:space="0"/>
              <w:left w:val="nil"/>
              <w:bottom w:val="single" w:color="auto" w:sz="4" w:space="0"/>
              <w:right w:val="single" w:color="auto" w:sz="4" w:space="0"/>
            </w:tcBorders>
            <w:vAlign w:val="center"/>
          </w:tcPr>
          <w:p w14:paraId="2280E274">
            <w:pPr>
              <w:jc w:val="center"/>
              <w:rPr>
                <w:rFonts w:cs="Times New Roman"/>
                <w:bCs w:val="0"/>
                <w:sz w:val="15"/>
                <w:szCs w:val="15"/>
              </w:rPr>
            </w:pPr>
            <w:r>
              <w:rPr>
                <w:rFonts w:cs="Times New Roman"/>
                <w:sz w:val="15"/>
                <w:szCs w:val="15"/>
              </w:rPr>
              <w:t>2027年6月</w:t>
            </w:r>
          </w:p>
        </w:tc>
        <w:tc>
          <w:tcPr>
            <w:tcW w:w="239" w:type="pct"/>
            <w:tcBorders>
              <w:top w:val="single" w:color="auto" w:sz="4" w:space="0"/>
              <w:left w:val="nil"/>
              <w:bottom w:val="single" w:color="auto" w:sz="4" w:space="0"/>
              <w:right w:val="single" w:color="auto" w:sz="4" w:space="0"/>
            </w:tcBorders>
            <w:vAlign w:val="center"/>
          </w:tcPr>
          <w:p w14:paraId="131CA78B">
            <w:pPr>
              <w:jc w:val="cente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298" w:type="pct"/>
            <w:tcBorders>
              <w:top w:val="single" w:color="auto" w:sz="4" w:space="0"/>
              <w:left w:val="nil"/>
              <w:bottom w:val="single" w:color="auto" w:sz="4" w:space="0"/>
              <w:right w:val="single" w:color="auto" w:sz="4" w:space="0"/>
            </w:tcBorders>
            <w:vAlign w:val="center"/>
          </w:tcPr>
          <w:p w14:paraId="15C6DFF3">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239393F3">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41C37190">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2AA0B0A3">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7061479C">
            <w:pPr>
              <w:jc w:val="center"/>
              <w:rPr>
                <w:rFonts w:cs="Times New Roman"/>
                <w:bCs w:val="0"/>
                <w:sz w:val="15"/>
                <w:szCs w:val="15"/>
              </w:rPr>
            </w:pPr>
            <w:r>
              <w:rPr>
                <w:rFonts w:cs="Times New Roman"/>
                <w:sz w:val="15"/>
                <w:szCs w:val="15"/>
              </w:rPr>
              <w:t>否</w:t>
            </w:r>
          </w:p>
        </w:tc>
        <w:tc>
          <w:tcPr>
            <w:tcW w:w="279" w:type="pct"/>
            <w:tcBorders>
              <w:top w:val="single" w:color="auto" w:sz="4" w:space="0"/>
              <w:left w:val="nil"/>
              <w:bottom w:val="single" w:color="auto" w:sz="4" w:space="0"/>
              <w:right w:val="single" w:color="auto" w:sz="4" w:space="0"/>
            </w:tcBorders>
            <w:vAlign w:val="center"/>
          </w:tcPr>
          <w:p w14:paraId="5ADF166E">
            <w:pPr>
              <w:jc w:val="right"/>
              <w:rPr>
                <w:rFonts w:cs="Times New Roman"/>
                <w:bCs w:val="0"/>
                <w:sz w:val="15"/>
                <w:szCs w:val="15"/>
              </w:rPr>
            </w:pPr>
          </w:p>
        </w:tc>
      </w:tr>
      <w:tr w14:paraId="1C1DC0E6">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4C522078">
            <w:pPr>
              <w:jc w:val="center"/>
              <w:rPr>
                <w:rFonts w:cs="Times New Roman"/>
                <w:bCs w:val="0"/>
                <w:color w:val="000000" w:themeColor="text1"/>
                <w:sz w:val="15"/>
                <w:szCs w:val="15"/>
                <w14:textFill>
                  <w14:solidFill>
                    <w14:schemeClr w14:val="tx1"/>
                  </w14:solidFill>
                </w14:textFill>
              </w:rPr>
            </w:pPr>
            <w:r>
              <w:rPr>
                <w:rFonts w:cs="Times New Roman"/>
                <w:sz w:val="15"/>
                <w:szCs w:val="15"/>
              </w:rPr>
              <w:t>向特定对象发行股票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583BC265">
            <w:pPr>
              <w:jc w:val="center"/>
              <w:rPr>
                <w:rFonts w:cs="Times New Roman"/>
                <w:bCs w:val="0"/>
                <w:sz w:val="15"/>
                <w:szCs w:val="15"/>
              </w:rPr>
            </w:pPr>
            <w:r>
              <w:rPr>
                <w:rFonts w:cs="Times New Roman"/>
                <w:sz w:val="15"/>
                <w:szCs w:val="15"/>
              </w:rPr>
              <w:t>补充流动资金</w:t>
            </w:r>
          </w:p>
        </w:tc>
        <w:tc>
          <w:tcPr>
            <w:tcW w:w="196" w:type="pct"/>
            <w:tcBorders>
              <w:top w:val="single" w:color="auto" w:sz="4" w:space="0"/>
              <w:left w:val="single" w:color="auto" w:sz="4" w:space="0"/>
              <w:bottom w:val="single" w:color="auto" w:sz="4" w:space="0"/>
              <w:right w:val="single" w:color="auto" w:sz="4" w:space="0"/>
            </w:tcBorders>
            <w:vAlign w:val="center"/>
          </w:tcPr>
          <w:p w14:paraId="368D9C9E">
            <w:pPr>
              <w:rPr>
                <w:rFonts w:cs="Times New Roman"/>
                <w:bCs w:val="0"/>
                <w:color w:val="000000" w:themeColor="text1"/>
                <w:sz w:val="15"/>
                <w:szCs w:val="15"/>
                <w14:textFill>
                  <w14:solidFill>
                    <w14:schemeClr w14:val="tx1"/>
                  </w14:solidFill>
                </w14:textFill>
              </w:rPr>
            </w:pPr>
            <w:r>
              <w:rPr>
                <w:rFonts w:cs="Times New Roman"/>
                <w:sz w:val="15"/>
                <w:szCs w:val="15"/>
              </w:rPr>
              <w:t>补流还贷</w:t>
            </w:r>
          </w:p>
        </w:tc>
        <w:tc>
          <w:tcPr>
            <w:tcW w:w="298" w:type="pct"/>
            <w:tcBorders>
              <w:top w:val="single" w:color="auto" w:sz="4" w:space="0"/>
              <w:left w:val="single" w:color="auto" w:sz="4" w:space="0"/>
              <w:bottom w:val="single" w:color="auto" w:sz="4" w:space="0"/>
              <w:right w:val="single" w:color="auto" w:sz="4" w:space="0"/>
            </w:tcBorders>
            <w:vAlign w:val="center"/>
          </w:tcPr>
          <w:p w14:paraId="091D4DD1">
            <w:pPr>
              <w:jc w:val="cente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351" w:type="pct"/>
            <w:tcBorders>
              <w:top w:val="single" w:color="auto" w:sz="4" w:space="0"/>
              <w:left w:val="single" w:color="auto" w:sz="4" w:space="0"/>
              <w:bottom w:val="single" w:color="auto" w:sz="4" w:space="0"/>
              <w:right w:val="single" w:color="auto" w:sz="4" w:space="0"/>
            </w:tcBorders>
            <w:vAlign w:val="center"/>
          </w:tcPr>
          <w:p w14:paraId="055DCF2D">
            <w:pP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330" w:type="pct"/>
            <w:tcBorders>
              <w:top w:val="single" w:color="auto" w:sz="4" w:space="0"/>
              <w:left w:val="nil"/>
              <w:bottom w:val="single" w:color="auto" w:sz="4" w:space="0"/>
              <w:right w:val="single" w:color="auto" w:sz="4" w:space="0"/>
            </w:tcBorders>
            <w:vAlign w:val="center"/>
          </w:tcPr>
          <w:p w14:paraId="65B37092">
            <w:pPr>
              <w:jc w:val="right"/>
              <w:rPr>
                <w:rFonts w:cs="Times New Roman"/>
                <w:sz w:val="15"/>
                <w:szCs w:val="15"/>
              </w:rPr>
            </w:pPr>
            <w:r>
              <w:rPr>
                <w:rFonts w:cs="Times New Roman"/>
                <w:sz w:val="15"/>
                <w:szCs w:val="15"/>
              </w:rPr>
              <w:t>63,805.17</w:t>
            </w:r>
          </w:p>
        </w:tc>
        <w:tc>
          <w:tcPr>
            <w:tcW w:w="314" w:type="pct"/>
            <w:tcBorders>
              <w:top w:val="single" w:color="auto" w:sz="4" w:space="0"/>
              <w:left w:val="single" w:color="auto" w:sz="4" w:space="0"/>
              <w:bottom w:val="single" w:color="auto" w:sz="4" w:space="0"/>
              <w:right w:val="single" w:color="auto" w:sz="4" w:space="0"/>
            </w:tcBorders>
            <w:vAlign w:val="center"/>
          </w:tcPr>
          <w:p w14:paraId="4EA192BD">
            <w:pPr>
              <w:jc w:val="right"/>
              <w:rPr>
                <w:rFonts w:cs="Times New Roman"/>
                <w:sz w:val="15"/>
                <w:szCs w:val="15"/>
              </w:rPr>
            </w:pPr>
          </w:p>
        </w:tc>
        <w:tc>
          <w:tcPr>
            <w:tcW w:w="324" w:type="pct"/>
            <w:tcBorders>
              <w:top w:val="single" w:color="auto" w:sz="4" w:space="0"/>
              <w:left w:val="single" w:color="auto" w:sz="4" w:space="0"/>
              <w:bottom w:val="single" w:color="auto" w:sz="4" w:space="0"/>
              <w:right w:val="single" w:color="auto" w:sz="4" w:space="0"/>
            </w:tcBorders>
            <w:vAlign w:val="center"/>
          </w:tcPr>
          <w:p w14:paraId="5974C9F1">
            <w:pPr>
              <w:jc w:val="right"/>
              <w:rPr>
                <w:rFonts w:cs="Times New Roman"/>
                <w:sz w:val="15"/>
                <w:szCs w:val="15"/>
              </w:rPr>
            </w:pPr>
            <w:r>
              <w:rPr>
                <w:rFonts w:cs="Times New Roman"/>
                <w:sz w:val="15"/>
                <w:szCs w:val="15"/>
              </w:rPr>
              <w:t>63,805.17</w:t>
            </w:r>
          </w:p>
        </w:tc>
        <w:tc>
          <w:tcPr>
            <w:tcW w:w="292" w:type="pct"/>
            <w:tcBorders>
              <w:top w:val="single" w:color="auto" w:sz="4" w:space="0"/>
              <w:left w:val="nil"/>
              <w:bottom w:val="single" w:color="auto" w:sz="4" w:space="0"/>
              <w:right w:val="single" w:color="auto" w:sz="4" w:space="0"/>
            </w:tcBorders>
            <w:vAlign w:val="center"/>
          </w:tcPr>
          <w:p w14:paraId="65E17801">
            <w:pPr>
              <w:jc w:val="right"/>
              <w:rPr>
                <w:rFonts w:cs="Times New Roman"/>
                <w:sz w:val="15"/>
                <w:szCs w:val="15"/>
              </w:rPr>
            </w:pPr>
            <w:r>
              <w:rPr>
                <w:rFonts w:cs="Times New Roman"/>
                <w:sz w:val="15"/>
                <w:szCs w:val="15"/>
              </w:rPr>
              <w:t>100</w:t>
            </w:r>
          </w:p>
        </w:tc>
        <w:tc>
          <w:tcPr>
            <w:tcW w:w="282" w:type="pct"/>
            <w:tcBorders>
              <w:top w:val="single" w:color="auto" w:sz="4" w:space="0"/>
              <w:left w:val="nil"/>
              <w:bottom w:val="single" w:color="auto" w:sz="4" w:space="0"/>
              <w:right w:val="single" w:color="auto" w:sz="4" w:space="0"/>
            </w:tcBorders>
            <w:vAlign w:val="center"/>
          </w:tcPr>
          <w:p w14:paraId="10C2ABDD">
            <w:pPr>
              <w:jc w:val="center"/>
              <w:rPr>
                <w:rFonts w:cs="Times New Roman"/>
                <w:bCs w:val="0"/>
                <w:sz w:val="15"/>
                <w:szCs w:val="15"/>
              </w:rPr>
            </w:pPr>
            <w:r>
              <w:rPr>
                <w:rFonts w:cs="Times New Roman"/>
                <w:sz w:val="15"/>
                <w:szCs w:val="15"/>
              </w:rPr>
              <w:t>不适用</w:t>
            </w:r>
          </w:p>
        </w:tc>
        <w:tc>
          <w:tcPr>
            <w:tcW w:w="239" w:type="pct"/>
            <w:tcBorders>
              <w:top w:val="single" w:color="auto" w:sz="4" w:space="0"/>
              <w:left w:val="nil"/>
              <w:bottom w:val="single" w:color="auto" w:sz="4" w:space="0"/>
              <w:right w:val="single" w:color="auto" w:sz="4" w:space="0"/>
            </w:tcBorders>
            <w:vAlign w:val="center"/>
          </w:tcPr>
          <w:p w14:paraId="411853D4">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98" w:type="pct"/>
            <w:tcBorders>
              <w:top w:val="single" w:color="auto" w:sz="4" w:space="0"/>
              <w:left w:val="nil"/>
              <w:bottom w:val="single" w:color="auto" w:sz="4" w:space="0"/>
              <w:right w:val="single" w:color="auto" w:sz="4" w:space="0"/>
            </w:tcBorders>
            <w:vAlign w:val="center"/>
          </w:tcPr>
          <w:p w14:paraId="5D8776DA">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4EC535A4">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1D0342BD">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1466BBCE">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51DA052B">
            <w:pPr>
              <w:jc w:val="center"/>
              <w:rPr>
                <w:rFonts w:cs="Times New Roman"/>
                <w:bCs w:val="0"/>
                <w:sz w:val="15"/>
                <w:szCs w:val="15"/>
              </w:rPr>
            </w:pPr>
            <w:r>
              <w:rPr>
                <w:rFonts w:cs="Times New Roman"/>
                <w:sz w:val="15"/>
                <w:szCs w:val="15"/>
              </w:rPr>
              <w:t>否</w:t>
            </w:r>
          </w:p>
        </w:tc>
        <w:tc>
          <w:tcPr>
            <w:tcW w:w="279" w:type="pct"/>
            <w:tcBorders>
              <w:top w:val="single" w:color="auto" w:sz="4" w:space="0"/>
              <w:left w:val="nil"/>
              <w:bottom w:val="single" w:color="auto" w:sz="4" w:space="0"/>
              <w:right w:val="single" w:color="auto" w:sz="4" w:space="0"/>
            </w:tcBorders>
            <w:vAlign w:val="center"/>
          </w:tcPr>
          <w:p w14:paraId="4E61CF78">
            <w:pPr>
              <w:jc w:val="right"/>
              <w:rPr>
                <w:rFonts w:cs="Times New Roman"/>
                <w:bCs w:val="0"/>
                <w:sz w:val="15"/>
                <w:szCs w:val="15"/>
              </w:rPr>
            </w:pPr>
          </w:p>
        </w:tc>
      </w:tr>
      <w:tr w14:paraId="7100A8AE">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07F483C8">
            <w:pPr>
              <w:jc w:val="center"/>
              <w:rPr>
                <w:rFonts w:cs="Times New Roman"/>
                <w:bCs w:val="0"/>
                <w:color w:val="000000" w:themeColor="text1"/>
                <w:sz w:val="15"/>
                <w:szCs w:val="15"/>
                <w14:textFill>
                  <w14:solidFill>
                    <w14:schemeClr w14:val="tx1"/>
                  </w14:solidFill>
                </w14:textFill>
              </w:rPr>
            </w:pPr>
            <w:r>
              <w:rPr>
                <w:rFonts w:cs="Times New Roman"/>
                <w:sz w:val="15"/>
                <w:szCs w:val="15"/>
              </w:rPr>
              <w:t>向特定对象发行股票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637A598C">
            <w:pPr>
              <w:jc w:val="center"/>
              <w:rPr>
                <w:rFonts w:cs="Times New Roman"/>
                <w:bCs w:val="0"/>
                <w:sz w:val="15"/>
                <w:szCs w:val="15"/>
              </w:rPr>
            </w:pPr>
            <w:r>
              <w:rPr>
                <w:rFonts w:cs="Times New Roman"/>
                <w:sz w:val="15"/>
                <w:szCs w:val="15"/>
              </w:rPr>
              <w:t>补充流动资金</w:t>
            </w:r>
          </w:p>
        </w:tc>
        <w:tc>
          <w:tcPr>
            <w:tcW w:w="196" w:type="pct"/>
            <w:tcBorders>
              <w:top w:val="single" w:color="auto" w:sz="4" w:space="0"/>
              <w:left w:val="single" w:color="auto" w:sz="4" w:space="0"/>
              <w:bottom w:val="single" w:color="auto" w:sz="4" w:space="0"/>
              <w:right w:val="single" w:color="auto" w:sz="4" w:space="0"/>
            </w:tcBorders>
            <w:vAlign w:val="center"/>
          </w:tcPr>
          <w:p w14:paraId="57033E16">
            <w:pPr>
              <w:rPr>
                <w:rFonts w:cs="Times New Roman"/>
                <w:bCs w:val="0"/>
                <w:color w:val="000000" w:themeColor="text1"/>
                <w:sz w:val="15"/>
                <w:szCs w:val="15"/>
                <w14:textFill>
                  <w14:solidFill>
                    <w14:schemeClr w14:val="tx1"/>
                  </w14:solidFill>
                </w14:textFill>
              </w:rPr>
            </w:pPr>
            <w:r>
              <w:rPr>
                <w:rFonts w:cs="Times New Roman"/>
                <w:sz w:val="15"/>
                <w:szCs w:val="15"/>
              </w:rPr>
              <w:t>补流还贷</w:t>
            </w:r>
          </w:p>
        </w:tc>
        <w:tc>
          <w:tcPr>
            <w:tcW w:w="298" w:type="pct"/>
            <w:tcBorders>
              <w:top w:val="single" w:color="auto" w:sz="4" w:space="0"/>
              <w:left w:val="single" w:color="auto" w:sz="4" w:space="0"/>
              <w:bottom w:val="single" w:color="auto" w:sz="4" w:space="0"/>
              <w:right w:val="single" w:color="auto" w:sz="4" w:space="0"/>
            </w:tcBorders>
            <w:vAlign w:val="center"/>
          </w:tcPr>
          <w:p w14:paraId="5F4208DF">
            <w:pPr>
              <w:jc w:val="cente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351" w:type="pct"/>
            <w:tcBorders>
              <w:top w:val="single" w:color="auto" w:sz="4" w:space="0"/>
              <w:left w:val="single" w:color="auto" w:sz="4" w:space="0"/>
              <w:bottom w:val="single" w:color="auto" w:sz="4" w:space="0"/>
              <w:right w:val="single" w:color="auto" w:sz="4" w:space="0"/>
            </w:tcBorders>
            <w:vAlign w:val="center"/>
          </w:tcPr>
          <w:p w14:paraId="5C990673">
            <w:pP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330" w:type="pct"/>
            <w:tcBorders>
              <w:top w:val="single" w:color="auto" w:sz="4" w:space="0"/>
              <w:left w:val="nil"/>
              <w:bottom w:val="single" w:color="auto" w:sz="4" w:space="0"/>
              <w:right w:val="single" w:color="auto" w:sz="4" w:space="0"/>
            </w:tcBorders>
            <w:vAlign w:val="center"/>
          </w:tcPr>
          <w:p w14:paraId="44FEAC8B">
            <w:pPr>
              <w:jc w:val="right"/>
              <w:rPr>
                <w:rFonts w:cs="Times New Roman"/>
                <w:sz w:val="15"/>
                <w:szCs w:val="15"/>
              </w:rPr>
            </w:pPr>
            <w:r>
              <w:rPr>
                <w:rFonts w:cs="Times New Roman"/>
                <w:sz w:val="15"/>
                <w:szCs w:val="15"/>
              </w:rPr>
              <w:t>43,565.51</w:t>
            </w:r>
          </w:p>
        </w:tc>
        <w:tc>
          <w:tcPr>
            <w:tcW w:w="314" w:type="pct"/>
            <w:tcBorders>
              <w:top w:val="single" w:color="auto" w:sz="4" w:space="0"/>
              <w:left w:val="single" w:color="auto" w:sz="4" w:space="0"/>
              <w:bottom w:val="single" w:color="auto" w:sz="4" w:space="0"/>
              <w:right w:val="single" w:color="auto" w:sz="4" w:space="0"/>
            </w:tcBorders>
            <w:vAlign w:val="center"/>
          </w:tcPr>
          <w:p w14:paraId="552DD10E">
            <w:pPr>
              <w:jc w:val="right"/>
              <w:rPr>
                <w:rFonts w:cs="Times New Roman"/>
                <w:sz w:val="15"/>
                <w:szCs w:val="15"/>
              </w:rPr>
            </w:pPr>
          </w:p>
        </w:tc>
        <w:tc>
          <w:tcPr>
            <w:tcW w:w="324" w:type="pct"/>
            <w:tcBorders>
              <w:top w:val="single" w:color="auto" w:sz="4" w:space="0"/>
              <w:left w:val="single" w:color="auto" w:sz="4" w:space="0"/>
              <w:bottom w:val="single" w:color="auto" w:sz="4" w:space="0"/>
              <w:right w:val="single" w:color="auto" w:sz="4" w:space="0"/>
            </w:tcBorders>
            <w:vAlign w:val="center"/>
          </w:tcPr>
          <w:p w14:paraId="0A005B7E">
            <w:pPr>
              <w:jc w:val="right"/>
              <w:rPr>
                <w:rFonts w:cs="Times New Roman"/>
                <w:sz w:val="15"/>
                <w:szCs w:val="15"/>
              </w:rPr>
            </w:pPr>
            <w:r>
              <w:rPr>
                <w:rFonts w:cs="Times New Roman"/>
                <w:sz w:val="15"/>
                <w:szCs w:val="15"/>
              </w:rPr>
              <w:t>43,565.51</w:t>
            </w:r>
          </w:p>
        </w:tc>
        <w:tc>
          <w:tcPr>
            <w:tcW w:w="292" w:type="pct"/>
            <w:tcBorders>
              <w:top w:val="single" w:color="auto" w:sz="4" w:space="0"/>
              <w:left w:val="nil"/>
              <w:bottom w:val="single" w:color="auto" w:sz="4" w:space="0"/>
              <w:right w:val="single" w:color="auto" w:sz="4" w:space="0"/>
            </w:tcBorders>
            <w:vAlign w:val="center"/>
          </w:tcPr>
          <w:p w14:paraId="2E5C81A1">
            <w:pPr>
              <w:jc w:val="right"/>
              <w:rPr>
                <w:rFonts w:cs="Times New Roman"/>
                <w:sz w:val="15"/>
                <w:szCs w:val="15"/>
              </w:rPr>
            </w:pPr>
            <w:r>
              <w:rPr>
                <w:rFonts w:cs="Times New Roman"/>
                <w:sz w:val="15"/>
                <w:szCs w:val="15"/>
              </w:rPr>
              <w:t>100</w:t>
            </w:r>
          </w:p>
        </w:tc>
        <w:tc>
          <w:tcPr>
            <w:tcW w:w="282" w:type="pct"/>
            <w:tcBorders>
              <w:top w:val="single" w:color="auto" w:sz="4" w:space="0"/>
              <w:left w:val="nil"/>
              <w:bottom w:val="single" w:color="auto" w:sz="4" w:space="0"/>
              <w:right w:val="single" w:color="auto" w:sz="4" w:space="0"/>
            </w:tcBorders>
            <w:vAlign w:val="center"/>
          </w:tcPr>
          <w:p w14:paraId="108AAE73">
            <w:pPr>
              <w:jc w:val="center"/>
              <w:rPr>
                <w:rFonts w:cs="Times New Roman"/>
                <w:bCs w:val="0"/>
                <w:sz w:val="15"/>
                <w:szCs w:val="15"/>
              </w:rPr>
            </w:pPr>
            <w:r>
              <w:rPr>
                <w:rFonts w:cs="Times New Roman"/>
                <w:sz w:val="15"/>
                <w:szCs w:val="15"/>
              </w:rPr>
              <w:t>不适用</w:t>
            </w:r>
          </w:p>
        </w:tc>
        <w:tc>
          <w:tcPr>
            <w:tcW w:w="239" w:type="pct"/>
            <w:tcBorders>
              <w:top w:val="single" w:color="auto" w:sz="4" w:space="0"/>
              <w:left w:val="nil"/>
              <w:bottom w:val="single" w:color="auto" w:sz="4" w:space="0"/>
              <w:right w:val="single" w:color="auto" w:sz="4" w:space="0"/>
            </w:tcBorders>
            <w:vAlign w:val="center"/>
          </w:tcPr>
          <w:p w14:paraId="1BFF83BF">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98" w:type="pct"/>
            <w:tcBorders>
              <w:top w:val="single" w:color="auto" w:sz="4" w:space="0"/>
              <w:left w:val="nil"/>
              <w:bottom w:val="single" w:color="auto" w:sz="4" w:space="0"/>
              <w:right w:val="single" w:color="auto" w:sz="4" w:space="0"/>
            </w:tcBorders>
            <w:vAlign w:val="center"/>
          </w:tcPr>
          <w:p w14:paraId="79A7D3E3">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588FA845">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646DBA52">
            <w:pPr>
              <w:jc w:val="right"/>
              <w:rPr>
                <w:rFonts w:cs="Times New Roman"/>
                <w:bCs w:val="0"/>
                <w:sz w:val="15"/>
                <w:szCs w:val="15"/>
              </w:rPr>
            </w:pPr>
            <w:r>
              <w:rPr>
                <w:rFonts w:cs="Times New Roman"/>
                <w:sz w:val="15"/>
                <w:szCs w:val="15"/>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143B1F5E">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3A26399B">
            <w:pPr>
              <w:jc w:val="center"/>
              <w:rPr>
                <w:rFonts w:cs="Times New Roman"/>
                <w:bCs w:val="0"/>
                <w:sz w:val="15"/>
                <w:szCs w:val="15"/>
              </w:rPr>
            </w:pPr>
            <w:r>
              <w:rPr>
                <w:rFonts w:cs="Times New Roman"/>
                <w:sz w:val="15"/>
                <w:szCs w:val="15"/>
              </w:rPr>
              <w:t>否</w:t>
            </w:r>
          </w:p>
        </w:tc>
        <w:tc>
          <w:tcPr>
            <w:tcW w:w="279" w:type="pct"/>
            <w:tcBorders>
              <w:top w:val="single" w:color="auto" w:sz="4" w:space="0"/>
              <w:left w:val="nil"/>
              <w:bottom w:val="single" w:color="auto" w:sz="4" w:space="0"/>
              <w:right w:val="single" w:color="auto" w:sz="4" w:space="0"/>
            </w:tcBorders>
            <w:vAlign w:val="center"/>
          </w:tcPr>
          <w:p w14:paraId="4A15D9E0">
            <w:pPr>
              <w:jc w:val="right"/>
              <w:rPr>
                <w:rFonts w:cs="Times New Roman"/>
                <w:bCs w:val="0"/>
                <w:sz w:val="15"/>
                <w:szCs w:val="15"/>
              </w:rPr>
            </w:pPr>
          </w:p>
        </w:tc>
      </w:tr>
      <w:tr w14:paraId="38F0348A">
        <w:tblPrEx>
          <w:tblCellMar>
            <w:top w:w="0" w:type="dxa"/>
            <w:left w:w="108" w:type="dxa"/>
            <w:bottom w:w="0" w:type="dxa"/>
            <w:right w:w="108" w:type="dxa"/>
          </w:tblCellMar>
        </w:tblPrEx>
        <w:trPr>
          <w:trHeight w:val="160"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302142ED">
            <w:pPr>
              <w:jc w:val="center"/>
              <w:rPr>
                <w:rFonts w:cs="Times New Roman"/>
                <w:bCs w:val="0"/>
                <w:color w:val="000000" w:themeColor="text1"/>
                <w:sz w:val="15"/>
                <w:szCs w:val="15"/>
                <w14:textFill>
                  <w14:solidFill>
                    <w14:schemeClr w14:val="tx1"/>
                  </w14:solidFill>
                </w14:textFill>
              </w:rPr>
            </w:pPr>
            <w:r>
              <w:rPr>
                <w:rFonts w:cs="Times New Roman"/>
                <w:sz w:val="15"/>
                <w:szCs w:val="15"/>
              </w:rPr>
              <w:t>向特定对象发行股票</w:t>
            </w:r>
          </w:p>
        </w:tc>
        <w:tc>
          <w:tcPr>
            <w:tcW w:w="324" w:type="pct"/>
            <w:tcBorders>
              <w:top w:val="single" w:color="auto" w:sz="4" w:space="0"/>
              <w:left w:val="single" w:color="auto" w:sz="4" w:space="0"/>
              <w:bottom w:val="single" w:color="auto" w:sz="4" w:space="0"/>
              <w:right w:val="single" w:color="auto" w:sz="4" w:space="0"/>
            </w:tcBorders>
            <w:vAlign w:val="center"/>
          </w:tcPr>
          <w:p w14:paraId="4AEC967A">
            <w:pPr>
              <w:jc w:val="center"/>
              <w:rPr>
                <w:rFonts w:cs="Times New Roman"/>
                <w:bCs w:val="0"/>
                <w:sz w:val="15"/>
                <w:szCs w:val="15"/>
              </w:rPr>
            </w:pPr>
            <w:r>
              <w:rPr>
                <w:rFonts w:cs="Times New Roman"/>
                <w:sz w:val="15"/>
                <w:szCs w:val="15"/>
              </w:rPr>
              <w:t>重庆、长春际华园补充流动资金</w:t>
            </w:r>
          </w:p>
        </w:tc>
        <w:tc>
          <w:tcPr>
            <w:tcW w:w="196" w:type="pct"/>
            <w:tcBorders>
              <w:top w:val="single" w:color="auto" w:sz="4" w:space="0"/>
              <w:left w:val="single" w:color="auto" w:sz="4" w:space="0"/>
              <w:bottom w:val="single" w:color="auto" w:sz="4" w:space="0"/>
              <w:right w:val="single" w:color="auto" w:sz="4" w:space="0"/>
            </w:tcBorders>
            <w:vAlign w:val="center"/>
          </w:tcPr>
          <w:p w14:paraId="09B3089D">
            <w:pPr>
              <w:rPr>
                <w:rFonts w:cs="Times New Roman"/>
                <w:bCs w:val="0"/>
                <w:color w:val="000000" w:themeColor="text1"/>
                <w:sz w:val="15"/>
                <w:szCs w:val="15"/>
                <w14:textFill>
                  <w14:solidFill>
                    <w14:schemeClr w14:val="tx1"/>
                  </w14:solidFill>
                </w14:textFill>
              </w:rPr>
            </w:pPr>
            <w:r>
              <w:rPr>
                <w:rFonts w:cs="Times New Roman"/>
                <w:sz w:val="15"/>
                <w:szCs w:val="15"/>
              </w:rPr>
              <w:t>补流还贷</w:t>
            </w:r>
          </w:p>
        </w:tc>
        <w:tc>
          <w:tcPr>
            <w:tcW w:w="298" w:type="pct"/>
            <w:tcBorders>
              <w:top w:val="single" w:color="auto" w:sz="4" w:space="0"/>
              <w:left w:val="single" w:color="auto" w:sz="4" w:space="0"/>
              <w:bottom w:val="single" w:color="auto" w:sz="4" w:space="0"/>
              <w:right w:val="single" w:color="auto" w:sz="4" w:space="0"/>
            </w:tcBorders>
            <w:vAlign w:val="center"/>
          </w:tcPr>
          <w:p w14:paraId="1E32725B">
            <w:pPr>
              <w:jc w:val="cente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351" w:type="pct"/>
            <w:tcBorders>
              <w:top w:val="single" w:color="auto" w:sz="4" w:space="0"/>
              <w:left w:val="single" w:color="auto" w:sz="4" w:space="0"/>
              <w:bottom w:val="single" w:color="auto" w:sz="4" w:space="0"/>
              <w:right w:val="single" w:color="auto" w:sz="4" w:space="0"/>
            </w:tcBorders>
            <w:vAlign w:val="center"/>
          </w:tcPr>
          <w:p w14:paraId="63BD7EF6">
            <w:pPr>
              <w:rPr>
                <w:rFonts w:cs="Times New Roman"/>
                <w:bCs w:val="0"/>
                <w:color w:val="000000" w:themeColor="text1"/>
                <w:sz w:val="15"/>
                <w:szCs w:val="15"/>
                <w14:textFill>
                  <w14:solidFill>
                    <w14:schemeClr w14:val="tx1"/>
                  </w14:solidFill>
                </w14:textFill>
              </w:rPr>
            </w:pPr>
            <w:r>
              <w:rPr>
                <w:rFonts w:cs="Times New Roman"/>
                <w:sz w:val="15"/>
                <w:szCs w:val="15"/>
              </w:rPr>
              <w:t>否</w:t>
            </w:r>
          </w:p>
        </w:tc>
        <w:tc>
          <w:tcPr>
            <w:tcW w:w="330" w:type="pct"/>
            <w:tcBorders>
              <w:top w:val="single" w:color="auto" w:sz="4" w:space="0"/>
              <w:left w:val="nil"/>
              <w:bottom w:val="single" w:color="auto" w:sz="4" w:space="0"/>
              <w:right w:val="single" w:color="auto" w:sz="4" w:space="0"/>
            </w:tcBorders>
            <w:vAlign w:val="center"/>
          </w:tcPr>
          <w:p w14:paraId="4CA1627A">
            <w:pPr>
              <w:jc w:val="right"/>
              <w:rPr>
                <w:rFonts w:cs="Times New Roman"/>
                <w:sz w:val="15"/>
                <w:szCs w:val="15"/>
              </w:rPr>
            </w:pPr>
            <w:r>
              <w:rPr>
                <w:rFonts w:cs="Times New Roman"/>
                <w:sz w:val="15"/>
                <w:szCs w:val="15"/>
              </w:rPr>
              <w:t>39,870.64</w:t>
            </w:r>
          </w:p>
        </w:tc>
        <w:tc>
          <w:tcPr>
            <w:tcW w:w="314" w:type="pct"/>
            <w:tcBorders>
              <w:top w:val="single" w:color="auto" w:sz="4" w:space="0"/>
              <w:left w:val="single" w:color="auto" w:sz="4" w:space="0"/>
              <w:bottom w:val="single" w:color="auto" w:sz="4" w:space="0"/>
              <w:right w:val="single" w:color="auto" w:sz="4" w:space="0"/>
            </w:tcBorders>
            <w:vAlign w:val="center"/>
          </w:tcPr>
          <w:p w14:paraId="6789C7B9">
            <w:pPr>
              <w:jc w:val="right"/>
              <w:rPr>
                <w:rFonts w:cs="Times New Roman"/>
                <w:sz w:val="15"/>
                <w:szCs w:val="15"/>
              </w:rPr>
            </w:pPr>
            <w:r>
              <w:rPr>
                <w:rFonts w:cs="Times New Roman"/>
                <w:sz w:val="15"/>
                <w:szCs w:val="15"/>
              </w:rPr>
              <w:t>39,870.64</w:t>
            </w:r>
          </w:p>
        </w:tc>
        <w:tc>
          <w:tcPr>
            <w:tcW w:w="324" w:type="pct"/>
            <w:tcBorders>
              <w:top w:val="single" w:color="auto" w:sz="4" w:space="0"/>
              <w:left w:val="single" w:color="auto" w:sz="4" w:space="0"/>
              <w:bottom w:val="single" w:color="auto" w:sz="4" w:space="0"/>
              <w:right w:val="single" w:color="auto" w:sz="4" w:space="0"/>
            </w:tcBorders>
            <w:vAlign w:val="center"/>
          </w:tcPr>
          <w:p w14:paraId="3C70258E">
            <w:pPr>
              <w:jc w:val="right"/>
              <w:rPr>
                <w:rFonts w:cs="Times New Roman"/>
                <w:sz w:val="15"/>
                <w:szCs w:val="15"/>
              </w:rPr>
            </w:pPr>
            <w:r>
              <w:rPr>
                <w:rFonts w:cs="Times New Roman"/>
                <w:sz w:val="15"/>
                <w:szCs w:val="15"/>
              </w:rPr>
              <w:t>39,870.64</w:t>
            </w:r>
          </w:p>
        </w:tc>
        <w:tc>
          <w:tcPr>
            <w:tcW w:w="292" w:type="pct"/>
            <w:tcBorders>
              <w:top w:val="single" w:color="auto" w:sz="4" w:space="0"/>
              <w:left w:val="nil"/>
              <w:bottom w:val="single" w:color="auto" w:sz="4" w:space="0"/>
              <w:right w:val="single" w:color="auto" w:sz="4" w:space="0"/>
            </w:tcBorders>
            <w:vAlign w:val="center"/>
          </w:tcPr>
          <w:p w14:paraId="567B44F4">
            <w:pPr>
              <w:jc w:val="right"/>
              <w:rPr>
                <w:rFonts w:cs="Times New Roman"/>
                <w:sz w:val="15"/>
                <w:szCs w:val="15"/>
              </w:rPr>
            </w:pPr>
            <w:r>
              <w:rPr>
                <w:rFonts w:cs="Times New Roman"/>
                <w:sz w:val="15"/>
                <w:szCs w:val="15"/>
              </w:rPr>
              <w:t>100</w:t>
            </w:r>
          </w:p>
        </w:tc>
        <w:tc>
          <w:tcPr>
            <w:tcW w:w="282" w:type="pct"/>
            <w:tcBorders>
              <w:top w:val="single" w:color="auto" w:sz="4" w:space="0"/>
              <w:left w:val="nil"/>
              <w:bottom w:val="single" w:color="auto" w:sz="4" w:space="0"/>
              <w:right w:val="single" w:color="auto" w:sz="4" w:space="0"/>
            </w:tcBorders>
            <w:vAlign w:val="center"/>
          </w:tcPr>
          <w:p w14:paraId="043BEFD8">
            <w:pPr>
              <w:jc w:val="center"/>
              <w:rPr>
                <w:rFonts w:cs="Times New Roman"/>
                <w:bCs w:val="0"/>
                <w:sz w:val="15"/>
                <w:szCs w:val="15"/>
              </w:rPr>
            </w:pPr>
            <w:r>
              <w:rPr>
                <w:rFonts w:cs="Times New Roman"/>
                <w:sz w:val="15"/>
                <w:szCs w:val="15"/>
              </w:rPr>
              <w:t>不适用</w:t>
            </w:r>
          </w:p>
        </w:tc>
        <w:tc>
          <w:tcPr>
            <w:tcW w:w="239" w:type="pct"/>
            <w:tcBorders>
              <w:top w:val="single" w:color="auto" w:sz="4" w:space="0"/>
              <w:left w:val="nil"/>
              <w:bottom w:val="single" w:color="auto" w:sz="4" w:space="0"/>
              <w:right w:val="single" w:color="auto" w:sz="4" w:space="0"/>
            </w:tcBorders>
            <w:vAlign w:val="center"/>
          </w:tcPr>
          <w:p w14:paraId="404DED53">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98" w:type="pct"/>
            <w:tcBorders>
              <w:top w:val="single" w:color="auto" w:sz="4" w:space="0"/>
              <w:left w:val="nil"/>
              <w:bottom w:val="single" w:color="auto" w:sz="4" w:space="0"/>
              <w:right w:val="single" w:color="auto" w:sz="4" w:space="0"/>
            </w:tcBorders>
            <w:vAlign w:val="center"/>
          </w:tcPr>
          <w:p w14:paraId="3F499364">
            <w:pPr>
              <w:jc w:val="center"/>
              <w:rPr>
                <w:rFonts w:cs="Times New Roman"/>
                <w:bCs w:val="0"/>
                <w:color w:val="000000" w:themeColor="text1"/>
                <w:sz w:val="15"/>
                <w:szCs w:val="15"/>
                <w14:textFill>
                  <w14:solidFill>
                    <w14:schemeClr w14:val="tx1"/>
                  </w14:solidFill>
                </w14:textFill>
              </w:rPr>
            </w:pPr>
            <w:r>
              <w:rPr>
                <w:rFonts w:cs="Times New Roman"/>
                <w:sz w:val="15"/>
                <w:szCs w:val="15"/>
              </w:rPr>
              <w:t>是</w:t>
            </w:r>
          </w:p>
        </w:tc>
        <w:tc>
          <w:tcPr>
            <w:tcW w:w="278" w:type="pct"/>
            <w:tcBorders>
              <w:top w:val="single" w:color="auto" w:sz="4" w:space="0"/>
              <w:left w:val="nil"/>
              <w:bottom w:val="single" w:color="auto" w:sz="4" w:space="0"/>
              <w:right w:val="single" w:color="auto" w:sz="4" w:space="0"/>
            </w:tcBorders>
            <w:vAlign w:val="center"/>
          </w:tcPr>
          <w:p w14:paraId="0A362EE1">
            <w:pPr>
              <w:rPr>
                <w:rFonts w:cs="Times New Roman"/>
                <w:bCs w:val="0"/>
                <w:sz w:val="15"/>
                <w:szCs w:val="15"/>
              </w:rPr>
            </w:pPr>
          </w:p>
        </w:tc>
        <w:tc>
          <w:tcPr>
            <w:tcW w:w="332" w:type="pct"/>
            <w:tcBorders>
              <w:top w:val="single" w:color="auto" w:sz="4" w:space="0"/>
              <w:left w:val="single" w:color="auto" w:sz="4" w:space="0"/>
              <w:bottom w:val="single" w:color="auto" w:sz="4" w:space="0"/>
              <w:right w:val="single" w:color="auto" w:sz="4" w:space="0"/>
            </w:tcBorders>
            <w:vAlign w:val="center"/>
          </w:tcPr>
          <w:p w14:paraId="69AFFD8D">
            <w:pPr>
              <w:jc w:val="right"/>
              <w:textAlignment w:val="center"/>
              <w:rPr>
                <w:rFonts w:cs="Times New Roman"/>
                <w:bCs w:val="0"/>
                <w:sz w:val="15"/>
                <w:szCs w:val="15"/>
              </w:rPr>
            </w:pPr>
            <w:r>
              <w:rPr>
                <w:rFonts w:cs="Times New Roman"/>
                <w:color w:val="000000"/>
                <w:sz w:val="15"/>
                <w:szCs w:val="15"/>
                <w:lang w:bidi="ar"/>
              </w:rPr>
              <w:t>不适用</w:t>
            </w:r>
          </w:p>
        </w:tc>
        <w:tc>
          <w:tcPr>
            <w:tcW w:w="323" w:type="pct"/>
            <w:tcBorders>
              <w:top w:val="single" w:color="auto" w:sz="4" w:space="0"/>
              <w:left w:val="single" w:color="auto" w:sz="4" w:space="0"/>
              <w:bottom w:val="single" w:color="auto" w:sz="4" w:space="0"/>
              <w:right w:val="single" w:color="auto" w:sz="4" w:space="0"/>
            </w:tcBorders>
            <w:vAlign w:val="center"/>
          </w:tcPr>
          <w:p w14:paraId="3E92BD0D">
            <w:pPr>
              <w:rPr>
                <w:rFonts w:cs="Times New Roman"/>
                <w:bCs w:val="0"/>
                <w:sz w:val="15"/>
                <w:szCs w:val="15"/>
              </w:rPr>
            </w:pPr>
          </w:p>
        </w:tc>
        <w:tc>
          <w:tcPr>
            <w:tcW w:w="279" w:type="pct"/>
            <w:tcBorders>
              <w:top w:val="single" w:color="auto" w:sz="4" w:space="0"/>
              <w:left w:val="nil"/>
              <w:bottom w:val="single" w:color="auto" w:sz="4" w:space="0"/>
              <w:right w:val="single" w:color="auto" w:sz="4" w:space="0"/>
            </w:tcBorders>
            <w:vAlign w:val="center"/>
          </w:tcPr>
          <w:p w14:paraId="677AFF20">
            <w:pPr>
              <w:jc w:val="center"/>
              <w:rPr>
                <w:rFonts w:cs="Times New Roman"/>
                <w:bCs w:val="0"/>
                <w:sz w:val="15"/>
                <w:szCs w:val="15"/>
              </w:rPr>
            </w:pPr>
            <w:r>
              <w:rPr>
                <w:rFonts w:cs="Times New Roman"/>
                <w:sz w:val="15"/>
                <w:szCs w:val="15"/>
              </w:rPr>
              <w:t>否</w:t>
            </w:r>
          </w:p>
        </w:tc>
        <w:tc>
          <w:tcPr>
            <w:tcW w:w="279" w:type="pct"/>
            <w:tcBorders>
              <w:top w:val="single" w:color="auto" w:sz="4" w:space="0"/>
              <w:left w:val="nil"/>
              <w:bottom w:val="single" w:color="auto" w:sz="4" w:space="0"/>
              <w:right w:val="single" w:color="auto" w:sz="4" w:space="0"/>
            </w:tcBorders>
            <w:vAlign w:val="center"/>
          </w:tcPr>
          <w:p w14:paraId="23068675">
            <w:pPr>
              <w:jc w:val="right"/>
              <w:rPr>
                <w:rFonts w:cs="Times New Roman"/>
                <w:bCs w:val="0"/>
                <w:sz w:val="15"/>
                <w:szCs w:val="15"/>
              </w:rPr>
            </w:pPr>
          </w:p>
        </w:tc>
      </w:tr>
      <w:tr w14:paraId="7C4548EA">
        <w:tblPrEx>
          <w:tblCellMar>
            <w:top w:w="0" w:type="dxa"/>
            <w:left w:w="108" w:type="dxa"/>
            <w:bottom w:w="0" w:type="dxa"/>
            <w:right w:w="108" w:type="dxa"/>
          </w:tblCellMar>
        </w:tblPrEx>
        <w:trPr>
          <w:trHeight w:val="447" w:hRule="atLeast"/>
          <w:jc w:val="center"/>
        </w:trPr>
        <w:tc>
          <w:tcPr>
            <w:tcW w:w="253" w:type="pct"/>
            <w:tcBorders>
              <w:top w:val="single" w:color="auto" w:sz="4" w:space="0"/>
              <w:left w:val="single" w:color="auto" w:sz="4" w:space="0"/>
              <w:bottom w:val="single" w:color="auto" w:sz="4" w:space="0"/>
              <w:right w:val="single" w:color="auto" w:sz="4" w:space="0"/>
            </w:tcBorders>
            <w:vAlign w:val="center"/>
          </w:tcPr>
          <w:p w14:paraId="13CD4EFD">
            <w:pPr>
              <w:jc w:val="center"/>
              <w:rPr>
                <w:rFonts w:cs="Times New Roman"/>
                <w:bCs w:val="0"/>
                <w:color w:val="000000" w:themeColor="text1"/>
                <w:sz w:val="15"/>
                <w:szCs w:val="15"/>
                <w14:textFill>
                  <w14:solidFill>
                    <w14:schemeClr w14:val="tx1"/>
                  </w14:solidFill>
                </w14:textFill>
              </w:rPr>
            </w:pPr>
            <w:r>
              <w:rPr>
                <w:rFonts w:cs="Times New Roman"/>
                <w:color w:val="000000" w:themeColor="text1"/>
                <w:sz w:val="15"/>
                <w:szCs w:val="15"/>
                <w14:textFill>
                  <w14:solidFill>
                    <w14:schemeClr w14:val="tx1"/>
                  </w14:solidFill>
                </w14:textFill>
              </w:rPr>
              <w:t>合计</w:t>
            </w:r>
          </w:p>
        </w:tc>
        <w:tc>
          <w:tcPr>
            <w:tcW w:w="324" w:type="pct"/>
            <w:tcBorders>
              <w:top w:val="single" w:color="auto" w:sz="4" w:space="0"/>
              <w:left w:val="single" w:color="auto" w:sz="4" w:space="0"/>
              <w:bottom w:val="single" w:color="auto" w:sz="4" w:space="0"/>
              <w:right w:val="single" w:color="auto" w:sz="4" w:space="0"/>
            </w:tcBorders>
            <w:vAlign w:val="center"/>
          </w:tcPr>
          <w:p w14:paraId="33C18A71">
            <w:pPr>
              <w:rPr>
                <w:rFonts w:cs="Times New Roman"/>
                <w:bCs w:val="0"/>
                <w:color w:val="000000" w:themeColor="text1"/>
                <w:sz w:val="15"/>
                <w:szCs w:val="15"/>
                <w14:textFill>
                  <w14:solidFill>
                    <w14:schemeClr w14:val="tx1"/>
                  </w14:solidFill>
                </w14:textFill>
              </w:rPr>
            </w:pPr>
            <w:r>
              <w:rPr>
                <w:rFonts w:cs="Times New Roman"/>
                <w:color w:val="000000" w:themeColor="text1"/>
                <w:sz w:val="15"/>
                <w:szCs w:val="15"/>
                <w14:textFill>
                  <w14:solidFill>
                    <w14:schemeClr w14:val="tx1"/>
                  </w14:solidFill>
                </w14:textFill>
              </w:rPr>
              <w:t>/</w:t>
            </w:r>
          </w:p>
        </w:tc>
        <w:tc>
          <w:tcPr>
            <w:tcW w:w="196" w:type="pct"/>
            <w:tcBorders>
              <w:top w:val="single" w:color="auto" w:sz="4" w:space="0"/>
              <w:left w:val="single" w:color="auto" w:sz="4" w:space="0"/>
              <w:bottom w:val="single" w:color="auto" w:sz="4" w:space="0"/>
              <w:right w:val="single" w:color="auto" w:sz="4" w:space="0"/>
            </w:tcBorders>
            <w:vAlign w:val="center"/>
          </w:tcPr>
          <w:p w14:paraId="43FD6BDC">
            <w:pPr>
              <w:rPr>
                <w:rFonts w:cs="Times New Roman"/>
                <w:bCs w:val="0"/>
                <w:color w:val="000000" w:themeColor="text1"/>
                <w:sz w:val="15"/>
                <w:szCs w:val="15"/>
                <w14:textFill>
                  <w14:solidFill>
                    <w14:schemeClr w14:val="tx1"/>
                  </w14:solidFill>
                </w14:textFill>
              </w:rPr>
            </w:pPr>
            <w:r>
              <w:rPr>
                <w:rFonts w:cs="Times New Roman"/>
                <w:color w:val="000000" w:themeColor="text1"/>
                <w:sz w:val="15"/>
                <w:szCs w:val="15"/>
                <w14:textFill>
                  <w14:solidFill>
                    <w14:schemeClr w14:val="tx1"/>
                  </w14:solidFill>
                </w14:textFill>
              </w:rPr>
              <w:t>/</w:t>
            </w:r>
          </w:p>
        </w:tc>
        <w:tc>
          <w:tcPr>
            <w:tcW w:w="298" w:type="pct"/>
            <w:tcBorders>
              <w:top w:val="single" w:color="auto" w:sz="4" w:space="0"/>
              <w:left w:val="single" w:color="auto" w:sz="4" w:space="0"/>
              <w:bottom w:val="single" w:color="auto" w:sz="4" w:space="0"/>
              <w:right w:val="single" w:color="auto" w:sz="4" w:space="0"/>
            </w:tcBorders>
            <w:vAlign w:val="center"/>
          </w:tcPr>
          <w:p w14:paraId="16C84028">
            <w:pPr>
              <w:rPr>
                <w:rFonts w:cs="Times New Roman"/>
                <w:bCs w:val="0"/>
                <w:color w:val="000000" w:themeColor="text1"/>
                <w:sz w:val="15"/>
                <w:szCs w:val="15"/>
                <w14:textFill>
                  <w14:solidFill>
                    <w14:schemeClr w14:val="tx1"/>
                  </w14:solidFill>
                </w14:textFill>
              </w:rPr>
            </w:pPr>
            <w:r>
              <w:rPr>
                <w:rFonts w:cs="Times New Roman"/>
                <w:color w:val="000000" w:themeColor="text1"/>
                <w:sz w:val="15"/>
                <w:szCs w:val="15"/>
                <w14:textFill>
                  <w14:solidFill>
                    <w14:schemeClr w14:val="tx1"/>
                  </w14:solidFill>
                </w14:textFill>
              </w:rPr>
              <w:t>/</w:t>
            </w:r>
          </w:p>
        </w:tc>
        <w:tc>
          <w:tcPr>
            <w:tcW w:w="351" w:type="pct"/>
            <w:tcBorders>
              <w:top w:val="single" w:color="auto" w:sz="4" w:space="0"/>
              <w:left w:val="single" w:color="auto" w:sz="4" w:space="0"/>
              <w:bottom w:val="single" w:color="auto" w:sz="4" w:space="0"/>
              <w:right w:val="single" w:color="auto" w:sz="4" w:space="0"/>
            </w:tcBorders>
            <w:vAlign w:val="center"/>
          </w:tcPr>
          <w:p w14:paraId="1C9A7424">
            <w:pPr>
              <w:rPr>
                <w:rFonts w:cs="Times New Roman"/>
                <w:bCs w:val="0"/>
                <w:color w:val="000000" w:themeColor="text1"/>
                <w:sz w:val="15"/>
                <w:szCs w:val="15"/>
                <w14:textFill>
                  <w14:solidFill>
                    <w14:schemeClr w14:val="tx1"/>
                  </w14:solidFill>
                </w14:textFill>
              </w:rPr>
            </w:pPr>
            <w:r>
              <w:rPr>
                <w:rFonts w:cs="Times New Roman"/>
                <w:color w:val="000000" w:themeColor="text1"/>
                <w:sz w:val="15"/>
                <w:szCs w:val="15"/>
                <w14:textFill>
                  <w14:solidFill>
                    <w14:schemeClr w14:val="tx1"/>
                  </w14:solidFill>
                </w14:textFill>
              </w:rPr>
              <w:t>/</w:t>
            </w:r>
          </w:p>
        </w:tc>
        <w:tc>
          <w:tcPr>
            <w:tcW w:w="330" w:type="pct"/>
            <w:tcBorders>
              <w:top w:val="single" w:color="auto" w:sz="4" w:space="0"/>
              <w:left w:val="nil"/>
              <w:bottom w:val="single" w:color="auto" w:sz="4" w:space="0"/>
              <w:right w:val="single" w:color="auto" w:sz="4" w:space="0"/>
            </w:tcBorders>
            <w:vAlign w:val="center"/>
          </w:tcPr>
          <w:p w14:paraId="78DB713F">
            <w:pPr>
              <w:jc w:val="right"/>
              <w:textAlignment w:val="center"/>
              <w:rPr>
                <w:rFonts w:cs="Times New Roman"/>
                <w:sz w:val="15"/>
                <w:szCs w:val="15"/>
              </w:rPr>
            </w:pPr>
            <w:r>
              <w:rPr>
                <w:rFonts w:cs="Times New Roman"/>
                <w:color w:val="000000"/>
                <w:sz w:val="15"/>
                <w:szCs w:val="15"/>
                <w:lang w:bidi="ar"/>
              </w:rPr>
              <w:t>845,962.03</w:t>
            </w:r>
          </w:p>
        </w:tc>
        <w:tc>
          <w:tcPr>
            <w:tcW w:w="314" w:type="pct"/>
            <w:tcBorders>
              <w:top w:val="single" w:color="auto" w:sz="4" w:space="0"/>
              <w:left w:val="single" w:color="auto" w:sz="4" w:space="0"/>
              <w:bottom w:val="single" w:color="auto" w:sz="4" w:space="0"/>
              <w:right w:val="single" w:color="auto" w:sz="4" w:space="0"/>
            </w:tcBorders>
            <w:vAlign w:val="center"/>
          </w:tcPr>
          <w:p w14:paraId="28BB89C6">
            <w:pPr>
              <w:jc w:val="right"/>
              <w:textAlignment w:val="center"/>
              <w:rPr>
                <w:rFonts w:cs="Times New Roman"/>
                <w:sz w:val="15"/>
                <w:szCs w:val="15"/>
              </w:rPr>
            </w:pPr>
            <w:r>
              <w:rPr>
                <w:rFonts w:cs="Times New Roman"/>
                <w:color w:val="000000"/>
                <w:sz w:val="15"/>
                <w:szCs w:val="15"/>
                <w:lang w:bidi="ar"/>
              </w:rPr>
              <w:t>49,967.20</w:t>
            </w:r>
          </w:p>
        </w:tc>
        <w:tc>
          <w:tcPr>
            <w:tcW w:w="324" w:type="pct"/>
            <w:tcBorders>
              <w:top w:val="single" w:color="auto" w:sz="4" w:space="0"/>
              <w:left w:val="single" w:color="auto" w:sz="4" w:space="0"/>
              <w:bottom w:val="single" w:color="auto" w:sz="4" w:space="0"/>
              <w:right w:val="single" w:color="auto" w:sz="4" w:space="0"/>
            </w:tcBorders>
            <w:vAlign w:val="center"/>
          </w:tcPr>
          <w:p w14:paraId="6D7BA76E">
            <w:pPr>
              <w:jc w:val="right"/>
              <w:textAlignment w:val="center"/>
              <w:rPr>
                <w:rFonts w:cs="Times New Roman"/>
                <w:sz w:val="15"/>
                <w:szCs w:val="15"/>
              </w:rPr>
            </w:pPr>
            <w:r>
              <w:rPr>
                <w:rFonts w:cs="Times New Roman"/>
                <w:color w:val="000000"/>
                <w:sz w:val="15"/>
                <w:szCs w:val="15"/>
                <w:lang w:bidi="ar"/>
              </w:rPr>
              <w:t>783,080.97</w:t>
            </w:r>
          </w:p>
        </w:tc>
        <w:tc>
          <w:tcPr>
            <w:tcW w:w="292" w:type="pct"/>
            <w:tcBorders>
              <w:top w:val="single" w:color="auto" w:sz="4" w:space="0"/>
              <w:left w:val="nil"/>
              <w:bottom w:val="single" w:color="auto" w:sz="4" w:space="0"/>
              <w:right w:val="single" w:color="auto" w:sz="4" w:space="0"/>
            </w:tcBorders>
            <w:vAlign w:val="center"/>
          </w:tcPr>
          <w:p w14:paraId="09D35EC6">
            <w:pPr>
              <w:jc w:val="center"/>
              <w:rPr>
                <w:rFonts w:cs="Times New Roman"/>
                <w:color w:val="000000" w:themeColor="text1"/>
                <w:sz w:val="15"/>
                <w:szCs w:val="15"/>
                <w14:textFill>
                  <w14:solidFill>
                    <w14:schemeClr w14:val="tx1"/>
                  </w14:solidFill>
                </w14:textFill>
              </w:rPr>
            </w:pPr>
            <w:r>
              <w:rPr>
                <w:rFonts w:cs="Times New Roman"/>
                <w:color w:val="000000" w:themeColor="text1"/>
                <w:sz w:val="15"/>
                <w:szCs w:val="15"/>
                <w14:textFill>
                  <w14:solidFill>
                    <w14:schemeClr w14:val="tx1"/>
                  </w14:solidFill>
                </w14:textFill>
              </w:rPr>
              <w:t>/</w:t>
            </w:r>
          </w:p>
        </w:tc>
        <w:tc>
          <w:tcPr>
            <w:tcW w:w="282" w:type="pct"/>
            <w:tcBorders>
              <w:top w:val="single" w:color="auto" w:sz="4" w:space="0"/>
              <w:left w:val="nil"/>
              <w:bottom w:val="single" w:color="auto" w:sz="4" w:space="0"/>
              <w:right w:val="single" w:color="auto" w:sz="4" w:space="0"/>
            </w:tcBorders>
            <w:vAlign w:val="center"/>
          </w:tcPr>
          <w:p w14:paraId="6170EB23">
            <w:pPr>
              <w:jc w:val="center"/>
              <w:rPr>
                <w:rFonts w:cs="Times New Roman"/>
                <w:bCs w:val="0"/>
                <w:color w:val="000000" w:themeColor="text1"/>
                <w:sz w:val="15"/>
                <w:szCs w:val="15"/>
                <w14:textFill>
                  <w14:solidFill>
                    <w14:schemeClr w14:val="tx1"/>
                  </w14:solidFill>
                </w14:textFill>
              </w:rPr>
            </w:pPr>
            <w:r>
              <w:rPr>
                <w:rFonts w:cs="Times New Roman"/>
                <w:color w:val="000000" w:themeColor="text1"/>
                <w:sz w:val="15"/>
                <w:szCs w:val="15"/>
                <w14:textFill>
                  <w14:solidFill>
                    <w14:schemeClr w14:val="tx1"/>
                  </w14:solidFill>
                </w14:textFill>
              </w:rPr>
              <w:t>/</w:t>
            </w:r>
          </w:p>
        </w:tc>
        <w:tc>
          <w:tcPr>
            <w:tcW w:w="239" w:type="pct"/>
            <w:tcBorders>
              <w:top w:val="single" w:color="auto" w:sz="4" w:space="0"/>
              <w:left w:val="nil"/>
              <w:bottom w:val="single" w:color="auto" w:sz="4" w:space="0"/>
              <w:right w:val="single" w:color="auto" w:sz="4" w:space="0"/>
            </w:tcBorders>
            <w:vAlign w:val="center"/>
          </w:tcPr>
          <w:p w14:paraId="38C273F7">
            <w:pPr>
              <w:jc w:val="center"/>
              <w:rPr>
                <w:rFonts w:cs="Times New Roman"/>
                <w:bCs w:val="0"/>
                <w:color w:val="000000" w:themeColor="text1"/>
                <w:sz w:val="15"/>
                <w:szCs w:val="15"/>
                <w14:textFill>
                  <w14:solidFill>
                    <w14:schemeClr w14:val="tx1"/>
                  </w14:solidFill>
                </w14:textFill>
              </w:rPr>
            </w:pPr>
            <w:r>
              <w:rPr>
                <w:rFonts w:cs="Times New Roman"/>
                <w:color w:val="000000" w:themeColor="text1"/>
                <w:sz w:val="15"/>
                <w:szCs w:val="15"/>
                <w14:textFill>
                  <w14:solidFill>
                    <w14:schemeClr w14:val="tx1"/>
                  </w14:solidFill>
                </w14:textFill>
              </w:rPr>
              <w:t>/</w:t>
            </w:r>
          </w:p>
        </w:tc>
        <w:tc>
          <w:tcPr>
            <w:tcW w:w="298" w:type="pct"/>
            <w:tcBorders>
              <w:top w:val="single" w:color="auto" w:sz="4" w:space="0"/>
              <w:left w:val="nil"/>
              <w:bottom w:val="single" w:color="auto" w:sz="4" w:space="0"/>
              <w:right w:val="single" w:color="auto" w:sz="4" w:space="0"/>
            </w:tcBorders>
            <w:vAlign w:val="center"/>
          </w:tcPr>
          <w:p w14:paraId="51C8FC26">
            <w:pPr>
              <w:jc w:val="center"/>
              <w:rPr>
                <w:rFonts w:cs="Times New Roman"/>
                <w:bCs w:val="0"/>
                <w:color w:val="000000" w:themeColor="text1"/>
                <w:sz w:val="15"/>
                <w:szCs w:val="15"/>
                <w14:textFill>
                  <w14:solidFill>
                    <w14:schemeClr w14:val="tx1"/>
                  </w14:solidFill>
                </w14:textFill>
              </w:rPr>
            </w:pPr>
            <w:r>
              <w:rPr>
                <w:rFonts w:cs="Times New Roman"/>
                <w:color w:val="000000" w:themeColor="text1"/>
                <w:sz w:val="15"/>
                <w:szCs w:val="15"/>
                <w14:textFill>
                  <w14:solidFill>
                    <w14:schemeClr w14:val="tx1"/>
                  </w14:solidFill>
                </w14:textFill>
              </w:rPr>
              <w:t>/</w:t>
            </w:r>
          </w:p>
        </w:tc>
        <w:tc>
          <w:tcPr>
            <w:tcW w:w="278" w:type="pct"/>
            <w:tcBorders>
              <w:top w:val="single" w:color="auto" w:sz="4" w:space="0"/>
              <w:left w:val="nil"/>
              <w:bottom w:val="single" w:color="auto" w:sz="4" w:space="0"/>
              <w:right w:val="single" w:color="auto" w:sz="4" w:space="0"/>
            </w:tcBorders>
            <w:vAlign w:val="center"/>
          </w:tcPr>
          <w:p w14:paraId="7B2B792C">
            <w:pPr>
              <w:jc w:val="center"/>
              <w:rPr>
                <w:rFonts w:cs="Times New Roman"/>
                <w:bCs w:val="0"/>
                <w:color w:val="000000" w:themeColor="text1"/>
                <w:sz w:val="15"/>
                <w:szCs w:val="15"/>
                <w14:textFill>
                  <w14:solidFill>
                    <w14:schemeClr w14:val="tx1"/>
                  </w14:solidFill>
                </w14:textFill>
              </w:rPr>
            </w:pPr>
            <w:r>
              <w:rPr>
                <w:rFonts w:cs="Times New Roman"/>
                <w:color w:val="000000" w:themeColor="text1"/>
                <w:sz w:val="15"/>
                <w:szCs w:val="15"/>
                <w14:textFill>
                  <w14:solidFill>
                    <w14:schemeClr w14:val="tx1"/>
                  </w14:solidFill>
                </w14:textFill>
              </w:rPr>
              <w:t>/</w:t>
            </w:r>
          </w:p>
        </w:tc>
        <w:tc>
          <w:tcPr>
            <w:tcW w:w="332" w:type="pct"/>
            <w:tcBorders>
              <w:top w:val="single" w:color="auto" w:sz="4" w:space="0"/>
              <w:left w:val="single" w:color="auto" w:sz="4" w:space="0"/>
              <w:bottom w:val="single" w:color="auto" w:sz="4" w:space="0"/>
              <w:right w:val="single" w:color="auto" w:sz="4" w:space="0"/>
            </w:tcBorders>
            <w:vAlign w:val="center"/>
          </w:tcPr>
          <w:p w14:paraId="170BCEC6">
            <w:pPr>
              <w:jc w:val="right"/>
              <w:textAlignment w:val="center"/>
              <w:rPr>
                <w:rFonts w:cs="Times New Roman"/>
                <w:bCs w:val="0"/>
                <w:sz w:val="15"/>
                <w:szCs w:val="15"/>
              </w:rPr>
            </w:pPr>
            <w:r>
              <w:rPr>
                <w:rFonts w:cs="Times New Roman"/>
                <w:color w:val="000000"/>
                <w:sz w:val="15"/>
                <w:szCs w:val="15"/>
                <w:lang w:bidi="ar"/>
              </w:rPr>
              <w:t>529.27</w:t>
            </w:r>
          </w:p>
        </w:tc>
        <w:tc>
          <w:tcPr>
            <w:tcW w:w="323" w:type="pct"/>
            <w:tcBorders>
              <w:top w:val="single" w:color="auto" w:sz="4" w:space="0"/>
              <w:left w:val="single" w:color="auto" w:sz="4" w:space="0"/>
              <w:bottom w:val="single" w:color="auto" w:sz="4" w:space="0"/>
              <w:right w:val="single" w:color="auto" w:sz="4" w:space="0"/>
            </w:tcBorders>
            <w:vAlign w:val="center"/>
          </w:tcPr>
          <w:p w14:paraId="7F94BEC4">
            <w:pPr>
              <w:jc w:val="center"/>
              <w:rPr>
                <w:rFonts w:cs="Times New Roman"/>
                <w:bCs w:val="0"/>
                <w:color w:val="000000" w:themeColor="text1"/>
                <w:sz w:val="15"/>
                <w:szCs w:val="15"/>
                <w14:textFill>
                  <w14:solidFill>
                    <w14:schemeClr w14:val="tx1"/>
                  </w14:solidFill>
                </w14:textFill>
              </w:rPr>
            </w:pPr>
            <w:r>
              <w:rPr>
                <w:rFonts w:cs="Times New Roman"/>
                <w:color w:val="000000" w:themeColor="text1"/>
                <w:sz w:val="15"/>
                <w:szCs w:val="15"/>
                <w14:textFill>
                  <w14:solidFill>
                    <w14:schemeClr w14:val="tx1"/>
                  </w14:solidFill>
                </w14:textFill>
              </w:rPr>
              <w:t>/</w:t>
            </w:r>
          </w:p>
        </w:tc>
        <w:tc>
          <w:tcPr>
            <w:tcW w:w="279" w:type="pct"/>
            <w:tcBorders>
              <w:top w:val="single" w:color="auto" w:sz="4" w:space="0"/>
              <w:left w:val="nil"/>
              <w:bottom w:val="single" w:color="auto" w:sz="4" w:space="0"/>
              <w:right w:val="single" w:color="auto" w:sz="4" w:space="0"/>
            </w:tcBorders>
            <w:vAlign w:val="center"/>
          </w:tcPr>
          <w:p w14:paraId="514B9FE0">
            <w:pPr>
              <w:jc w:val="center"/>
              <w:rPr>
                <w:rFonts w:cs="Times New Roman"/>
                <w:bCs w:val="0"/>
                <w:color w:val="000000" w:themeColor="text1"/>
                <w:sz w:val="15"/>
                <w:szCs w:val="15"/>
                <w14:textFill>
                  <w14:solidFill>
                    <w14:schemeClr w14:val="tx1"/>
                  </w14:solidFill>
                </w14:textFill>
              </w:rPr>
            </w:pPr>
            <w:r>
              <w:rPr>
                <w:rFonts w:cs="Times New Roman"/>
                <w:color w:val="000000" w:themeColor="text1"/>
                <w:sz w:val="15"/>
                <w:szCs w:val="15"/>
                <w14:textFill>
                  <w14:solidFill>
                    <w14:schemeClr w14:val="tx1"/>
                  </w14:solidFill>
                </w14:textFill>
              </w:rPr>
              <w:t>/</w:t>
            </w:r>
          </w:p>
        </w:tc>
        <w:tc>
          <w:tcPr>
            <w:tcW w:w="279" w:type="pct"/>
            <w:tcBorders>
              <w:top w:val="single" w:color="auto" w:sz="4" w:space="0"/>
              <w:left w:val="nil"/>
              <w:bottom w:val="single" w:color="auto" w:sz="4" w:space="0"/>
              <w:right w:val="single" w:color="auto" w:sz="4" w:space="0"/>
            </w:tcBorders>
            <w:vAlign w:val="center"/>
          </w:tcPr>
          <w:p w14:paraId="62FEDA83">
            <w:pPr>
              <w:jc w:val="right"/>
              <w:rPr>
                <w:rFonts w:cs="Times New Roman"/>
                <w:bCs w:val="0"/>
                <w:sz w:val="15"/>
                <w:szCs w:val="15"/>
              </w:rPr>
            </w:pPr>
          </w:p>
        </w:tc>
      </w:tr>
    </w:tbl>
    <w:p w14:paraId="557E67E6"/>
    <w:p w14:paraId="617A5A7A">
      <w:pPr>
        <w:pStyle w:val="5"/>
        <w:numPr>
          <w:ilvl w:val="0"/>
          <w:numId w:val="26"/>
        </w:numPr>
      </w:pPr>
      <w:r>
        <w:rPr>
          <w:rFonts w:hint="eastAsia"/>
        </w:rPr>
        <w:t>超募资金明细使用情况</w:t>
      </w:r>
    </w:p>
    <w:sdt>
      <w:sdtPr>
        <w:rPr>
          <w:rFonts w:hint="eastAsia"/>
          <w:color w:val="000000" w:themeColor="text1"/>
          <w:szCs w:val="22"/>
          <w14:textFill>
            <w14:solidFill>
              <w14:schemeClr w14:val="tx1"/>
            </w14:solidFill>
          </w14:textFill>
        </w:rPr>
        <w:alias w:val="是否适用：超募资金明细使用情况[双击切换]"/>
        <w:tag w:val="_GBC_2f45cae4211540beb20022acbb67dc6c"/>
        <w:id w:val="147471549"/>
        <w:placeholder>
          <w:docPart w:val="{d8014d7a-cba5-4a66-9d59-c514dac73ae3}"/>
        </w:placeholder>
      </w:sdtPr>
      <w:sdtEndPr>
        <w:rPr>
          <w:rFonts w:hint="eastAsia"/>
          <w:color w:val="000000" w:themeColor="text1"/>
          <w:szCs w:val="22"/>
          <w14:textFill>
            <w14:solidFill>
              <w14:schemeClr w14:val="tx1"/>
            </w14:solidFill>
          </w14:textFill>
        </w:rPr>
      </w:sdtEndPr>
      <w:sdtContent>
        <w:p w14:paraId="3396F6A4">
          <w:pPr>
            <w:rPr>
              <w:color w:val="000000" w:themeColor="text1"/>
              <w:szCs w:val="22"/>
              <w14:textFill>
                <w14:solidFill>
                  <w14:schemeClr w14:val="tx1"/>
                </w14:solidFill>
              </w14:textFill>
            </w:rPr>
          </w:pPr>
          <w:r>
            <w:rPr>
              <w:rFonts w:ascii="宋体" w:hAnsi="宋体"/>
              <w:color w:val="000000" w:themeColor="text1"/>
              <w:szCs w:val="22"/>
              <w14:textFill>
                <w14:solidFill>
                  <w14:schemeClr w14:val="tx1"/>
                </w14:solidFill>
              </w14:textFill>
            </w:rPr>
            <w:fldChar w:fldCharType="begin"/>
          </w:r>
          <w:r>
            <w:rPr>
              <w:rFonts w:ascii="宋体" w:hAnsi="宋体"/>
              <w:color w:val="000000" w:themeColor="text1"/>
              <w:szCs w:val="22"/>
              <w14:textFill>
                <w14:solidFill>
                  <w14:schemeClr w14:val="tx1"/>
                </w14:solidFill>
              </w14:textFill>
            </w:rPr>
            <w:instrText xml:space="preserve"> </w:instrText>
          </w:r>
          <w:r>
            <w:rPr>
              <w:rFonts w:hint="eastAsia" w:ascii="宋体" w:hAnsi="宋体"/>
              <w:color w:val="000000" w:themeColor="text1"/>
              <w:szCs w:val="22"/>
              <w14:textFill>
                <w14:solidFill>
                  <w14:schemeClr w14:val="tx1"/>
                </w14:solidFill>
              </w14:textFill>
            </w:rPr>
            <w:instrText xml:space="preserve">MACROBUTTON  SnrToggleCheckbox √适用</w:instrText>
          </w:r>
          <w:r>
            <w:rPr>
              <w:rFonts w:ascii="宋体" w:hAnsi="宋体"/>
              <w:color w:val="000000" w:themeColor="text1"/>
              <w:szCs w:val="22"/>
              <w14:textFill>
                <w14:solidFill>
                  <w14:schemeClr w14:val="tx1"/>
                </w14:solidFill>
              </w14:textFill>
            </w:rPr>
            <w:instrText xml:space="preserve"> </w:instrText>
          </w:r>
          <w:r>
            <w:rPr>
              <w:rFonts w:ascii="宋体" w:hAnsi="宋体"/>
              <w:color w:val="000000" w:themeColor="text1"/>
              <w:szCs w:val="22"/>
              <w14:textFill>
                <w14:solidFill>
                  <w14:schemeClr w14:val="tx1"/>
                </w14:solidFill>
              </w14:textFill>
            </w:rPr>
            <w:fldChar w:fldCharType="end"/>
          </w:r>
          <w:r>
            <w:rPr>
              <w:rFonts w:ascii="宋体" w:hAnsi="宋体"/>
              <w:color w:val="000000" w:themeColor="text1"/>
              <w:szCs w:val="22"/>
              <w14:textFill>
                <w14:solidFill>
                  <w14:schemeClr w14:val="tx1"/>
                </w14:solidFill>
              </w14:textFill>
            </w:rPr>
            <w:fldChar w:fldCharType="begin"/>
          </w:r>
          <w:r>
            <w:rPr>
              <w:rFonts w:ascii="宋体" w:hAnsi="宋体"/>
              <w:color w:val="000000" w:themeColor="text1"/>
              <w:szCs w:val="22"/>
              <w14:textFill>
                <w14:solidFill>
                  <w14:schemeClr w14:val="tx1"/>
                </w14:solidFill>
              </w14:textFill>
            </w:rPr>
            <w:instrText xml:space="preserve"> MACROBUTTON  SnrToggleCheckbox □不适用 </w:instrText>
          </w:r>
          <w:r>
            <w:rPr>
              <w:rFonts w:ascii="宋体" w:hAnsi="宋体"/>
              <w:color w:val="000000" w:themeColor="text1"/>
              <w:szCs w:val="22"/>
              <w14:textFill>
                <w14:solidFill>
                  <w14:schemeClr w14:val="tx1"/>
                </w14:solidFill>
              </w14:textFill>
            </w:rPr>
            <w:fldChar w:fldCharType="end"/>
          </w:r>
        </w:p>
      </w:sdtContent>
    </w:sdt>
    <w:p w14:paraId="50B00A1F">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超募资金明细使用情况"/>
          <w:tag w:val="_GBC_26cf87b050514eff851bacb285e6ea3c"/>
          <w:id w:val="147472573"/>
          <w:placeholder>
            <w:docPart w:val="{d8014d7a-cba5-4a66-9d59-c514dac73ae3}"/>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万元</w:t>
          </w:r>
        </w:sdtContent>
      </w:sdt>
      <w:r>
        <w:rPr>
          <w:rFonts w:hint="eastAsia"/>
          <w:color w:val="000000" w:themeColor="text1"/>
          <w14:textFill>
            <w14:solidFill>
              <w14:schemeClr w14:val="tx1"/>
            </w14:solidFill>
          </w14:textFill>
        </w:rPr>
        <w:t xml:space="preserve"> </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4"/>
        <w:gridCol w:w="1987"/>
        <w:gridCol w:w="2650"/>
        <w:gridCol w:w="3087"/>
        <w:gridCol w:w="2895"/>
        <w:gridCol w:w="1316"/>
      </w:tblGrid>
      <w:tr w14:paraId="3111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7dc5020318404c30b4a84a2f2aa6d083"/>
            <w:id w:val="147471075"/>
          </w:sdtPr>
          <w:sdtContent>
            <w:tc>
              <w:tcPr>
                <w:tcW w:w="764" w:type="pct"/>
                <w:vAlign w:val="center"/>
              </w:tcPr>
              <w:p w14:paraId="07C96E4B">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用途</w:t>
                </w:r>
              </w:p>
            </w:tc>
          </w:sdtContent>
        </w:sdt>
        <w:sdt>
          <w:sdtPr>
            <w:tag w:val="_PLD_4324620b7fbd44da92222a48399e74ec"/>
            <w:id w:val="147458957"/>
          </w:sdtPr>
          <w:sdtContent>
            <w:tc>
              <w:tcPr>
                <w:tcW w:w="705" w:type="pct"/>
                <w:vAlign w:val="center"/>
              </w:tcPr>
              <w:p w14:paraId="711A0A1B">
                <w:pPr>
                  <w:widowControl w:val="0"/>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性质</w:t>
                </w:r>
              </w:p>
            </w:tc>
          </w:sdtContent>
        </w:sdt>
        <w:sdt>
          <w:sdtPr>
            <w:tag w:val="_PLD_14eea55e9ae44fa59e7b2db748f21a69"/>
            <w:id w:val="147466129"/>
          </w:sdtPr>
          <w:sdtContent>
            <w:tc>
              <w:tcPr>
                <w:tcW w:w="940" w:type="pct"/>
                <w:vAlign w:val="center"/>
              </w:tcPr>
              <w:p w14:paraId="2C1110F4">
                <w:pPr>
                  <w:widowControl w:val="0"/>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拟投入超募资金总额</w:t>
                </w:r>
              </w:p>
              <w:p w14:paraId="5568E83C">
                <w:pPr>
                  <w:widowControl w:val="0"/>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（1）</w:t>
                </w:r>
              </w:p>
            </w:tc>
          </w:sdtContent>
        </w:sdt>
        <w:sdt>
          <w:sdtPr>
            <w:tag w:val="_PLD_9d14e3f5d85641cda2ea7f72bb56a437"/>
            <w:id w:val="147457939"/>
          </w:sdtPr>
          <w:sdtContent>
            <w:tc>
              <w:tcPr>
                <w:tcW w:w="1095" w:type="pct"/>
                <w:vAlign w:val="center"/>
              </w:tcPr>
              <w:p w14:paraId="184153CD">
                <w:pPr>
                  <w:widowControl w:val="0"/>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截至</w:t>
                </w:r>
                <w:r>
                  <w:rPr>
                    <w:color w:val="000000" w:themeColor="text1"/>
                    <w14:textFill>
                      <w14:solidFill>
                        <w14:schemeClr w14:val="tx1"/>
                      </w14:solidFill>
                    </w14:textFill>
                  </w:rPr>
                  <w:t>报告期末</w:t>
                </w:r>
                <w:r>
                  <w:rPr>
                    <w:rFonts w:hint="eastAsia"/>
                    <w:color w:val="000000" w:themeColor="text1"/>
                    <w14:textFill>
                      <w14:solidFill>
                        <w14:schemeClr w14:val="tx1"/>
                      </w14:solidFill>
                    </w14:textFill>
                  </w:rPr>
                  <w:t>累计投入超募资金总额</w:t>
                </w:r>
              </w:p>
              <w:p w14:paraId="2FA3DD9F">
                <w:pPr>
                  <w:widowControl w:val="0"/>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（2）</w:t>
                </w:r>
              </w:p>
            </w:tc>
          </w:sdtContent>
        </w:sdt>
        <w:sdt>
          <w:sdtPr>
            <w:tag w:val="_PLD_9f77bd989f494252ad1a4b1ac14b9a6c"/>
            <w:id w:val="147452206"/>
          </w:sdtPr>
          <w:sdtContent>
            <w:tc>
              <w:tcPr>
                <w:tcW w:w="1027" w:type="pct"/>
                <w:vAlign w:val="center"/>
              </w:tcPr>
              <w:p w14:paraId="3E9D0795">
                <w:pPr>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截至报告期末累计投入进度（%）</w:t>
                </w:r>
              </w:p>
              <w:p w14:paraId="48B77DE3">
                <w:pPr>
                  <w:widowControl w:val="0"/>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(3)＝(2)/(1)</w:t>
                </w:r>
              </w:p>
            </w:tc>
          </w:sdtContent>
        </w:sdt>
        <w:sdt>
          <w:sdtPr>
            <w:tag w:val="_PLD_829670b7cf664ed5ae617e48caccc823"/>
            <w:id w:val="147482119"/>
          </w:sdtPr>
          <w:sdtContent>
            <w:tc>
              <w:tcPr>
                <w:tcW w:w="467" w:type="pct"/>
                <w:vAlign w:val="center"/>
              </w:tcPr>
              <w:p w14:paraId="2C3066E6">
                <w:pPr>
                  <w:widowControl w:val="0"/>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备注</w:t>
                </w:r>
              </w:p>
            </w:tc>
          </w:sdtContent>
        </w:sdt>
      </w:tr>
      <w:tr w14:paraId="3B81E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14:paraId="69E62637">
            <w:pPr>
              <w:widowControl w:val="0"/>
              <w:jc w:val="both"/>
              <w:rPr>
                <w:bCs w:val="0"/>
              </w:rPr>
            </w:pPr>
            <w:r>
              <w:rPr>
                <w:rFonts w:hint="eastAsia"/>
                <w:bCs w:val="0"/>
              </w:rPr>
              <w:t>永久补充流动资金</w:t>
            </w:r>
          </w:p>
        </w:tc>
        <w:sdt>
          <w:sdtPr>
            <w:rPr>
              <w:bCs w:val="0"/>
              <w:color w:val="000000" w:themeColor="text1"/>
              <w14:textFill>
                <w14:solidFill>
                  <w14:schemeClr w14:val="tx1"/>
                </w14:solidFill>
              </w14:textFill>
            </w:rPr>
            <w:alias w:val="超募资金明细使用情况明细_性质"/>
            <w:tag w:val="_GBC_860d1db024a444aa9c074beac8e3e7ec"/>
            <w:id w:val="147474129"/>
            <w:comboBox>
              <w:listItem w:displayText="补流还贷" w:value="补流还贷"/>
              <w:listItem w:displayText="新建项目" w:value="新建项目"/>
              <w:listItem w:displayText="在建项目" w:value="在建项目"/>
              <w:listItem w:displayText="收购资产" w:value="收购资产"/>
              <w:listItem w:displayText="回购" w:value="回购"/>
              <w:listItem w:displayText="其他" w:value="其他"/>
              <w:listItem w:displayText="尚未使用" w:value="尚未使用"/>
            </w:comboBox>
          </w:sdtPr>
          <w:sdtEndPr>
            <w:rPr>
              <w:bCs w:val="0"/>
              <w:color w:val="000000" w:themeColor="text1"/>
              <w14:textFill>
                <w14:solidFill>
                  <w14:schemeClr w14:val="tx1"/>
                </w14:solidFill>
              </w14:textFill>
            </w:rPr>
          </w:sdtEndPr>
          <w:sdtContent>
            <w:tc>
              <w:tcPr>
                <w:tcW w:w="705" w:type="pct"/>
                <w:vAlign w:val="center"/>
              </w:tcPr>
              <w:p w14:paraId="6F8AB8CC">
                <w:pPr>
                  <w:jc w:val="both"/>
                  <w:rPr>
                    <w:bCs w:val="0"/>
                    <w:color w:val="000000" w:themeColor="text1"/>
                    <w14:textFill>
                      <w14:solidFill>
                        <w14:schemeClr w14:val="tx1"/>
                      </w14:solidFill>
                    </w14:textFill>
                  </w:rPr>
                </w:pPr>
                <w:r>
                  <w:rPr>
                    <w:bCs w:val="0"/>
                    <w:color w:val="000000" w:themeColor="text1"/>
                    <w14:textFill>
                      <w14:solidFill>
                        <w14:schemeClr w14:val="tx1"/>
                      </w14:solidFill>
                    </w14:textFill>
                  </w:rPr>
                  <w:t>补流还贷</w:t>
                </w:r>
              </w:p>
            </w:tc>
          </w:sdtContent>
        </w:sdt>
        <w:tc>
          <w:tcPr>
            <w:tcW w:w="940" w:type="pct"/>
            <w:vAlign w:val="center"/>
          </w:tcPr>
          <w:p w14:paraId="64602F2C">
            <w:pPr>
              <w:jc w:val="right"/>
              <w:textAlignment w:val="center"/>
              <w:rPr>
                <w:rFonts w:cs="Times New Roman"/>
                <w:bCs w:val="0"/>
              </w:rPr>
            </w:pPr>
            <w:r>
              <w:rPr>
                <w:rFonts w:eastAsia="Arial Narrow" w:cs="Times New Roman"/>
                <w:color w:val="000000"/>
                <w:lang w:bidi="ar"/>
              </w:rPr>
              <w:t>66,578.59</w:t>
            </w:r>
          </w:p>
        </w:tc>
        <w:tc>
          <w:tcPr>
            <w:tcW w:w="1095" w:type="pct"/>
            <w:vAlign w:val="center"/>
          </w:tcPr>
          <w:p w14:paraId="4A7520CD">
            <w:pPr>
              <w:jc w:val="right"/>
              <w:textAlignment w:val="center"/>
              <w:rPr>
                <w:rFonts w:cs="Times New Roman"/>
                <w:bCs w:val="0"/>
              </w:rPr>
            </w:pPr>
            <w:r>
              <w:rPr>
                <w:rFonts w:eastAsia="Arial Narrow" w:cs="Times New Roman"/>
                <w:color w:val="000000"/>
                <w:lang w:bidi="ar"/>
              </w:rPr>
              <w:t>66,578.59</w:t>
            </w:r>
          </w:p>
        </w:tc>
        <w:tc>
          <w:tcPr>
            <w:tcW w:w="1027" w:type="pct"/>
            <w:vAlign w:val="center"/>
          </w:tcPr>
          <w:p w14:paraId="0E94DBED">
            <w:pPr>
              <w:jc w:val="right"/>
              <w:textAlignment w:val="center"/>
              <w:rPr>
                <w:rFonts w:cs="Times New Roman"/>
                <w:bCs w:val="0"/>
              </w:rPr>
            </w:pPr>
            <w:r>
              <w:rPr>
                <w:rFonts w:eastAsia="Arial Narrow" w:cs="Times New Roman"/>
                <w:color w:val="000000"/>
                <w:lang w:bidi="ar"/>
              </w:rPr>
              <w:t xml:space="preserve"> 100.00 </w:t>
            </w:r>
          </w:p>
        </w:tc>
        <w:tc>
          <w:tcPr>
            <w:tcW w:w="467" w:type="pct"/>
            <w:vAlign w:val="center"/>
          </w:tcPr>
          <w:p w14:paraId="380CF610">
            <w:pPr>
              <w:widowControl w:val="0"/>
              <w:rPr>
                <w:bCs w:val="0"/>
              </w:rPr>
            </w:pPr>
          </w:p>
        </w:tc>
      </w:tr>
      <w:tr w14:paraId="31805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Align w:val="center"/>
          </w:tcPr>
          <w:p w14:paraId="41926EE4">
            <w:pPr>
              <w:widowControl w:val="0"/>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705" w:type="pct"/>
            <w:vAlign w:val="center"/>
          </w:tcPr>
          <w:p w14:paraId="251DFC71">
            <w:pPr>
              <w:jc w:val="center"/>
              <w:rPr>
                <w:bCs w:val="0"/>
                <w:color w:val="000000" w:themeColor="text1"/>
                <w14:textFill>
                  <w14:solidFill>
                    <w14:schemeClr w14:val="tx1"/>
                  </w14:solidFill>
                </w14:textFill>
              </w:rPr>
            </w:pPr>
            <w:r>
              <w:rPr>
                <w:color w:val="000000" w:themeColor="text1"/>
                <w14:textFill>
                  <w14:solidFill>
                    <w14:schemeClr w14:val="tx1"/>
                  </w14:solidFill>
                </w14:textFill>
              </w:rPr>
              <w:t>/</w:t>
            </w:r>
          </w:p>
        </w:tc>
        <w:tc>
          <w:tcPr>
            <w:tcW w:w="940" w:type="pct"/>
            <w:vAlign w:val="center"/>
          </w:tcPr>
          <w:p w14:paraId="78846149">
            <w:pPr>
              <w:jc w:val="right"/>
              <w:textAlignment w:val="center"/>
              <w:rPr>
                <w:rFonts w:cs="Times New Roman"/>
                <w:bCs w:val="0"/>
              </w:rPr>
            </w:pPr>
            <w:r>
              <w:rPr>
                <w:rFonts w:eastAsia="Arial Narrow" w:cs="Times New Roman"/>
                <w:color w:val="000000"/>
                <w:lang w:bidi="ar"/>
              </w:rPr>
              <w:t>66,578.59</w:t>
            </w:r>
          </w:p>
        </w:tc>
        <w:tc>
          <w:tcPr>
            <w:tcW w:w="1095" w:type="pct"/>
            <w:vAlign w:val="center"/>
          </w:tcPr>
          <w:p w14:paraId="469AB56F">
            <w:pPr>
              <w:jc w:val="right"/>
              <w:textAlignment w:val="center"/>
              <w:rPr>
                <w:rFonts w:cs="Times New Roman"/>
                <w:bCs w:val="0"/>
              </w:rPr>
            </w:pPr>
            <w:r>
              <w:rPr>
                <w:rFonts w:hint="eastAsia" w:cs="Times New Roman"/>
                <w:color w:val="000000"/>
                <w:lang w:bidi="ar"/>
              </w:rPr>
              <w:t>66,578.59</w:t>
            </w:r>
          </w:p>
        </w:tc>
        <w:tc>
          <w:tcPr>
            <w:tcW w:w="1027" w:type="pct"/>
            <w:vAlign w:val="center"/>
          </w:tcPr>
          <w:p w14:paraId="056E0831">
            <w:pPr>
              <w:widowControl w:val="0"/>
              <w:jc w:val="center"/>
              <w:rPr>
                <w:rFonts w:cs="Times New Roman"/>
                <w:bCs w:val="0"/>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467" w:type="pct"/>
            <w:vAlign w:val="center"/>
          </w:tcPr>
          <w:p w14:paraId="7894551D">
            <w:pPr>
              <w:widowControl w:val="0"/>
              <w:jc w:val="center"/>
              <w:rPr>
                <w:bCs w:val="0"/>
                <w:color w:val="000000" w:themeColor="text1"/>
                <w14:textFill>
                  <w14:solidFill>
                    <w14:schemeClr w14:val="tx1"/>
                  </w14:solidFill>
                </w14:textFill>
              </w:rPr>
            </w:pPr>
            <w:r>
              <w:rPr>
                <w:color w:val="000000" w:themeColor="text1"/>
                <w14:textFill>
                  <w14:solidFill>
                    <w14:schemeClr w14:val="tx1"/>
                  </w14:solidFill>
                </w14:textFill>
              </w:rPr>
              <w:t>/</w:t>
            </w:r>
          </w:p>
        </w:tc>
      </w:tr>
    </w:tbl>
    <w:p w14:paraId="302F83E5">
      <w:pPr>
        <w:rPr>
          <w:color w:val="000000" w:themeColor="text1"/>
          <w14:textFill>
            <w14:solidFill>
              <w14:schemeClr w14:val="tx1"/>
            </w14:solidFill>
          </w14:textFill>
        </w:rPr>
      </w:pPr>
    </w:p>
    <w:bookmarkEnd w:id="72"/>
    <w:p w14:paraId="51FF9B71">
      <w:pPr>
        <w:pStyle w:val="4"/>
        <w:numPr>
          <w:ilvl w:val="0"/>
          <w:numId w:val="25"/>
        </w:numPr>
        <w:tabs>
          <w:tab w:val="left" w:pos="360"/>
        </w:tabs>
        <w:ind w:left="450" w:hanging="450"/>
        <w:rPr>
          <w:rFonts w:ascii="宋体" w:hAnsi="宋体"/>
          <w:color w:val="000000" w:themeColor="text1"/>
          <w14:textFill>
            <w14:solidFill>
              <w14:schemeClr w14:val="tx1"/>
            </w14:solidFill>
          </w14:textFill>
        </w:rPr>
      </w:pPr>
      <w:bookmarkStart w:id="73" w:name="_Hlk90391874"/>
      <w:r>
        <w:rPr>
          <w:rFonts w:hint="eastAsia" w:ascii="宋体" w:hAnsi="宋体"/>
          <w:color w:val="000000" w:themeColor="text1"/>
          <w14:textFill>
            <w14:solidFill>
              <w14:schemeClr w14:val="tx1"/>
            </w14:solidFill>
          </w14:textFill>
        </w:rPr>
        <w:t>报告期内募投变更或终止情况</w:t>
      </w:r>
    </w:p>
    <w:sdt>
      <w:sdtPr>
        <w:rPr>
          <w:color w:val="000000" w:themeColor="text1"/>
          <w14:textFill>
            <w14:solidFill>
              <w14:schemeClr w14:val="tx1"/>
            </w14:solidFill>
          </w14:textFill>
        </w:rPr>
        <w:alias w:val="是否适用：报告期内募投变更情况  [双击切换]"/>
        <w:tag w:val="_GBC_8231ad1a0c034cb4a4249fecfe8a81b1"/>
        <w:id w:val="147466627"/>
        <w:placeholder>
          <w:docPart w:val="{d8014d7a-cba5-4a66-9d59-c514dac73ae3}"/>
        </w:placeholder>
      </w:sdtPr>
      <w:sdtEndPr>
        <w:rPr>
          <w:color w:val="000000" w:themeColor="text1"/>
          <w14:textFill>
            <w14:solidFill>
              <w14:schemeClr w14:val="tx1"/>
            </w14:solidFill>
          </w14:textFill>
        </w:rPr>
      </w:sdtEndPr>
      <w:sdtContent>
        <w:p w14:paraId="0143441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9592899">
      <w:pPr>
        <w:jc w:val="right"/>
        <w:rPr>
          <w:color w:val="000000" w:themeColor="text1"/>
          <w14:textFill>
            <w14:solidFill>
              <w14:schemeClr w14:val="tx1"/>
            </w14:solidFill>
          </w14:textFill>
        </w:rPr>
      </w:pPr>
    </w:p>
    <w:p w14:paraId="741BC384">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报告期内募投变更或终止情况"/>
          <w:tag w:val="_GBC_724f73fdfebb4231a8680c4391128ed0"/>
          <w:id w:val="147482896"/>
          <w:placeholder>
            <w:docPart w:val="{d8014d7a-cba5-4a66-9d59-c514dac73ae3}"/>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万元</w:t>
          </w:r>
        </w:sdtContent>
      </w:sdt>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863"/>
        <w:gridCol w:w="635"/>
        <w:gridCol w:w="1198"/>
        <w:gridCol w:w="1176"/>
        <w:gridCol w:w="745"/>
        <w:gridCol w:w="4492"/>
        <w:gridCol w:w="1175"/>
        <w:gridCol w:w="2782"/>
      </w:tblGrid>
      <w:tr w14:paraId="0A33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sdt>
          <w:sdtPr>
            <w:rPr>
              <w:sz w:val="18"/>
              <w:szCs w:val="18"/>
            </w:rPr>
            <w:tag w:val="_PLD_5cd385a20c894d95871254e10485ce04"/>
            <w:id w:val="147476244"/>
          </w:sdtPr>
          <w:sdtEndPr>
            <w:rPr>
              <w:sz w:val="18"/>
              <w:szCs w:val="18"/>
            </w:rPr>
          </w:sdtEndPr>
          <w:sdtContent>
            <w:tc>
              <w:tcPr>
                <w:tcW w:w="363" w:type="pct"/>
                <w:vAlign w:val="center"/>
              </w:tcPr>
              <w:p w14:paraId="31B0A9BC">
                <w:pPr>
                  <w:jc w:val="center"/>
                  <w:rPr>
                    <w:bCs w:val="0"/>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变更前项目名称</w:t>
                </w:r>
              </w:p>
            </w:tc>
          </w:sdtContent>
        </w:sdt>
        <w:sdt>
          <w:sdtPr>
            <w:rPr>
              <w:sz w:val="18"/>
              <w:szCs w:val="18"/>
            </w:rPr>
            <w:tag w:val="_PLD_1efee2e0d12b4d7da3bb6eee45d4466c"/>
            <w:id w:val="147479638"/>
          </w:sdtPr>
          <w:sdtEndPr>
            <w:rPr>
              <w:sz w:val="18"/>
              <w:szCs w:val="18"/>
            </w:rPr>
          </w:sdtEndPr>
          <w:sdtContent>
            <w:tc>
              <w:tcPr>
                <w:tcW w:w="306" w:type="pct"/>
                <w:vAlign w:val="center"/>
              </w:tcPr>
              <w:p w14:paraId="6AB518AC">
                <w:pPr>
                  <w:jc w:val="center"/>
                  <w:rPr>
                    <w:bCs w:val="0"/>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变更时间（首次公告披露时间）</w:t>
                </w:r>
              </w:p>
            </w:tc>
          </w:sdtContent>
        </w:sdt>
        <w:sdt>
          <w:sdtPr>
            <w:rPr>
              <w:sz w:val="18"/>
              <w:szCs w:val="18"/>
            </w:rPr>
            <w:tag w:val="_PLD_01aa520624694460a3d2a50e14c11d79"/>
            <w:id w:val="147467956"/>
          </w:sdtPr>
          <w:sdtEndPr>
            <w:rPr>
              <w:sz w:val="18"/>
              <w:szCs w:val="18"/>
            </w:rPr>
          </w:sdtEndPr>
          <w:sdtContent>
            <w:tc>
              <w:tcPr>
                <w:tcW w:w="225" w:type="pct"/>
                <w:vAlign w:val="center"/>
              </w:tcPr>
              <w:p w14:paraId="248553DD">
                <w:pPr>
                  <w:jc w:val="center"/>
                  <w:rPr>
                    <w:bCs w:val="0"/>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变更类型</w:t>
                </w:r>
              </w:p>
            </w:tc>
          </w:sdtContent>
        </w:sdt>
        <w:sdt>
          <w:sdtPr>
            <w:rPr>
              <w:sz w:val="18"/>
              <w:szCs w:val="18"/>
            </w:rPr>
            <w:tag w:val="_PLD_f484aff688404178a2b2d192558bab27"/>
            <w:id w:val="147480829"/>
          </w:sdtPr>
          <w:sdtEndPr>
            <w:rPr>
              <w:sz w:val="18"/>
              <w:szCs w:val="18"/>
            </w:rPr>
          </w:sdtEndPr>
          <w:sdtContent>
            <w:tc>
              <w:tcPr>
                <w:tcW w:w="425" w:type="pct"/>
                <w:vAlign w:val="center"/>
              </w:tcPr>
              <w:p w14:paraId="4D772849">
                <w:pPr>
                  <w:jc w:val="center"/>
                  <w:rPr>
                    <w:bCs w:val="0"/>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变更</w:t>
                </w:r>
                <w:r>
                  <w:rPr>
                    <w:color w:val="000000" w:themeColor="text1"/>
                    <w:sz w:val="18"/>
                    <w:szCs w:val="18"/>
                    <w14:textFill>
                      <w14:solidFill>
                        <w14:schemeClr w14:val="tx1"/>
                      </w14:solidFill>
                    </w14:textFill>
                  </w:rPr>
                  <w:t>/终止前项目募集资金投资总额</w:t>
                </w:r>
              </w:p>
            </w:tc>
          </w:sdtContent>
        </w:sdt>
        <w:sdt>
          <w:sdtPr>
            <w:rPr>
              <w:sz w:val="18"/>
              <w:szCs w:val="18"/>
            </w:rPr>
            <w:tag w:val="_PLD_a5c0f00563bd4f4dbe74e18841373e9b"/>
            <w:id w:val="147474052"/>
          </w:sdtPr>
          <w:sdtEndPr>
            <w:rPr>
              <w:sz w:val="18"/>
              <w:szCs w:val="18"/>
            </w:rPr>
          </w:sdtEndPr>
          <w:sdtContent>
            <w:tc>
              <w:tcPr>
                <w:tcW w:w="417" w:type="pct"/>
                <w:vAlign w:val="center"/>
              </w:tcPr>
              <w:p w14:paraId="287F3640">
                <w:pPr>
                  <w:jc w:val="center"/>
                  <w:rPr>
                    <w:bCs w:val="0"/>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变更</w:t>
                </w:r>
                <w:r>
                  <w:rPr>
                    <w:color w:val="000000" w:themeColor="text1"/>
                    <w:sz w:val="18"/>
                    <w:szCs w:val="18"/>
                    <w14:textFill>
                      <w14:solidFill>
                        <w14:schemeClr w14:val="tx1"/>
                      </w14:solidFill>
                    </w14:textFill>
                  </w:rPr>
                  <w:t>/终止前项目已投入募</w:t>
                </w:r>
                <w:r>
                  <w:rPr>
                    <w:rFonts w:hint="eastAsia"/>
                    <w:color w:val="000000" w:themeColor="text1"/>
                    <w:sz w:val="18"/>
                    <w:szCs w:val="18"/>
                    <w14:textFill>
                      <w14:solidFill>
                        <w14:schemeClr w14:val="tx1"/>
                      </w14:solidFill>
                    </w14:textFill>
                  </w:rPr>
                  <w:t>集</w:t>
                </w:r>
                <w:r>
                  <w:rPr>
                    <w:color w:val="000000" w:themeColor="text1"/>
                    <w:sz w:val="18"/>
                    <w:szCs w:val="18"/>
                    <w14:textFill>
                      <w14:solidFill>
                        <w14:schemeClr w14:val="tx1"/>
                      </w14:solidFill>
                    </w14:textFill>
                  </w:rPr>
                  <w:t>资金总额</w:t>
                </w:r>
              </w:p>
            </w:tc>
          </w:sdtContent>
        </w:sdt>
        <w:sdt>
          <w:sdtPr>
            <w:rPr>
              <w:sz w:val="18"/>
              <w:szCs w:val="18"/>
            </w:rPr>
            <w:tag w:val="_PLD_3ecb52525c4a4bdca42ca681d68e44a3"/>
            <w:id w:val="147453724"/>
          </w:sdtPr>
          <w:sdtEndPr>
            <w:rPr>
              <w:sz w:val="18"/>
              <w:szCs w:val="18"/>
            </w:rPr>
          </w:sdtEndPr>
          <w:sdtContent>
            <w:tc>
              <w:tcPr>
                <w:tcW w:w="264" w:type="pct"/>
                <w:vAlign w:val="center"/>
              </w:tcPr>
              <w:p w14:paraId="065FB9F4">
                <w:pPr>
                  <w:jc w:val="center"/>
                  <w:rPr>
                    <w:bCs w:val="0"/>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变更后</w:t>
                </w:r>
                <w:r>
                  <w:rPr>
                    <w:color w:val="000000" w:themeColor="text1"/>
                    <w:sz w:val="18"/>
                    <w:szCs w:val="18"/>
                    <w14:textFill>
                      <w14:solidFill>
                        <w14:schemeClr w14:val="tx1"/>
                      </w14:solidFill>
                    </w14:textFill>
                  </w:rPr>
                  <w:t>项目名称</w:t>
                </w:r>
              </w:p>
            </w:tc>
          </w:sdtContent>
        </w:sdt>
        <w:sdt>
          <w:sdtPr>
            <w:rPr>
              <w:sz w:val="18"/>
              <w:szCs w:val="18"/>
            </w:rPr>
            <w:tag w:val="_PLD_2b30ac61e393444cba435ff32d938fae"/>
            <w:id w:val="147455712"/>
          </w:sdtPr>
          <w:sdtEndPr>
            <w:rPr>
              <w:sz w:val="18"/>
              <w:szCs w:val="18"/>
            </w:rPr>
          </w:sdtEndPr>
          <w:sdtContent>
            <w:tc>
              <w:tcPr>
                <w:tcW w:w="1592" w:type="pct"/>
                <w:noWrap/>
                <w:vAlign w:val="center"/>
              </w:tcPr>
              <w:p w14:paraId="2554C28A">
                <w:pPr>
                  <w:jc w:val="center"/>
                  <w:rPr>
                    <w:bCs w:val="0"/>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变更/终止原因</w:t>
                </w:r>
              </w:p>
            </w:tc>
          </w:sdtContent>
        </w:sdt>
        <w:sdt>
          <w:sdtPr>
            <w:rPr>
              <w:sz w:val="18"/>
              <w:szCs w:val="18"/>
            </w:rPr>
            <w:tag w:val="_PLD_a57ba4aa0fbe48aa8b1f9b5e9ffa7ff4"/>
            <w:id w:val="147465151"/>
          </w:sdtPr>
          <w:sdtEndPr>
            <w:rPr>
              <w:sz w:val="18"/>
              <w:szCs w:val="18"/>
            </w:rPr>
          </w:sdtEndPr>
          <w:sdtContent>
            <w:tc>
              <w:tcPr>
                <w:tcW w:w="417" w:type="pct"/>
                <w:vAlign w:val="center"/>
              </w:tcPr>
              <w:p w14:paraId="129C976E">
                <w:pPr>
                  <w:jc w:val="center"/>
                  <w:rPr>
                    <w:bCs w:val="0"/>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变更</w:t>
                </w:r>
                <w:r>
                  <w:rPr>
                    <w:color w:val="000000" w:themeColor="text1"/>
                    <w:sz w:val="18"/>
                    <w:szCs w:val="18"/>
                    <w14:textFill>
                      <w14:solidFill>
                        <w14:schemeClr w14:val="tx1"/>
                      </w14:solidFill>
                    </w14:textFill>
                  </w:rPr>
                  <w:t>/终止后用于补流的募集资金金额</w:t>
                </w:r>
              </w:p>
            </w:tc>
          </w:sdtContent>
        </w:sdt>
        <w:sdt>
          <w:sdtPr>
            <w:rPr>
              <w:sz w:val="18"/>
              <w:szCs w:val="18"/>
            </w:rPr>
            <w:tag w:val="_PLD_81537ea8fa2649b58aed610bdcb57ae6"/>
            <w:id w:val="147465772"/>
          </w:sdtPr>
          <w:sdtEndPr>
            <w:rPr>
              <w:sz w:val="18"/>
              <w:szCs w:val="18"/>
            </w:rPr>
          </w:sdtEndPr>
          <w:sdtContent>
            <w:tc>
              <w:tcPr>
                <w:tcW w:w="986" w:type="pct"/>
                <w:vAlign w:val="center"/>
              </w:tcPr>
              <w:p w14:paraId="1DA10F79">
                <w:pPr>
                  <w:jc w:val="center"/>
                  <w:rPr>
                    <w:bCs w:val="0"/>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决策</w:t>
                </w:r>
                <w:r>
                  <w:rPr>
                    <w:color w:val="000000" w:themeColor="text1"/>
                    <w:sz w:val="18"/>
                    <w:szCs w:val="18"/>
                    <w14:textFill>
                      <w14:solidFill>
                        <w14:schemeClr w14:val="tx1"/>
                      </w14:solidFill>
                    </w14:textFill>
                  </w:rPr>
                  <w:t>程序及</w:t>
                </w:r>
                <w:r>
                  <w:rPr>
                    <w:rFonts w:hint="eastAsia"/>
                    <w:color w:val="000000" w:themeColor="text1"/>
                    <w:sz w:val="18"/>
                    <w:szCs w:val="18"/>
                    <w14:textFill>
                      <w14:solidFill>
                        <w14:schemeClr w14:val="tx1"/>
                      </w14:solidFill>
                    </w14:textFill>
                  </w:rPr>
                  <w:t>信息披露情况说明</w:t>
                </w:r>
              </w:p>
            </w:tc>
          </w:sdtContent>
        </w:sdt>
      </w:tr>
      <w:tr w14:paraId="3C084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6" w:hRule="atLeast"/>
          <w:jc w:val="center"/>
        </w:trPr>
        <w:tc>
          <w:tcPr>
            <w:tcW w:w="363" w:type="pct"/>
            <w:vAlign w:val="center"/>
          </w:tcPr>
          <w:p w14:paraId="069BF9B9">
            <w:pPr>
              <w:jc w:val="center"/>
              <w:textAlignment w:val="center"/>
              <w:rPr>
                <w:bCs w:val="0"/>
                <w:sz w:val="18"/>
                <w:szCs w:val="18"/>
              </w:rPr>
            </w:pPr>
            <w:r>
              <w:rPr>
                <w:rFonts w:hint="eastAsia" w:ascii="宋体" w:hAnsi="宋体"/>
                <w:color w:val="000000"/>
                <w:sz w:val="18"/>
                <w:szCs w:val="18"/>
                <w:lang w:bidi="ar"/>
              </w:rPr>
              <w:t>际华长春目的地中心项目一期</w:t>
            </w:r>
          </w:p>
        </w:tc>
        <w:tc>
          <w:tcPr>
            <w:tcW w:w="306" w:type="pct"/>
            <w:vAlign w:val="center"/>
          </w:tcPr>
          <w:p w14:paraId="33310DF1">
            <w:pPr>
              <w:jc w:val="center"/>
              <w:textAlignment w:val="center"/>
              <w:rPr>
                <w:bCs w:val="0"/>
                <w:sz w:val="18"/>
                <w:szCs w:val="18"/>
              </w:rPr>
            </w:pPr>
            <w:r>
              <w:rPr>
                <w:rFonts w:hint="eastAsia" w:ascii="宋体" w:hAnsi="宋体"/>
                <w:color w:val="000000"/>
                <w:sz w:val="18"/>
                <w:szCs w:val="18"/>
                <w:lang w:bidi="ar"/>
              </w:rPr>
              <w:t>2025年1月25日</w:t>
            </w:r>
          </w:p>
        </w:tc>
        <w:sdt>
          <w:sdtPr>
            <w:rPr>
              <w:bCs w:val="0"/>
              <w:color w:val="000000" w:themeColor="text1"/>
              <w:sz w:val="18"/>
              <w:szCs w:val="18"/>
              <w14:textFill>
                <w14:solidFill>
                  <w14:schemeClr w14:val="tx1"/>
                </w14:solidFill>
              </w14:textFill>
            </w:rPr>
            <w:alias w:val="报告期内募投变更情况明细_变更类型"/>
            <w:tag w:val="_GBC_85c4e6f30fd5451b94ed4d9f32ccd2c4"/>
            <w:id w:val="147462931"/>
            <w:comboBox>
              <w:listItem w:displayText="取消项目" w:value="取消项目"/>
              <w:listItem w:displayText="调减募集资金投资金额" w:value="调减募集资金投资金额"/>
              <w:listItem w:displayText="调增募集资金投资金额" w:value="调增募集资金投资金额"/>
            </w:comboBox>
          </w:sdtPr>
          <w:sdtEndPr>
            <w:rPr>
              <w:bCs w:val="0"/>
              <w:color w:val="000000" w:themeColor="text1"/>
              <w:sz w:val="18"/>
              <w:szCs w:val="18"/>
              <w14:textFill>
                <w14:solidFill>
                  <w14:schemeClr w14:val="tx1"/>
                </w14:solidFill>
              </w14:textFill>
            </w:rPr>
          </w:sdtEndPr>
          <w:sdtContent>
            <w:tc>
              <w:tcPr>
                <w:tcW w:w="225" w:type="pct"/>
                <w:vAlign w:val="center"/>
              </w:tcPr>
              <w:p w14:paraId="6BD1B49A">
                <w:pPr>
                  <w:jc w:val="center"/>
                  <w:rPr>
                    <w:bCs w:val="0"/>
                    <w:color w:val="000000" w:themeColor="text1"/>
                    <w:sz w:val="18"/>
                    <w:szCs w:val="18"/>
                    <w14:textFill>
                      <w14:solidFill>
                        <w14:schemeClr w14:val="tx1"/>
                      </w14:solidFill>
                    </w14:textFill>
                  </w:rPr>
                </w:pPr>
                <w:r>
                  <w:rPr>
                    <w:bCs w:val="0"/>
                    <w:color w:val="000000" w:themeColor="text1"/>
                    <w:sz w:val="18"/>
                    <w:szCs w:val="18"/>
                    <w14:textFill>
                      <w14:solidFill>
                        <w14:schemeClr w14:val="tx1"/>
                      </w14:solidFill>
                    </w14:textFill>
                  </w:rPr>
                  <w:t>取消项目</w:t>
                </w:r>
              </w:p>
            </w:tc>
          </w:sdtContent>
        </w:sdt>
        <w:tc>
          <w:tcPr>
            <w:tcW w:w="425" w:type="pct"/>
            <w:vAlign w:val="center"/>
          </w:tcPr>
          <w:p w14:paraId="4D91EC38">
            <w:pPr>
              <w:jc w:val="center"/>
              <w:textAlignment w:val="center"/>
              <w:rPr>
                <w:rFonts w:cs="Times New Roman"/>
                <w:bCs w:val="0"/>
                <w:sz w:val="18"/>
                <w:szCs w:val="18"/>
              </w:rPr>
            </w:pPr>
            <w:r>
              <w:rPr>
                <w:rFonts w:cs="Times New Roman"/>
                <w:color w:val="000000"/>
                <w:sz w:val="18"/>
                <w:szCs w:val="18"/>
                <w:lang w:bidi="ar"/>
              </w:rPr>
              <w:t xml:space="preserve"> 70,128.42 </w:t>
            </w:r>
          </w:p>
        </w:tc>
        <w:tc>
          <w:tcPr>
            <w:tcW w:w="417" w:type="pct"/>
            <w:vAlign w:val="center"/>
          </w:tcPr>
          <w:p w14:paraId="0A0738A8">
            <w:pPr>
              <w:jc w:val="center"/>
              <w:textAlignment w:val="center"/>
              <w:rPr>
                <w:rFonts w:cs="Times New Roman"/>
                <w:bCs w:val="0"/>
                <w:sz w:val="18"/>
                <w:szCs w:val="18"/>
              </w:rPr>
            </w:pPr>
            <w:r>
              <w:rPr>
                <w:rFonts w:cs="Times New Roman"/>
                <w:color w:val="000000"/>
                <w:sz w:val="18"/>
                <w:szCs w:val="18"/>
                <w:lang w:bidi="ar"/>
              </w:rPr>
              <w:t xml:space="preserve"> 70,128.42 </w:t>
            </w:r>
          </w:p>
        </w:tc>
        <w:tc>
          <w:tcPr>
            <w:tcW w:w="264" w:type="pct"/>
            <w:vAlign w:val="center"/>
          </w:tcPr>
          <w:p w14:paraId="0CED8E9D">
            <w:pPr>
              <w:rPr>
                <w:bCs w:val="0"/>
                <w:sz w:val="18"/>
                <w:szCs w:val="18"/>
              </w:rPr>
            </w:pPr>
          </w:p>
        </w:tc>
        <w:tc>
          <w:tcPr>
            <w:tcW w:w="1592" w:type="pct"/>
            <w:noWrap/>
            <w:vAlign w:val="center"/>
          </w:tcPr>
          <w:p w14:paraId="24FDA67C">
            <w:pPr>
              <w:rPr>
                <w:bCs w:val="0"/>
                <w:sz w:val="18"/>
                <w:szCs w:val="18"/>
              </w:rPr>
            </w:pPr>
            <w:r>
              <w:rPr>
                <w:rFonts w:hint="eastAsia"/>
                <w:bCs w:val="0"/>
                <w:sz w:val="18"/>
                <w:szCs w:val="18"/>
              </w:rPr>
              <w:t>际华园项目为商业地产相关项目，系公司于2014年、2015年结合当时市场环境、行业趋势预测及公司“强二进三”战略规划等因素制定。2024年国内房地产，特别是商业地产领域下行明显，公司全力采取措施对际华园项目进行专业化盘活，结合当前行业发展形势，盘活工作难度增大。根据公司聚焦主业发展战略，公司计划集聚资源和力量打造功能性防护性材料的引领者和中国最具竞争力的职业装引领者，加大科技研发投入，加强品牌赋能，提升产品研发创新能力和市场开发能力。结合“保军、应急、为民”战略使命，公司将进行专业化调整，拟退出际华园项目，并择机进行处置。</w:t>
            </w:r>
          </w:p>
        </w:tc>
        <w:tc>
          <w:tcPr>
            <w:tcW w:w="417" w:type="pct"/>
            <w:vAlign w:val="center"/>
          </w:tcPr>
          <w:p w14:paraId="4451C98B">
            <w:pPr>
              <w:jc w:val="center"/>
              <w:rPr>
                <w:bCs w:val="0"/>
                <w:sz w:val="18"/>
                <w:szCs w:val="18"/>
              </w:rPr>
            </w:pPr>
          </w:p>
        </w:tc>
        <w:tc>
          <w:tcPr>
            <w:tcW w:w="986" w:type="pct"/>
            <w:vAlign w:val="center"/>
          </w:tcPr>
          <w:p w14:paraId="053734C4">
            <w:pPr>
              <w:rPr>
                <w:bCs w:val="0"/>
                <w:sz w:val="18"/>
                <w:szCs w:val="18"/>
              </w:rPr>
            </w:pPr>
            <w:r>
              <w:rPr>
                <w:rFonts w:hint="eastAsia"/>
                <w:bCs w:val="0"/>
                <w:sz w:val="18"/>
                <w:szCs w:val="18"/>
              </w:rPr>
              <w:t>1、2025年1月24日，公司第六届董事会第九次会议审议通过了关于《终止部分募投项目并将剩余募集资金永久补充流动资金》的议案，并于2025年1月25日披露《关于终止部分募投项目并将剩余募集资金永久补充流动资金的公告》。</w:t>
            </w:r>
          </w:p>
          <w:p w14:paraId="44C46E3C">
            <w:pPr>
              <w:rPr>
                <w:bCs w:val="0"/>
                <w:sz w:val="18"/>
                <w:szCs w:val="18"/>
              </w:rPr>
            </w:pPr>
            <w:r>
              <w:rPr>
                <w:rFonts w:hint="eastAsia"/>
                <w:bCs w:val="0"/>
                <w:sz w:val="18"/>
                <w:szCs w:val="18"/>
              </w:rPr>
              <w:t>2、2025年3月21日，公司2025年第一次临时股东大会审议通过了关于《终止部分募投项目并将剩余募集资金永久补充流动资金》的议案，并于2025年3月22日披露《际华集团2025年第一次临时股东大会决议公告》。</w:t>
            </w:r>
          </w:p>
        </w:tc>
      </w:tr>
      <w:tr w14:paraId="3E2E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1" w:hRule="atLeast"/>
          <w:jc w:val="center"/>
        </w:trPr>
        <w:tc>
          <w:tcPr>
            <w:tcW w:w="363" w:type="pct"/>
            <w:vAlign w:val="center"/>
          </w:tcPr>
          <w:p w14:paraId="69FBB391">
            <w:pPr>
              <w:jc w:val="center"/>
              <w:textAlignment w:val="center"/>
              <w:rPr>
                <w:bCs w:val="0"/>
                <w:sz w:val="18"/>
                <w:szCs w:val="18"/>
              </w:rPr>
            </w:pPr>
            <w:r>
              <w:rPr>
                <w:rFonts w:hint="eastAsia" w:ascii="宋体" w:hAnsi="宋体"/>
                <w:color w:val="000000"/>
                <w:sz w:val="18"/>
                <w:szCs w:val="18"/>
                <w:lang w:bidi="ar"/>
              </w:rPr>
              <w:t>重庆际华目的地中心项目一期二阶段</w:t>
            </w:r>
          </w:p>
        </w:tc>
        <w:tc>
          <w:tcPr>
            <w:tcW w:w="306" w:type="pct"/>
            <w:vAlign w:val="center"/>
          </w:tcPr>
          <w:p w14:paraId="29EEB8E1">
            <w:pPr>
              <w:jc w:val="center"/>
              <w:textAlignment w:val="center"/>
              <w:rPr>
                <w:bCs w:val="0"/>
                <w:sz w:val="18"/>
                <w:szCs w:val="18"/>
              </w:rPr>
            </w:pPr>
            <w:r>
              <w:rPr>
                <w:rFonts w:hint="eastAsia" w:ascii="宋体" w:hAnsi="宋体"/>
                <w:color w:val="000000"/>
                <w:sz w:val="18"/>
                <w:szCs w:val="18"/>
                <w:lang w:bidi="ar"/>
              </w:rPr>
              <w:t>2025年1月25日</w:t>
            </w:r>
          </w:p>
        </w:tc>
        <w:tc>
          <w:tcPr>
            <w:tcW w:w="225" w:type="pct"/>
            <w:vAlign w:val="center"/>
          </w:tcPr>
          <w:p w14:paraId="5B602C1D">
            <w:pPr>
              <w:jc w:val="center"/>
              <w:textAlignment w:val="center"/>
              <w:rPr>
                <w:color w:val="000000" w:themeColor="text1"/>
                <w:sz w:val="18"/>
                <w:szCs w:val="18"/>
                <w14:textFill>
                  <w14:solidFill>
                    <w14:schemeClr w14:val="tx1"/>
                  </w14:solidFill>
                </w14:textFill>
              </w:rPr>
            </w:pPr>
            <w:r>
              <w:rPr>
                <w:rFonts w:hint="eastAsia" w:ascii="宋体" w:hAnsi="宋体"/>
                <w:color w:val="000000"/>
                <w:sz w:val="18"/>
                <w:szCs w:val="18"/>
                <w:lang w:bidi="ar"/>
              </w:rPr>
              <w:t>取消项目</w:t>
            </w:r>
          </w:p>
        </w:tc>
        <w:tc>
          <w:tcPr>
            <w:tcW w:w="425" w:type="pct"/>
            <w:vAlign w:val="center"/>
          </w:tcPr>
          <w:p w14:paraId="678D29F8">
            <w:pPr>
              <w:jc w:val="center"/>
              <w:textAlignment w:val="center"/>
              <w:rPr>
                <w:rFonts w:cs="Times New Roman"/>
                <w:bCs w:val="0"/>
                <w:sz w:val="18"/>
                <w:szCs w:val="18"/>
              </w:rPr>
            </w:pPr>
            <w:r>
              <w:rPr>
                <w:rFonts w:cs="Times New Roman"/>
                <w:color w:val="000000"/>
                <w:sz w:val="18"/>
                <w:szCs w:val="18"/>
                <w:lang w:bidi="ar"/>
              </w:rPr>
              <w:t xml:space="preserve"> 45,000.00 </w:t>
            </w:r>
          </w:p>
        </w:tc>
        <w:tc>
          <w:tcPr>
            <w:tcW w:w="417" w:type="pct"/>
            <w:vAlign w:val="center"/>
          </w:tcPr>
          <w:p w14:paraId="0F022759">
            <w:pPr>
              <w:jc w:val="center"/>
              <w:textAlignment w:val="center"/>
              <w:rPr>
                <w:rFonts w:cs="Times New Roman"/>
                <w:bCs w:val="0"/>
                <w:sz w:val="18"/>
                <w:szCs w:val="18"/>
              </w:rPr>
            </w:pPr>
            <w:r>
              <w:rPr>
                <w:rFonts w:cs="Times New Roman"/>
                <w:color w:val="000000"/>
                <w:sz w:val="18"/>
                <w:szCs w:val="18"/>
                <w:lang w:bidi="ar"/>
              </w:rPr>
              <w:t xml:space="preserve"> 24,615.65 </w:t>
            </w:r>
          </w:p>
        </w:tc>
        <w:tc>
          <w:tcPr>
            <w:tcW w:w="264" w:type="pct"/>
            <w:vAlign w:val="center"/>
          </w:tcPr>
          <w:p w14:paraId="7B494BA4">
            <w:pPr>
              <w:rPr>
                <w:bCs w:val="0"/>
                <w:sz w:val="18"/>
                <w:szCs w:val="18"/>
              </w:rPr>
            </w:pPr>
          </w:p>
        </w:tc>
        <w:tc>
          <w:tcPr>
            <w:tcW w:w="1592" w:type="pct"/>
            <w:noWrap/>
            <w:vAlign w:val="center"/>
          </w:tcPr>
          <w:p w14:paraId="67AB4D47">
            <w:pPr>
              <w:rPr>
                <w:bCs w:val="0"/>
                <w:sz w:val="18"/>
                <w:szCs w:val="18"/>
              </w:rPr>
            </w:pPr>
            <w:r>
              <w:rPr>
                <w:rFonts w:hint="eastAsia"/>
                <w:bCs w:val="0"/>
                <w:sz w:val="18"/>
                <w:szCs w:val="18"/>
              </w:rPr>
              <w:t>际华园项目为商业地产相关项目，系公司于2014年、2015年结合当时市场环境、行业趋势预测及公司“强二进三”战略规划等因素制定。2024年国内房地产，特别是商业地产领域下行明显，公司全力采取措施对际华园项目进行专业化盘活，结合当前行业发展形势，盘活工作难度增大。根据公司聚焦主业发展战略，公司计划集聚资源和力量打造功能性防护性材料的引领者和中国最具竞争力的职业装引领者，加大科技研发投入，加强品牌赋能，提升产品研发创新能力和市场开发能力。结合“保军、应急、为民”战略使命，公司将进行专业化调整，拟退出际华园项目，并择机进行处置。</w:t>
            </w:r>
          </w:p>
          <w:p w14:paraId="332370C6">
            <w:pPr>
              <w:rPr>
                <w:bCs w:val="0"/>
                <w:sz w:val="18"/>
                <w:szCs w:val="18"/>
              </w:rPr>
            </w:pPr>
            <w:r>
              <w:rPr>
                <w:rFonts w:hint="eastAsia"/>
                <w:bCs w:val="0"/>
                <w:sz w:val="18"/>
                <w:szCs w:val="18"/>
              </w:rPr>
              <w:t>首次公开发行股票中的“际华重庆目的地中心项目一期”项目经营相同类型业务，该项目募集资金已投入完毕并于2018年12月达到预定可使用状态，未来公司也将持续评估并拟择机进行处置。</w:t>
            </w:r>
          </w:p>
        </w:tc>
        <w:tc>
          <w:tcPr>
            <w:tcW w:w="417" w:type="pct"/>
            <w:vAlign w:val="center"/>
          </w:tcPr>
          <w:p w14:paraId="167B0109">
            <w:pPr>
              <w:jc w:val="center"/>
              <w:textAlignment w:val="center"/>
              <w:rPr>
                <w:bCs w:val="0"/>
                <w:sz w:val="18"/>
                <w:szCs w:val="18"/>
              </w:rPr>
            </w:pPr>
            <w:r>
              <w:rPr>
                <w:rFonts w:hint="eastAsia" w:ascii="宋体" w:hAnsi="宋体"/>
                <w:color w:val="000000"/>
                <w:sz w:val="18"/>
                <w:szCs w:val="18"/>
                <w:lang w:bidi="ar"/>
              </w:rPr>
              <w:t xml:space="preserve"> 20,384.35 </w:t>
            </w:r>
          </w:p>
        </w:tc>
        <w:tc>
          <w:tcPr>
            <w:tcW w:w="986" w:type="pct"/>
            <w:vAlign w:val="center"/>
          </w:tcPr>
          <w:p w14:paraId="767AECFA">
            <w:pPr>
              <w:rPr>
                <w:bCs w:val="0"/>
                <w:sz w:val="18"/>
                <w:szCs w:val="18"/>
              </w:rPr>
            </w:pPr>
            <w:r>
              <w:rPr>
                <w:rFonts w:hint="eastAsia"/>
                <w:bCs w:val="0"/>
                <w:sz w:val="18"/>
                <w:szCs w:val="18"/>
              </w:rPr>
              <w:t>1、2025年1月24日，公司第六届董事会第九次会议审议通过了关于《终止部分募投项目并将剩余募集资金永久补充流动资金》的议案，并于2025年1月25日披露《关于终止部分募投项目并将剩余募集资金永久补充流动资金的公告》。</w:t>
            </w:r>
          </w:p>
          <w:p w14:paraId="2DA948F4">
            <w:pPr>
              <w:rPr>
                <w:bCs w:val="0"/>
                <w:sz w:val="18"/>
                <w:szCs w:val="18"/>
              </w:rPr>
            </w:pPr>
            <w:r>
              <w:rPr>
                <w:rFonts w:hint="eastAsia"/>
                <w:bCs w:val="0"/>
                <w:sz w:val="18"/>
                <w:szCs w:val="18"/>
              </w:rPr>
              <w:t>2、2025年3月21日，公司2025年第一次临时股东大会审议通过了关于《终止部分募投项目并将剩余募集资金永久补充流动资金》的议案，并于2025年3月22日披露《际华集团2025年第一次临时股东大会决议公告》。</w:t>
            </w:r>
          </w:p>
        </w:tc>
      </w:tr>
      <w:tr w14:paraId="15FA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363" w:type="pct"/>
            <w:vAlign w:val="center"/>
          </w:tcPr>
          <w:p w14:paraId="63C5E621">
            <w:pPr>
              <w:jc w:val="center"/>
              <w:textAlignment w:val="center"/>
              <w:rPr>
                <w:bCs w:val="0"/>
                <w:sz w:val="18"/>
                <w:szCs w:val="18"/>
              </w:rPr>
            </w:pPr>
            <w:r>
              <w:rPr>
                <w:rFonts w:hint="eastAsia" w:ascii="宋体" w:hAnsi="宋体"/>
                <w:color w:val="000000"/>
                <w:sz w:val="18"/>
                <w:szCs w:val="18"/>
                <w:lang w:bidi="ar"/>
              </w:rPr>
              <w:t>际华园·长春目的地中心一期项目二阶段</w:t>
            </w:r>
          </w:p>
        </w:tc>
        <w:tc>
          <w:tcPr>
            <w:tcW w:w="306" w:type="pct"/>
            <w:vAlign w:val="center"/>
          </w:tcPr>
          <w:p w14:paraId="1CD9DD25">
            <w:pPr>
              <w:jc w:val="center"/>
              <w:textAlignment w:val="center"/>
              <w:rPr>
                <w:bCs w:val="0"/>
                <w:sz w:val="18"/>
                <w:szCs w:val="18"/>
              </w:rPr>
            </w:pPr>
            <w:r>
              <w:rPr>
                <w:rFonts w:hint="eastAsia" w:ascii="宋体" w:hAnsi="宋体"/>
                <w:color w:val="000000"/>
                <w:sz w:val="18"/>
                <w:szCs w:val="18"/>
                <w:lang w:bidi="ar"/>
              </w:rPr>
              <w:t>2025年1月25日</w:t>
            </w:r>
          </w:p>
        </w:tc>
        <w:tc>
          <w:tcPr>
            <w:tcW w:w="225" w:type="pct"/>
            <w:vAlign w:val="center"/>
          </w:tcPr>
          <w:p w14:paraId="043E26E8">
            <w:pPr>
              <w:jc w:val="center"/>
              <w:textAlignment w:val="center"/>
              <w:rPr>
                <w:bCs w:val="0"/>
                <w:color w:val="000000" w:themeColor="text1"/>
                <w:sz w:val="18"/>
                <w:szCs w:val="18"/>
                <w14:textFill>
                  <w14:solidFill>
                    <w14:schemeClr w14:val="tx1"/>
                  </w14:solidFill>
                </w14:textFill>
              </w:rPr>
            </w:pPr>
            <w:r>
              <w:rPr>
                <w:rFonts w:hint="eastAsia" w:ascii="宋体" w:hAnsi="宋体"/>
                <w:color w:val="000000"/>
                <w:sz w:val="18"/>
                <w:szCs w:val="18"/>
                <w:lang w:bidi="ar"/>
              </w:rPr>
              <w:t>取消项目</w:t>
            </w:r>
          </w:p>
        </w:tc>
        <w:tc>
          <w:tcPr>
            <w:tcW w:w="425" w:type="pct"/>
            <w:vAlign w:val="center"/>
          </w:tcPr>
          <w:p w14:paraId="41F0C04C">
            <w:pPr>
              <w:jc w:val="center"/>
              <w:textAlignment w:val="center"/>
              <w:rPr>
                <w:rFonts w:cs="Times New Roman"/>
                <w:bCs w:val="0"/>
                <w:sz w:val="18"/>
                <w:szCs w:val="18"/>
              </w:rPr>
            </w:pPr>
            <w:r>
              <w:rPr>
                <w:rFonts w:cs="Times New Roman"/>
                <w:color w:val="000000"/>
                <w:sz w:val="18"/>
                <w:szCs w:val="18"/>
                <w:lang w:bidi="ar"/>
              </w:rPr>
              <w:t xml:space="preserve"> 45,000.00 </w:t>
            </w:r>
          </w:p>
        </w:tc>
        <w:tc>
          <w:tcPr>
            <w:tcW w:w="417" w:type="pct"/>
            <w:vAlign w:val="center"/>
          </w:tcPr>
          <w:p w14:paraId="220E0FC7">
            <w:pPr>
              <w:jc w:val="center"/>
              <w:textAlignment w:val="center"/>
              <w:rPr>
                <w:rFonts w:cs="Times New Roman"/>
                <w:bCs w:val="0"/>
                <w:sz w:val="18"/>
                <w:szCs w:val="18"/>
              </w:rPr>
            </w:pPr>
            <w:r>
              <w:rPr>
                <w:rFonts w:cs="Times New Roman"/>
                <w:color w:val="000000"/>
                <w:sz w:val="18"/>
                <w:szCs w:val="18"/>
                <w:lang w:bidi="ar"/>
              </w:rPr>
              <w:t xml:space="preserve"> 25,513.71 </w:t>
            </w:r>
          </w:p>
        </w:tc>
        <w:tc>
          <w:tcPr>
            <w:tcW w:w="264" w:type="pct"/>
            <w:vAlign w:val="center"/>
          </w:tcPr>
          <w:p w14:paraId="42592B42">
            <w:pPr>
              <w:rPr>
                <w:bCs w:val="0"/>
                <w:sz w:val="18"/>
                <w:szCs w:val="18"/>
              </w:rPr>
            </w:pPr>
          </w:p>
        </w:tc>
        <w:tc>
          <w:tcPr>
            <w:tcW w:w="1592" w:type="pct"/>
            <w:noWrap/>
            <w:vAlign w:val="center"/>
          </w:tcPr>
          <w:p w14:paraId="6345F400">
            <w:pPr>
              <w:rPr>
                <w:bCs w:val="0"/>
                <w:sz w:val="18"/>
                <w:szCs w:val="18"/>
              </w:rPr>
            </w:pPr>
            <w:r>
              <w:rPr>
                <w:rFonts w:hint="eastAsia"/>
                <w:bCs w:val="0"/>
                <w:sz w:val="18"/>
                <w:szCs w:val="18"/>
              </w:rPr>
              <w:t>际华园项目为商业地产相关项目，系公司于2014年、2015年结合当时市场环境、行业趋势预测及公司“强二进三”战略规划等因素制定。2024年国内房地产，特别是商业地产领域下行明显，公司全力采取措施对际华园项目进行专业化盘活，结合当前行业发展形势，盘活工作难度增大。根据公司聚焦主业发展战略，公司计划集聚资源和力量打造功能性防护性材料的引领者和中国最具竞争力的职业装引领者，加大科技研发投入，加强品牌赋能，提升产品研发创新能力和市场开发能力。结合“保军、应急、为民”战略使命，公司将进行专业化调整，拟退出际华园项目，并择机进行处置。</w:t>
            </w:r>
          </w:p>
        </w:tc>
        <w:tc>
          <w:tcPr>
            <w:tcW w:w="417" w:type="pct"/>
            <w:vAlign w:val="center"/>
          </w:tcPr>
          <w:p w14:paraId="5A1BD341">
            <w:pPr>
              <w:jc w:val="center"/>
              <w:textAlignment w:val="center"/>
              <w:rPr>
                <w:bCs w:val="0"/>
                <w:sz w:val="18"/>
                <w:szCs w:val="18"/>
              </w:rPr>
            </w:pPr>
            <w:r>
              <w:rPr>
                <w:rFonts w:hint="eastAsia" w:ascii="宋体" w:hAnsi="宋体"/>
                <w:color w:val="000000"/>
                <w:sz w:val="18"/>
                <w:szCs w:val="18"/>
                <w:lang w:bidi="ar"/>
              </w:rPr>
              <w:t xml:space="preserve"> 19,486.29 </w:t>
            </w:r>
          </w:p>
        </w:tc>
        <w:tc>
          <w:tcPr>
            <w:tcW w:w="986" w:type="pct"/>
            <w:vAlign w:val="center"/>
          </w:tcPr>
          <w:p w14:paraId="279B391C">
            <w:pPr>
              <w:rPr>
                <w:bCs w:val="0"/>
                <w:sz w:val="18"/>
                <w:szCs w:val="18"/>
              </w:rPr>
            </w:pPr>
            <w:r>
              <w:rPr>
                <w:rFonts w:hint="eastAsia"/>
                <w:bCs w:val="0"/>
                <w:sz w:val="18"/>
                <w:szCs w:val="18"/>
              </w:rPr>
              <w:t>1、2025年1月24日，公司第六届董事会第九次会议审议通过了关于《终止部分募投项目并将剩余募集资金永久补充流动资金》的议案，并于2025年1月25日披露《关于终止部分募投项目并将剩余募集资金永久补充流动资金的公告》。</w:t>
            </w:r>
          </w:p>
          <w:p w14:paraId="5963DF91">
            <w:pPr>
              <w:rPr>
                <w:bCs w:val="0"/>
                <w:sz w:val="18"/>
                <w:szCs w:val="18"/>
              </w:rPr>
            </w:pPr>
            <w:r>
              <w:rPr>
                <w:rFonts w:hint="eastAsia"/>
                <w:bCs w:val="0"/>
                <w:sz w:val="18"/>
                <w:szCs w:val="18"/>
              </w:rPr>
              <w:t>2、2025年3月21日，公司2025年第一次临时股东大会审议通过了关于《终止部分募投项目并将剩余募集资金永久补充流动资金》的议案，并于2025年3月22日披露《际华集团2025年第一次临时股东大会决议公告》。</w:t>
            </w:r>
          </w:p>
        </w:tc>
      </w:tr>
    </w:tbl>
    <w:p w14:paraId="5AFC5CE0">
      <w:pPr>
        <w:rPr>
          <w:color w:val="000000" w:themeColor="text1"/>
          <w14:textFill>
            <w14:solidFill>
              <w14:schemeClr w14:val="tx1"/>
            </w14:solidFill>
          </w14:textFill>
        </w:rPr>
      </w:pPr>
    </w:p>
    <w:bookmarkEnd w:id="68"/>
    <w:bookmarkEnd w:id="73"/>
    <w:p w14:paraId="217C439B">
      <w:pPr>
        <w:rPr>
          <w:color w:val="000000" w:themeColor="text1"/>
          <w14:textFill>
            <w14:solidFill>
              <w14:schemeClr w14:val="tx1"/>
            </w14:solidFill>
          </w14:textFill>
        </w:rPr>
      </w:pPr>
    </w:p>
    <w:p w14:paraId="163B8235">
      <w:pPr>
        <w:rPr>
          <w:color w:val="000000" w:themeColor="text1"/>
          <w14:textFill>
            <w14:solidFill>
              <w14:schemeClr w14:val="tx1"/>
            </w14:solidFill>
          </w14:textFill>
        </w:rPr>
        <w:sectPr>
          <w:pgSz w:w="16838" w:h="11906" w:orient="landscape"/>
          <w:pgMar w:top="1797" w:right="1525" w:bottom="1276" w:left="1440" w:header="855" w:footer="992" w:gutter="0"/>
          <w:cols w:space="425" w:num="1"/>
          <w:docGrid w:linePitch="312" w:charSpace="0"/>
        </w:sectPr>
      </w:pPr>
    </w:p>
    <w:bookmarkEnd w:id="63"/>
    <w:bookmarkEnd w:id="69"/>
    <w:p w14:paraId="4868F7B9">
      <w:pPr>
        <w:pStyle w:val="4"/>
        <w:numPr>
          <w:ilvl w:val="0"/>
          <w:numId w:val="25"/>
        </w:numPr>
        <w:tabs>
          <w:tab w:val="left" w:pos="360"/>
        </w:tabs>
        <w:ind w:left="450" w:hanging="450"/>
        <w:rPr>
          <w:rFonts w:ascii="宋体" w:hAnsi="宋体"/>
          <w:color w:val="000000" w:themeColor="text1"/>
          <w14:textFill>
            <w14:solidFill>
              <w14:schemeClr w14:val="tx1"/>
            </w14:solidFill>
          </w14:textFill>
        </w:rPr>
      </w:pPr>
      <w:bookmarkStart w:id="74" w:name="_Hlk106701941"/>
      <w:r>
        <w:rPr>
          <w:rFonts w:hint="eastAsia" w:ascii="宋体" w:hAnsi="宋体"/>
          <w:color w:val="000000" w:themeColor="text1"/>
          <w14:textFill>
            <w14:solidFill>
              <w14:schemeClr w14:val="tx1"/>
            </w14:solidFill>
          </w14:textFill>
        </w:rPr>
        <w:t>报告期内募集资金使用的其他情况</w:t>
      </w:r>
    </w:p>
    <w:p w14:paraId="2F3D7583">
      <w:pPr>
        <w:pStyle w:val="5"/>
        <w:numPr>
          <w:ilvl w:val="0"/>
          <w:numId w:val="27"/>
        </w:numPr>
        <w:tabs>
          <w:tab w:val="left" w:pos="360"/>
        </w:tabs>
        <w:ind w:left="0" w:firstLine="0"/>
        <w:rPr>
          <w:bCs/>
          <w:color w:val="000000" w:themeColor="text1"/>
          <w14:textFill>
            <w14:solidFill>
              <w14:schemeClr w14:val="tx1"/>
            </w14:solidFill>
          </w14:textFill>
        </w:rPr>
      </w:pPr>
      <w:bookmarkStart w:id="75" w:name="_Hlk90391881"/>
      <w:r>
        <w:rPr>
          <w:rFonts w:hint="eastAsia"/>
          <w:bCs/>
          <w:color w:val="000000" w:themeColor="text1"/>
          <w14:textFill>
            <w14:solidFill>
              <w14:schemeClr w14:val="tx1"/>
            </w14:solidFill>
          </w14:textFill>
        </w:rPr>
        <w:t>募集资金投资项目先期投入及置换情况</w:t>
      </w:r>
    </w:p>
    <w:sdt>
      <w:sdtPr>
        <w:rPr>
          <w:color w:val="000000" w:themeColor="text1"/>
          <w14:textFill>
            <w14:solidFill>
              <w14:schemeClr w14:val="tx1"/>
            </w14:solidFill>
          </w14:textFill>
        </w:rPr>
        <w:alias w:val="是否适用：募集资金投资项目先期投入及置换情况[双击切换]"/>
        <w:tag w:val="_GBC_3f629b5b9dcc464894de82f0af546b6e"/>
        <w:id w:val="147462311"/>
        <w:placeholder>
          <w:docPart w:val="{d8014d7a-cba5-4a66-9d59-c514dac73ae3}"/>
        </w:placeholder>
      </w:sdtPr>
      <w:sdtEndPr>
        <w:rPr>
          <w:color w:val="000000" w:themeColor="text1"/>
          <w14:textFill>
            <w14:solidFill>
              <w14:schemeClr w14:val="tx1"/>
            </w14:solidFill>
          </w14:textFill>
        </w:rPr>
      </w:sdtEndPr>
      <w:sdtContent>
        <w:p w14:paraId="60B7068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81936D8">
      <w:pPr>
        <w:rPr>
          <w:color w:val="000000" w:themeColor="text1"/>
          <w14:textFill>
            <w14:solidFill>
              <w14:schemeClr w14:val="tx1"/>
            </w14:solidFill>
          </w14:textFill>
        </w:rPr>
      </w:pPr>
    </w:p>
    <w:bookmarkEnd w:id="75"/>
    <w:p w14:paraId="75C18F0C">
      <w:pPr>
        <w:pStyle w:val="5"/>
        <w:numPr>
          <w:ilvl w:val="0"/>
          <w:numId w:val="27"/>
        </w:numPr>
        <w:tabs>
          <w:tab w:val="left" w:pos="360"/>
        </w:tabs>
        <w:ind w:left="0" w:firstLine="0"/>
        <w:rPr>
          <w:bCs/>
          <w:color w:val="000000" w:themeColor="text1"/>
          <w14:textFill>
            <w14:solidFill>
              <w14:schemeClr w14:val="tx1"/>
            </w14:solidFill>
          </w14:textFill>
        </w:rPr>
      </w:pPr>
      <w:bookmarkStart w:id="76" w:name="_Hlk90391885"/>
      <w:r>
        <w:rPr>
          <w:rFonts w:hint="eastAsia"/>
          <w:bCs/>
          <w:color w:val="000000" w:themeColor="text1"/>
          <w14:textFill>
            <w14:solidFill>
              <w14:schemeClr w14:val="tx1"/>
            </w14:solidFill>
          </w14:textFill>
        </w:rPr>
        <w:t>用闲置募集资金暂时补充流动资金情况</w:t>
      </w:r>
    </w:p>
    <w:sdt>
      <w:sdtPr>
        <w:rPr>
          <w:color w:val="000000" w:themeColor="text1"/>
          <w14:textFill>
            <w14:solidFill>
              <w14:schemeClr w14:val="tx1"/>
            </w14:solidFill>
          </w14:textFill>
        </w:rPr>
        <w:alias w:val="是否适用：用闲置募集资金暂时补充流动资金情况[双击切换]"/>
        <w:tag w:val="_GBC_534e659a4d4b40ed9b5a0d957eec69b9"/>
        <w:id w:val="147472694"/>
        <w:placeholder>
          <w:docPart w:val="{d8014d7a-cba5-4a66-9d59-c514dac73ae3}"/>
        </w:placeholder>
      </w:sdtPr>
      <w:sdtEndPr>
        <w:rPr>
          <w:color w:val="000000" w:themeColor="text1"/>
          <w14:textFill>
            <w14:solidFill>
              <w14:schemeClr w14:val="tx1"/>
            </w14:solidFill>
          </w14:textFill>
        </w:rPr>
      </w:sdtEndPr>
      <w:sdtContent>
        <w:p w14:paraId="5CD507F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9D57BC5">
      <w:pPr>
        <w:rPr>
          <w:color w:val="000000" w:themeColor="text1"/>
          <w14:textFill>
            <w14:solidFill>
              <w14:schemeClr w14:val="tx1"/>
            </w14:solidFill>
          </w14:textFill>
        </w:rPr>
      </w:pPr>
    </w:p>
    <w:bookmarkEnd w:id="76"/>
    <w:p w14:paraId="62B10275">
      <w:pPr>
        <w:pStyle w:val="5"/>
        <w:numPr>
          <w:ilvl w:val="0"/>
          <w:numId w:val="27"/>
        </w:numPr>
        <w:tabs>
          <w:tab w:val="left" w:pos="360"/>
        </w:tabs>
        <w:ind w:left="0" w:firstLine="0"/>
        <w:rPr>
          <w:bCs/>
          <w:color w:val="000000" w:themeColor="text1"/>
          <w14:textFill>
            <w14:solidFill>
              <w14:schemeClr w14:val="tx1"/>
            </w14:solidFill>
          </w14:textFill>
        </w:rPr>
      </w:pPr>
      <w:bookmarkStart w:id="77" w:name="_Hlk168577344"/>
      <w:bookmarkStart w:id="78" w:name="_Hlk90391888"/>
      <w:r>
        <w:rPr>
          <w:rFonts w:hint="eastAsia"/>
          <w:bCs/>
          <w:color w:val="000000" w:themeColor="text1"/>
          <w14:textFill>
            <w14:solidFill>
              <w14:schemeClr w14:val="tx1"/>
            </w14:solidFill>
          </w14:textFill>
        </w:rPr>
        <w:t>对闲置募集资金进行现金管理，投资相关产品情况</w:t>
      </w:r>
    </w:p>
    <w:sdt>
      <w:sdtPr>
        <w:rPr>
          <w:color w:val="000000" w:themeColor="text1"/>
          <w14:textFill>
            <w14:solidFill>
              <w14:schemeClr w14:val="tx1"/>
            </w14:solidFill>
          </w14:textFill>
        </w:rPr>
        <w:alias w:val="是否适用：对闲置募集资金进行现金管理，投资相关产品情况[双击切换]"/>
        <w:tag w:val="_GBC_4fa6ec824ff14602addc1e55058ae4e9"/>
        <w:id w:val="147473744"/>
        <w:placeholder>
          <w:docPart w:val="{d8014d7a-cba5-4a66-9d59-c514dac73ae3}"/>
        </w:placeholder>
      </w:sdtPr>
      <w:sdtEndPr>
        <w:rPr>
          <w:color w:val="000000" w:themeColor="text1"/>
          <w14:textFill>
            <w14:solidFill>
              <w14:schemeClr w14:val="tx1"/>
            </w14:solidFill>
          </w14:textFill>
        </w:rPr>
      </w:sdtEndPr>
      <w:sdtContent>
        <w:p w14:paraId="501B63B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2DE5119">
      <w:pPr>
        <w:rPr>
          <w:color w:val="000000" w:themeColor="text1"/>
          <w14:textFill>
            <w14:solidFill>
              <w14:schemeClr w14:val="tx1"/>
            </w14:solidFill>
          </w14:textFill>
        </w:rPr>
      </w:pPr>
    </w:p>
    <w:bookmarkEnd w:id="77"/>
    <w:bookmarkEnd w:id="78"/>
    <w:p w14:paraId="41749723">
      <w:pPr>
        <w:pStyle w:val="5"/>
        <w:numPr>
          <w:ilvl w:val="0"/>
          <w:numId w:val="27"/>
        </w:numPr>
        <w:tabs>
          <w:tab w:val="left" w:pos="360"/>
        </w:tabs>
        <w:ind w:left="0" w:firstLine="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其他</w:t>
      </w:r>
    </w:p>
    <w:sdt>
      <w:sdtPr>
        <w:rPr>
          <w:color w:val="000000" w:themeColor="text1"/>
          <w14:textFill>
            <w14:solidFill>
              <w14:schemeClr w14:val="tx1"/>
            </w14:solidFill>
          </w14:textFill>
        </w:rPr>
        <w:alias w:val="是否适用：募集资金使用的其他情况?[双击切换]"/>
        <w:tag w:val="_GBC_84b80dde77404abab8bdb87b147ee0d4"/>
        <w:id w:val="147451710"/>
        <w:placeholder>
          <w:docPart w:val="{d8014d7a-cba5-4a66-9d59-c514dac73ae3}"/>
        </w:placeholder>
      </w:sdtPr>
      <w:sdtEndPr>
        <w:rPr>
          <w:color w:val="000000" w:themeColor="text1"/>
          <w14:textFill>
            <w14:solidFill>
              <w14:schemeClr w14:val="tx1"/>
            </w14:solidFill>
          </w14:textFill>
        </w:rPr>
      </w:sdtEndPr>
      <w:sdtContent>
        <w:p w14:paraId="05720B2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EB67CBA">
      <w:pPr>
        <w:rPr>
          <w:color w:val="000000" w:themeColor="text1"/>
          <w14:textFill>
            <w14:solidFill>
              <w14:schemeClr w14:val="tx1"/>
            </w14:solidFill>
          </w14:textFill>
        </w:rPr>
      </w:pPr>
    </w:p>
    <w:bookmarkEnd w:id="64"/>
    <w:bookmarkEnd w:id="65"/>
    <w:bookmarkEnd w:id="74"/>
    <w:p w14:paraId="0D9BCBF6">
      <w:pPr>
        <w:pStyle w:val="4"/>
        <w:numPr>
          <w:ilvl w:val="0"/>
          <w:numId w:val="25"/>
        </w:numPr>
        <w:tabs>
          <w:tab w:val="left" w:pos="360"/>
        </w:tabs>
        <w:ind w:left="450" w:hanging="450"/>
        <w:rPr>
          <w:rFonts w:ascii="宋体" w:hAnsi="宋体"/>
          <w:color w:val="000000" w:themeColor="text1"/>
          <w14:textFill>
            <w14:solidFill>
              <w14:schemeClr w14:val="tx1"/>
            </w14:solidFill>
          </w14:textFill>
        </w:rPr>
      </w:pPr>
      <w:bookmarkStart w:id="79" w:name="_Hlk200012883"/>
      <w:r>
        <w:rPr>
          <w:rFonts w:hint="eastAsia" w:ascii="宋体" w:hAnsi="宋体"/>
          <w:color w:val="000000" w:themeColor="text1"/>
          <w14:textFill>
            <w14:solidFill>
              <w14:schemeClr w14:val="tx1"/>
            </w14:solidFill>
          </w14:textFill>
        </w:rPr>
        <w:t>中介机构关于募集资金存储与使用情况的专项核查、鉴证的结论性意见</w:t>
      </w:r>
    </w:p>
    <w:sdt>
      <w:sdtPr>
        <w:rPr>
          <w:rFonts w:hint="eastAsia"/>
        </w:rPr>
        <w:alias w:val="是否适用：中介机构关于募集资金存储与使用情况的专项核查、鉴证的结论性意见[双击切换]"/>
        <w:tag w:val="_GBC_7195bfa022dc473a90bdee118d5934cd"/>
        <w:id w:val="147475926"/>
        <w:placeholder>
          <w:docPart w:val="{d8014d7a-cba5-4a66-9d59-c514dac73ae3}"/>
        </w:placeholder>
      </w:sdtPr>
      <w:sdtEndPr>
        <w:rPr>
          <w:rFonts w:hint="eastAsia"/>
        </w:rPr>
      </w:sdtEndPr>
      <w:sdtContent>
        <w:p w14:paraId="477D9E63">
          <w:pPr>
            <w:rPr>
              <w:color w:val="000000" w:themeColor="text1"/>
              <w14:textFill>
                <w14:solidFill>
                  <w14:schemeClr w14:val="tx1"/>
                </w14:solidFill>
              </w14:textFill>
            </w:rPr>
          </w:pPr>
          <w:r>
            <w:rPr>
              <w:rFonts w:hint="eastAsia" w:ascii="宋体" w:hAnsi="宋体"/>
            </w:rPr>
            <w:fldChar w:fldCharType="begin"/>
          </w:r>
          <w:r>
            <w:rPr>
              <w:rFonts w:hint="eastAsia" w:ascii="宋体" w:hAnsi="宋体"/>
            </w:rPr>
            <w:instrText xml:space="preserve"> MACROBUTTON  SnrToggleCheckbox □适用 </w:instrText>
          </w:r>
          <w:r>
            <w:rPr>
              <w:rFonts w:hint="eastAsia" w:ascii="宋体" w:hAnsi="宋体"/>
            </w:rPr>
            <w:fldChar w:fldCharType="end"/>
          </w:r>
          <w:r>
            <w:rPr>
              <w:rFonts w:hint="eastAsia" w:ascii="宋体" w:hAnsi="宋体"/>
            </w:rPr>
            <w:fldChar w:fldCharType="begin"/>
          </w:r>
          <w:r>
            <w:rPr>
              <w:rFonts w:hint="eastAsia" w:ascii="宋体" w:hAnsi="宋体"/>
            </w:rPr>
            <w:instrText xml:space="preserve"> MACROBUTTON  SnrToggleCheckbox √不适用 </w:instrText>
          </w:r>
          <w:r>
            <w:rPr>
              <w:rFonts w:hint="eastAsia" w:ascii="宋体" w:hAnsi="宋体"/>
            </w:rPr>
            <w:fldChar w:fldCharType="end"/>
          </w:r>
        </w:p>
      </w:sdtContent>
    </w:sdt>
    <w:p w14:paraId="06A7D954">
      <w:pPr>
        <w:rPr>
          <w:color w:val="000000" w:themeColor="text1"/>
          <w14:textFill>
            <w14:solidFill>
              <w14:schemeClr w14:val="tx1"/>
            </w14:solidFill>
          </w14:textFill>
        </w:rPr>
      </w:pPr>
    </w:p>
    <w:p w14:paraId="0D383C7A">
      <w:pPr>
        <w:rPr>
          <w:rFonts w:cs="Times New Roman"/>
          <w:bCs w:val="0"/>
          <w:kern w:val="2"/>
          <w:szCs w:val="28"/>
        </w:rPr>
      </w:pPr>
      <w:r>
        <w:rPr>
          <w:rFonts w:hint="eastAsia" w:cs="Times New Roman"/>
          <w:bCs w:val="0"/>
          <w:kern w:val="2"/>
          <w:szCs w:val="28"/>
        </w:rPr>
        <w:t>核查异常的相关情况说明</w:t>
      </w:r>
    </w:p>
    <w:sdt>
      <w:sdtPr>
        <w:rPr>
          <w:rFonts w:hint="eastAsia"/>
        </w:rPr>
        <w:alias w:val="是否适用：核查异常的相关情况说明[双击切换]"/>
        <w:tag w:val="_GBC_21d5025298b9475fa592a4d7f5785e92"/>
        <w:id w:val="147464095"/>
        <w:placeholder>
          <w:docPart w:val="{d8014d7a-cba5-4a66-9d59-c514dac73ae3}"/>
        </w:placeholder>
      </w:sdtPr>
      <w:sdtEndPr>
        <w:rPr>
          <w:rFonts w:hint="eastAsia"/>
        </w:rPr>
      </w:sdtEndPr>
      <w:sdtContent>
        <w:p w14:paraId="195C5ABE">
          <w:pPr>
            <w:pStyle w:val="55"/>
          </w:pPr>
          <w:r>
            <w:rPr>
              <w:rFonts w:hint="eastAsia" w:ascii="宋体" w:hAnsi="宋体"/>
            </w:rPr>
            <w:fldChar w:fldCharType="begin"/>
          </w:r>
          <w:r>
            <w:rPr>
              <w:rFonts w:hint="eastAsia" w:ascii="宋体" w:hAnsi="宋体"/>
            </w:rPr>
            <w:instrText xml:space="preserve"> MACROBUTTON  SnrToggleCheckbox □适用 </w:instrText>
          </w:r>
          <w:r>
            <w:rPr>
              <w:rFonts w:hint="eastAsia" w:ascii="宋体" w:hAnsi="宋体"/>
            </w:rPr>
            <w:fldChar w:fldCharType="end"/>
          </w:r>
          <w:r>
            <w:rPr>
              <w:rFonts w:hint="eastAsia" w:ascii="宋体" w:hAnsi="宋体"/>
            </w:rPr>
            <w:fldChar w:fldCharType="begin"/>
          </w:r>
          <w:r>
            <w:rPr>
              <w:rFonts w:hint="eastAsia" w:ascii="宋体" w:hAnsi="宋体"/>
            </w:rPr>
            <w:instrText xml:space="preserve"> MACROBUTTON  SnrToggleCheckbox √不适用 </w:instrText>
          </w:r>
          <w:r>
            <w:rPr>
              <w:rFonts w:hint="eastAsia" w:ascii="宋体" w:hAnsi="宋体"/>
            </w:rPr>
            <w:fldChar w:fldCharType="end"/>
          </w:r>
        </w:p>
      </w:sdtContent>
    </w:sdt>
    <w:p w14:paraId="3EC4EE33">
      <w:pPr>
        <w:pStyle w:val="4"/>
        <w:numPr>
          <w:ilvl w:val="0"/>
          <w:numId w:val="25"/>
        </w:numPr>
        <w:tabs>
          <w:tab w:val="left" w:pos="360"/>
        </w:tabs>
        <w:ind w:left="450" w:hanging="45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擅自变更募集资金用途、违规占用募集资金的后续整改情况</w:t>
      </w:r>
    </w:p>
    <w:sdt>
      <w:sdtPr>
        <w:rPr>
          <w:rFonts w:hint="eastAsia"/>
        </w:rPr>
        <w:alias w:val="是否适用：擅自变更募集资金用途、违规占用募集资金的后续整改情况[双击切换]"/>
        <w:tag w:val="_GBC_fa6d1cac51784ab6bcfb875ffef23414"/>
        <w:id w:val="147457414"/>
        <w:placeholder>
          <w:docPart w:val="{d8014d7a-cba5-4a66-9d59-c514dac73ae3}"/>
        </w:placeholder>
      </w:sdtPr>
      <w:sdtEndPr>
        <w:rPr>
          <w:rFonts w:hint="eastAsia"/>
        </w:rPr>
      </w:sdtEndPr>
      <w:sdtContent>
        <w:p w14:paraId="37BD5DC1">
          <w:pPr>
            <w:pStyle w:val="55"/>
          </w:pPr>
          <w:r>
            <w:rPr>
              <w:rFonts w:hint="eastAsia" w:ascii="宋体" w:hAnsi="宋体"/>
            </w:rPr>
            <w:fldChar w:fldCharType="begin"/>
          </w:r>
          <w:r>
            <w:rPr>
              <w:rFonts w:hint="eastAsia" w:ascii="宋体" w:hAnsi="宋体"/>
            </w:rPr>
            <w:instrText xml:space="preserve"> MACROBUTTON  SnrToggleCheckbox □适用 </w:instrText>
          </w:r>
          <w:r>
            <w:rPr>
              <w:rFonts w:hint="eastAsia" w:ascii="宋体" w:hAnsi="宋体"/>
            </w:rPr>
            <w:fldChar w:fldCharType="end"/>
          </w:r>
          <w:r>
            <w:rPr>
              <w:rFonts w:hint="eastAsia" w:ascii="宋体" w:hAnsi="宋体"/>
            </w:rPr>
            <w:fldChar w:fldCharType="begin"/>
          </w:r>
          <w:r>
            <w:rPr>
              <w:rFonts w:hint="eastAsia" w:ascii="宋体" w:hAnsi="宋体"/>
            </w:rPr>
            <w:instrText xml:space="preserve"> MACROBUTTON  SnrToggleCheckbox √不适用 </w:instrText>
          </w:r>
          <w:r>
            <w:rPr>
              <w:rFonts w:hint="eastAsia" w:ascii="宋体" w:hAnsi="宋体"/>
            </w:rPr>
            <w:fldChar w:fldCharType="end"/>
          </w:r>
        </w:p>
      </w:sdtContent>
    </w:sdt>
    <w:p w14:paraId="6B5BEA5E">
      <w:pPr>
        <w:rPr>
          <w:color w:val="000000" w:themeColor="text1"/>
          <w14:textFill>
            <w14:solidFill>
              <w14:schemeClr w14:val="tx1"/>
            </w14:solidFill>
          </w14:textFill>
        </w:rPr>
      </w:pPr>
    </w:p>
    <w:bookmarkEnd w:id="79"/>
    <w:p w14:paraId="1D51ABBA">
      <w:pPr>
        <w:pStyle w:val="3"/>
        <w:numPr>
          <w:ilvl w:val="0"/>
          <w:numId w:val="14"/>
        </w:numPr>
        <w:tabs>
          <w:tab w:val="left" w:pos="426"/>
        </w:tabs>
        <w:jc w:val="left"/>
        <w:rPr>
          <w:rFonts w:ascii="宋体" w:hAnsi="宋体"/>
          <w:color w:val="000000" w:themeColor="text1"/>
          <w14:textFill>
            <w14:solidFill>
              <w14:schemeClr w14:val="tx1"/>
            </w14:solidFill>
          </w14:textFill>
        </w:rPr>
      </w:pPr>
      <w:bookmarkStart w:id="80" w:name="_Hlk74820557"/>
      <w:bookmarkStart w:id="81" w:name="_Hlk74904700"/>
      <w:r>
        <w:rPr>
          <w:rFonts w:hint="eastAsia" w:ascii="宋体" w:hAnsi="宋体"/>
          <w:color w:val="000000" w:themeColor="text1"/>
          <w14:textFill>
            <w14:solidFill>
              <w14:schemeClr w14:val="tx1"/>
            </w14:solidFill>
          </w14:textFill>
        </w:rPr>
        <w:t>其他重大事项的说明</w:t>
      </w:r>
    </w:p>
    <w:sdt>
      <w:sdtPr>
        <w:rPr>
          <w:color w:val="000000" w:themeColor="text1"/>
          <w14:textFill>
            <w14:solidFill>
              <w14:schemeClr w14:val="tx1"/>
            </w14:solidFill>
          </w14:textFill>
        </w:rPr>
        <w:alias w:val="是否适用：其他重大事项的说明[双击切换]"/>
        <w:tag w:val="_GBC_60472543195d45309db4d042b8e09883"/>
        <w:id w:val="147479642"/>
        <w:placeholder>
          <w:docPart w:val="{d8014d7a-cba5-4a66-9d59-c514dac73ae3}"/>
        </w:placeholder>
      </w:sdtPr>
      <w:sdtEndPr>
        <w:rPr>
          <w:color w:val="000000" w:themeColor="text1"/>
          <w14:textFill>
            <w14:solidFill>
              <w14:schemeClr w14:val="tx1"/>
            </w14:solidFill>
          </w14:textFill>
        </w:rPr>
      </w:sdtEndPr>
      <w:sdtContent>
        <w:p w14:paraId="5936753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5942E23">
      <w:pPr>
        <w:rPr>
          <w:color w:val="000000" w:themeColor="text1"/>
          <w14:textFill>
            <w14:solidFill>
              <w14:schemeClr w14:val="tx1"/>
            </w14:solidFill>
          </w14:textFill>
        </w:rPr>
      </w:pPr>
    </w:p>
    <w:bookmarkEnd w:id="80"/>
    <w:bookmarkEnd w:id="81"/>
    <w:p w14:paraId="7F9B284C">
      <w:pPr>
        <w:rPr>
          <w:color w:val="000000" w:themeColor="text1"/>
          <w14:textFill>
            <w14:solidFill>
              <w14:schemeClr w14:val="tx1"/>
            </w14:solidFill>
          </w14:textFill>
        </w:rPr>
      </w:pPr>
    </w:p>
    <w:p w14:paraId="4DB5832A">
      <w:pPr>
        <w:pStyle w:val="2"/>
        <w:numPr>
          <w:ilvl w:val="0"/>
          <w:numId w:val="3"/>
        </w:numPr>
        <w:rPr>
          <w:rFonts w:ascii="黑体" w:hAnsi="黑体"/>
          <w:color w:val="000000" w:themeColor="text1"/>
          <w14:textFill>
            <w14:solidFill>
              <w14:schemeClr w14:val="tx1"/>
            </w14:solidFill>
          </w14:textFill>
        </w:rPr>
      </w:pPr>
      <w:r>
        <w:rPr>
          <w:rFonts w:hint="eastAsia" w:ascii="黑体" w:hAnsi="黑体"/>
          <w:color w:val="000000" w:themeColor="text1"/>
          <w14:textFill>
            <w14:solidFill>
              <w14:schemeClr w14:val="tx1"/>
            </w14:solidFill>
          </w14:textFill>
        </w:rPr>
        <w:t>公司治理</w:t>
      </w:r>
      <w:bookmarkEnd w:id="52"/>
      <w:r>
        <w:rPr>
          <w:rFonts w:hint="eastAsia" w:ascii="黑体" w:hAnsi="黑体"/>
          <w:color w:val="000000" w:themeColor="text1"/>
          <w14:textFill>
            <w14:solidFill>
              <w14:schemeClr w14:val="tx1"/>
            </w14:solidFill>
          </w14:textFill>
        </w:rPr>
        <w:t>、环境和社会</w:t>
      </w:r>
    </w:p>
    <w:bookmarkEnd w:id="53"/>
    <w:p w14:paraId="1D9AD391">
      <w:pPr>
        <w:pStyle w:val="3"/>
        <w:numPr>
          <w:ilvl w:val="0"/>
          <w:numId w:val="28"/>
        </w:numPr>
        <w:tabs>
          <w:tab w:val="left" w:pos="426"/>
        </w:tabs>
        <w:jc w:val="left"/>
        <w:rPr>
          <w:rFonts w:ascii="宋体" w:hAnsi="宋体"/>
          <w:color w:val="000000" w:themeColor="text1"/>
          <w14:textFill>
            <w14:solidFill>
              <w14:schemeClr w14:val="tx1"/>
            </w14:solidFill>
          </w14:textFill>
        </w:rPr>
      </w:pPr>
      <w:bookmarkStart w:id="82" w:name="_Toc342566009"/>
      <w:bookmarkStart w:id="83" w:name="_Toc342057949"/>
      <w:r>
        <w:rPr>
          <w:rFonts w:hint="eastAsia" w:ascii="宋体" w:hAnsi="宋体"/>
          <w:color w:val="000000" w:themeColor="text1"/>
          <w14:textFill>
            <w14:solidFill>
              <w14:schemeClr w14:val="tx1"/>
            </w14:solidFill>
          </w14:textFill>
        </w:rPr>
        <w:t>公司董事</w:t>
      </w:r>
      <w:sdt>
        <w:sdtPr>
          <w:tag w:val="_PLD_3637b4c0b8be4e27acfc82062bee9dc2"/>
          <w:id w:val="147462615"/>
        </w:sdtPr>
        <w:sdtContent>
          <w:r>
            <w:rPr>
              <w:rFonts w:hint="eastAsia" w:ascii="宋体" w:hAnsi="宋体"/>
              <w:color w:val="000000" w:themeColor="text1"/>
              <w14:textFill>
                <w14:solidFill>
                  <w14:schemeClr w14:val="tx1"/>
                </w14:solidFill>
              </w14:textFill>
            </w:rPr>
            <w:t>、监事</w:t>
          </w:r>
        </w:sdtContent>
      </w:sdt>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高级管理人员变动情况</w:t>
      </w:r>
      <w:bookmarkEnd w:id="82"/>
      <w:bookmarkEnd w:id="83"/>
    </w:p>
    <w:sdt>
      <w:sdtPr>
        <w:rPr>
          <w:color w:val="000000" w:themeColor="text1"/>
          <w14:textFill>
            <w14:solidFill>
              <w14:schemeClr w14:val="tx1"/>
            </w14:solidFill>
          </w14:textFill>
        </w:rPr>
        <w:alias w:val="是否适用：公司董事、监事、高级管理人员变动情况[双击切换]"/>
        <w:tag w:val="_GBC_001d837207464f1aaa52a7fb8cd9d226"/>
        <w:id w:val="147481744"/>
        <w:placeholder>
          <w:docPart w:val="GBC22222222222222222222222222222"/>
        </w:placeholder>
      </w:sdtPr>
      <w:sdtEndPr>
        <w:rPr>
          <w:color w:val="000000" w:themeColor="text1"/>
          <w14:textFill>
            <w14:solidFill>
              <w14:schemeClr w14:val="tx1"/>
            </w14:solidFill>
          </w14:textFill>
        </w:rPr>
      </w:sdtEndPr>
      <w:sdtContent>
        <w:p w14:paraId="100F8CC9">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E7D34F0">
      <w:pPr>
        <w:rPr>
          <w:color w:val="000000" w:themeColor="text1"/>
          <w14:textFill>
            <w14:solidFill>
              <w14:schemeClr w14:val="tx1"/>
            </w14:solidFill>
          </w14:textFill>
        </w:rPr>
      </w:pPr>
    </w:p>
    <w:p w14:paraId="1156C60D">
      <w:pPr>
        <w:rPr>
          <w:color w:val="000000" w:themeColor="text1"/>
          <w14:textFill>
            <w14:solidFill>
              <w14:schemeClr w14:val="tx1"/>
            </w14:solidFill>
          </w14:textFill>
        </w:rPr>
      </w:pPr>
      <w:r>
        <w:rPr>
          <w:rFonts w:hint="eastAsia"/>
          <w:color w:val="000000" w:themeColor="text1"/>
          <w14:textFill>
            <w14:solidFill>
              <w14:schemeClr w14:val="tx1"/>
            </w14:solidFill>
          </w14:textFill>
        </w:rPr>
        <w:t>公司董事</w:t>
      </w:r>
      <w:sdt>
        <w:sdtPr>
          <w:tag w:val="_PLD_613c7c20bfc34529ae9217528bf7ed10"/>
          <w:id w:val="147451658"/>
        </w:sdtPr>
        <w:sdtContent>
          <w:r>
            <w:rPr>
              <w:rFonts w:hint="eastAsia"/>
              <w:color w:val="000000" w:themeColor="text1"/>
              <w14:textFill>
                <w14:solidFill>
                  <w14:schemeClr w14:val="tx1"/>
                </w14:solidFill>
              </w14:textFill>
            </w:rPr>
            <w:t>、监事</w:t>
          </w:r>
        </w:sdtContent>
      </w:sdt>
      <w:r>
        <w:rPr>
          <w:rFonts w:hint="eastAsia"/>
          <w:color w:val="000000" w:themeColor="text1"/>
          <w14:textFill>
            <w14:solidFill>
              <w14:schemeClr w14:val="tx1"/>
            </w14:solidFill>
          </w14:textFill>
        </w:rPr>
        <w:t>、高级管理人员变动的情况说明</w:t>
      </w:r>
    </w:p>
    <w:sdt>
      <w:sdtPr>
        <w:rPr>
          <w:rFonts w:hint="eastAsia"/>
          <w:color w:val="000000" w:themeColor="text1"/>
          <w14:textFill>
            <w14:solidFill>
              <w14:schemeClr w14:val="tx1"/>
            </w14:solidFill>
          </w14:textFill>
        </w:rPr>
        <w:alias w:val="是否适用：公司董事、监事、高级管理人员变动的情况说明 [双击切换]"/>
        <w:tag w:val="_GBC_1eda708e71a542fa89f6ad1bb8abbf70"/>
        <w:id w:val="147463483"/>
        <w:placeholder>
          <w:docPart w:val="GBC22222222222222222222222222222"/>
        </w:placeholder>
      </w:sdtPr>
      <w:sdtEndPr>
        <w:rPr>
          <w:rFonts w:hint="eastAsia"/>
          <w:color w:val="000000" w:themeColor="text1"/>
          <w14:textFill>
            <w14:solidFill>
              <w14:schemeClr w14:val="tx1"/>
            </w14:solidFill>
          </w14:textFill>
        </w:rPr>
      </w:sdtEndPr>
      <w:sdtContent>
        <w:p w14:paraId="7FF4095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C4D0241">
      <w:pPr>
        <w:ind w:firstLine="420" w:firstLineChars="200"/>
        <w:rPr>
          <w:color w:val="000000" w:themeColor="text1"/>
          <w14:textFill>
            <w14:solidFill>
              <w14:schemeClr w14:val="tx1"/>
            </w14:solidFill>
          </w14:textFill>
        </w:rPr>
      </w:pPr>
    </w:p>
    <w:p w14:paraId="51226BC5">
      <w:pPr>
        <w:rPr>
          <w:color w:val="000000" w:themeColor="text1"/>
          <w14:textFill>
            <w14:solidFill>
              <w14:schemeClr w14:val="tx1"/>
            </w14:solidFill>
          </w14:textFill>
        </w:rPr>
      </w:pPr>
    </w:p>
    <w:p w14:paraId="589D28ED">
      <w:pPr>
        <w:pStyle w:val="3"/>
        <w:numPr>
          <w:ilvl w:val="0"/>
          <w:numId w:val="28"/>
        </w:numPr>
        <w:tabs>
          <w:tab w:val="left" w:pos="426"/>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利润分配或资本公积金转增预案</w:t>
      </w:r>
    </w:p>
    <w:p w14:paraId="4287648A">
      <w:pPr>
        <w:rPr>
          <w:b/>
          <w:bCs w:val="0"/>
          <w:color w:val="000000" w:themeColor="text1"/>
          <w14:textFill>
            <w14:solidFill>
              <w14:schemeClr w14:val="tx1"/>
            </w14:solidFill>
          </w14:textFill>
        </w:rPr>
      </w:pPr>
      <w:r>
        <w:rPr>
          <w:b/>
          <w:color w:val="000000" w:themeColor="text1"/>
          <w14:textFill>
            <w14:solidFill>
              <w14:schemeClr w14:val="tx1"/>
            </w14:solidFill>
          </w14:textFill>
        </w:rPr>
        <w:t>半年度拟定的利润分配预案、公积金转增股本预案</w:t>
      </w: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4524"/>
      </w:tblGrid>
      <w:tr w14:paraId="2A814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ee68179c02c4ccc8a9b8d7e3f70f2c6"/>
            <w:id w:val="147472671"/>
          </w:sdtPr>
          <w:sdtContent>
            <w:tc>
              <w:tcPr>
                <w:tcW w:w="4524" w:type="dxa"/>
              </w:tcPr>
              <w:p w14:paraId="374D0E92">
                <w:pPr>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是否分配或转增</w:t>
                </w:r>
              </w:p>
            </w:tc>
          </w:sdtContent>
        </w:sdt>
        <w:sdt>
          <w:sdtPr>
            <w:rPr>
              <w:rFonts w:hint="eastAsia"/>
              <w:color w:val="000000" w:themeColor="text1"/>
              <w14:textFill>
                <w14:solidFill>
                  <w14:schemeClr w14:val="tx1"/>
                </w14:solidFill>
              </w14:textFill>
            </w:rPr>
            <w:alias w:val="是否分配或转增"/>
            <w:tag w:val="_GBC_1aa3bb539f35454da0536200efcc4f60"/>
            <w:id w:val="147473437"/>
            <w:comboBox>
              <w:listItem w:displayText="是" w:value="true"/>
              <w:listItem w:displayText="否" w:value="false"/>
            </w:comboBox>
          </w:sdtPr>
          <w:sdtEndPr>
            <w:rPr>
              <w:rFonts w:hint="eastAsia"/>
              <w:color w:val="000000" w:themeColor="text1"/>
              <w14:textFill>
                <w14:solidFill>
                  <w14:schemeClr w14:val="tx1"/>
                </w14:solidFill>
              </w14:textFill>
            </w:rPr>
          </w:sdtEndPr>
          <w:sdtContent>
            <w:tc>
              <w:tcPr>
                <w:tcW w:w="4524" w:type="dxa"/>
              </w:tcPr>
              <w:p w14:paraId="55F5A107">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sdtContent>
        </w:sdt>
      </w:tr>
      <w:tr w14:paraId="49D80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14:paraId="2B7CCD33">
            <w:pPr>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每10股送红股数（股）</w:t>
            </w:r>
          </w:p>
        </w:tc>
        <w:tc>
          <w:tcPr>
            <w:tcW w:w="4524" w:type="dxa"/>
          </w:tcPr>
          <w:p w14:paraId="32FA6A11">
            <w:pPr>
              <w:widowControl w:val="0"/>
              <w:jc w:val="right"/>
            </w:pPr>
            <w:r>
              <w:rPr>
                <w:rFonts w:hint="eastAsia"/>
              </w:rPr>
              <w:t>0</w:t>
            </w:r>
          </w:p>
        </w:tc>
      </w:tr>
      <w:tr w14:paraId="5728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14:paraId="2598AC20">
            <w:pPr>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每10股派息数(元)（含税）</w:t>
            </w:r>
          </w:p>
        </w:tc>
        <w:tc>
          <w:tcPr>
            <w:tcW w:w="4524" w:type="dxa"/>
          </w:tcPr>
          <w:p w14:paraId="190F750B">
            <w:pPr>
              <w:widowControl w:val="0"/>
              <w:jc w:val="right"/>
            </w:pPr>
            <w:r>
              <w:rPr>
                <w:rFonts w:hint="eastAsia"/>
              </w:rPr>
              <w:t>0</w:t>
            </w:r>
          </w:p>
        </w:tc>
      </w:tr>
      <w:tr w14:paraId="1BAF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14:paraId="7BDD511D">
            <w:pPr>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每10股转增数（股）</w:t>
            </w:r>
          </w:p>
        </w:tc>
        <w:tc>
          <w:tcPr>
            <w:tcW w:w="4524" w:type="dxa"/>
          </w:tcPr>
          <w:p w14:paraId="471BA9F0">
            <w:pPr>
              <w:widowControl w:val="0"/>
              <w:jc w:val="right"/>
            </w:pPr>
            <w:r>
              <w:rPr>
                <w:rFonts w:hint="eastAsia"/>
              </w:rPr>
              <w:t>0</w:t>
            </w:r>
          </w:p>
        </w:tc>
      </w:tr>
      <w:tr w14:paraId="649E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f4b1db2793f4d00b5b11589fa8a57fc"/>
            <w:id w:val="147472629"/>
          </w:sdtPr>
          <w:sdtContent>
            <w:tc>
              <w:tcPr>
                <w:tcW w:w="9048" w:type="dxa"/>
                <w:gridSpan w:val="2"/>
              </w:tcPr>
              <w:p w14:paraId="606758DF">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利润分配或资本公积金转增预案的相关情况说明</w:t>
                </w:r>
              </w:p>
            </w:tc>
          </w:sdtContent>
        </w:sdt>
      </w:tr>
    </w:tbl>
    <w:p w14:paraId="023D93EF">
      <w:pPr>
        <w:rPr>
          <w:color w:val="000000" w:themeColor="text1"/>
          <w14:textFill>
            <w14:solidFill>
              <w14:schemeClr w14:val="tx1"/>
            </w14:solidFill>
          </w14:textFill>
        </w:rPr>
      </w:pPr>
    </w:p>
    <w:p w14:paraId="59AA1B43">
      <w:pPr>
        <w:pStyle w:val="3"/>
        <w:numPr>
          <w:ilvl w:val="0"/>
          <w:numId w:val="28"/>
        </w:numPr>
        <w:tabs>
          <w:tab w:val="left" w:pos="426"/>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公司股权激励计划、员工持股计划或其他员工激励措施的情况及其影响</w:t>
      </w:r>
    </w:p>
    <w:p w14:paraId="44FAC437">
      <w:pPr>
        <w:pStyle w:val="4"/>
        <w:numPr>
          <w:ilvl w:val="1"/>
          <w:numId w:val="29"/>
        </w:numPr>
        <w:rPr>
          <w:rFonts w:ascii="宋体" w:hAnsi="宋体"/>
          <w:color w:val="000000" w:themeColor="text1"/>
          <w:kern w:val="44"/>
          <w14:textFill>
            <w14:solidFill>
              <w14:schemeClr w14:val="tx1"/>
            </w14:solidFill>
          </w14:textFill>
        </w:rPr>
      </w:pPr>
      <w:bookmarkStart w:id="84" w:name="_Hlk74641818"/>
      <w:r>
        <w:rPr>
          <w:rFonts w:hint="eastAsia" w:ascii="宋体" w:hAnsi="宋体"/>
          <w:color w:val="000000" w:themeColor="text1"/>
          <w:kern w:val="44"/>
          <w14:textFill>
            <w14:solidFill>
              <w14:schemeClr w14:val="tx1"/>
            </w14:solidFill>
          </w14:textFill>
        </w:rPr>
        <w:t>相关股权激励事项已在临时公告披露且后续实施无进展或变化的</w:t>
      </w:r>
    </w:p>
    <w:sdt>
      <w:sdtPr>
        <w:rPr>
          <w:color w:val="000000" w:themeColor="text1"/>
          <w14:textFill>
            <w14:solidFill>
              <w14:schemeClr w14:val="tx1"/>
            </w14:solidFill>
          </w14:textFill>
        </w:rPr>
        <w:alias w:val="是否适用：相关激励事项已在临时公告披露且后续实施无进展或变化的[双击切换]"/>
        <w:tag w:val="_GBC_3c43a5cea9ef47daa40f133532dcd63c"/>
        <w:id w:val="147481231"/>
        <w:placeholder>
          <w:docPart w:val="GBC22222222222222222222222222222"/>
        </w:placeholder>
      </w:sdtPr>
      <w:sdtEndPr>
        <w:rPr>
          <w:color w:val="000000" w:themeColor="text1"/>
          <w14:textFill>
            <w14:solidFill>
              <w14:schemeClr w14:val="tx1"/>
            </w14:solidFill>
          </w14:textFill>
        </w:rPr>
      </w:sdtEndPr>
      <w:sdtContent>
        <w:p w14:paraId="42567E9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3B2FB6C">
      <w:pPr>
        <w:rPr>
          <w:color w:val="000000" w:themeColor="text1"/>
          <w14:textFill>
            <w14:solidFill>
              <w14:schemeClr w14:val="tx1"/>
            </w14:solidFill>
          </w14:textFill>
        </w:rPr>
      </w:pPr>
    </w:p>
    <w:bookmarkEnd w:id="84"/>
    <w:p w14:paraId="173EACA6">
      <w:pPr>
        <w:pStyle w:val="4"/>
        <w:numPr>
          <w:ilvl w:val="1"/>
          <w:numId w:val="29"/>
        </w:numPr>
        <w:rPr>
          <w:rFonts w:ascii="宋体" w:hAnsi="宋体"/>
          <w:color w:val="000000" w:themeColor="text1"/>
          <w:kern w:val="44"/>
          <w14:textFill>
            <w14:solidFill>
              <w14:schemeClr w14:val="tx1"/>
            </w14:solidFill>
          </w14:textFill>
        </w:rPr>
      </w:pPr>
      <w:r>
        <w:rPr>
          <w:rFonts w:hint="eastAsia" w:ascii="宋体" w:hAnsi="宋体"/>
          <w:color w:val="000000" w:themeColor="text1"/>
          <w:kern w:val="44"/>
          <w14:textFill>
            <w14:solidFill>
              <w14:schemeClr w14:val="tx1"/>
            </w14:solidFill>
          </w14:textFill>
        </w:rPr>
        <w:t>临时公告未披露或有后续进展的激励情况</w:t>
      </w:r>
    </w:p>
    <w:p w14:paraId="613A2074">
      <w:pPr>
        <w:rPr>
          <w:color w:val="000000" w:themeColor="text1"/>
          <w14:textFill>
            <w14:solidFill>
              <w14:schemeClr w14:val="tx1"/>
            </w14:solidFill>
          </w14:textFill>
        </w:rPr>
      </w:pPr>
      <w:r>
        <w:rPr>
          <w:rFonts w:hint="eastAsia"/>
          <w:color w:val="000000" w:themeColor="text1"/>
          <w14:textFill>
            <w14:solidFill>
              <w14:schemeClr w14:val="tx1"/>
            </w14:solidFill>
          </w14:textFill>
        </w:rPr>
        <w:t>股权激励情况</w:t>
      </w:r>
    </w:p>
    <w:sdt>
      <w:sdtPr>
        <w:rPr>
          <w:color w:val="000000" w:themeColor="text1"/>
          <w14:textFill>
            <w14:solidFill>
              <w14:schemeClr w14:val="tx1"/>
            </w14:solidFill>
          </w14:textFill>
        </w:rPr>
        <w:alias w:val="是否适用：股权激励情况[双击切换]"/>
        <w:tag w:val="_GBC_388221bc7be24cdca55be337256c8bc1"/>
        <w:id w:val="147465822"/>
        <w:placeholder>
          <w:docPart w:val="GBC22222222222222222222222222222"/>
        </w:placeholder>
      </w:sdtPr>
      <w:sdtEndPr>
        <w:rPr>
          <w:color w:val="000000" w:themeColor="text1"/>
          <w14:textFill>
            <w14:solidFill>
              <w14:schemeClr w14:val="tx1"/>
            </w14:solidFill>
          </w14:textFill>
        </w:rPr>
      </w:sdtEndPr>
      <w:sdtContent>
        <w:p w14:paraId="65768AC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083D490">
      <w:pPr>
        <w:rPr>
          <w:color w:val="000000" w:themeColor="text1"/>
          <w14:textFill>
            <w14:solidFill>
              <w14:schemeClr w14:val="tx1"/>
            </w14:solidFill>
          </w14:textFill>
        </w:rPr>
      </w:pPr>
    </w:p>
    <w:p w14:paraId="15399D9C">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p w14:paraId="58B61ABA">
      <w:pPr>
        <w:rPr>
          <w:color w:val="000000" w:themeColor="text1"/>
          <w14:textFill>
            <w14:solidFill>
              <w14:schemeClr w14:val="tx1"/>
            </w14:solidFill>
          </w14:textFill>
        </w:rPr>
      </w:pPr>
      <w:sdt>
        <w:sdtPr>
          <w:rPr>
            <w:rFonts w:hint="eastAsia"/>
            <w:color w:val="000000" w:themeColor="text1"/>
            <w14:textFill>
              <w14:solidFill>
                <w14:schemeClr w14:val="tx1"/>
              </w14:solidFill>
            </w14:textFill>
          </w:rPr>
          <w:alias w:val="是否适用：股权激励情况的说明[双击切换]"/>
          <w:tag w:val="_GBC_e5a032ecd3e24335b29a38809f65a990"/>
          <w:id w:val="147457047"/>
          <w:placeholder>
            <w:docPart w:val="GBC22222222222222222222222222222"/>
          </w:placeholder>
        </w:sdtPr>
        <w:sdtEndPr>
          <w:rPr>
            <w:rFonts w:hint="eastAsia"/>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4BA0BCA5">
      <w:pPr>
        <w:rPr>
          <w:color w:val="000000" w:themeColor="text1"/>
          <w14:textFill>
            <w14:solidFill>
              <w14:schemeClr w14:val="tx1"/>
            </w14:solidFill>
          </w14:textFill>
        </w:rPr>
      </w:pPr>
    </w:p>
    <w:p w14:paraId="4ECFCA76">
      <w:pPr>
        <w:rPr>
          <w:color w:val="000000" w:themeColor="text1"/>
          <w14:textFill>
            <w14:solidFill>
              <w14:schemeClr w14:val="tx1"/>
            </w14:solidFill>
          </w14:textFill>
        </w:rPr>
      </w:pPr>
      <w:r>
        <w:rPr>
          <w:rFonts w:hint="eastAsia"/>
          <w:color w:val="000000" w:themeColor="text1"/>
          <w14:textFill>
            <w14:solidFill>
              <w14:schemeClr w14:val="tx1"/>
            </w14:solidFill>
          </w14:textFill>
        </w:rPr>
        <w:t>员工持股计划情况</w:t>
      </w:r>
    </w:p>
    <w:sdt>
      <w:sdtPr>
        <w:rPr>
          <w:color w:val="000000" w:themeColor="text1"/>
          <w14:textFill>
            <w14:solidFill>
              <w14:schemeClr w14:val="tx1"/>
            </w14:solidFill>
          </w14:textFill>
        </w:rPr>
        <w:alias w:val="是否适用：员工持股计划情况[双击切换]"/>
        <w:tag w:val="_GBC_60a13b60efda4715a83fed9c5960ee3b"/>
        <w:id w:val="147473291"/>
        <w:placeholder>
          <w:docPart w:val="GBC22222222222222222222222222222"/>
        </w:placeholder>
      </w:sdtPr>
      <w:sdtEndPr>
        <w:rPr>
          <w:color w:val="000000" w:themeColor="text1"/>
          <w14:textFill>
            <w14:solidFill>
              <w14:schemeClr w14:val="tx1"/>
            </w14:solidFill>
          </w14:textFill>
        </w:rPr>
      </w:sdtEndPr>
      <w:sdtContent>
        <w:p w14:paraId="438177E3">
          <w:pPr>
            <w:rPr>
              <w:bCs w:val="0"/>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EB4C49E">
      <w:pPr>
        <w:rPr>
          <w:bCs w:val="0"/>
          <w:color w:val="000000" w:themeColor="text1"/>
          <w14:textFill>
            <w14:solidFill>
              <w14:schemeClr w14:val="tx1"/>
            </w14:solidFill>
          </w14:textFill>
        </w:rPr>
      </w:pPr>
    </w:p>
    <w:p w14:paraId="5A679950">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其他激励措施</w:t>
      </w:r>
    </w:p>
    <w:sdt>
      <w:sdtPr>
        <w:rPr>
          <w:color w:val="000000" w:themeColor="text1"/>
          <w14:textFill>
            <w14:solidFill>
              <w14:schemeClr w14:val="tx1"/>
            </w14:solidFill>
          </w14:textFill>
        </w:rPr>
        <w:alias w:val="是否适用：其他激励措施[双击切换]"/>
        <w:tag w:val="_GBC_87e3c04518ac4bed97846d84cc8784e1"/>
        <w:id w:val="147472164"/>
        <w:placeholder>
          <w:docPart w:val="GBC22222222222222222222222222222"/>
        </w:placeholder>
      </w:sdtPr>
      <w:sdtEndPr>
        <w:rPr>
          <w:color w:val="000000" w:themeColor="text1"/>
          <w14:textFill>
            <w14:solidFill>
              <w14:schemeClr w14:val="tx1"/>
            </w14:solidFill>
          </w14:textFill>
        </w:rPr>
      </w:sdtEndPr>
      <w:sdtContent>
        <w:p w14:paraId="42F2073F">
          <w:pPr>
            <w:rPr>
              <w:bCs w:val="0"/>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F927621">
      <w:pPr>
        <w:rPr>
          <w:color w:val="000000" w:themeColor="text1"/>
          <w14:textFill>
            <w14:solidFill>
              <w14:schemeClr w14:val="tx1"/>
            </w14:solidFill>
          </w14:textFill>
        </w:rPr>
      </w:pPr>
    </w:p>
    <w:p w14:paraId="03124EB8">
      <w:pPr>
        <w:pStyle w:val="3"/>
        <w:numPr>
          <w:ilvl w:val="0"/>
          <w:numId w:val="28"/>
        </w:numPr>
        <w:tabs>
          <w:tab w:val="left" w:pos="426"/>
        </w:tabs>
        <w:jc w:val="left"/>
        <w:rPr>
          <w:rFonts w:ascii="宋体" w:hAnsi="宋体"/>
          <w:color w:val="000000" w:themeColor="text1"/>
          <w14:textFill>
            <w14:solidFill>
              <w14:schemeClr w14:val="tx1"/>
            </w14:solidFill>
          </w14:textFill>
        </w:rPr>
      </w:pPr>
      <w:bookmarkStart w:id="85" w:name="_Hlk200011887"/>
      <w:bookmarkStart w:id="86" w:name="_Hlk199840683"/>
      <w:r>
        <w:rPr>
          <w:rFonts w:hint="eastAsia" w:ascii="宋体" w:hAnsi="宋体"/>
          <w:color w:val="000000" w:themeColor="text1"/>
          <w14:textFill>
            <w14:solidFill>
              <w14:schemeClr w14:val="tx1"/>
            </w14:solidFill>
          </w14:textFill>
        </w:rPr>
        <w:t>纳入环境信息依法披露企业名单的上市公司及其主要子公司的环境信息情况</w:t>
      </w:r>
    </w:p>
    <w:sdt>
      <w:sdtPr>
        <w:rPr>
          <w:rFonts w:hint="eastAsia"/>
          <w:color w:val="000000"/>
        </w:rPr>
        <w:alias w:val="是否适用：纳入环境信息依法披露企业名单的上市公司及其主要子公司的环境信息情况[双击切换]"/>
        <w:tag w:val="_GBC_b74e72cb07f94db28869a8424482d034"/>
        <w:id w:val="147460877"/>
        <w:placeholder>
          <w:docPart w:val="GBC22222222222222222222222222222"/>
        </w:placeholder>
      </w:sdtPr>
      <w:sdtEndPr>
        <w:rPr>
          <w:rFonts w:hint="eastAsia"/>
          <w:color w:val="000000"/>
        </w:rPr>
      </w:sdtEndPr>
      <w:sdtContent>
        <w:p w14:paraId="762EE191">
          <w:pPr>
            <w:rPr>
              <w:color w:val="000000"/>
            </w:rPr>
          </w:pPr>
          <w:r>
            <w:rPr>
              <w:rFonts w:hint="eastAsia" w:ascii="宋体" w:hAnsi="宋体"/>
              <w:color w:val="000000"/>
            </w:rPr>
            <w:fldChar w:fldCharType="begin"/>
          </w:r>
          <w:r>
            <w:rPr>
              <w:rFonts w:hint="eastAsia" w:ascii="宋体" w:hAnsi="宋体"/>
              <w:color w:val="000000"/>
            </w:rPr>
            <w:instrText xml:space="preserve"> MACROBUTTON  SnrToggleCheckbox √适用 </w:instrText>
          </w:r>
          <w:r>
            <w:rPr>
              <w:rFonts w:hint="eastAsia" w:ascii="宋体" w:hAnsi="宋体"/>
              <w:color w:val="000000"/>
            </w:rPr>
            <w:fldChar w:fldCharType="end"/>
          </w:r>
          <w:r>
            <w:rPr>
              <w:rFonts w:hint="eastAsia" w:ascii="宋体" w:hAnsi="宋体"/>
              <w:color w:val="000000"/>
            </w:rPr>
            <w:fldChar w:fldCharType="begin"/>
          </w:r>
          <w:r>
            <w:rPr>
              <w:rFonts w:hint="eastAsia" w:ascii="宋体" w:hAnsi="宋体"/>
              <w:color w:val="000000"/>
            </w:rPr>
            <w:instrText xml:space="preserve"> MACROBUTTON  SnrToggleCheckbox □不适用 </w:instrText>
          </w:r>
          <w:r>
            <w:rPr>
              <w:rFonts w:hint="eastAsia" w:ascii="宋体" w:hAnsi="宋体"/>
              <w:color w:val="000000"/>
            </w:rP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2180"/>
        <w:gridCol w:w="6147"/>
      </w:tblGrid>
      <w:tr w14:paraId="6305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sdt>
          <w:sdtPr>
            <w:tag w:val="_PLD_7288e62233d246828b89afc3b35261ec"/>
            <w:id w:val="147465607"/>
          </w:sdtPr>
          <w:sdtEndPr>
            <w:rPr>
              <w:rFonts w:hint="eastAsia"/>
            </w:rPr>
          </w:sdtEndPr>
          <w:sdtContent>
            <w:tc>
              <w:tcPr>
                <w:tcW w:w="1604" w:type="pct"/>
                <w:gridSpan w:val="2"/>
                <w:vAlign w:val="center"/>
              </w:tcPr>
              <w:p w14:paraId="7EB273EA">
                <w:pPr>
                  <w:rPr>
                    <w:color w:val="000000"/>
                  </w:rPr>
                </w:pPr>
                <w:r>
                  <w:rPr>
                    <w:color w:val="000000"/>
                  </w:rPr>
                  <w:t>纳入环境信息依法披露企业名单中的企业数量</w:t>
                </w:r>
                <w:r>
                  <w:rPr>
                    <w:rFonts w:hint="eastAsia"/>
                    <w:color w:val="000000"/>
                  </w:rPr>
                  <w:t>（个）</w:t>
                </w:r>
              </w:p>
            </w:tc>
          </w:sdtContent>
        </w:sdt>
        <w:sdt>
          <w:sdtPr>
            <w:rPr>
              <w:rFonts w:hint="eastAsia"/>
              <w:color w:val="000000"/>
            </w:rPr>
            <w:alias w:val="纳入环境信息依法披露企业名单中的企业数量"/>
            <w:tag w:val="_GBC_dd7d38af30cb4c86b3e38770129e8965"/>
            <w:id w:val="147479695"/>
          </w:sdtPr>
          <w:sdtEndPr>
            <w:rPr>
              <w:rFonts w:hint="eastAsia"/>
              <w:color w:val="000000"/>
            </w:rPr>
          </w:sdtEndPr>
          <w:sdtContent>
            <w:tc>
              <w:tcPr>
                <w:tcW w:w="3396" w:type="pct"/>
                <w:vAlign w:val="center"/>
              </w:tcPr>
              <w:p w14:paraId="3AF18F14">
                <w:pPr>
                  <w:rPr>
                    <w:color w:val="000000"/>
                  </w:rPr>
                </w:pPr>
                <w:r>
                  <w:rPr>
                    <w:color w:val="000000"/>
                  </w:rPr>
                  <w:t>4</w:t>
                </w:r>
              </w:p>
            </w:tc>
          </w:sdtContent>
        </w:sdt>
      </w:tr>
      <w:tr w14:paraId="3523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sdt>
          <w:sdtPr>
            <w:tag w:val="_PLD_cd9b676999aa473ca7d99a3f88297e23"/>
            <w:id w:val="147480801"/>
          </w:sdtPr>
          <w:sdtContent>
            <w:tc>
              <w:tcPr>
                <w:tcW w:w="399" w:type="pct"/>
              </w:tcPr>
              <w:p w14:paraId="228C9DF6">
                <w:pPr>
                  <w:jc w:val="center"/>
                  <w:rPr>
                    <w:color w:val="000000"/>
                  </w:rPr>
                </w:pPr>
                <w:r>
                  <w:rPr>
                    <w:rFonts w:hint="eastAsia"/>
                    <w:color w:val="000000"/>
                  </w:rPr>
                  <w:t>序号</w:t>
                </w:r>
              </w:p>
            </w:tc>
          </w:sdtContent>
        </w:sdt>
        <w:sdt>
          <w:sdtPr>
            <w:tag w:val="_PLD_01a5b693c5604d2bb52f37ceb750fdc5"/>
            <w:id w:val="147470650"/>
          </w:sdtPr>
          <w:sdtContent>
            <w:tc>
              <w:tcPr>
                <w:tcW w:w="1205" w:type="pct"/>
                <w:vAlign w:val="center"/>
              </w:tcPr>
              <w:p w14:paraId="03E97A68">
                <w:pPr>
                  <w:jc w:val="center"/>
                  <w:rPr>
                    <w:color w:val="000000"/>
                  </w:rPr>
                </w:pPr>
                <w:r>
                  <w:rPr>
                    <w:rFonts w:hint="eastAsia"/>
                    <w:color w:val="000000"/>
                  </w:rPr>
                  <w:t>企业名称</w:t>
                </w:r>
              </w:p>
            </w:tc>
          </w:sdtContent>
        </w:sdt>
        <w:sdt>
          <w:sdtPr>
            <w:tag w:val="_PLD_452bbf5c81084d18bf0f995d0240bf2f"/>
            <w:id w:val="147463058"/>
          </w:sdtPr>
          <w:sdtContent>
            <w:tc>
              <w:tcPr>
                <w:tcW w:w="3396" w:type="pct"/>
                <w:vAlign w:val="center"/>
              </w:tcPr>
              <w:p w14:paraId="37B442F8">
                <w:pPr>
                  <w:jc w:val="center"/>
                  <w:rPr>
                    <w:iCs/>
                    <w:color w:val="000000"/>
                  </w:rPr>
                </w:pPr>
                <w:r>
                  <w:rPr>
                    <w:rFonts w:hint="eastAsia"/>
                    <w:iCs/>
                    <w:color w:val="000000"/>
                  </w:rPr>
                  <w:t>环境信息依法披露报告的查询索引</w:t>
                </w:r>
              </w:p>
            </w:tc>
          </w:sdtContent>
        </w:sdt>
      </w:tr>
      <w:tr w14:paraId="6B21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exact"/>
        </w:trPr>
        <w:tc>
          <w:tcPr>
            <w:tcW w:w="399" w:type="pct"/>
            <w:vAlign w:val="center"/>
          </w:tcPr>
          <w:p w14:paraId="104458AC">
            <w:pPr>
              <w:pStyle w:val="55"/>
              <w:jc w:val="center"/>
            </w:pPr>
            <w:r>
              <w:rPr>
                <w:rFonts w:hint="eastAsia"/>
              </w:rPr>
              <w:t>1</w:t>
            </w:r>
          </w:p>
        </w:tc>
        <w:tc>
          <w:tcPr>
            <w:tcW w:w="1205" w:type="pct"/>
            <w:vAlign w:val="center"/>
          </w:tcPr>
          <w:p w14:paraId="0FA59014">
            <w:pPr>
              <w:pStyle w:val="55"/>
            </w:pPr>
            <w:r>
              <w:rPr>
                <w:rFonts w:hint="eastAsia"/>
              </w:rPr>
              <w:t>际华三五四二纺织有限公司</w:t>
            </w:r>
          </w:p>
        </w:tc>
        <w:tc>
          <w:tcPr>
            <w:tcW w:w="3396" w:type="pct"/>
          </w:tcPr>
          <w:p w14:paraId="6F933EF7">
            <w:pPr>
              <w:pStyle w:val="55"/>
            </w:pPr>
            <w:r>
              <w:rPr>
                <w:rFonts w:hint="eastAsia"/>
              </w:rPr>
              <w:t>https://permit.mee.gov.cn/perxxgkinfo/xkgkAction!xkgk.action?xkgk=getxxgkContent&amp;dataid=9d909ee81d2c44679e187ef72d90376b</w:t>
            </w:r>
          </w:p>
        </w:tc>
      </w:tr>
      <w:tr w14:paraId="7402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exact"/>
        </w:trPr>
        <w:tc>
          <w:tcPr>
            <w:tcW w:w="399" w:type="pct"/>
            <w:vAlign w:val="center"/>
          </w:tcPr>
          <w:p w14:paraId="6BAB58E9">
            <w:pPr>
              <w:pStyle w:val="55"/>
              <w:jc w:val="center"/>
            </w:pPr>
            <w:r>
              <w:rPr>
                <w:rFonts w:hint="eastAsia"/>
              </w:rPr>
              <w:t>2</w:t>
            </w:r>
          </w:p>
        </w:tc>
        <w:tc>
          <w:tcPr>
            <w:tcW w:w="1205" w:type="pct"/>
            <w:vAlign w:val="center"/>
          </w:tcPr>
          <w:p w14:paraId="58A6D259">
            <w:pPr>
              <w:pStyle w:val="55"/>
            </w:pPr>
            <w:r>
              <w:rPr>
                <w:rFonts w:hint="eastAsia"/>
              </w:rPr>
              <w:t>际华三五四三针织服饰有限公司</w:t>
            </w:r>
          </w:p>
        </w:tc>
        <w:tc>
          <w:tcPr>
            <w:tcW w:w="3396" w:type="pct"/>
          </w:tcPr>
          <w:p w14:paraId="514985A6">
            <w:pPr>
              <w:pStyle w:val="55"/>
            </w:pPr>
            <w:r>
              <w:rPr>
                <w:rFonts w:hint="eastAsia"/>
              </w:rPr>
              <w:t>https://permit.mee.gov.cn/perxxgkinfo/xkgkAction!xkgk.action?xkgk=getxxgkContent&amp;dataid=278db234ae3f4338868d614ed650a852</w:t>
            </w:r>
          </w:p>
        </w:tc>
      </w:tr>
      <w:tr w14:paraId="1D4BE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exact"/>
        </w:trPr>
        <w:tc>
          <w:tcPr>
            <w:tcW w:w="399" w:type="pct"/>
            <w:vAlign w:val="center"/>
          </w:tcPr>
          <w:p w14:paraId="2BACDA3B">
            <w:pPr>
              <w:pStyle w:val="55"/>
              <w:jc w:val="center"/>
            </w:pPr>
            <w:r>
              <w:rPr>
                <w:rFonts w:hint="eastAsia"/>
              </w:rPr>
              <w:t>3</w:t>
            </w:r>
          </w:p>
        </w:tc>
        <w:tc>
          <w:tcPr>
            <w:tcW w:w="1205" w:type="pct"/>
            <w:vAlign w:val="center"/>
          </w:tcPr>
          <w:p w14:paraId="158BF4A0">
            <w:pPr>
              <w:pStyle w:val="55"/>
            </w:pPr>
            <w:r>
              <w:rPr>
                <w:rFonts w:hint="eastAsia"/>
              </w:rPr>
              <w:t>湖北际华针织有限公司</w:t>
            </w:r>
          </w:p>
        </w:tc>
        <w:tc>
          <w:tcPr>
            <w:tcW w:w="3396" w:type="pct"/>
          </w:tcPr>
          <w:p w14:paraId="2A9DC9E0">
            <w:pPr>
              <w:pStyle w:val="55"/>
            </w:pPr>
            <w:r>
              <w:rPr>
                <w:rFonts w:hint="eastAsia"/>
              </w:rPr>
              <w:t>https://permit.mee.gov.cn/perxxgkinfo/xkgkAction!xkgk.action?xkgk=getxxgkContent&amp;dataid=6632476398c942ed8fe288db65093121</w:t>
            </w:r>
          </w:p>
        </w:tc>
      </w:tr>
      <w:tr w14:paraId="4385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exact"/>
        </w:trPr>
        <w:tc>
          <w:tcPr>
            <w:tcW w:w="399" w:type="pct"/>
            <w:vAlign w:val="center"/>
          </w:tcPr>
          <w:p w14:paraId="6F503A54">
            <w:pPr>
              <w:pStyle w:val="55"/>
              <w:jc w:val="center"/>
            </w:pPr>
            <w:r>
              <w:rPr>
                <w:rFonts w:hint="eastAsia"/>
              </w:rPr>
              <w:t>4</w:t>
            </w:r>
          </w:p>
        </w:tc>
        <w:tc>
          <w:tcPr>
            <w:tcW w:w="1205" w:type="pct"/>
            <w:vAlign w:val="center"/>
          </w:tcPr>
          <w:p w14:paraId="63450F62">
            <w:pPr>
              <w:pStyle w:val="55"/>
            </w:pPr>
            <w:r>
              <w:rPr>
                <w:rFonts w:hint="eastAsia"/>
              </w:rPr>
              <w:t>咸阳际华新三零印染有限公司</w:t>
            </w:r>
          </w:p>
        </w:tc>
        <w:tc>
          <w:tcPr>
            <w:tcW w:w="3396" w:type="pct"/>
          </w:tcPr>
          <w:p w14:paraId="449CDD6E">
            <w:pPr>
              <w:pStyle w:val="55"/>
            </w:pPr>
            <w:r>
              <w:rPr>
                <w:rFonts w:hint="eastAsia"/>
              </w:rPr>
              <w:t>https://permit.mee.gov.cn/perxxgkinfo/xkgkAction!xkgk.action?xkgk=getxxgkContent&amp;dataid=44cdaf3ca9ea4ba985b269fa5bc9aafd</w:t>
            </w:r>
          </w:p>
        </w:tc>
      </w:tr>
    </w:tbl>
    <w:p w14:paraId="621BA4C4">
      <w:pPr>
        <w:pStyle w:val="55"/>
      </w:pPr>
    </w:p>
    <w:p w14:paraId="19D3987E">
      <w:pPr>
        <w:rPr>
          <w:color w:val="000000"/>
        </w:rPr>
      </w:pPr>
      <w:r>
        <w:rPr>
          <w:rFonts w:hint="eastAsia"/>
          <w:color w:val="000000"/>
        </w:rPr>
        <w:t>其他说明</w:t>
      </w:r>
    </w:p>
    <w:sdt>
      <w:sdtPr>
        <w:rPr>
          <w:rFonts w:hint="eastAsia"/>
          <w:color w:val="000000"/>
        </w:rPr>
        <w:alias w:val="是否适用：纳入环境信息依法披露企业名单的上市公司及其主要子公司的环境信息情况其他说明[双击切换]"/>
        <w:tag w:val="_GBC_047d333fc006452891574305ff7e477a"/>
        <w:id w:val="147464301"/>
        <w:placeholder>
          <w:docPart w:val="GBC22222222222222222222222222222"/>
        </w:placeholder>
      </w:sdtPr>
      <w:sdtEndPr>
        <w:rPr>
          <w:rFonts w:hint="eastAsia"/>
          <w:color w:val="000000"/>
        </w:rPr>
      </w:sdtEndPr>
      <w:sdtContent>
        <w:p w14:paraId="154CE167">
          <w:pPr>
            <w:rPr>
              <w:color w:val="000000"/>
            </w:rPr>
          </w:pPr>
          <w:r>
            <w:rPr>
              <w:rFonts w:hint="eastAsia" w:ascii="宋体" w:hAnsi="宋体"/>
              <w:color w:val="000000"/>
            </w:rPr>
            <w:fldChar w:fldCharType="begin"/>
          </w:r>
          <w:r>
            <w:rPr>
              <w:rFonts w:ascii="宋体" w:hAnsi="宋体"/>
              <w:color w:val="000000"/>
            </w:rPr>
            <w:instrText xml:space="preserve"> MACROBUTTON  SnrToggleCheckbox □适用 </w:instrText>
          </w:r>
          <w:r>
            <w:rPr>
              <w:rFonts w:hint="eastAsia" w:ascii="宋体" w:hAnsi="宋体"/>
              <w:color w:val="000000"/>
            </w:rPr>
            <w:fldChar w:fldCharType="end"/>
          </w:r>
          <w:r>
            <w:rPr>
              <w:rFonts w:hint="eastAsia" w:ascii="宋体" w:hAnsi="宋体"/>
              <w:color w:val="000000"/>
            </w:rPr>
            <w:fldChar w:fldCharType="begin"/>
          </w:r>
          <w:r>
            <w:rPr>
              <w:rFonts w:ascii="宋体" w:hAnsi="宋体"/>
              <w:color w:val="000000"/>
            </w:rPr>
            <w:instrText xml:space="preserve"> MACROBUTTON  SnrToggleCheckbox √不适用 </w:instrText>
          </w:r>
          <w:r>
            <w:rPr>
              <w:rFonts w:hint="eastAsia" w:ascii="宋体" w:hAnsi="宋体"/>
              <w:color w:val="000000"/>
            </w:rPr>
            <w:fldChar w:fldCharType="end"/>
          </w:r>
        </w:p>
      </w:sdtContent>
    </w:sdt>
    <w:p w14:paraId="0B9BC0F0">
      <w:pPr>
        <w:rPr>
          <w:color w:val="000000" w:themeColor="text1"/>
          <w14:textFill>
            <w14:solidFill>
              <w14:schemeClr w14:val="tx1"/>
            </w14:solidFill>
          </w14:textFill>
        </w:rPr>
      </w:pPr>
    </w:p>
    <w:bookmarkEnd w:id="85"/>
    <w:bookmarkEnd w:id="86"/>
    <w:p w14:paraId="0D2AC1A9">
      <w:pPr>
        <w:pStyle w:val="3"/>
        <w:numPr>
          <w:ilvl w:val="0"/>
          <w:numId w:val="28"/>
        </w:numPr>
        <w:tabs>
          <w:tab w:val="left" w:pos="426"/>
        </w:tabs>
        <w:jc w:val="left"/>
        <w:rPr>
          <w:rFonts w:ascii="宋体" w:hAnsi="宋体"/>
          <w:color w:val="000000" w:themeColor="text1"/>
          <w14:textFill>
            <w14:solidFill>
              <w14:schemeClr w14:val="tx1"/>
            </w14:solidFill>
          </w14:textFill>
        </w:rPr>
      </w:pPr>
      <w:bookmarkStart w:id="87" w:name="_Hlk138060542"/>
      <w:bookmarkStart w:id="88" w:name="_Hlk137046383"/>
      <w:r>
        <w:rPr>
          <w:rFonts w:hint="eastAsia" w:ascii="宋体" w:hAnsi="宋体"/>
          <w:color w:val="000000" w:themeColor="text1"/>
          <w14:textFill>
            <w14:solidFill>
              <w14:schemeClr w14:val="tx1"/>
            </w14:solidFill>
          </w14:textFill>
        </w:rPr>
        <w:t>巩固拓展脱贫攻坚成果、乡村振兴等工作具体情况</w:t>
      </w:r>
    </w:p>
    <w:sdt>
      <w:sdtPr>
        <w:rPr>
          <w:color w:val="000000" w:themeColor="text1"/>
          <w14:textFill>
            <w14:solidFill>
              <w14:schemeClr w14:val="tx1"/>
            </w14:solidFill>
          </w14:textFill>
        </w:rPr>
        <w:alias w:val="是否适用：巩固拓展脱贫攻坚成果、乡村振兴工作具体情况[双击切换]"/>
        <w:tag w:val="_GBC_7f424183824c43c9809b2bbaefe89688"/>
        <w:id w:val="147457027"/>
        <w:placeholder>
          <w:docPart w:val="GBC22222222222222222222222222222"/>
        </w:placeholder>
      </w:sdtPr>
      <w:sdtEndPr>
        <w:rPr>
          <w:color w:val="000000" w:themeColor="text1"/>
          <w14:textFill>
            <w14:solidFill>
              <w14:schemeClr w14:val="tx1"/>
            </w14:solidFill>
          </w14:textFill>
        </w:rPr>
      </w:sdtEndPr>
      <w:sdtContent>
        <w:p w14:paraId="40EF87D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巩固拓展脱贫攻坚成果、乡村振兴工作具体情况"/>
        <w:tag w:val="_GBC_47fe8bcbd1294a14b7be74e9da037113"/>
        <w:id w:val="147480927"/>
        <w:placeholder>
          <w:docPart w:val="GBC22222222222222222222222222222"/>
        </w:placeholder>
      </w:sdtPr>
      <w:sdtEndPr>
        <w:rPr>
          <w:color w:val="000000" w:themeColor="text1"/>
          <w14:textFill>
            <w14:solidFill>
              <w14:schemeClr w14:val="tx1"/>
            </w14:solidFill>
          </w14:textFill>
        </w:rPr>
      </w:sdtEndPr>
      <w:sdtContent>
        <w:p w14:paraId="5CA59FF7">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际华集团及所属企业坚决贯彻党中央及地方各级政府决策部署，切实履行社会责任，充分发挥自身资源优势，将巩固脱贫攻坚成果与乡村振兴战略实施作为重要政治使命。公司持续深化产业、就业、消费等多维度帮扶机制，保持既有定点帮扶关系稳定，通过产业振兴、对口支援等多元化路径，扎实推进央企定点帮扶工作，促进脱贫攻坚与乡村振兴有效衔接，为全面推进乡村振兴战略贡献企业力量。</w:t>
          </w:r>
        </w:p>
        <w:p w14:paraId="572CDF77">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一是实施产业扶贫、消费帮扶，带动和促进当地经济发展。</w:t>
          </w:r>
        </w:p>
        <w:p w14:paraId="6601AC07">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2025年上半年，际华集团及4户所属企业定点帮扶甘肃省定西市安定区和内蒙古自治区乌兰察布市四子王旗采购农产品共计34.45万元，其中际华3543公司积极参加“央企消费帮扶迎春活动”采购甘肃省定西市安定区农产品2.06万元。为带动定西特色产品销售，际华3511公司甄选定西市扶贫产品、地方特色农副产品，特设“甘肃定西产品区”进行专卖定西宽粉条、马铃薯手工粉条、马铃薯曲奇饼干、三炮台等系列产品，通过公司美好生活馆门店销售，以及线上网络平台进行售卖，共销售农产品0.22万元。</w:t>
          </w:r>
        </w:p>
        <w:p w14:paraId="2ED0B682">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二是定点对口扶贫，促进帮扶工作精准有效。</w:t>
          </w:r>
        </w:p>
        <w:p w14:paraId="6DC12704">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积极培育和践行社会主义核心价值观，履行社会责任。际华3542公司工会采购定点帮扶村襄阳市南漳县葫芦潭村大米2.7万斤，共计7.56万元，用于公司职工春节福利发放，增加帮扶村村集体、村民收入，同时为帮扶村村民预留了30个工作岗位，经常性进行入户宣讲。制鞋公司主要是通过驻村经济合作社，向定点帮扶村贵州省黔南布依族苗族自治州惠水县濛江街道办事处合兴村采购自产农产品的消费帮扶1.35万元，购置办公设备0.2万元，增强基层党组织的基础建设。</w:t>
          </w:r>
        </w:p>
        <w:p w14:paraId="2074E50B">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三是不定期走访慰问，切实提升群众幸福感。</w:t>
          </w:r>
        </w:p>
        <w:p w14:paraId="69409D6B">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际华3542公司在春节、端午节等重要节假日期间，到帮扶村襄阳市南漳县葫芦潭村进行调研和走访，到村走访慰问脱贫户、困难党员、老党员等，携带慰问物资，物资折款1.09万元。制鞋公司通过春节、端午节两节前夕，到驻村贵州省黔南布依族苗族自治州惠水县濛江街道办事处合兴村进行走访、慰问，了解驻村及驻村生活困难群众们关注的热点和难点问题。</w:t>
          </w:r>
        </w:p>
      </w:sdtContent>
    </w:sdt>
    <w:bookmarkEnd w:id="87"/>
    <w:p w14:paraId="45CFFEE4">
      <w:pPr>
        <w:rPr>
          <w:color w:val="000000" w:themeColor="text1"/>
          <w14:textFill>
            <w14:solidFill>
              <w14:schemeClr w14:val="tx1"/>
            </w14:solidFill>
          </w14:textFill>
        </w:rPr>
        <w:sectPr>
          <w:pgSz w:w="11906" w:h="16838"/>
          <w:pgMar w:top="1525" w:right="1276" w:bottom="1440" w:left="1797" w:header="851" w:footer="992" w:gutter="0"/>
          <w:cols w:space="425" w:num="1"/>
          <w:docGrid w:linePitch="312" w:charSpace="0"/>
        </w:sectPr>
      </w:pPr>
    </w:p>
    <w:bookmarkEnd w:id="88"/>
    <w:p w14:paraId="2CEFFF1C">
      <w:pPr>
        <w:pStyle w:val="2"/>
        <w:numPr>
          <w:ilvl w:val="0"/>
          <w:numId w:val="3"/>
        </w:numPr>
        <w:rPr>
          <w:rFonts w:ascii="黑体" w:hAnsi="黑体"/>
          <w:color w:val="000000" w:themeColor="text1"/>
          <w14:textFill>
            <w14:solidFill>
              <w14:schemeClr w14:val="tx1"/>
            </w14:solidFill>
          </w14:textFill>
        </w:rPr>
      </w:pPr>
      <w:bookmarkStart w:id="89" w:name="_Toc76114278"/>
      <w:bookmarkStart w:id="90" w:name="_Toc392233016"/>
      <w:bookmarkStart w:id="91" w:name="_Toc342565988"/>
      <w:bookmarkStart w:id="92" w:name="_Toc200030544"/>
      <w:r>
        <w:rPr>
          <w:rFonts w:hint="eastAsia" w:ascii="黑体" w:hAnsi="黑体"/>
          <w:color w:val="000000" w:themeColor="text1"/>
          <w14:textFill>
            <w14:solidFill>
              <w14:schemeClr w14:val="tx1"/>
            </w14:solidFill>
          </w14:textFill>
        </w:rPr>
        <w:t>股份变动及股东情况</w:t>
      </w:r>
    </w:p>
    <w:bookmarkEnd w:id="89"/>
    <w:bookmarkEnd w:id="90"/>
    <w:bookmarkEnd w:id="91"/>
    <w:bookmarkEnd w:id="92"/>
    <w:p w14:paraId="381B9D3F">
      <w:pPr>
        <w:pStyle w:val="74"/>
        <w:numPr>
          <w:ilvl w:val="0"/>
          <w:numId w:val="30"/>
        </w:numPr>
        <w:spacing w:line="360" w:lineRule="auto"/>
        <w:ind w:left="422" w:hanging="422"/>
        <w:rPr>
          <w:rFonts w:ascii="宋体" w:hAnsi="宋体"/>
          <w:color w:val="000000" w:themeColor="text1"/>
          <w14:textFill>
            <w14:solidFill>
              <w14:schemeClr w14:val="tx1"/>
            </w14:solidFill>
          </w14:textFill>
        </w:rPr>
      </w:pPr>
      <w:bookmarkStart w:id="93" w:name="_Toc342059476"/>
      <w:bookmarkStart w:id="94" w:name="_Toc342565989"/>
      <w:r>
        <w:rPr>
          <w:rFonts w:ascii="宋体" w:hAnsi="宋体"/>
          <w:color w:val="000000" w:themeColor="text1"/>
          <w14:textFill>
            <w14:solidFill>
              <w14:schemeClr w14:val="tx1"/>
            </w14:solidFill>
          </w14:textFill>
        </w:rPr>
        <w:t>股</w:t>
      </w:r>
      <w:r>
        <w:rPr>
          <w:rFonts w:hint="eastAsia" w:ascii="宋体" w:hAnsi="宋体"/>
          <w:color w:val="000000" w:themeColor="text1"/>
          <w14:textFill>
            <w14:solidFill>
              <w14:schemeClr w14:val="tx1"/>
            </w14:solidFill>
          </w14:textFill>
        </w:rPr>
        <w:t>本变动情况</w:t>
      </w:r>
      <w:bookmarkEnd w:id="93"/>
      <w:bookmarkEnd w:id="94"/>
    </w:p>
    <w:p w14:paraId="580327F1">
      <w:pPr>
        <w:pStyle w:val="75"/>
        <w:numPr>
          <w:ilvl w:val="1"/>
          <w:numId w:val="31"/>
        </w:numPr>
        <w:rPr>
          <w:rFonts w:ascii="宋体" w:hAnsi="宋体"/>
          <w:color w:val="000000" w:themeColor="text1"/>
          <w14:textFill>
            <w14:solidFill>
              <w14:schemeClr w14:val="tx1"/>
            </w14:solidFill>
          </w14:textFill>
        </w:rPr>
      </w:pPr>
      <w:bookmarkStart w:id="95" w:name="_Toc342059477"/>
      <w:bookmarkStart w:id="96" w:name="_Toc342565990"/>
      <w:r>
        <w:rPr>
          <w:rFonts w:hint="eastAsia" w:ascii="宋体" w:hAnsi="宋体"/>
          <w:color w:val="000000" w:themeColor="text1"/>
          <w14:textFill>
            <w14:solidFill>
              <w14:schemeClr w14:val="tx1"/>
            </w14:solidFill>
          </w14:textFill>
        </w:rPr>
        <w:t>股份变动情况表</w:t>
      </w:r>
      <w:bookmarkEnd w:id="95"/>
      <w:bookmarkEnd w:id="96"/>
    </w:p>
    <w:p w14:paraId="43FA716B">
      <w:pPr>
        <w:pStyle w:val="76"/>
        <w:numPr>
          <w:ilvl w:val="2"/>
          <w:numId w:val="32"/>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股份变动情况表</w:t>
      </w:r>
    </w:p>
    <w:p w14:paraId="3E353C84">
      <w:pPr>
        <w:rPr>
          <w:color w:val="000000" w:themeColor="text1"/>
          <w14:textFill>
            <w14:solidFill>
              <w14:schemeClr w14:val="tx1"/>
            </w14:solidFill>
          </w14:textFill>
        </w:rPr>
      </w:pPr>
      <w:r>
        <w:rPr>
          <w:rFonts w:hint="eastAsia"/>
          <w:color w:val="000000" w:themeColor="text1"/>
          <w14:textFill>
            <w14:solidFill>
              <w14:schemeClr w14:val="tx1"/>
            </w14:solidFill>
          </w14:textFill>
        </w:rPr>
        <w:t>报告期内，</w:t>
      </w:r>
      <w:sdt>
        <w:sdtPr>
          <w:tag w:val="_PLD_dec093ae39394edab2b0d11e4fc7aedd"/>
          <w:id w:val="147472311"/>
        </w:sdtPr>
        <w:sdtContent>
          <w:r>
            <w:rPr>
              <w:rFonts w:hint="eastAsia"/>
              <w:color w:val="000000" w:themeColor="text1"/>
              <w14:textFill>
                <w14:solidFill>
                  <w14:schemeClr w14:val="tx1"/>
                </w14:solidFill>
              </w14:textFill>
            </w:rPr>
            <w:t>公司股份总数及股本结构未发生变化。</w:t>
          </w:r>
        </w:sdtContent>
      </w:sdt>
    </w:p>
    <w:p w14:paraId="0F6EBEAD">
      <w:pPr>
        <w:pStyle w:val="76"/>
        <w:numPr>
          <w:ilvl w:val="2"/>
          <w:numId w:val="32"/>
        </w:numPr>
        <w:rPr>
          <w:rFonts w:ascii="宋体" w:hAnsi="宋体"/>
          <w:color w:val="000000" w:themeColor="text1"/>
          <w14:textFill>
            <w14:solidFill>
              <w14:schemeClr w14:val="tx1"/>
            </w14:solidFill>
          </w14:textFill>
        </w:rPr>
      </w:pPr>
      <w:bookmarkStart w:id="97" w:name="_Toc342059483"/>
      <w:bookmarkStart w:id="98" w:name="_Toc342565996"/>
      <w:r>
        <w:rPr>
          <w:rFonts w:hint="eastAsia" w:ascii="宋体" w:hAnsi="宋体"/>
          <w:color w:val="000000" w:themeColor="text1"/>
          <w14:textFill>
            <w14:solidFill>
              <w14:schemeClr w14:val="tx1"/>
            </w14:solidFill>
          </w14:textFill>
        </w:rPr>
        <w:t>股份变动情况说明</w:t>
      </w:r>
    </w:p>
    <w:sdt>
      <w:sdtPr>
        <w:rPr>
          <w:color w:val="000000" w:themeColor="text1"/>
          <w14:textFill>
            <w14:solidFill>
              <w14:schemeClr w14:val="tx1"/>
            </w14:solidFill>
          </w14:textFill>
        </w:rPr>
        <w:alias w:val="是否适用：普通股股份变动情况说明[双击切换]"/>
        <w:tag w:val="_GBC_28994e6dc9c649e498c0ab9c340777bf"/>
        <w:id w:val="147469672"/>
        <w:placeholder>
          <w:docPart w:val="GBC22222222222222222222222222222"/>
        </w:placeholder>
      </w:sdtPr>
      <w:sdtEndPr>
        <w:rPr>
          <w:color w:val="000000" w:themeColor="text1"/>
          <w14:textFill>
            <w14:solidFill>
              <w14:schemeClr w14:val="tx1"/>
            </w14:solidFill>
          </w14:textFill>
        </w:rPr>
      </w:sdtEndPr>
      <w:sdtContent>
        <w:p w14:paraId="57A8907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7DA1B3E">
      <w:pPr>
        <w:rPr>
          <w:color w:val="000000" w:themeColor="text1"/>
          <w14:textFill>
            <w14:solidFill>
              <w14:schemeClr w14:val="tx1"/>
            </w14:solidFill>
          </w14:textFill>
        </w:rPr>
      </w:pPr>
    </w:p>
    <w:p w14:paraId="04E351CA">
      <w:pPr>
        <w:pStyle w:val="76"/>
        <w:numPr>
          <w:ilvl w:val="2"/>
          <w:numId w:val="32"/>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报告期后到半年报披露日期间发生股份变动对每股收益、每股净资产等财务指标的影响（如有）</w:t>
      </w:r>
    </w:p>
    <w:sdt>
      <w:sdtPr>
        <w:rPr>
          <w:rFonts w:hint="eastAsia"/>
          <w:color w:val="000000" w:themeColor="text1"/>
          <w14:textFill>
            <w14:solidFill>
              <w14:schemeClr w14:val="tx1"/>
            </w14:solidFill>
          </w14:textFill>
        </w:rPr>
        <w:alias w:val="是否适用：普通股股份变动对最近一年和最近一期每股收益、每股净资产等财务指标的影响[双击切换]"/>
        <w:tag w:val="_GBC_bb0980f1589b4db8944ca5595f342bfe"/>
        <w:id w:val="147452028"/>
        <w:placeholder>
          <w:docPart w:val="GBC22222222222222222222222222222"/>
        </w:placeholder>
      </w:sdtPr>
      <w:sdtEndPr>
        <w:rPr>
          <w:rFonts w:hint="eastAsia"/>
          <w:color w:val="000000" w:themeColor="text1"/>
          <w14:textFill>
            <w14:solidFill>
              <w14:schemeClr w14:val="tx1"/>
            </w14:solidFill>
          </w14:textFill>
        </w:rPr>
      </w:sdtEndPr>
      <w:sdtContent>
        <w:p w14:paraId="4F5B38E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1DEE802">
      <w:pPr>
        <w:rPr>
          <w:color w:val="000000" w:themeColor="text1"/>
          <w14:textFill>
            <w14:solidFill>
              <w14:schemeClr w14:val="tx1"/>
            </w14:solidFill>
          </w14:textFill>
        </w:rPr>
      </w:pPr>
    </w:p>
    <w:p w14:paraId="68D31E1E">
      <w:pPr>
        <w:pStyle w:val="76"/>
        <w:numPr>
          <w:ilvl w:val="2"/>
          <w:numId w:val="32"/>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公司认为必要或证券监管机构要求披露的其他内容</w:t>
      </w:r>
    </w:p>
    <w:sdt>
      <w:sdtPr>
        <w:rPr>
          <w:color w:val="000000" w:themeColor="text1"/>
          <w14:textFill>
            <w14:solidFill>
              <w14:schemeClr w14:val="tx1"/>
            </w14:solidFill>
          </w14:textFill>
        </w:rPr>
        <w:alias w:val="是否适用：公司认为必要或证券监管机构要求披露的其他内容[双击切换]"/>
        <w:tag w:val="_GBC_7554eed1e25047d282437f24056d532b"/>
        <w:id w:val="147458775"/>
        <w:placeholder>
          <w:docPart w:val="GBC22222222222222222222222222222"/>
        </w:placeholder>
      </w:sdtPr>
      <w:sdtEndPr>
        <w:rPr>
          <w:color w:val="000000" w:themeColor="text1"/>
          <w14:textFill>
            <w14:solidFill>
              <w14:schemeClr w14:val="tx1"/>
            </w14:solidFill>
          </w14:textFill>
        </w:rPr>
      </w:sdtEndPr>
      <w:sdtContent>
        <w:p w14:paraId="712D4A0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10690D6">
      <w:pPr>
        <w:rPr>
          <w:color w:val="000000" w:themeColor="text1"/>
          <w14:textFill>
            <w14:solidFill>
              <w14:schemeClr w14:val="tx1"/>
            </w14:solidFill>
          </w14:textFill>
        </w:rPr>
      </w:pPr>
    </w:p>
    <w:p w14:paraId="15A9B188">
      <w:pPr>
        <w:pStyle w:val="75"/>
        <w:numPr>
          <w:ilvl w:val="1"/>
          <w:numId w:val="31"/>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限售股份变动情况</w:t>
      </w:r>
    </w:p>
    <w:sdt>
      <w:sdtPr>
        <w:rPr>
          <w:color w:val="000000" w:themeColor="text1"/>
          <w14:textFill>
            <w14:solidFill>
              <w14:schemeClr w14:val="tx1"/>
            </w14:solidFill>
          </w14:textFill>
        </w:rPr>
        <w:alias w:val="是否适用：限售股份变动情况表[双击切换]"/>
        <w:tag w:val="_GBC_6f5978a50e224b6aa94189436cdee711"/>
        <w:id w:val="147470548"/>
        <w:placeholder>
          <w:docPart w:val="GBC22222222222222222222222222222"/>
        </w:placeholder>
      </w:sdtPr>
      <w:sdtEndPr>
        <w:rPr>
          <w:color w:val="000000" w:themeColor="text1"/>
          <w14:textFill>
            <w14:solidFill>
              <w14:schemeClr w14:val="tx1"/>
            </w14:solidFill>
          </w14:textFill>
        </w:rPr>
      </w:sdtEndPr>
      <w:sdtContent>
        <w:p w14:paraId="445BDD5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00341A5">
      <w:pPr>
        <w:rPr>
          <w:color w:val="000000" w:themeColor="text1"/>
          <w14:textFill>
            <w14:solidFill>
              <w14:schemeClr w14:val="tx1"/>
            </w14:solidFill>
          </w14:textFill>
        </w:rPr>
      </w:pPr>
    </w:p>
    <w:p w14:paraId="4ECD59E6">
      <w:pPr>
        <w:pStyle w:val="74"/>
        <w:numPr>
          <w:ilvl w:val="0"/>
          <w:numId w:val="30"/>
        </w:numPr>
        <w:spacing w:line="360" w:lineRule="auto"/>
        <w:ind w:left="422" w:hanging="422"/>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股东情况</w:t>
      </w:r>
      <w:bookmarkEnd w:id="97"/>
      <w:bookmarkEnd w:id="98"/>
    </w:p>
    <w:p w14:paraId="3D161283">
      <w:pPr>
        <w:pStyle w:val="75"/>
        <w:numPr>
          <w:ilvl w:val="1"/>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股东总数：</w:t>
      </w: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0"/>
        <w:gridCol w:w="3978"/>
      </w:tblGrid>
      <w:tr w14:paraId="4295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206d6884981495295105158630a6172"/>
            <w:id w:val="147475187"/>
          </w:sdtPr>
          <w:sdtContent>
            <w:tc>
              <w:tcPr>
                <w:tcW w:w="5070" w:type="dxa"/>
              </w:tcPr>
              <w:p w14:paraId="60F9FC86">
                <w:pPr>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截至报告期末</w:t>
                </w:r>
                <w:r>
                  <w:rPr>
                    <w:rFonts w:hint="eastAsia"/>
                    <w:color w:val="000000" w:themeColor="text1"/>
                    <w14:textFill>
                      <w14:solidFill>
                        <w14:schemeClr w14:val="tx1"/>
                      </w14:solidFill>
                    </w14:textFill>
                  </w:rPr>
                  <w:t>普通股</w:t>
                </w:r>
                <w:r>
                  <w:rPr>
                    <w:color w:val="000000" w:themeColor="text1"/>
                    <w14:textFill>
                      <w14:solidFill>
                        <w14:schemeClr w14:val="tx1"/>
                      </w14:solidFill>
                    </w14:textFill>
                  </w:rPr>
                  <w:t>股东总数(户)</w:t>
                </w:r>
              </w:p>
            </w:tc>
          </w:sdtContent>
        </w:sdt>
        <w:sdt>
          <w:sdtPr>
            <w:rPr>
              <w:color w:val="000000" w:themeColor="text1"/>
              <w14:textFill>
                <w14:solidFill>
                  <w14:schemeClr w14:val="tx1"/>
                </w14:solidFill>
              </w14:textFill>
            </w:rPr>
            <w:alias w:val="报告期末股东总数"/>
            <w:tag w:val="_GBC_9fd402ec66014f4e9716c7fdb0286bd2"/>
            <w:id w:val="147465805"/>
          </w:sdtPr>
          <w:sdtEndPr>
            <w:rPr>
              <w:color w:val="000000" w:themeColor="text1"/>
              <w14:textFill>
                <w14:solidFill>
                  <w14:schemeClr w14:val="tx1"/>
                </w14:solidFill>
              </w14:textFill>
            </w:rPr>
          </w:sdtEndPr>
          <w:sdtContent>
            <w:tc>
              <w:tcPr>
                <w:tcW w:w="3978" w:type="dxa"/>
              </w:tcPr>
              <w:p w14:paraId="1DC20230">
                <w:pPr>
                  <w:widowControl w:val="0"/>
                  <w:jc w:val="right"/>
                  <w:rPr>
                    <w:color w:val="000000" w:themeColor="text1"/>
                    <w14:textFill>
                      <w14:solidFill>
                        <w14:schemeClr w14:val="tx1"/>
                      </w14:solidFill>
                    </w14:textFill>
                  </w:rPr>
                </w:pPr>
                <w:r>
                  <w:rPr>
                    <w:color w:val="000000" w:themeColor="text1"/>
                    <w14:textFill>
                      <w14:solidFill>
                        <w14:schemeClr w14:val="tx1"/>
                      </w14:solidFill>
                    </w14:textFill>
                  </w:rPr>
                  <w:t>132,830</w:t>
                </w:r>
              </w:p>
            </w:tc>
          </w:sdtContent>
        </w:sdt>
      </w:tr>
      <w:tr w14:paraId="35FE9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14:paraId="468EB595">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截至报告期末表决权恢复的优先股股东总数（户）</w:t>
            </w:r>
          </w:p>
        </w:tc>
        <w:tc>
          <w:tcPr>
            <w:tcW w:w="3978" w:type="dxa"/>
          </w:tcPr>
          <w:p w14:paraId="3225EDF1">
            <w:pPr>
              <w:widowControl w:val="0"/>
              <w:jc w:val="right"/>
            </w:pPr>
            <w:r>
              <w:rPr>
                <w:rFonts w:hint="eastAsia"/>
              </w:rPr>
              <w:t>0</w:t>
            </w:r>
          </w:p>
        </w:tc>
      </w:tr>
    </w:tbl>
    <w:p w14:paraId="34613512">
      <w:pPr>
        <w:rPr>
          <w:color w:val="000000" w:themeColor="text1"/>
          <w14:textFill>
            <w14:solidFill>
              <w14:schemeClr w14:val="tx1"/>
            </w14:solidFill>
          </w14:textFill>
        </w:rPr>
      </w:pPr>
    </w:p>
    <w:p w14:paraId="673D6F34">
      <w:pPr>
        <w:pStyle w:val="75"/>
        <w:numPr>
          <w:ilvl w:val="1"/>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截至报告期末前十名股东、前十名流通股东（或无限售条件股东）持股情况表</w:t>
      </w:r>
    </w:p>
    <w:p w14:paraId="1429A018">
      <w:pPr>
        <w:jc w:val="right"/>
        <w:rPr>
          <w:color w:val="000000" w:themeColor="text1"/>
          <w14:textFill>
            <w14:solidFill>
              <w14:schemeClr w14:val="tx1"/>
            </w14:solidFill>
          </w14:textFill>
        </w:rPr>
      </w:pPr>
      <w:r>
        <w:rPr>
          <w:color w:val="000000" w:themeColor="text1"/>
          <w14:textFill>
            <w14:solidFill>
              <w14:schemeClr w14:val="tx1"/>
            </w14:solidFill>
          </w14:textFill>
        </w:rPr>
        <w:t>单位：</w:t>
      </w:r>
      <w:sdt>
        <w:sdtPr>
          <w:rPr>
            <w:bCs w:val="0"/>
            <w:color w:val="000000" w:themeColor="text1"/>
            <w14:textFill>
              <w14:solidFill>
                <w14:schemeClr w14:val="tx1"/>
              </w14:solidFill>
            </w14:textFill>
          </w:rPr>
          <w:alias w:val="单位：前十名股东持股情况"/>
          <w:tag w:val="_GBC_9d020b31dcb449c980ed0856cf6dae82"/>
          <w:id w:val="147455878"/>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bCs w:val="0"/>
            <w:color w:val="000000" w:themeColor="text1"/>
            <w14:textFill>
              <w14:solidFill>
                <w14:schemeClr w14:val="tx1"/>
              </w14:solidFill>
            </w14:textFill>
          </w:rPr>
        </w:sdtEndPr>
        <w:sdtContent>
          <w:r>
            <w:rPr>
              <w:bCs w:val="0"/>
              <w:color w:val="000000" w:themeColor="text1"/>
              <w14:textFill>
                <w14:solidFill>
                  <w14:schemeClr w14:val="tx1"/>
                </w14:solidFill>
              </w14:textFill>
            </w:rPr>
            <w:t>股</w:t>
          </w:r>
        </w:sdtContent>
      </w:sdt>
    </w:p>
    <w:tbl>
      <w:tblPr>
        <w:tblStyle w:val="72"/>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9"/>
        <w:gridCol w:w="1349"/>
        <w:gridCol w:w="1481"/>
        <w:gridCol w:w="711"/>
        <w:gridCol w:w="783"/>
        <w:gridCol w:w="629"/>
        <w:gridCol w:w="315"/>
        <w:gridCol w:w="682"/>
        <w:gridCol w:w="1471"/>
      </w:tblGrid>
      <w:tr w14:paraId="6289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3038da138bad4905b589aeba821a8575"/>
            <w:id w:val="147450900"/>
          </w:sdtPr>
          <w:sdtContent>
            <w:tc>
              <w:tcPr>
                <w:tcW w:w="9080" w:type="dxa"/>
                <w:gridSpan w:val="9"/>
                <w:vAlign w:val="center"/>
              </w:tcPr>
              <w:p w14:paraId="41A7B834">
                <w:pPr>
                  <w:pStyle w:val="84"/>
                  <w:jc w:val="cente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前十名股东持股情况</w:t>
                </w:r>
                <w:r>
                  <w:rPr>
                    <w:rFonts w:hint="eastAsia" w:ascii="宋体" w:hAnsi="宋体"/>
                    <w:color w:val="000000" w:themeColor="text1"/>
                    <w14:textFill>
                      <w14:solidFill>
                        <w14:schemeClr w14:val="tx1"/>
                      </w14:solidFill>
                    </w14:textFill>
                  </w:rPr>
                  <w:t>（不含通过转融通出借股份）</w:t>
                </w:r>
              </w:p>
            </w:tc>
          </w:sdtContent>
        </w:sdt>
      </w:tr>
      <w:tr w14:paraId="6F43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80eda5ca76254dc1b950ed7de7dc5885"/>
            <w:id w:val="147476362"/>
          </w:sdtPr>
          <w:sdtContent>
            <w:tc>
              <w:tcPr>
                <w:tcW w:w="1659" w:type="dxa"/>
                <w:vMerge w:val="restart"/>
                <w:vAlign w:val="center"/>
              </w:tcPr>
              <w:p w14:paraId="515FFABE">
                <w:pPr>
                  <w:jc w:val="center"/>
                  <w:rPr>
                    <w:color w:val="000000" w:themeColor="text1"/>
                    <w14:textFill>
                      <w14:solidFill>
                        <w14:schemeClr w14:val="tx1"/>
                      </w14:solidFill>
                    </w14:textFill>
                  </w:rPr>
                </w:pPr>
                <w:r>
                  <w:rPr>
                    <w:color w:val="000000" w:themeColor="text1"/>
                    <w14:textFill>
                      <w14:solidFill>
                        <w14:schemeClr w14:val="tx1"/>
                      </w14:solidFill>
                    </w14:textFill>
                  </w:rPr>
                  <w:t>股东名称</w:t>
                </w:r>
              </w:p>
              <w:p w14:paraId="41DE815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（全称）</w:t>
                </w:r>
              </w:p>
            </w:tc>
          </w:sdtContent>
        </w:sdt>
        <w:sdt>
          <w:sdtPr>
            <w:tag w:val="_PLD_ca2ffd3fc186426e98aac562ecc1ba54"/>
            <w:id w:val="147469396"/>
          </w:sdtPr>
          <w:sdtContent>
            <w:tc>
              <w:tcPr>
                <w:tcW w:w="1349" w:type="dxa"/>
                <w:vMerge w:val="restart"/>
                <w:vAlign w:val="center"/>
              </w:tcPr>
              <w:p w14:paraId="4386BB26">
                <w:pPr>
                  <w:jc w:val="center"/>
                  <w:rPr>
                    <w:color w:val="000000" w:themeColor="text1"/>
                    <w14:textFill>
                      <w14:solidFill>
                        <w14:schemeClr w14:val="tx1"/>
                      </w14:solidFill>
                    </w14:textFill>
                  </w:rPr>
                </w:pPr>
                <w:r>
                  <w:rPr>
                    <w:color w:val="000000" w:themeColor="text1"/>
                    <w14:textFill>
                      <w14:solidFill>
                        <w14:schemeClr w14:val="tx1"/>
                      </w14:solidFill>
                    </w14:textFill>
                  </w:rPr>
                  <w:t>报告期内</w:t>
                </w:r>
              </w:p>
              <w:p w14:paraId="058ACC83">
                <w:pPr>
                  <w:jc w:val="center"/>
                  <w:rPr>
                    <w:color w:val="000000" w:themeColor="text1"/>
                    <w14:textFill>
                      <w14:solidFill>
                        <w14:schemeClr w14:val="tx1"/>
                      </w14:solidFill>
                    </w14:textFill>
                  </w:rPr>
                </w:pPr>
                <w:r>
                  <w:rPr>
                    <w:color w:val="000000" w:themeColor="text1"/>
                    <w14:textFill>
                      <w14:solidFill>
                        <w14:schemeClr w14:val="tx1"/>
                      </w14:solidFill>
                    </w14:textFill>
                  </w:rPr>
                  <w:t>增减</w:t>
                </w:r>
              </w:p>
            </w:tc>
          </w:sdtContent>
        </w:sdt>
        <w:sdt>
          <w:sdtPr>
            <w:tag w:val="_PLD_084006d53bec42bea9418fc4576a1210"/>
            <w:id w:val="147454148"/>
          </w:sdtPr>
          <w:sdtContent>
            <w:tc>
              <w:tcPr>
                <w:tcW w:w="1481" w:type="dxa"/>
                <w:vMerge w:val="restart"/>
                <w:vAlign w:val="center"/>
              </w:tcPr>
              <w:p w14:paraId="4ACC5357">
                <w:pPr>
                  <w:jc w:val="center"/>
                  <w:rPr>
                    <w:color w:val="000000" w:themeColor="text1"/>
                    <w14:textFill>
                      <w14:solidFill>
                        <w14:schemeClr w14:val="tx1"/>
                      </w14:solidFill>
                    </w14:textFill>
                  </w:rPr>
                </w:pPr>
                <w:r>
                  <w:rPr>
                    <w:color w:val="000000" w:themeColor="text1"/>
                    <w14:textFill>
                      <w14:solidFill>
                        <w14:schemeClr w14:val="tx1"/>
                      </w14:solidFill>
                    </w14:textFill>
                  </w:rPr>
                  <w:t>期末持股数量</w:t>
                </w:r>
              </w:p>
            </w:tc>
          </w:sdtContent>
        </w:sdt>
        <w:sdt>
          <w:sdtPr>
            <w:tag w:val="_PLD_f27008de77ee4b27b35e2ae22d35699c"/>
            <w:id w:val="147468831"/>
          </w:sdtPr>
          <w:sdtContent>
            <w:tc>
              <w:tcPr>
                <w:tcW w:w="711" w:type="dxa"/>
                <w:vMerge w:val="restart"/>
                <w:vAlign w:val="center"/>
              </w:tcPr>
              <w:p w14:paraId="73A99804">
                <w:pPr>
                  <w:jc w:val="center"/>
                  <w:rPr>
                    <w:color w:val="000000" w:themeColor="text1"/>
                    <w14:textFill>
                      <w14:solidFill>
                        <w14:schemeClr w14:val="tx1"/>
                      </w14:solidFill>
                    </w14:textFill>
                  </w:rPr>
                </w:pPr>
                <w:r>
                  <w:rPr>
                    <w:color w:val="000000" w:themeColor="text1"/>
                    <w14:textFill>
                      <w14:solidFill>
                        <w14:schemeClr w14:val="tx1"/>
                      </w14:solidFill>
                    </w14:textFill>
                  </w:rPr>
                  <w:t>比例(%)</w:t>
                </w:r>
              </w:p>
            </w:tc>
          </w:sdtContent>
        </w:sdt>
        <w:sdt>
          <w:sdtPr>
            <w:tag w:val="_PLD_34fcc5fa9a414555bef1b48aa74c8135"/>
            <w:id w:val="147461341"/>
          </w:sdtPr>
          <w:sdtContent>
            <w:tc>
              <w:tcPr>
                <w:tcW w:w="783" w:type="dxa"/>
                <w:vMerge w:val="restart"/>
                <w:vAlign w:val="center"/>
              </w:tcPr>
              <w:p w14:paraId="79DB8EBE">
                <w:pPr>
                  <w:pStyle w:val="81"/>
                  <w:rPr>
                    <w:rFonts w:ascii="宋体" w:hAnsi="宋体"/>
                    <w:bCs w:val="0"/>
                    <w:color w:val="000000" w:themeColor="text1"/>
                    <w14:textFill>
                      <w14:solidFill>
                        <w14:schemeClr w14:val="tx1"/>
                      </w14:solidFill>
                    </w14:textFill>
                  </w:rPr>
                </w:pPr>
                <w:r>
                  <w:rPr>
                    <w:rFonts w:ascii="宋体" w:hAnsi="宋体"/>
                    <w:color w:val="000000" w:themeColor="text1"/>
                    <w14:textFill>
                      <w14:solidFill>
                        <w14:schemeClr w14:val="tx1"/>
                      </w14:solidFill>
                    </w14:textFill>
                  </w:rPr>
                  <w:t>持有有限售条件股份数量</w:t>
                </w:r>
              </w:p>
            </w:tc>
          </w:sdtContent>
        </w:sdt>
        <w:sdt>
          <w:sdtPr>
            <w:tag w:val="_PLD_94fbee67e09740e59eb90272af77b58a"/>
            <w:id w:val="147462081"/>
          </w:sdtPr>
          <w:sdtContent>
            <w:tc>
              <w:tcPr>
                <w:tcW w:w="1626" w:type="dxa"/>
                <w:gridSpan w:val="3"/>
                <w:vAlign w:val="center"/>
              </w:tcPr>
              <w:p w14:paraId="070BDFD8">
                <w:pPr>
                  <w:jc w:val="center"/>
                  <w:rPr>
                    <w:color w:val="000000" w:themeColor="text1"/>
                    <w14:textFill>
                      <w14:solidFill>
                        <w14:schemeClr w14:val="tx1"/>
                      </w14:solidFill>
                    </w14:textFill>
                  </w:rPr>
                </w:pPr>
                <w:r>
                  <w:rPr>
                    <w:color w:val="000000" w:themeColor="text1"/>
                    <w14:textFill>
                      <w14:solidFill>
                        <w14:schemeClr w14:val="tx1"/>
                      </w14:solidFill>
                    </w14:textFill>
                  </w:rPr>
                  <w:t>质押</w:t>
                </w:r>
                <w:r>
                  <w:rPr>
                    <w:rFonts w:hint="eastAsia"/>
                    <w:color w:val="000000" w:themeColor="text1"/>
                    <w14:textFill>
                      <w14:solidFill>
                        <w14:schemeClr w14:val="tx1"/>
                      </w14:solidFill>
                    </w14:textFill>
                  </w:rPr>
                  <w:t>、标记</w:t>
                </w:r>
                <w:r>
                  <w:rPr>
                    <w:color w:val="000000" w:themeColor="text1"/>
                    <w14:textFill>
                      <w14:solidFill>
                        <w14:schemeClr w14:val="tx1"/>
                      </w14:solidFill>
                    </w14:textFill>
                  </w:rPr>
                  <w:t>或冻结情况</w:t>
                </w:r>
              </w:p>
            </w:tc>
          </w:sdtContent>
        </w:sdt>
        <w:sdt>
          <w:sdtPr>
            <w:tag w:val="_PLD_2228ecf4db6a4362bff11fe1e2d3c903"/>
            <w:id w:val="147474186"/>
          </w:sdtPr>
          <w:sdtContent>
            <w:tc>
              <w:tcPr>
                <w:tcW w:w="1471" w:type="dxa"/>
                <w:vMerge w:val="restart"/>
                <w:vAlign w:val="center"/>
              </w:tcPr>
              <w:p w14:paraId="108AFCA9">
                <w:pPr>
                  <w:jc w:val="center"/>
                  <w:rPr>
                    <w:color w:val="000000" w:themeColor="text1"/>
                    <w14:textFill>
                      <w14:solidFill>
                        <w14:schemeClr w14:val="tx1"/>
                      </w14:solidFill>
                    </w14:textFill>
                  </w:rPr>
                </w:pPr>
                <w:r>
                  <w:rPr>
                    <w:color w:val="000000" w:themeColor="text1"/>
                    <w14:textFill>
                      <w14:solidFill>
                        <w14:schemeClr w14:val="tx1"/>
                      </w14:solidFill>
                    </w14:textFill>
                  </w:rPr>
                  <w:t>股东性质</w:t>
                </w:r>
              </w:p>
            </w:tc>
          </w:sdtContent>
        </w:sdt>
      </w:tr>
      <w:tr w14:paraId="42212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9" w:type="dxa"/>
            <w:vMerge w:val="continue"/>
            <w:tcBorders>
              <w:bottom w:val="single" w:color="auto" w:sz="4" w:space="0"/>
            </w:tcBorders>
            <w:vAlign w:val="center"/>
          </w:tcPr>
          <w:p w14:paraId="63D581FA">
            <w:pPr>
              <w:jc w:val="center"/>
              <w:rPr>
                <w:color w:val="000000" w:themeColor="text1"/>
                <w14:textFill>
                  <w14:solidFill>
                    <w14:schemeClr w14:val="tx1"/>
                  </w14:solidFill>
                </w14:textFill>
              </w:rPr>
            </w:pPr>
          </w:p>
        </w:tc>
        <w:tc>
          <w:tcPr>
            <w:tcW w:w="1349" w:type="dxa"/>
            <w:vMerge w:val="continue"/>
            <w:tcBorders>
              <w:bottom w:val="single" w:color="auto" w:sz="4" w:space="0"/>
            </w:tcBorders>
            <w:vAlign w:val="center"/>
          </w:tcPr>
          <w:p w14:paraId="500B2C44">
            <w:pPr>
              <w:jc w:val="center"/>
              <w:rPr>
                <w:color w:val="000000" w:themeColor="text1"/>
                <w14:textFill>
                  <w14:solidFill>
                    <w14:schemeClr w14:val="tx1"/>
                  </w14:solidFill>
                </w14:textFill>
              </w:rPr>
            </w:pPr>
          </w:p>
        </w:tc>
        <w:tc>
          <w:tcPr>
            <w:tcW w:w="1481" w:type="dxa"/>
            <w:vMerge w:val="continue"/>
            <w:tcBorders>
              <w:bottom w:val="single" w:color="auto" w:sz="4" w:space="0"/>
            </w:tcBorders>
            <w:vAlign w:val="center"/>
          </w:tcPr>
          <w:p w14:paraId="7D4421A3">
            <w:pPr>
              <w:jc w:val="center"/>
              <w:rPr>
                <w:color w:val="000000" w:themeColor="text1"/>
                <w14:textFill>
                  <w14:solidFill>
                    <w14:schemeClr w14:val="tx1"/>
                  </w14:solidFill>
                </w14:textFill>
              </w:rPr>
            </w:pPr>
          </w:p>
        </w:tc>
        <w:tc>
          <w:tcPr>
            <w:tcW w:w="711" w:type="dxa"/>
            <w:vMerge w:val="continue"/>
            <w:tcBorders>
              <w:bottom w:val="single" w:color="auto" w:sz="4" w:space="0"/>
            </w:tcBorders>
            <w:vAlign w:val="center"/>
          </w:tcPr>
          <w:p w14:paraId="4C7D1C31">
            <w:pPr>
              <w:jc w:val="center"/>
              <w:rPr>
                <w:color w:val="000000" w:themeColor="text1"/>
                <w14:textFill>
                  <w14:solidFill>
                    <w14:schemeClr w14:val="tx1"/>
                  </w14:solidFill>
                </w14:textFill>
              </w:rPr>
            </w:pPr>
          </w:p>
        </w:tc>
        <w:tc>
          <w:tcPr>
            <w:tcW w:w="783" w:type="dxa"/>
            <w:vMerge w:val="continue"/>
            <w:tcBorders>
              <w:bottom w:val="single" w:color="auto" w:sz="4" w:space="0"/>
            </w:tcBorders>
            <w:vAlign w:val="center"/>
          </w:tcPr>
          <w:p w14:paraId="00E76B8F">
            <w:pPr>
              <w:jc w:val="center"/>
              <w:rPr>
                <w:color w:val="000000" w:themeColor="text1"/>
                <w14:textFill>
                  <w14:solidFill>
                    <w14:schemeClr w14:val="tx1"/>
                  </w14:solidFill>
                </w14:textFill>
              </w:rPr>
            </w:pPr>
          </w:p>
        </w:tc>
        <w:sdt>
          <w:sdtPr>
            <w:tag w:val="_PLD_45bf36a531de47beb596ebacadac576a"/>
            <w:id w:val="147465567"/>
          </w:sdtPr>
          <w:sdtContent>
            <w:tc>
              <w:tcPr>
                <w:tcW w:w="629" w:type="dxa"/>
                <w:tcBorders>
                  <w:bottom w:val="single" w:color="auto" w:sz="4" w:space="0"/>
                </w:tcBorders>
                <w:vAlign w:val="center"/>
              </w:tcPr>
              <w:p w14:paraId="69369536">
                <w:pPr>
                  <w:jc w:val="center"/>
                  <w:rPr>
                    <w:color w:val="000000" w:themeColor="text1"/>
                    <w14:textFill>
                      <w14:solidFill>
                        <w14:schemeClr w14:val="tx1"/>
                      </w14:solidFill>
                    </w14:textFill>
                  </w:rPr>
                </w:pPr>
                <w:r>
                  <w:rPr>
                    <w:color w:val="000000" w:themeColor="text1"/>
                    <w14:textFill>
                      <w14:solidFill>
                        <w14:schemeClr w14:val="tx1"/>
                      </w14:solidFill>
                    </w14:textFill>
                  </w:rPr>
                  <w:t>股份状态</w:t>
                </w:r>
              </w:p>
            </w:tc>
          </w:sdtContent>
        </w:sdt>
        <w:sdt>
          <w:sdtPr>
            <w:tag w:val="_PLD_bea7397233604f859f8d14f2ae0a0417"/>
            <w:id w:val="147474853"/>
          </w:sdtPr>
          <w:sdtContent>
            <w:tc>
              <w:tcPr>
                <w:tcW w:w="997" w:type="dxa"/>
                <w:gridSpan w:val="2"/>
                <w:tcBorders>
                  <w:bottom w:val="single" w:color="auto" w:sz="4" w:space="0"/>
                </w:tcBorders>
                <w:vAlign w:val="center"/>
              </w:tcPr>
              <w:p w14:paraId="1F590351">
                <w:pPr>
                  <w:jc w:val="center"/>
                  <w:rPr>
                    <w:color w:val="000000" w:themeColor="text1"/>
                    <w14:textFill>
                      <w14:solidFill>
                        <w14:schemeClr w14:val="tx1"/>
                      </w14:solidFill>
                    </w14:textFill>
                  </w:rPr>
                </w:pPr>
                <w:r>
                  <w:rPr>
                    <w:color w:val="000000" w:themeColor="text1"/>
                    <w14:textFill>
                      <w14:solidFill>
                        <w14:schemeClr w14:val="tx1"/>
                      </w14:solidFill>
                    </w14:textFill>
                  </w:rPr>
                  <w:t>数量</w:t>
                </w:r>
              </w:p>
            </w:tc>
          </w:sdtContent>
        </w:sdt>
        <w:tc>
          <w:tcPr>
            <w:tcW w:w="1471" w:type="dxa"/>
            <w:vMerge w:val="continue"/>
            <w:vAlign w:val="center"/>
          </w:tcPr>
          <w:p w14:paraId="7E467722">
            <w:pPr>
              <w:jc w:val="center"/>
              <w:rPr>
                <w:color w:val="000000" w:themeColor="text1"/>
                <w14:textFill>
                  <w14:solidFill>
                    <w14:schemeClr w14:val="tx1"/>
                  </w14:solidFill>
                </w14:textFill>
              </w:rPr>
            </w:pPr>
          </w:p>
        </w:tc>
      </w:tr>
      <w:tr w14:paraId="4E83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9" w:type="dxa"/>
            <w:vAlign w:val="center"/>
          </w:tcPr>
          <w:p w14:paraId="14B707D7">
            <w:pPr>
              <w:pStyle w:val="113"/>
              <w:rPr>
                <w:sz w:val="21"/>
                <w:szCs w:val="21"/>
              </w:rPr>
            </w:pPr>
            <w:r>
              <w:rPr>
                <w:rFonts w:hint="eastAsia"/>
                <w:color w:val="000000"/>
                <w:sz w:val="21"/>
                <w:szCs w:val="21"/>
              </w:rPr>
              <w:t>新兴际华集团有限公司</w:t>
            </w:r>
          </w:p>
        </w:tc>
        <w:tc>
          <w:tcPr>
            <w:tcW w:w="1349" w:type="dxa"/>
            <w:vAlign w:val="center"/>
          </w:tcPr>
          <w:p w14:paraId="53E1E572">
            <w:pPr>
              <w:jc w:val="right"/>
            </w:pPr>
            <w:r>
              <w:rPr>
                <w:rFonts w:hint="eastAsia"/>
                <w:color w:val="000000"/>
              </w:rPr>
              <w:t>0</w:t>
            </w:r>
          </w:p>
        </w:tc>
        <w:tc>
          <w:tcPr>
            <w:tcW w:w="1481" w:type="dxa"/>
            <w:vAlign w:val="center"/>
          </w:tcPr>
          <w:p w14:paraId="7C33560A">
            <w:pPr>
              <w:jc w:val="right"/>
            </w:pPr>
            <w:r>
              <w:rPr>
                <w:color w:val="000000"/>
              </w:rPr>
              <w:t>2,000,662,591</w:t>
            </w:r>
          </w:p>
        </w:tc>
        <w:tc>
          <w:tcPr>
            <w:tcW w:w="711" w:type="dxa"/>
            <w:vAlign w:val="center"/>
          </w:tcPr>
          <w:p w14:paraId="456355DA">
            <w:pPr>
              <w:jc w:val="right"/>
            </w:pPr>
            <w:r>
              <w:rPr>
                <w:rFonts w:hint="eastAsia"/>
                <w:color w:val="000000"/>
              </w:rPr>
              <w:t>45.56</w:t>
            </w:r>
          </w:p>
        </w:tc>
        <w:tc>
          <w:tcPr>
            <w:tcW w:w="783" w:type="dxa"/>
            <w:vAlign w:val="center"/>
          </w:tcPr>
          <w:p w14:paraId="583C6E9B">
            <w:pPr>
              <w:jc w:val="right"/>
            </w:pPr>
            <w:r>
              <w:rPr>
                <w:rFonts w:hint="eastAsia"/>
              </w:rPr>
              <w:t>0</w:t>
            </w:r>
          </w:p>
        </w:tc>
        <w:sdt>
          <w:sdtPr>
            <w:rPr>
              <w:color w:val="000000" w:themeColor="text1"/>
              <w14:textFill>
                <w14:solidFill>
                  <w14:schemeClr w14:val="tx1"/>
                </w14:solidFill>
              </w14:textFill>
            </w:rPr>
            <w:alias w:val="前十名股东持有股份状态"/>
            <w:tag w:val="_GBC_d5194108b2a8481e94140819dbdc5afe"/>
            <w:id w:val="147477399"/>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color w:val="000000" w:themeColor="text1"/>
              <w14:textFill>
                <w14:solidFill>
                  <w14:schemeClr w14:val="tx1"/>
                </w14:solidFill>
              </w14:textFill>
            </w:rPr>
          </w:sdtEndPr>
          <w:sdtContent>
            <w:tc>
              <w:tcPr>
                <w:tcW w:w="629" w:type="dxa"/>
                <w:vAlign w:val="center"/>
              </w:tcPr>
              <w:p w14:paraId="14A4BEF7">
                <w:pPr>
                  <w:jc w:val="center"/>
                  <w:rPr>
                    <w:color w:val="000000" w:themeColor="text1"/>
                    <w14:textFill>
                      <w14:solidFill>
                        <w14:schemeClr w14:val="tx1"/>
                      </w14:solidFill>
                    </w14:textFill>
                  </w:rPr>
                </w:pPr>
                <w:r>
                  <w:rPr>
                    <w:color w:val="000000" w:themeColor="text1"/>
                    <w14:textFill>
                      <w14:solidFill>
                        <w14:schemeClr w14:val="tx1"/>
                      </w14:solidFill>
                    </w14:textFill>
                  </w:rPr>
                  <w:t>无</w:t>
                </w:r>
              </w:p>
            </w:tc>
          </w:sdtContent>
        </w:sdt>
        <w:tc>
          <w:tcPr>
            <w:tcW w:w="997" w:type="dxa"/>
            <w:gridSpan w:val="2"/>
            <w:vAlign w:val="center"/>
          </w:tcPr>
          <w:p w14:paraId="1C0574ED">
            <w:pPr>
              <w:jc w:val="right"/>
            </w:pPr>
            <w:r>
              <w:rPr>
                <w:rFonts w:hint="eastAsia"/>
              </w:rPr>
              <w:t>0</w:t>
            </w:r>
          </w:p>
        </w:tc>
        <w:sdt>
          <w:sdtPr>
            <w:rPr>
              <w:color w:val="000000" w:themeColor="text1"/>
              <w14:textFill>
                <w14:solidFill>
                  <w14:schemeClr w14:val="tx1"/>
                </w14:solidFill>
              </w14:textFill>
            </w:rPr>
            <w:alias w:val="前十名股东的股东性质"/>
            <w:tag w:val="_GBC_71380bc899eb4b9781e95e37e7a1e221"/>
            <w:id w:val="14745286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color w:val="000000" w:themeColor="text1"/>
              <w14:textFill>
                <w14:solidFill>
                  <w14:schemeClr w14:val="tx1"/>
                </w14:solidFill>
              </w14:textFill>
            </w:rPr>
          </w:sdtEndPr>
          <w:sdtContent>
            <w:tc>
              <w:tcPr>
                <w:tcW w:w="1471" w:type="dxa"/>
                <w:vAlign w:val="center"/>
              </w:tcPr>
              <w:p w14:paraId="7724B292">
                <w:pPr>
                  <w:rPr>
                    <w:color w:val="000000" w:themeColor="text1"/>
                    <w14:textFill>
                      <w14:solidFill>
                        <w14:schemeClr w14:val="tx1"/>
                      </w14:solidFill>
                    </w14:textFill>
                  </w:rPr>
                </w:pPr>
                <w:r>
                  <w:rPr>
                    <w:color w:val="000000" w:themeColor="text1"/>
                    <w14:textFill>
                      <w14:solidFill>
                        <w14:schemeClr w14:val="tx1"/>
                      </w14:solidFill>
                    </w14:textFill>
                  </w:rPr>
                  <w:t>国有法人</w:t>
                </w:r>
              </w:p>
            </w:tc>
          </w:sdtContent>
        </w:sdt>
      </w:tr>
      <w:tr w14:paraId="7DDA0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9" w:type="dxa"/>
            <w:vAlign w:val="center"/>
          </w:tcPr>
          <w:p w14:paraId="2A4E7042">
            <w:pPr>
              <w:pStyle w:val="113"/>
              <w:rPr>
                <w:sz w:val="21"/>
                <w:szCs w:val="21"/>
              </w:rPr>
            </w:pPr>
            <w:r>
              <w:rPr>
                <w:rFonts w:hint="eastAsia"/>
                <w:color w:val="000000"/>
                <w:sz w:val="21"/>
                <w:szCs w:val="21"/>
              </w:rPr>
              <w:t>新兴铸管股份有限公司</w:t>
            </w:r>
          </w:p>
        </w:tc>
        <w:tc>
          <w:tcPr>
            <w:tcW w:w="1349" w:type="dxa"/>
            <w:vAlign w:val="center"/>
          </w:tcPr>
          <w:p w14:paraId="19A9EB42">
            <w:pPr>
              <w:jc w:val="right"/>
            </w:pPr>
            <w:r>
              <w:rPr>
                <w:rFonts w:hint="eastAsia"/>
                <w:color w:val="000000"/>
              </w:rPr>
              <w:t>0</w:t>
            </w:r>
          </w:p>
        </w:tc>
        <w:tc>
          <w:tcPr>
            <w:tcW w:w="1481" w:type="dxa"/>
            <w:vAlign w:val="center"/>
          </w:tcPr>
          <w:p w14:paraId="6E899193">
            <w:pPr>
              <w:jc w:val="right"/>
            </w:pPr>
            <w:r>
              <w:rPr>
                <w:color w:val="000000"/>
              </w:rPr>
              <w:t>192,850,000</w:t>
            </w:r>
          </w:p>
        </w:tc>
        <w:tc>
          <w:tcPr>
            <w:tcW w:w="711" w:type="dxa"/>
            <w:vAlign w:val="center"/>
          </w:tcPr>
          <w:p w14:paraId="1F2D48F5">
            <w:pPr>
              <w:jc w:val="right"/>
            </w:pPr>
            <w:r>
              <w:rPr>
                <w:rFonts w:hint="eastAsia"/>
                <w:color w:val="000000"/>
              </w:rPr>
              <w:t>4.39</w:t>
            </w:r>
          </w:p>
        </w:tc>
        <w:tc>
          <w:tcPr>
            <w:tcW w:w="783" w:type="dxa"/>
            <w:vAlign w:val="center"/>
          </w:tcPr>
          <w:p w14:paraId="75ACEEDB">
            <w:pPr>
              <w:jc w:val="right"/>
            </w:pPr>
            <w:r>
              <w:rPr>
                <w:rFonts w:hint="eastAsia"/>
              </w:rPr>
              <w:t>0</w:t>
            </w:r>
          </w:p>
        </w:tc>
        <w:tc>
          <w:tcPr>
            <w:tcW w:w="629" w:type="dxa"/>
            <w:vAlign w:val="center"/>
          </w:tcPr>
          <w:p w14:paraId="24A8138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997" w:type="dxa"/>
            <w:gridSpan w:val="2"/>
            <w:vAlign w:val="center"/>
          </w:tcPr>
          <w:p w14:paraId="768B8C98">
            <w:pPr>
              <w:jc w:val="right"/>
            </w:pPr>
            <w:r>
              <w:rPr>
                <w:rFonts w:hint="eastAsia"/>
              </w:rPr>
              <w:t>0</w:t>
            </w:r>
          </w:p>
        </w:tc>
        <w:tc>
          <w:tcPr>
            <w:tcW w:w="1471" w:type="dxa"/>
            <w:vAlign w:val="center"/>
          </w:tcPr>
          <w:p w14:paraId="1B6A15AF">
            <w:pPr>
              <w:rPr>
                <w:color w:val="000000" w:themeColor="text1"/>
                <w14:textFill>
                  <w14:solidFill>
                    <w14:schemeClr w14:val="tx1"/>
                  </w14:solidFill>
                </w14:textFill>
              </w:rPr>
            </w:pPr>
            <w:r>
              <w:rPr>
                <w:rFonts w:hint="eastAsia"/>
                <w:color w:val="000000" w:themeColor="text1"/>
                <w14:textFill>
                  <w14:solidFill>
                    <w14:schemeClr w14:val="tx1"/>
                  </w14:solidFill>
                </w14:textFill>
              </w:rPr>
              <w:t>国有法人</w:t>
            </w:r>
          </w:p>
        </w:tc>
      </w:tr>
      <w:tr w14:paraId="3486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9" w:type="dxa"/>
            <w:vAlign w:val="center"/>
          </w:tcPr>
          <w:p w14:paraId="22AEC0F9">
            <w:pPr>
              <w:pStyle w:val="113"/>
              <w:rPr>
                <w:sz w:val="21"/>
                <w:szCs w:val="21"/>
              </w:rPr>
            </w:pPr>
            <w:r>
              <w:rPr>
                <w:rFonts w:hint="eastAsia"/>
                <w:color w:val="000000"/>
                <w:sz w:val="21"/>
                <w:szCs w:val="21"/>
              </w:rPr>
              <w:t>宁波梅山保税港区和盛乾通股权投资合伙企业（有限合伙）</w:t>
            </w:r>
          </w:p>
        </w:tc>
        <w:tc>
          <w:tcPr>
            <w:tcW w:w="1349" w:type="dxa"/>
            <w:vAlign w:val="center"/>
          </w:tcPr>
          <w:p w14:paraId="4AEF67C1">
            <w:pPr>
              <w:jc w:val="right"/>
            </w:pPr>
            <w:r>
              <w:rPr>
                <w:rFonts w:hint="eastAsia"/>
                <w:color w:val="000000"/>
              </w:rPr>
              <w:t>0</w:t>
            </w:r>
          </w:p>
        </w:tc>
        <w:tc>
          <w:tcPr>
            <w:tcW w:w="1481" w:type="dxa"/>
            <w:vAlign w:val="center"/>
          </w:tcPr>
          <w:p w14:paraId="546A9D76">
            <w:pPr>
              <w:jc w:val="right"/>
            </w:pPr>
            <w:r>
              <w:rPr>
                <w:color w:val="000000"/>
              </w:rPr>
              <w:t>45,895,946</w:t>
            </w:r>
          </w:p>
        </w:tc>
        <w:tc>
          <w:tcPr>
            <w:tcW w:w="711" w:type="dxa"/>
            <w:vAlign w:val="center"/>
          </w:tcPr>
          <w:p w14:paraId="5898689A">
            <w:pPr>
              <w:jc w:val="right"/>
            </w:pPr>
            <w:r>
              <w:rPr>
                <w:rFonts w:hint="eastAsia"/>
                <w:color w:val="000000"/>
              </w:rPr>
              <w:t>1.05</w:t>
            </w:r>
          </w:p>
        </w:tc>
        <w:tc>
          <w:tcPr>
            <w:tcW w:w="783" w:type="dxa"/>
            <w:vAlign w:val="center"/>
          </w:tcPr>
          <w:p w14:paraId="05D0C38A">
            <w:pPr>
              <w:jc w:val="right"/>
            </w:pPr>
            <w:r>
              <w:rPr>
                <w:rFonts w:hint="eastAsia"/>
              </w:rPr>
              <w:t>0</w:t>
            </w:r>
          </w:p>
        </w:tc>
        <w:tc>
          <w:tcPr>
            <w:tcW w:w="629" w:type="dxa"/>
            <w:vAlign w:val="center"/>
          </w:tcPr>
          <w:p w14:paraId="763D69D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　</w:t>
            </w:r>
          </w:p>
        </w:tc>
        <w:tc>
          <w:tcPr>
            <w:tcW w:w="997" w:type="dxa"/>
            <w:gridSpan w:val="2"/>
            <w:vAlign w:val="center"/>
          </w:tcPr>
          <w:p w14:paraId="4105EF19">
            <w:pPr>
              <w:jc w:val="right"/>
            </w:pPr>
            <w:r>
              <w:rPr>
                <w:rFonts w:hint="eastAsia"/>
              </w:rPr>
              <w:t>0</w:t>
            </w:r>
          </w:p>
        </w:tc>
        <w:tc>
          <w:tcPr>
            <w:tcW w:w="1471" w:type="dxa"/>
            <w:vAlign w:val="center"/>
          </w:tcPr>
          <w:p w14:paraId="2CD9D7D7">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r>
      <w:tr w14:paraId="3BF6B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9" w:type="dxa"/>
            <w:vAlign w:val="center"/>
          </w:tcPr>
          <w:p w14:paraId="281233E6">
            <w:pPr>
              <w:pStyle w:val="113"/>
              <w:rPr>
                <w:sz w:val="21"/>
                <w:szCs w:val="21"/>
              </w:rPr>
            </w:pPr>
            <w:r>
              <w:rPr>
                <w:rFonts w:hint="eastAsia"/>
                <w:color w:val="000000"/>
                <w:sz w:val="21"/>
                <w:szCs w:val="21"/>
              </w:rPr>
              <w:t>中国建设银行股份有限公司－国泰中证军工交易型开放式指数证券投资基金</w:t>
            </w:r>
          </w:p>
        </w:tc>
        <w:tc>
          <w:tcPr>
            <w:tcW w:w="1349" w:type="dxa"/>
            <w:vAlign w:val="center"/>
          </w:tcPr>
          <w:p w14:paraId="07DADAAA">
            <w:pPr>
              <w:jc w:val="right"/>
            </w:pPr>
            <w:r>
              <w:rPr>
                <w:color w:val="000000"/>
              </w:rPr>
              <w:t>8,897,503</w:t>
            </w:r>
          </w:p>
        </w:tc>
        <w:tc>
          <w:tcPr>
            <w:tcW w:w="1481" w:type="dxa"/>
            <w:vAlign w:val="center"/>
          </w:tcPr>
          <w:p w14:paraId="7CA2FC09">
            <w:pPr>
              <w:jc w:val="right"/>
            </w:pPr>
            <w:r>
              <w:rPr>
                <w:color w:val="000000"/>
              </w:rPr>
              <w:t>30,504,603</w:t>
            </w:r>
          </w:p>
        </w:tc>
        <w:tc>
          <w:tcPr>
            <w:tcW w:w="711" w:type="dxa"/>
            <w:vAlign w:val="center"/>
          </w:tcPr>
          <w:p w14:paraId="473E6E74">
            <w:pPr>
              <w:jc w:val="right"/>
            </w:pPr>
            <w:r>
              <w:rPr>
                <w:rFonts w:hint="eastAsia"/>
                <w:color w:val="000000"/>
              </w:rPr>
              <w:t>0.69</w:t>
            </w:r>
          </w:p>
        </w:tc>
        <w:tc>
          <w:tcPr>
            <w:tcW w:w="783" w:type="dxa"/>
            <w:vAlign w:val="center"/>
          </w:tcPr>
          <w:p w14:paraId="71683406">
            <w:pPr>
              <w:jc w:val="right"/>
            </w:pPr>
            <w:r>
              <w:rPr>
                <w:rFonts w:hint="eastAsia"/>
              </w:rPr>
              <w:t>0</w:t>
            </w:r>
          </w:p>
        </w:tc>
        <w:tc>
          <w:tcPr>
            <w:tcW w:w="629" w:type="dxa"/>
            <w:vAlign w:val="center"/>
          </w:tcPr>
          <w:p w14:paraId="10AFB02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997" w:type="dxa"/>
            <w:gridSpan w:val="2"/>
            <w:vAlign w:val="center"/>
          </w:tcPr>
          <w:p w14:paraId="22BB9D95">
            <w:pPr>
              <w:jc w:val="right"/>
            </w:pPr>
            <w:r>
              <w:rPr>
                <w:rFonts w:hint="eastAsia"/>
              </w:rPr>
              <w:t>0</w:t>
            </w:r>
          </w:p>
        </w:tc>
        <w:tc>
          <w:tcPr>
            <w:tcW w:w="1471" w:type="dxa"/>
            <w:vAlign w:val="center"/>
          </w:tcPr>
          <w:p w14:paraId="664968F6">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r>
      <w:tr w14:paraId="388C9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9" w:type="dxa"/>
            <w:vAlign w:val="center"/>
          </w:tcPr>
          <w:p w14:paraId="4DC3EC9A">
            <w:pPr>
              <w:pStyle w:val="113"/>
              <w:rPr>
                <w:sz w:val="21"/>
                <w:szCs w:val="21"/>
              </w:rPr>
            </w:pPr>
            <w:r>
              <w:rPr>
                <w:rFonts w:hint="eastAsia"/>
                <w:color w:val="000000"/>
                <w:sz w:val="21"/>
                <w:szCs w:val="21"/>
              </w:rPr>
              <w:t>李国</w:t>
            </w:r>
          </w:p>
        </w:tc>
        <w:tc>
          <w:tcPr>
            <w:tcW w:w="1349" w:type="dxa"/>
            <w:vAlign w:val="center"/>
          </w:tcPr>
          <w:p w14:paraId="503425BB">
            <w:pPr>
              <w:jc w:val="right"/>
            </w:pPr>
            <w:r>
              <w:rPr>
                <w:color w:val="000000"/>
              </w:rPr>
              <w:t>16,800,000</w:t>
            </w:r>
          </w:p>
        </w:tc>
        <w:tc>
          <w:tcPr>
            <w:tcW w:w="1481" w:type="dxa"/>
            <w:vAlign w:val="center"/>
          </w:tcPr>
          <w:p w14:paraId="4EC7DF80">
            <w:pPr>
              <w:jc w:val="right"/>
            </w:pPr>
            <w:r>
              <w:rPr>
                <w:color w:val="000000"/>
              </w:rPr>
              <w:t>26,800,000</w:t>
            </w:r>
          </w:p>
        </w:tc>
        <w:tc>
          <w:tcPr>
            <w:tcW w:w="711" w:type="dxa"/>
            <w:vAlign w:val="center"/>
          </w:tcPr>
          <w:p w14:paraId="7420D193">
            <w:pPr>
              <w:jc w:val="right"/>
            </w:pPr>
            <w:r>
              <w:rPr>
                <w:rFonts w:hint="eastAsia"/>
                <w:color w:val="000000"/>
              </w:rPr>
              <w:t>0.61</w:t>
            </w:r>
          </w:p>
        </w:tc>
        <w:tc>
          <w:tcPr>
            <w:tcW w:w="783" w:type="dxa"/>
            <w:vAlign w:val="center"/>
          </w:tcPr>
          <w:p w14:paraId="0A013D1D">
            <w:pPr>
              <w:jc w:val="right"/>
            </w:pPr>
            <w:r>
              <w:rPr>
                <w:rFonts w:hint="eastAsia"/>
              </w:rPr>
              <w:t>0</w:t>
            </w:r>
          </w:p>
        </w:tc>
        <w:tc>
          <w:tcPr>
            <w:tcW w:w="629" w:type="dxa"/>
            <w:vAlign w:val="center"/>
          </w:tcPr>
          <w:p w14:paraId="290F38F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　</w:t>
            </w:r>
          </w:p>
        </w:tc>
        <w:tc>
          <w:tcPr>
            <w:tcW w:w="997" w:type="dxa"/>
            <w:gridSpan w:val="2"/>
            <w:vAlign w:val="center"/>
          </w:tcPr>
          <w:p w14:paraId="0CB8A589">
            <w:pPr>
              <w:jc w:val="right"/>
            </w:pPr>
            <w:r>
              <w:rPr>
                <w:rFonts w:hint="eastAsia"/>
              </w:rPr>
              <w:t>0</w:t>
            </w:r>
          </w:p>
        </w:tc>
        <w:tc>
          <w:tcPr>
            <w:tcW w:w="1471" w:type="dxa"/>
            <w:vAlign w:val="center"/>
          </w:tcPr>
          <w:p w14:paraId="646B28D5">
            <w:pPr>
              <w:rPr>
                <w:color w:val="000000" w:themeColor="text1"/>
                <w14:textFill>
                  <w14:solidFill>
                    <w14:schemeClr w14:val="tx1"/>
                  </w14:solidFill>
                </w14:textFill>
              </w:rPr>
            </w:pPr>
            <w:r>
              <w:rPr>
                <w:rFonts w:hint="eastAsia"/>
                <w:color w:val="000000" w:themeColor="text1"/>
                <w14:textFill>
                  <w14:solidFill>
                    <w14:schemeClr w14:val="tx1"/>
                  </w14:solidFill>
                </w14:textFill>
              </w:rPr>
              <w:t>境内自然人</w:t>
            </w:r>
          </w:p>
        </w:tc>
      </w:tr>
      <w:tr w14:paraId="49FCF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9" w:type="dxa"/>
            <w:vAlign w:val="center"/>
          </w:tcPr>
          <w:p w14:paraId="243FD580">
            <w:pPr>
              <w:pStyle w:val="113"/>
              <w:rPr>
                <w:sz w:val="21"/>
                <w:szCs w:val="21"/>
              </w:rPr>
            </w:pPr>
            <w:r>
              <w:rPr>
                <w:rFonts w:hint="eastAsia"/>
                <w:color w:val="000000"/>
                <w:sz w:val="21"/>
                <w:szCs w:val="21"/>
              </w:rPr>
              <w:t>招商银行股份有限公司－南方中证1000交易型开放式指数证券投资基金</w:t>
            </w:r>
          </w:p>
        </w:tc>
        <w:tc>
          <w:tcPr>
            <w:tcW w:w="1349" w:type="dxa"/>
            <w:vAlign w:val="center"/>
          </w:tcPr>
          <w:p w14:paraId="1582755E">
            <w:pPr>
              <w:jc w:val="right"/>
            </w:pPr>
            <w:r>
              <w:rPr>
                <w:color w:val="000000"/>
              </w:rPr>
              <w:t>2,719,600</w:t>
            </w:r>
          </w:p>
        </w:tc>
        <w:tc>
          <w:tcPr>
            <w:tcW w:w="1481" w:type="dxa"/>
            <w:vAlign w:val="center"/>
          </w:tcPr>
          <w:p w14:paraId="79B15C67">
            <w:pPr>
              <w:jc w:val="right"/>
            </w:pPr>
            <w:r>
              <w:rPr>
                <w:color w:val="000000"/>
              </w:rPr>
              <w:t>24,409,400</w:t>
            </w:r>
          </w:p>
        </w:tc>
        <w:tc>
          <w:tcPr>
            <w:tcW w:w="711" w:type="dxa"/>
            <w:vAlign w:val="center"/>
          </w:tcPr>
          <w:p w14:paraId="194646C3">
            <w:pPr>
              <w:jc w:val="right"/>
            </w:pPr>
            <w:r>
              <w:rPr>
                <w:rFonts w:hint="eastAsia"/>
                <w:color w:val="000000"/>
              </w:rPr>
              <w:t>0.56</w:t>
            </w:r>
          </w:p>
        </w:tc>
        <w:tc>
          <w:tcPr>
            <w:tcW w:w="783" w:type="dxa"/>
            <w:vAlign w:val="center"/>
          </w:tcPr>
          <w:p w14:paraId="60D96040">
            <w:pPr>
              <w:jc w:val="right"/>
            </w:pPr>
            <w:r>
              <w:rPr>
                <w:rFonts w:hint="eastAsia"/>
              </w:rPr>
              <w:t>0</w:t>
            </w:r>
          </w:p>
        </w:tc>
        <w:tc>
          <w:tcPr>
            <w:tcW w:w="629" w:type="dxa"/>
            <w:vAlign w:val="center"/>
          </w:tcPr>
          <w:p w14:paraId="36F1313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　</w:t>
            </w:r>
          </w:p>
        </w:tc>
        <w:tc>
          <w:tcPr>
            <w:tcW w:w="997" w:type="dxa"/>
            <w:gridSpan w:val="2"/>
            <w:vAlign w:val="center"/>
          </w:tcPr>
          <w:p w14:paraId="0131B52A">
            <w:pPr>
              <w:jc w:val="right"/>
            </w:pPr>
            <w:r>
              <w:rPr>
                <w:rFonts w:hint="eastAsia"/>
              </w:rPr>
              <w:t>0</w:t>
            </w:r>
          </w:p>
        </w:tc>
        <w:tc>
          <w:tcPr>
            <w:tcW w:w="1471" w:type="dxa"/>
            <w:vAlign w:val="center"/>
          </w:tcPr>
          <w:p w14:paraId="09202CEF">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r>
      <w:tr w14:paraId="0D497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9" w:type="dxa"/>
            <w:vAlign w:val="center"/>
          </w:tcPr>
          <w:p w14:paraId="37469F48">
            <w:pPr>
              <w:pStyle w:val="113"/>
              <w:rPr>
                <w:sz w:val="21"/>
                <w:szCs w:val="21"/>
              </w:rPr>
            </w:pPr>
            <w:r>
              <w:rPr>
                <w:rFonts w:hint="eastAsia"/>
                <w:color w:val="000000"/>
                <w:sz w:val="21"/>
                <w:szCs w:val="21"/>
              </w:rPr>
              <w:t>香港中央结算有限公司</w:t>
            </w:r>
          </w:p>
        </w:tc>
        <w:tc>
          <w:tcPr>
            <w:tcW w:w="1349" w:type="dxa"/>
            <w:vAlign w:val="center"/>
          </w:tcPr>
          <w:p w14:paraId="2BE98827">
            <w:pPr>
              <w:jc w:val="right"/>
            </w:pPr>
            <w:r>
              <w:rPr>
                <w:color w:val="000000"/>
              </w:rPr>
              <w:t>-11,488,501</w:t>
            </w:r>
          </w:p>
        </w:tc>
        <w:tc>
          <w:tcPr>
            <w:tcW w:w="1481" w:type="dxa"/>
            <w:vAlign w:val="center"/>
          </w:tcPr>
          <w:p w14:paraId="2653B2A6">
            <w:pPr>
              <w:jc w:val="right"/>
            </w:pPr>
            <w:r>
              <w:rPr>
                <w:color w:val="000000"/>
              </w:rPr>
              <w:t>17,564,490</w:t>
            </w:r>
          </w:p>
        </w:tc>
        <w:tc>
          <w:tcPr>
            <w:tcW w:w="711" w:type="dxa"/>
            <w:vAlign w:val="center"/>
          </w:tcPr>
          <w:p w14:paraId="04B41074">
            <w:pPr>
              <w:jc w:val="right"/>
            </w:pPr>
            <w:r>
              <w:rPr>
                <w:rFonts w:hint="eastAsia"/>
                <w:color w:val="000000"/>
              </w:rPr>
              <w:t>0.40</w:t>
            </w:r>
          </w:p>
        </w:tc>
        <w:tc>
          <w:tcPr>
            <w:tcW w:w="783" w:type="dxa"/>
            <w:vAlign w:val="center"/>
          </w:tcPr>
          <w:p w14:paraId="4F76D2C5">
            <w:pPr>
              <w:jc w:val="right"/>
            </w:pPr>
            <w:r>
              <w:rPr>
                <w:rFonts w:hint="eastAsia"/>
              </w:rPr>
              <w:t>0</w:t>
            </w:r>
          </w:p>
        </w:tc>
        <w:tc>
          <w:tcPr>
            <w:tcW w:w="629" w:type="dxa"/>
            <w:vAlign w:val="center"/>
          </w:tcPr>
          <w:p w14:paraId="5B02E8A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　</w:t>
            </w:r>
          </w:p>
        </w:tc>
        <w:tc>
          <w:tcPr>
            <w:tcW w:w="997" w:type="dxa"/>
            <w:gridSpan w:val="2"/>
            <w:vAlign w:val="center"/>
          </w:tcPr>
          <w:p w14:paraId="4FA32B83">
            <w:pPr>
              <w:jc w:val="right"/>
            </w:pPr>
            <w:r>
              <w:rPr>
                <w:rFonts w:hint="eastAsia"/>
              </w:rPr>
              <w:t>0</w:t>
            </w:r>
          </w:p>
        </w:tc>
        <w:tc>
          <w:tcPr>
            <w:tcW w:w="1471" w:type="dxa"/>
            <w:vAlign w:val="center"/>
          </w:tcPr>
          <w:p w14:paraId="4369122D">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r>
      <w:tr w14:paraId="36596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9" w:type="dxa"/>
            <w:vAlign w:val="center"/>
          </w:tcPr>
          <w:p w14:paraId="05812DF9">
            <w:pPr>
              <w:pStyle w:val="113"/>
              <w:rPr>
                <w:sz w:val="21"/>
                <w:szCs w:val="21"/>
              </w:rPr>
            </w:pPr>
            <w:r>
              <w:rPr>
                <w:rFonts w:hint="eastAsia"/>
                <w:color w:val="000000"/>
                <w:sz w:val="21"/>
                <w:szCs w:val="21"/>
              </w:rPr>
              <w:t>信诚基金－中信证券－广州金控资本管理有限公司</w:t>
            </w:r>
          </w:p>
        </w:tc>
        <w:tc>
          <w:tcPr>
            <w:tcW w:w="1349" w:type="dxa"/>
            <w:vAlign w:val="center"/>
          </w:tcPr>
          <w:p w14:paraId="3D6C50A0">
            <w:pPr>
              <w:jc w:val="right"/>
            </w:pPr>
            <w:r>
              <w:rPr>
                <w:rFonts w:hint="eastAsia"/>
                <w:color w:val="000000"/>
              </w:rPr>
              <w:t>0</w:t>
            </w:r>
          </w:p>
        </w:tc>
        <w:tc>
          <w:tcPr>
            <w:tcW w:w="1481" w:type="dxa"/>
            <w:vAlign w:val="center"/>
          </w:tcPr>
          <w:p w14:paraId="26F77F6C">
            <w:pPr>
              <w:jc w:val="right"/>
            </w:pPr>
            <w:r>
              <w:rPr>
                <w:color w:val="000000"/>
              </w:rPr>
              <w:t>15,873,015</w:t>
            </w:r>
          </w:p>
        </w:tc>
        <w:tc>
          <w:tcPr>
            <w:tcW w:w="711" w:type="dxa"/>
            <w:vAlign w:val="center"/>
          </w:tcPr>
          <w:p w14:paraId="087C6C37">
            <w:pPr>
              <w:jc w:val="right"/>
            </w:pPr>
            <w:r>
              <w:rPr>
                <w:rFonts w:hint="eastAsia"/>
                <w:color w:val="000000"/>
              </w:rPr>
              <w:t>0.36</w:t>
            </w:r>
          </w:p>
        </w:tc>
        <w:tc>
          <w:tcPr>
            <w:tcW w:w="783" w:type="dxa"/>
            <w:vAlign w:val="center"/>
          </w:tcPr>
          <w:p w14:paraId="39DCD397">
            <w:pPr>
              <w:jc w:val="right"/>
            </w:pPr>
            <w:r>
              <w:rPr>
                <w:rFonts w:hint="eastAsia"/>
              </w:rPr>
              <w:t>0</w:t>
            </w:r>
          </w:p>
        </w:tc>
        <w:tc>
          <w:tcPr>
            <w:tcW w:w="629" w:type="dxa"/>
            <w:vAlign w:val="center"/>
          </w:tcPr>
          <w:p w14:paraId="59074D8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997" w:type="dxa"/>
            <w:gridSpan w:val="2"/>
            <w:vAlign w:val="center"/>
          </w:tcPr>
          <w:p w14:paraId="23379D51">
            <w:pPr>
              <w:jc w:val="right"/>
            </w:pPr>
            <w:r>
              <w:rPr>
                <w:rFonts w:hint="eastAsia"/>
              </w:rPr>
              <w:t>0</w:t>
            </w:r>
          </w:p>
        </w:tc>
        <w:tc>
          <w:tcPr>
            <w:tcW w:w="1471" w:type="dxa"/>
            <w:vAlign w:val="center"/>
          </w:tcPr>
          <w:p w14:paraId="74548C7E">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r>
      <w:tr w14:paraId="33B13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9" w:type="dxa"/>
            <w:vAlign w:val="center"/>
          </w:tcPr>
          <w:p w14:paraId="5F77477A">
            <w:pPr>
              <w:pStyle w:val="113"/>
              <w:rPr>
                <w:sz w:val="21"/>
                <w:szCs w:val="21"/>
              </w:rPr>
            </w:pPr>
            <w:r>
              <w:rPr>
                <w:rFonts w:hint="eastAsia"/>
                <w:color w:val="000000"/>
                <w:sz w:val="21"/>
                <w:szCs w:val="21"/>
              </w:rPr>
              <w:t>招商银行股份有限公司－华夏中证1000交易型开放式指数证券投资基金</w:t>
            </w:r>
          </w:p>
        </w:tc>
        <w:tc>
          <w:tcPr>
            <w:tcW w:w="1349" w:type="dxa"/>
            <w:vAlign w:val="center"/>
          </w:tcPr>
          <w:p w14:paraId="2C03CA44">
            <w:pPr>
              <w:jc w:val="right"/>
            </w:pPr>
            <w:r>
              <w:rPr>
                <w:color w:val="000000"/>
              </w:rPr>
              <w:t>2,674,700</w:t>
            </w:r>
          </w:p>
        </w:tc>
        <w:tc>
          <w:tcPr>
            <w:tcW w:w="1481" w:type="dxa"/>
            <w:vAlign w:val="center"/>
          </w:tcPr>
          <w:p w14:paraId="3DBF3AA5">
            <w:pPr>
              <w:jc w:val="right"/>
            </w:pPr>
            <w:r>
              <w:rPr>
                <w:color w:val="000000"/>
              </w:rPr>
              <w:t>14,347,100</w:t>
            </w:r>
          </w:p>
        </w:tc>
        <w:tc>
          <w:tcPr>
            <w:tcW w:w="711" w:type="dxa"/>
            <w:vAlign w:val="center"/>
          </w:tcPr>
          <w:p w14:paraId="50621C53">
            <w:pPr>
              <w:jc w:val="right"/>
            </w:pPr>
            <w:r>
              <w:rPr>
                <w:rFonts w:hint="eastAsia"/>
                <w:color w:val="000000"/>
              </w:rPr>
              <w:t>0.33</w:t>
            </w:r>
          </w:p>
        </w:tc>
        <w:tc>
          <w:tcPr>
            <w:tcW w:w="783" w:type="dxa"/>
            <w:vAlign w:val="center"/>
          </w:tcPr>
          <w:p w14:paraId="19D99BB7">
            <w:pPr>
              <w:jc w:val="right"/>
            </w:pPr>
            <w:r>
              <w:rPr>
                <w:rFonts w:hint="eastAsia"/>
              </w:rPr>
              <w:t>0</w:t>
            </w:r>
          </w:p>
        </w:tc>
        <w:tc>
          <w:tcPr>
            <w:tcW w:w="629" w:type="dxa"/>
            <w:vAlign w:val="center"/>
          </w:tcPr>
          <w:p w14:paraId="7237E17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　</w:t>
            </w:r>
          </w:p>
        </w:tc>
        <w:tc>
          <w:tcPr>
            <w:tcW w:w="997" w:type="dxa"/>
            <w:gridSpan w:val="2"/>
            <w:vAlign w:val="center"/>
          </w:tcPr>
          <w:p w14:paraId="4D4630DA">
            <w:pPr>
              <w:jc w:val="right"/>
            </w:pPr>
            <w:r>
              <w:rPr>
                <w:rFonts w:hint="eastAsia"/>
              </w:rPr>
              <w:t>0</w:t>
            </w:r>
          </w:p>
        </w:tc>
        <w:tc>
          <w:tcPr>
            <w:tcW w:w="1471" w:type="dxa"/>
            <w:vAlign w:val="center"/>
          </w:tcPr>
          <w:p w14:paraId="41B5DDF5">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r>
      <w:tr w14:paraId="5D16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59" w:type="dxa"/>
            <w:vAlign w:val="center"/>
          </w:tcPr>
          <w:p w14:paraId="44C9ED70">
            <w:pPr>
              <w:pStyle w:val="113"/>
              <w:rPr>
                <w:sz w:val="21"/>
                <w:szCs w:val="21"/>
              </w:rPr>
            </w:pPr>
            <w:r>
              <w:rPr>
                <w:rFonts w:hint="eastAsia"/>
                <w:color w:val="000000"/>
                <w:sz w:val="21"/>
                <w:szCs w:val="21"/>
              </w:rPr>
              <w:t>赵凯</w:t>
            </w:r>
          </w:p>
        </w:tc>
        <w:tc>
          <w:tcPr>
            <w:tcW w:w="1349" w:type="dxa"/>
            <w:vAlign w:val="center"/>
          </w:tcPr>
          <w:p w14:paraId="6613EDC2">
            <w:pPr>
              <w:jc w:val="right"/>
            </w:pPr>
            <w:r>
              <w:t>7,303,583</w:t>
            </w:r>
          </w:p>
        </w:tc>
        <w:tc>
          <w:tcPr>
            <w:tcW w:w="1481" w:type="dxa"/>
            <w:vAlign w:val="center"/>
          </w:tcPr>
          <w:p w14:paraId="189B7623">
            <w:pPr>
              <w:jc w:val="right"/>
            </w:pPr>
            <w:r>
              <w:rPr>
                <w:color w:val="000000"/>
              </w:rPr>
              <w:t>12,921,783</w:t>
            </w:r>
          </w:p>
        </w:tc>
        <w:tc>
          <w:tcPr>
            <w:tcW w:w="711" w:type="dxa"/>
            <w:vAlign w:val="center"/>
          </w:tcPr>
          <w:p w14:paraId="68AFE117">
            <w:pPr>
              <w:jc w:val="right"/>
            </w:pPr>
            <w:r>
              <w:rPr>
                <w:rFonts w:hint="eastAsia"/>
                <w:color w:val="000000"/>
              </w:rPr>
              <w:t>0.29</w:t>
            </w:r>
          </w:p>
        </w:tc>
        <w:tc>
          <w:tcPr>
            <w:tcW w:w="783" w:type="dxa"/>
            <w:vAlign w:val="center"/>
          </w:tcPr>
          <w:p w14:paraId="76EAC9DF">
            <w:pPr>
              <w:jc w:val="right"/>
            </w:pPr>
            <w:r>
              <w:rPr>
                <w:rFonts w:hint="eastAsia"/>
              </w:rPr>
              <w:t>0</w:t>
            </w:r>
          </w:p>
        </w:tc>
        <w:tc>
          <w:tcPr>
            <w:tcW w:w="629" w:type="dxa"/>
            <w:vAlign w:val="center"/>
          </w:tcPr>
          <w:p w14:paraId="30B9D23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　</w:t>
            </w:r>
          </w:p>
        </w:tc>
        <w:tc>
          <w:tcPr>
            <w:tcW w:w="997" w:type="dxa"/>
            <w:gridSpan w:val="2"/>
            <w:vAlign w:val="center"/>
          </w:tcPr>
          <w:p w14:paraId="49F148FE">
            <w:pPr>
              <w:jc w:val="right"/>
            </w:pPr>
            <w:r>
              <w:rPr>
                <w:rFonts w:hint="eastAsia"/>
              </w:rPr>
              <w:t>0</w:t>
            </w:r>
          </w:p>
        </w:tc>
        <w:tc>
          <w:tcPr>
            <w:tcW w:w="1471" w:type="dxa"/>
            <w:vAlign w:val="center"/>
          </w:tcPr>
          <w:p w14:paraId="00638BC8">
            <w:pPr>
              <w:rPr>
                <w:color w:val="000000" w:themeColor="text1"/>
                <w14:textFill>
                  <w14:solidFill>
                    <w14:schemeClr w14:val="tx1"/>
                  </w14:solidFill>
                </w14:textFill>
              </w:rPr>
            </w:pPr>
            <w:r>
              <w:rPr>
                <w:rFonts w:hint="eastAsia"/>
                <w:color w:val="000000" w:themeColor="text1"/>
                <w14:textFill>
                  <w14:solidFill>
                    <w14:schemeClr w14:val="tx1"/>
                  </w14:solidFill>
                </w14:textFill>
              </w:rPr>
              <w:t>境内自然人</w:t>
            </w:r>
          </w:p>
        </w:tc>
      </w:tr>
      <w:tr w14:paraId="5A70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6f36efd0621247ffb7b2462dd9753e27"/>
            <w:id w:val="147468868"/>
          </w:sdtPr>
          <w:sdtContent>
            <w:tc>
              <w:tcPr>
                <w:tcW w:w="9080" w:type="dxa"/>
                <w:gridSpan w:val="9"/>
                <w:vAlign w:val="center"/>
              </w:tcPr>
              <w:p w14:paraId="57FAA35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前十名无限售条件股东持股情况（不含通过转融通出借股份）</w:t>
                </w:r>
              </w:p>
            </w:tc>
          </w:sdtContent>
        </w:sdt>
      </w:tr>
      <w:tr w14:paraId="6AE7C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6c8c7d50ba2b44858757eeaaa20b5499"/>
            <w:id w:val="147476095"/>
          </w:sdtPr>
          <w:sdtContent>
            <w:tc>
              <w:tcPr>
                <w:tcW w:w="3008" w:type="dxa"/>
                <w:gridSpan w:val="2"/>
                <w:vMerge w:val="restart"/>
                <w:vAlign w:val="center"/>
              </w:tcPr>
              <w:p w14:paraId="5A451857">
                <w:pPr>
                  <w:jc w:val="center"/>
                  <w:rPr>
                    <w:color w:val="000000" w:themeColor="text1"/>
                    <w14:textFill>
                      <w14:solidFill>
                        <w14:schemeClr w14:val="tx1"/>
                      </w14:solidFill>
                    </w14:textFill>
                  </w:rPr>
                </w:pPr>
                <w:r>
                  <w:rPr>
                    <w:color w:val="000000" w:themeColor="text1"/>
                    <w14:textFill>
                      <w14:solidFill>
                        <w14:schemeClr w14:val="tx1"/>
                      </w14:solidFill>
                    </w14:textFill>
                  </w:rPr>
                  <w:t>股东名称</w:t>
                </w:r>
              </w:p>
            </w:tc>
          </w:sdtContent>
        </w:sdt>
        <w:sdt>
          <w:sdtPr>
            <w:tag w:val="_PLD_e4987b1a07a6489c82ab5ef0aa3370ea"/>
            <w:id w:val="147461163"/>
          </w:sdtPr>
          <w:sdtContent>
            <w:tc>
              <w:tcPr>
                <w:tcW w:w="2975" w:type="dxa"/>
                <w:gridSpan w:val="3"/>
                <w:vMerge w:val="restart"/>
                <w:vAlign w:val="center"/>
              </w:tcPr>
              <w:p w14:paraId="25AE721F">
                <w:pPr>
                  <w:jc w:val="center"/>
                  <w:rPr>
                    <w:color w:val="000000" w:themeColor="text1"/>
                    <w14:textFill>
                      <w14:solidFill>
                        <w14:schemeClr w14:val="tx1"/>
                      </w14:solidFill>
                    </w14:textFill>
                  </w:rPr>
                </w:pPr>
                <w:r>
                  <w:rPr>
                    <w:color w:val="000000" w:themeColor="text1"/>
                    <w14:textFill>
                      <w14:solidFill>
                        <w14:schemeClr w14:val="tx1"/>
                      </w14:solidFill>
                    </w14:textFill>
                  </w:rPr>
                  <w:t>持有无限售条件流通股的数量</w:t>
                </w:r>
              </w:p>
            </w:tc>
          </w:sdtContent>
        </w:sdt>
        <w:sdt>
          <w:sdtPr>
            <w:tag w:val="_PLD_26ce78cac14a427ca05aa80b21b65936"/>
            <w:id w:val="147476317"/>
          </w:sdtPr>
          <w:sdtContent>
            <w:tc>
              <w:tcPr>
                <w:tcW w:w="3097" w:type="dxa"/>
                <w:gridSpan w:val="4"/>
                <w:tcBorders>
                  <w:bottom w:val="single" w:color="auto" w:sz="4" w:space="0"/>
                </w:tcBorders>
                <w:vAlign w:val="center"/>
              </w:tcPr>
              <w:p w14:paraId="16FBCC3B">
                <w:pPr>
                  <w:jc w:val="center"/>
                  <w:rPr>
                    <w:color w:val="000000" w:themeColor="text1"/>
                    <w14:textFill>
                      <w14:solidFill>
                        <w14:schemeClr w14:val="tx1"/>
                      </w14:solidFill>
                    </w14:textFill>
                  </w:rPr>
                </w:pPr>
                <w:r>
                  <w:rPr>
                    <w:color w:val="000000" w:themeColor="text1"/>
                    <w14:textFill>
                      <w14:solidFill>
                        <w14:schemeClr w14:val="tx1"/>
                      </w14:solidFill>
                    </w14:textFill>
                  </w:rPr>
                  <w:t>股份种类</w:t>
                </w:r>
                <w:r>
                  <w:rPr>
                    <w:rFonts w:hint="eastAsia"/>
                    <w:color w:val="000000" w:themeColor="text1"/>
                    <w14:textFill>
                      <w14:solidFill>
                        <w14:schemeClr w14:val="tx1"/>
                      </w14:solidFill>
                    </w14:textFill>
                  </w:rPr>
                  <w:t>及数量</w:t>
                </w:r>
              </w:p>
            </w:tc>
          </w:sdtContent>
        </w:sdt>
      </w:tr>
      <w:tr w14:paraId="2B23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08" w:type="dxa"/>
            <w:gridSpan w:val="2"/>
            <w:vMerge w:val="continue"/>
            <w:vAlign w:val="center"/>
          </w:tcPr>
          <w:p w14:paraId="03A53F76">
            <w:pPr>
              <w:jc w:val="center"/>
              <w:rPr>
                <w:color w:val="000000" w:themeColor="text1"/>
                <w14:textFill>
                  <w14:solidFill>
                    <w14:schemeClr w14:val="tx1"/>
                  </w14:solidFill>
                </w14:textFill>
              </w:rPr>
            </w:pPr>
          </w:p>
        </w:tc>
        <w:tc>
          <w:tcPr>
            <w:tcW w:w="2975" w:type="dxa"/>
            <w:gridSpan w:val="3"/>
            <w:vMerge w:val="continue"/>
            <w:vAlign w:val="center"/>
          </w:tcPr>
          <w:p w14:paraId="41FC964E">
            <w:pPr>
              <w:jc w:val="center"/>
              <w:rPr>
                <w:color w:val="000000" w:themeColor="text1"/>
                <w14:textFill>
                  <w14:solidFill>
                    <w14:schemeClr w14:val="tx1"/>
                  </w14:solidFill>
                </w14:textFill>
              </w:rPr>
            </w:pPr>
          </w:p>
        </w:tc>
        <w:sdt>
          <w:sdtPr>
            <w:tag w:val="_PLD_05580a00e3f942c0b2da618818a84669"/>
            <w:id w:val="147466042"/>
          </w:sdtPr>
          <w:sdtContent>
            <w:tc>
              <w:tcPr>
                <w:tcW w:w="944" w:type="dxa"/>
                <w:gridSpan w:val="2"/>
                <w:vAlign w:val="center"/>
              </w:tcPr>
              <w:p w14:paraId="39F1CD2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种类</w:t>
                </w:r>
              </w:p>
            </w:tc>
          </w:sdtContent>
        </w:sdt>
        <w:sdt>
          <w:sdtPr>
            <w:tag w:val="_PLD_7f8ec6251e234192b411b34b07ccd732"/>
            <w:id w:val="147470618"/>
          </w:sdtPr>
          <w:sdtContent>
            <w:tc>
              <w:tcPr>
                <w:tcW w:w="2153" w:type="dxa"/>
                <w:gridSpan w:val="2"/>
                <w:vAlign w:val="center"/>
              </w:tcPr>
              <w:p w14:paraId="6F9E9B1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数量</w:t>
                </w:r>
              </w:p>
            </w:tc>
          </w:sdtContent>
        </w:sdt>
      </w:tr>
      <w:tr w14:paraId="1E384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08" w:type="dxa"/>
            <w:gridSpan w:val="2"/>
            <w:vAlign w:val="center"/>
          </w:tcPr>
          <w:p w14:paraId="01D8FE6B">
            <w:pPr>
              <w:pStyle w:val="113"/>
              <w:rPr>
                <w:sz w:val="21"/>
                <w:szCs w:val="21"/>
              </w:rPr>
            </w:pPr>
            <w:r>
              <w:rPr>
                <w:rFonts w:hint="eastAsia"/>
                <w:color w:val="000000"/>
                <w:sz w:val="21"/>
                <w:szCs w:val="21"/>
              </w:rPr>
              <w:t>新兴际华集团有限公司</w:t>
            </w:r>
          </w:p>
        </w:tc>
        <w:tc>
          <w:tcPr>
            <w:tcW w:w="2975" w:type="dxa"/>
            <w:gridSpan w:val="3"/>
            <w:vAlign w:val="center"/>
          </w:tcPr>
          <w:p w14:paraId="3659181D">
            <w:pPr>
              <w:jc w:val="right"/>
            </w:pPr>
            <w:r>
              <w:rPr>
                <w:color w:val="000000"/>
              </w:rPr>
              <w:t>2,000,662,591</w:t>
            </w:r>
          </w:p>
        </w:tc>
        <w:sdt>
          <w:sdtPr>
            <w:rPr>
              <w:bCs w:val="0"/>
              <w:color w:val="000000" w:themeColor="text1"/>
              <w14:textFill>
                <w14:solidFill>
                  <w14:schemeClr w14:val="tx1"/>
                </w14:solidFill>
              </w14:textFill>
            </w:rPr>
            <w:alias w:val="前十名无限售条件股东期末持有流通股的种类"/>
            <w:tag w:val="_GBC_5d0d3dfc3b8545ce906ab8a21728fb94"/>
            <w:id w:val="147477925"/>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bCs w:val="0"/>
              <w:color w:val="000000" w:themeColor="text1"/>
              <w14:textFill>
                <w14:solidFill>
                  <w14:schemeClr w14:val="tx1"/>
                </w14:solidFill>
              </w14:textFill>
            </w:rPr>
          </w:sdtEndPr>
          <w:sdtContent>
            <w:tc>
              <w:tcPr>
                <w:tcW w:w="944" w:type="dxa"/>
                <w:gridSpan w:val="2"/>
                <w:vAlign w:val="center"/>
              </w:tcPr>
              <w:p w14:paraId="11CF7CAE">
                <w:pPr>
                  <w:jc w:val="center"/>
                  <w:rPr>
                    <w:bCs w:val="0"/>
                    <w:color w:val="000000" w:themeColor="text1"/>
                    <w14:textFill>
                      <w14:solidFill>
                        <w14:schemeClr w14:val="tx1"/>
                      </w14:solidFill>
                    </w14:textFill>
                  </w:rPr>
                </w:pPr>
                <w:r>
                  <w:rPr>
                    <w:bCs w:val="0"/>
                    <w:color w:val="000000" w:themeColor="text1"/>
                    <w14:textFill>
                      <w14:solidFill>
                        <w14:schemeClr w14:val="tx1"/>
                      </w14:solidFill>
                    </w14:textFill>
                  </w:rPr>
                  <w:t>人民币普通股</w:t>
                </w:r>
              </w:p>
            </w:tc>
          </w:sdtContent>
        </w:sdt>
        <w:tc>
          <w:tcPr>
            <w:tcW w:w="2153" w:type="dxa"/>
            <w:gridSpan w:val="2"/>
            <w:vAlign w:val="center"/>
          </w:tcPr>
          <w:p w14:paraId="5B0700A5">
            <w:pPr>
              <w:jc w:val="right"/>
            </w:pPr>
            <w:r>
              <w:rPr>
                <w:color w:val="000000"/>
              </w:rPr>
              <w:t>2,000,662,591</w:t>
            </w:r>
          </w:p>
        </w:tc>
      </w:tr>
      <w:tr w14:paraId="41E0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08" w:type="dxa"/>
            <w:gridSpan w:val="2"/>
            <w:vAlign w:val="center"/>
          </w:tcPr>
          <w:p w14:paraId="045D2952">
            <w:pPr>
              <w:pStyle w:val="113"/>
              <w:rPr>
                <w:sz w:val="21"/>
                <w:szCs w:val="21"/>
              </w:rPr>
            </w:pPr>
            <w:r>
              <w:rPr>
                <w:rFonts w:hint="eastAsia"/>
                <w:color w:val="000000"/>
                <w:sz w:val="21"/>
                <w:szCs w:val="21"/>
              </w:rPr>
              <w:t>新兴铸管股份有限公司</w:t>
            </w:r>
          </w:p>
        </w:tc>
        <w:tc>
          <w:tcPr>
            <w:tcW w:w="2975" w:type="dxa"/>
            <w:gridSpan w:val="3"/>
            <w:vAlign w:val="center"/>
          </w:tcPr>
          <w:p w14:paraId="64E40D23">
            <w:pPr>
              <w:jc w:val="right"/>
            </w:pPr>
            <w:r>
              <w:rPr>
                <w:color w:val="000000"/>
              </w:rPr>
              <w:t>192,850,000</w:t>
            </w:r>
          </w:p>
        </w:tc>
        <w:tc>
          <w:tcPr>
            <w:tcW w:w="944" w:type="dxa"/>
            <w:gridSpan w:val="2"/>
            <w:vAlign w:val="center"/>
          </w:tcPr>
          <w:p w14:paraId="47E1C76B">
            <w:pPr>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人民币普通股　</w:t>
            </w:r>
          </w:p>
        </w:tc>
        <w:tc>
          <w:tcPr>
            <w:tcW w:w="2153" w:type="dxa"/>
            <w:gridSpan w:val="2"/>
            <w:vAlign w:val="center"/>
          </w:tcPr>
          <w:p w14:paraId="4030F259">
            <w:pPr>
              <w:jc w:val="right"/>
            </w:pPr>
            <w:r>
              <w:rPr>
                <w:color w:val="000000"/>
              </w:rPr>
              <w:t>192,850,000</w:t>
            </w:r>
          </w:p>
        </w:tc>
      </w:tr>
      <w:tr w14:paraId="75D6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08" w:type="dxa"/>
            <w:gridSpan w:val="2"/>
            <w:vAlign w:val="center"/>
          </w:tcPr>
          <w:p w14:paraId="18B8789F">
            <w:pPr>
              <w:pStyle w:val="113"/>
              <w:rPr>
                <w:sz w:val="21"/>
                <w:szCs w:val="21"/>
              </w:rPr>
            </w:pPr>
            <w:r>
              <w:rPr>
                <w:rFonts w:hint="eastAsia"/>
                <w:color w:val="000000"/>
                <w:sz w:val="21"/>
                <w:szCs w:val="21"/>
              </w:rPr>
              <w:t>宁波梅山保税港区和盛乾通股权投资合伙企业（有限合伙）</w:t>
            </w:r>
          </w:p>
        </w:tc>
        <w:tc>
          <w:tcPr>
            <w:tcW w:w="2975" w:type="dxa"/>
            <w:gridSpan w:val="3"/>
            <w:vAlign w:val="center"/>
          </w:tcPr>
          <w:p w14:paraId="6EBCC824">
            <w:pPr>
              <w:jc w:val="right"/>
            </w:pPr>
            <w:r>
              <w:rPr>
                <w:color w:val="000000"/>
              </w:rPr>
              <w:t>45,895,946</w:t>
            </w:r>
          </w:p>
        </w:tc>
        <w:tc>
          <w:tcPr>
            <w:tcW w:w="944" w:type="dxa"/>
            <w:gridSpan w:val="2"/>
            <w:vAlign w:val="center"/>
          </w:tcPr>
          <w:p w14:paraId="4527C814">
            <w:pPr>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人民币普通股</w:t>
            </w:r>
          </w:p>
        </w:tc>
        <w:tc>
          <w:tcPr>
            <w:tcW w:w="2153" w:type="dxa"/>
            <w:gridSpan w:val="2"/>
            <w:vAlign w:val="center"/>
          </w:tcPr>
          <w:p w14:paraId="7FF9C3D8">
            <w:pPr>
              <w:jc w:val="right"/>
            </w:pPr>
            <w:r>
              <w:rPr>
                <w:color w:val="000000"/>
              </w:rPr>
              <w:t>45,895,946</w:t>
            </w:r>
          </w:p>
        </w:tc>
      </w:tr>
      <w:tr w14:paraId="61F8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08" w:type="dxa"/>
            <w:gridSpan w:val="2"/>
            <w:vAlign w:val="center"/>
          </w:tcPr>
          <w:p w14:paraId="276254C1">
            <w:pPr>
              <w:pStyle w:val="113"/>
              <w:rPr>
                <w:sz w:val="21"/>
                <w:szCs w:val="21"/>
              </w:rPr>
            </w:pPr>
            <w:r>
              <w:rPr>
                <w:rFonts w:hint="eastAsia"/>
                <w:color w:val="000000"/>
                <w:sz w:val="21"/>
                <w:szCs w:val="21"/>
              </w:rPr>
              <w:t>中国建设银行股份有限公司－国泰中证军工交易型开放式指数证券投资基金</w:t>
            </w:r>
          </w:p>
        </w:tc>
        <w:tc>
          <w:tcPr>
            <w:tcW w:w="2975" w:type="dxa"/>
            <w:gridSpan w:val="3"/>
            <w:vAlign w:val="center"/>
          </w:tcPr>
          <w:p w14:paraId="52F1A6E3">
            <w:pPr>
              <w:jc w:val="right"/>
            </w:pPr>
            <w:r>
              <w:rPr>
                <w:color w:val="000000"/>
              </w:rPr>
              <w:t>30,504,603</w:t>
            </w:r>
          </w:p>
        </w:tc>
        <w:tc>
          <w:tcPr>
            <w:tcW w:w="944" w:type="dxa"/>
            <w:gridSpan w:val="2"/>
            <w:vAlign w:val="center"/>
          </w:tcPr>
          <w:p w14:paraId="791050F3">
            <w:pPr>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人民币普通股　</w:t>
            </w:r>
          </w:p>
        </w:tc>
        <w:tc>
          <w:tcPr>
            <w:tcW w:w="2153" w:type="dxa"/>
            <w:gridSpan w:val="2"/>
            <w:vAlign w:val="center"/>
          </w:tcPr>
          <w:p w14:paraId="3A4476E4">
            <w:pPr>
              <w:jc w:val="right"/>
            </w:pPr>
            <w:r>
              <w:rPr>
                <w:color w:val="000000"/>
              </w:rPr>
              <w:t>30,504,603</w:t>
            </w:r>
          </w:p>
        </w:tc>
      </w:tr>
      <w:tr w14:paraId="1767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08" w:type="dxa"/>
            <w:gridSpan w:val="2"/>
            <w:vAlign w:val="center"/>
          </w:tcPr>
          <w:p w14:paraId="463B6701">
            <w:pPr>
              <w:pStyle w:val="113"/>
              <w:rPr>
                <w:sz w:val="21"/>
                <w:szCs w:val="21"/>
              </w:rPr>
            </w:pPr>
            <w:r>
              <w:rPr>
                <w:rFonts w:hint="eastAsia"/>
                <w:color w:val="000000"/>
                <w:sz w:val="21"/>
                <w:szCs w:val="21"/>
              </w:rPr>
              <w:t>李国</w:t>
            </w:r>
          </w:p>
        </w:tc>
        <w:tc>
          <w:tcPr>
            <w:tcW w:w="2975" w:type="dxa"/>
            <w:gridSpan w:val="3"/>
            <w:vAlign w:val="center"/>
          </w:tcPr>
          <w:p w14:paraId="0EA23752">
            <w:pPr>
              <w:jc w:val="right"/>
            </w:pPr>
            <w:r>
              <w:rPr>
                <w:color w:val="000000"/>
              </w:rPr>
              <w:t>26,800,000</w:t>
            </w:r>
          </w:p>
        </w:tc>
        <w:tc>
          <w:tcPr>
            <w:tcW w:w="944" w:type="dxa"/>
            <w:gridSpan w:val="2"/>
            <w:vAlign w:val="center"/>
          </w:tcPr>
          <w:p w14:paraId="7E1F3F82">
            <w:pPr>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人民币普通股</w:t>
            </w:r>
          </w:p>
        </w:tc>
        <w:tc>
          <w:tcPr>
            <w:tcW w:w="2153" w:type="dxa"/>
            <w:gridSpan w:val="2"/>
            <w:vAlign w:val="center"/>
          </w:tcPr>
          <w:p w14:paraId="7A659557">
            <w:pPr>
              <w:jc w:val="right"/>
            </w:pPr>
            <w:r>
              <w:rPr>
                <w:color w:val="000000"/>
              </w:rPr>
              <w:t>26,800,000</w:t>
            </w:r>
          </w:p>
        </w:tc>
      </w:tr>
      <w:tr w14:paraId="25B13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08" w:type="dxa"/>
            <w:gridSpan w:val="2"/>
            <w:vAlign w:val="center"/>
          </w:tcPr>
          <w:p w14:paraId="3317E536">
            <w:pPr>
              <w:pStyle w:val="113"/>
              <w:rPr>
                <w:sz w:val="21"/>
                <w:szCs w:val="21"/>
              </w:rPr>
            </w:pPr>
            <w:r>
              <w:rPr>
                <w:rFonts w:hint="eastAsia"/>
                <w:color w:val="000000"/>
                <w:sz w:val="21"/>
                <w:szCs w:val="21"/>
              </w:rPr>
              <w:t>招商银行股份有限公司－南方中证1000交易型开放式指数证券投资基金</w:t>
            </w:r>
          </w:p>
        </w:tc>
        <w:tc>
          <w:tcPr>
            <w:tcW w:w="2975" w:type="dxa"/>
            <w:gridSpan w:val="3"/>
            <w:vAlign w:val="center"/>
          </w:tcPr>
          <w:p w14:paraId="125D383D">
            <w:pPr>
              <w:jc w:val="right"/>
            </w:pPr>
            <w:r>
              <w:rPr>
                <w:color w:val="000000"/>
              </w:rPr>
              <w:t>24,409,400</w:t>
            </w:r>
          </w:p>
        </w:tc>
        <w:tc>
          <w:tcPr>
            <w:tcW w:w="944" w:type="dxa"/>
            <w:gridSpan w:val="2"/>
            <w:vAlign w:val="center"/>
          </w:tcPr>
          <w:p w14:paraId="5E8B734D">
            <w:pPr>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人民币普通股</w:t>
            </w:r>
          </w:p>
        </w:tc>
        <w:tc>
          <w:tcPr>
            <w:tcW w:w="2153" w:type="dxa"/>
            <w:gridSpan w:val="2"/>
            <w:vAlign w:val="center"/>
          </w:tcPr>
          <w:p w14:paraId="55F92366">
            <w:pPr>
              <w:jc w:val="right"/>
            </w:pPr>
            <w:r>
              <w:rPr>
                <w:color w:val="000000"/>
              </w:rPr>
              <w:t>24,409,400</w:t>
            </w:r>
          </w:p>
        </w:tc>
      </w:tr>
      <w:tr w14:paraId="62BB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08" w:type="dxa"/>
            <w:gridSpan w:val="2"/>
            <w:vAlign w:val="center"/>
          </w:tcPr>
          <w:p w14:paraId="18E33AE6">
            <w:pPr>
              <w:pStyle w:val="113"/>
              <w:rPr>
                <w:sz w:val="21"/>
                <w:szCs w:val="21"/>
              </w:rPr>
            </w:pPr>
            <w:r>
              <w:rPr>
                <w:rFonts w:hint="eastAsia"/>
                <w:color w:val="000000"/>
                <w:sz w:val="21"/>
                <w:szCs w:val="21"/>
              </w:rPr>
              <w:t>香港中央结算有限公司</w:t>
            </w:r>
          </w:p>
        </w:tc>
        <w:tc>
          <w:tcPr>
            <w:tcW w:w="2975" w:type="dxa"/>
            <w:gridSpan w:val="3"/>
            <w:vAlign w:val="center"/>
          </w:tcPr>
          <w:p w14:paraId="5E7E6D90">
            <w:pPr>
              <w:jc w:val="right"/>
            </w:pPr>
            <w:r>
              <w:rPr>
                <w:color w:val="000000"/>
              </w:rPr>
              <w:t>17,564,490</w:t>
            </w:r>
          </w:p>
        </w:tc>
        <w:tc>
          <w:tcPr>
            <w:tcW w:w="944" w:type="dxa"/>
            <w:gridSpan w:val="2"/>
            <w:vAlign w:val="center"/>
          </w:tcPr>
          <w:p w14:paraId="14D4AE5E">
            <w:pPr>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人民币普通股</w:t>
            </w:r>
          </w:p>
        </w:tc>
        <w:tc>
          <w:tcPr>
            <w:tcW w:w="2153" w:type="dxa"/>
            <w:gridSpan w:val="2"/>
            <w:vAlign w:val="center"/>
          </w:tcPr>
          <w:p w14:paraId="60FC56D4">
            <w:pPr>
              <w:jc w:val="right"/>
            </w:pPr>
            <w:r>
              <w:rPr>
                <w:color w:val="000000"/>
              </w:rPr>
              <w:t>17,564,490</w:t>
            </w:r>
          </w:p>
        </w:tc>
      </w:tr>
      <w:tr w14:paraId="4FEA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08" w:type="dxa"/>
            <w:gridSpan w:val="2"/>
            <w:vAlign w:val="center"/>
          </w:tcPr>
          <w:p w14:paraId="60F6D1D8">
            <w:pPr>
              <w:pStyle w:val="113"/>
              <w:rPr>
                <w:sz w:val="21"/>
                <w:szCs w:val="21"/>
              </w:rPr>
            </w:pPr>
            <w:r>
              <w:rPr>
                <w:rFonts w:hint="eastAsia"/>
                <w:color w:val="000000"/>
                <w:sz w:val="21"/>
                <w:szCs w:val="21"/>
              </w:rPr>
              <w:t>信诚基金－中信证券－广州金控资本管理有限公司</w:t>
            </w:r>
          </w:p>
        </w:tc>
        <w:tc>
          <w:tcPr>
            <w:tcW w:w="2975" w:type="dxa"/>
            <w:gridSpan w:val="3"/>
            <w:vAlign w:val="center"/>
          </w:tcPr>
          <w:p w14:paraId="794DF40D">
            <w:pPr>
              <w:jc w:val="right"/>
            </w:pPr>
            <w:r>
              <w:rPr>
                <w:color w:val="000000"/>
              </w:rPr>
              <w:t>15,873,015</w:t>
            </w:r>
          </w:p>
        </w:tc>
        <w:tc>
          <w:tcPr>
            <w:tcW w:w="944" w:type="dxa"/>
            <w:gridSpan w:val="2"/>
            <w:vAlign w:val="center"/>
          </w:tcPr>
          <w:p w14:paraId="0D1FE83F">
            <w:pPr>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人民币普通股</w:t>
            </w:r>
          </w:p>
        </w:tc>
        <w:tc>
          <w:tcPr>
            <w:tcW w:w="2153" w:type="dxa"/>
            <w:gridSpan w:val="2"/>
            <w:vAlign w:val="center"/>
          </w:tcPr>
          <w:p w14:paraId="436D6E59">
            <w:pPr>
              <w:jc w:val="right"/>
            </w:pPr>
            <w:r>
              <w:rPr>
                <w:color w:val="000000"/>
              </w:rPr>
              <w:t>15,873,015</w:t>
            </w:r>
          </w:p>
        </w:tc>
      </w:tr>
      <w:tr w14:paraId="0180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08" w:type="dxa"/>
            <w:gridSpan w:val="2"/>
            <w:vAlign w:val="center"/>
          </w:tcPr>
          <w:p w14:paraId="10F3C088">
            <w:pPr>
              <w:pStyle w:val="113"/>
              <w:rPr>
                <w:sz w:val="21"/>
                <w:szCs w:val="21"/>
              </w:rPr>
            </w:pPr>
            <w:r>
              <w:rPr>
                <w:rFonts w:hint="eastAsia"/>
                <w:color w:val="000000"/>
                <w:sz w:val="21"/>
                <w:szCs w:val="21"/>
              </w:rPr>
              <w:t>招商银行股份有限公司－华夏中证1000交易型开放式指数证券投资基金</w:t>
            </w:r>
          </w:p>
        </w:tc>
        <w:tc>
          <w:tcPr>
            <w:tcW w:w="2975" w:type="dxa"/>
            <w:gridSpan w:val="3"/>
            <w:vAlign w:val="center"/>
          </w:tcPr>
          <w:p w14:paraId="3E690F7A">
            <w:pPr>
              <w:jc w:val="right"/>
            </w:pPr>
            <w:r>
              <w:rPr>
                <w:color w:val="000000"/>
              </w:rPr>
              <w:t>14,347,100</w:t>
            </w:r>
          </w:p>
        </w:tc>
        <w:tc>
          <w:tcPr>
            <w:tcW w:w="944" w:type="dxa"/>
            <w:gridSpan w:val="2"/>
            <w:vAlign w:val="center"/>
          </w:tcPr>
          <w:p w14:paraId="7A70D810">
            <w:pPr>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人民币普通股　</w:t>
            </w:r>
          </w:p>
        </w:tc>
        <w:tc>
          <w:tcPr>
            <w:tcW w:w="2153" w:type="dxa"/>
            <w:gridSpan w:val="2"/>
            <w:vAlign w:val="center"/>
          </w:tcPr>
          <w:p w14:paraId="046C563B">
            <w:pPr>
              <w:jc w:val="right"/>
            </w:pPr>
            <w:r>
              <w:rPr>
                <w:color w:val="000000"/>
              </w:rPr>
              <w:t>14,347,100</w:t>
            </w:r>
          </w:p>
        </w:tc>
      </w:tr>
      <w:tr w14:paraId="4DE0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08" w:type="dxa"/>
            <w:gridSpan w:val="2"/>
            <w:vAlign w:val="center"/>
          </w:tcPr>
          <w:p w14:paraId="1F16696D">
            <w:pPr>
              <w:pStyle w:val="113"/>
              <w:rPr>
                <w:sz w:val="21"/>
                <w:szCs w:val="21"/>
              </w:rPr>
            </w:pPr>
            <w:r>
              <w:rPr>
                <w:rFonts w:hint="eastAsia"/>
                <w:color w:val="000000"/>
                <w:sz w:val="21"/>
                <w:szCs w:val="21"/>
              </w:rPr>
              <w:t>赵凯</w:t>
            </w:r>
          </w:p>
        </w:tc>
        <w:tc>
          <w:tcPr>
            <w:tcW w:w="2975" w:type="dxa"/>
            <w:gridSpan w:val="3"/>
            <w:vAlign w:val="center"/>
          </w:tcPr>
          <w:p w14:paraId="54063238">
            <w:pPr>
              <w:jc w:val="right"/>
            </w:pPr>
            <w:r>
              <w:rPr>
                <w:color w:val="000000"/>
              </w:rPr>
              <w:t>12,921,783</w:t>
            </w:r>
          </w:p>
        </w:tc>
        <w:tc>
          <w:tcPr>
            <w:tcW w:w="944" w:type="dxa"/>
            <w:gridSpan w:val="2"/>
            <w:vAlign w:val="center"/>
          </w:tcPr>
          <w:p w14:paraId="7E07B760">
            <w:pPr>
              <w:jc w:val="center"/>
              <w:rPr>
                <w:bCs w:val="0"/>
                <w:color w:val="000000" w:themeColor="text1"/>
                <w14:textFill>
                  <w14:solidFill>
                    <w14:schemeClr w14:val="tx1"/>
                  </w14:solidFill>
                </w14:textFill>
              </w:rPr>
            </w:pPr>
            <w:r>
              <w:rPr>
                <w:rFonts w:hint="eastAsia"/>
                <w:color w:val="000000" w:themeColor="text1"/>
                <w14:textFill>
                  <w14:solidFill>
                    <w14:schemeClr w14:val="tx1"/>
                  </w14:solidFill>
                </w14:textFill>
              </w:rPr>
              <w:t>人民币普通股　</w:t>
            </w:r>
          </w:p>
        </w:tc>
        <w:tc>
          <w:tcPr>
            <w:tcW w:w="2153" w:type="dxa"/>
            <w:gridSpan w:val="2"/>
            <w:vAlign w:val="center"/>
          </w:tcPr>
          <w:p w14:paraId="569E8E35">
            <w:pPr>
              <w:jc w:val="right"/>
            </w:pPr>
            <w:r>
              <w:rPr>
                <w:color w:val="000000"/>
              </w:rPr>
              <w:t>12,921,783</w:t>
            </w:r>
          </w:p>
        </w:tc>
      </w:tr>
      <w:tr w14:paraId="63A8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08" w:type="dxa"/>
            <w:gridSpan w:val="2"/>
            <w:vAlign w:val="center"/>
          </w:tcPr>
          <w:p w14:paraId="268700DE">
            <w:pPr>
              <w:rPr>
                <w:color w:val="000000" w:themeColor="text1"/>
                <w14:textFill>
                  <w14:solidFill>
                    <w14:schemeClr w14:val="tx1"/>
                  </w14:solidFill>
                </w14:textFill>
              </w:rPr>
            </w:pPr>
            <w:r>
              <w:rPr>
                <w:rFonts w:hint="eastAsia"/>
                <w:color w:val="000000" w:themeColor="text1"/>
                <w14:textFill>
                  <w14:solidFill>
                    <w14:schemeClr w14:val="tx1"/>
                  </w14:solidFill>
                </w14:textFill>
              </w:rPr>
              <w:t>前十名股东中回购专户情况说明</w:t>
            </w:r>
          </w:p>
        </w:tc>
        <w:tc>
          <w:tcPr>
            <w:tcW w:w="6072" w:type="dxa"/>
            <w:gridSpan w:val="7"/>
            <w:vAlign w:val="center"/>
          </w:tcPr>
          <w:p w14:paraId="08B5A466">
            <w:pPr>
              <w:pStyle w:val="113"/>
              <w:jc w:val="both"/>
              <w:rPr>
                <w:sz w:val="21"/>
                <w:szCs w:val="21"/>
              </w:rPr>
            </w:pPr>
            <w:r>
              <w:rPr>
                <w:rFonts w:hint="eastAsia"/>
                <w:sz w:val="21"/>
                <w:szCs w:val="21"/>
              </w:rPr>
              <w:t>公司回购专用账户未在“前十名股东持股情况”中列示，截至报告期末，际华集团股份有限公司回购专用证券账户持有人民币普通股</w:t>
            </w:r>
            <w:r>
              <w:rPr>
                <w:sz w:val="21"/>
                <w:szCs w:val="21"/>
              </w:rPr>
              <w:t>15</w:t>
            </w:r>
            <w:r>
              <w:rPr>
                <w:rFonts w:hint="eastAsia"/>
                <w:sz w:val="21"/>
                <w:szCs w:val="21"/>
              </w:rPr>
              <w:t>,</w:t>
            </w:r>
            <w:r>
              <w:rPr>
                <w:sz w:val="21"/>
                <w:szCs w:val="21"/>
              </w:rPr>
              <w:t>240</w:t>
            </w:r>
            <w:r>
              <w:rPr>
                <w:rFonts w:hint="eastAsia"/>
                <w:sz w:val="21"/>
                <w:szCs w:val="21"/>
              </w:rPr>
              <w:t>,</w:t>
            </w:r>
            <w:r>
              <w:rPr>
                <w:sz w:val="21"/>
                <w:szCs w:val="21"/>
              </w:rPr>
              <w:t>401</w:t>
            </w:r>
            <w:r>
              <w:rPr>
                <w:rFonts w:hint="eastAsia"/>
                <w:sz w:val="21"/>
                <w:szCs w:val="21"/>
              </w:rPr>
              <w:t>股，持有比例0.35%。</w:t>
            </w:r>
          </w:p>
        </w:tc>
      </w:tr>
      <w:tr w14:paraId="471C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08" w:type="dxa"/>
            <w:gridSpan w:val="2"/>
            <w:vAlign w:val="center"/>
          </w:tcPr>
          <w:p w14:paraId="5310B070">
            <w:pPr>
              <w:rPr>
                <w:color w:val="000000" w:themeColor="text1"/>
                <w14:textFill>
                  <w14:solidFill>
                    <w14:schemeClr w14:val="tx1"/>
                  </w14:solidFill>
                </w14:textFill>
              </w:rPr>
            </w:pPr>
            <w:r>
              <w:rPr>
                <w:color w:val="000000" w:themeColor="text1"/>
                <w14:textFill>
                  <w14:solidFill>
                    <w14:schemeClr w14:val="tx1"/>
                  </w14:solidFill>
                </w14:textFill>
              </w:rPr>
              <w:t>上述股东</w:t>
            </w:r>
            <w:r>
              <w:rPr>
                <w:rFonts w:hint="eastAsia"/>
                <w:color w:val="000000" w:themeColor="text1"/>
                <w14:textFill>
                  <w14:solidFill>
                    <w14:schemeClr w14:val="tx1"/>
                  </w14:solidFill>
                </w14:textFill>
              </w:rPr>
              <w:t>委托表决权、受托表决权、放弃表决权</w:t>
            </w:r>
            <w:r>
              <w:rPr>
                <w:color w:val="000000" w:themeColor="text1"/>
                <w14:textFill>
                  <w14:solidFill>
                    <w14:schemeClr w14:val="tx1"/>
                  </w14:solidFill>
                </w14:textFill>
              </w:rPr>
              <w:t>的说明</w:t>
            </w:r>
          </w:p>
        </w:tc>
        <w:tc>
          <w:tcPr>
            <w:tcW w:w="6072" w:type="dxa"/>
            <w:gridSpan w:val="7"/>
            <w:vAlign w:val="center"/>
          </w:tcPr>
          <w:p w14:paraId="22FA606C">
            <w:pPr>
              <w:pStyle w:val="113"/>
              <w:rPr>
                <w:sz w:val="21"/>
                <w:szCs w:val="21"/>
              </w:rPr>
            </w:pPr>
            <w:r>
              <w:rPr>
                <w:rFonts w:hint="eastAsia"/>
                <w:sz w:val="21"/>
                <w:szCs w:val="21"/>
              </w:rPr>
              <w:t>不涉及</w:t>
            </w:r>
          </w:p>
        </w:tc>
      </w:tr>
      <w:tr w14:paraId="488E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08" w:type="dxa"/>
            <w:gridSpan w:val="2"/>
            <w:vAlign w:val="center"/>
          </w:tcPr>
          <w:p w14:paraId="1FD3355A">
            <w:pPr>
              <w:rPr>
                <w:color w:val="000000" w:themeColor="text1"/>
                <w14:textFill>
                  <w14:solidFill>
                    <w14:schemeClr w14:val="tx1"/>
                  </w14:solidFill>
                </w14:textFill>
              </w:rPr>
            </w:pPr>
            <w:r>
              <w:rPr>
                <w:color w:val="000000" w:themeColor="text1"/>
                <w14:textFill>
                  <w14:solidFill>
                    <w14:schemeClr w14:val="tx1"/>
                  </w14:solidFill>
                </w14:textFill>
              </w:rPr>
              <w:t>上述股东关联关系或一致行动的说明</w:t>
            </w:r>
          </w:p>
        </w:tc>
        <w:tc>
          <w:tcPr>
            <w:tcW w:w="6072" w:type="dxa"/>
            <w:gridSpan w:val="7"/>
            <w:vAlign w:val="center"/>
          </w:tcPr>
          <w:p w14:paraId="71A648AD">
            <w:pPr>
              <w:pStyle w:val="113"/>
              <w:rPr>
                <w:sz w:val="21"/>
                <w:szCs w:val="21"/>
              </w:rPr>
            </w:pPr>
            <w:r>
              <w:rPr>
                <w:sz w:val="21"/>
                <w:szCs w:val="21"/>
              </w:rPr>
              <w:t>新兴铸管股份有限公司系新兴际华集团有限公司的控股子公司。未知其余股东之间是否存在关联关系。</w:t>
            </w:r>
          </w:p>
        </w:tc>
      </w:tr>
      <w:tr w14:paraId="722F4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08" w:type="dxa"/>
            <w:gridSpan w:val="2"/>
            <w:vAlign w:val="center"/>
          </w:tcPr>
          <w:p w14:paraId="1E2E7A87">
            <w:pPr>
              <w:rPr>
                <w:color w:val="000000" w:themeColor="text1"/>
                <w14:textFill>
                  <w14:solidFill>
                    <w14:schemeClr w14:val="tx1"/>
                  </w14:solidFill>
                </w14:textFill>
              </w:rPr>
            </w:pPr>
            <w:r>
              <w:rPr>
                <w:rFonts w:hint="eastAsia"/>
                <w:color w:val="000000" w:themeColor="text1"/>
                <w14:textFill>
                  <w14:solidFill>
                    <w14:schemeClr w14:val="tx1"/>
                  </w14:solidFill>
                </w14:textFill>
              </w:rPr>
              <w:t>表决权恢复的优先股股东及持股数量的说明</w:t>
            </w:r>
          </w:p>
        </w:tc>
        <w:tc>
          <w:tcPr>
            <w:tcW w:w="6072" w:type="dxa"/>
            <w:gridSpan w:val="7"/>
            <w:vAlign w:val="center"/>
          </w:tcPr>
          <w:p w14:paraId="212F6CA1">
            <w:pPr>
              <w:pStyle w:val="113"/>
              <w:rPr>
                <w:sz w:val="21"/>
                <w:szCs w:val="21"/>
              </w:rPr>
            </w:pPr>
            <w:r>
              <w:rPr>
                <w:rFonts w:hint="eastAsia"/>
                <w:sz w:val="21"/>
                <w:szCs w:val="21"/>
              </w:rPr>
              <w:t>不涉及</w:t>
            </w:r>
          </w:p>
        </w:tc>
      </w:tr>
    </w:tbl>
    <w:p w14:paraId="03F8C8FF">
      <w:pPr>
        <w:rPr>
          <w:color w:val="000000" w:themeColor="text1"/>
          <w14:textFill>
            <w14:solidFill>
              <w14:schemeClr w14:val="tx1"/>
            </w14:solidFill>
          </w14:textFill>
        </w:rPr>
      </w:pPr>
    </w:p>
    <w:p w14:paraId="6D3BA7F4">
      <w:pPr>
        <w:rPr>
          <w:color w:val="000000" w:themeColor="text1"/>
          <w14:textFill>
            <w14:solidFill>
              <w14:schemeClr w14:val="tx1"/>
            </w14:solidFill>
          </w14:textFill>
        </w:rPr>
      </w:pPr>
      <w:bookmarkStart w:id="99" w:name="_Hlk155094173"/>
      <w:bookmarkStart w:id="100" w:name="_Hlk161321917"/>
      <w:bookmarkStart w:id="101" w:name="_Hlk167799956"/>
      <w:bookmarkStart w:id="102" w:name="_Hlk161154245"/>
      <w:bookmarkStart w:id="103" w:name="_Hlk169006123"/>
      <w:r>
        <w:rPr>
          <w:rFonts w:hint="eastAsia"/>
          <w:color w:val="000000" w:themeColor="text1"/>
          <w14:textFill>
            <w14:solidFill>
              <w14:schemeClr w14:val="tx1"/>
            </w14:solidFill>
          </w14:textFill>
        </w:rPr>
        <w:t>持股</w:t>
      </w:r>
      <w:r>
        <w:rPr>
          <w:color w:val="000000" w:themeColor="text1"/>
          <w14:textFill>
            <w14:solidFill>
              <w14:schemeClr w14:val="tx1"/>
            </w14:solidFill>
          </w14:textFill>
        </w:rPr>
        <w:t>5%以上股东、前</w:t>
      </w:r>
      <w:r>
        <w:rPr>
          <w:rFonts w:hint="eastAsia"/>
          <w:color w:val="000000" w:themeColor="text1"/>
          <w14:textFill>
            <w14:solidFill>
              <w14:schemeClr w14:val="tx1"/>
            </w14:solidFill>
          </w14:textFill>
        </w:rPr>
        <w:t>十</w:t>
      </w:r>
      <w:r>
        <w:rPr>
          <w:color w:val="000000" w:themeColor="text1"/>
          <w14:textFill>
            <w14:solidFill>
              <w14:schemeClr w14:val="tx1"/>
            </w14:solidFill>
          </w14:textFill>
        </w:rPr>
        <w:t>名股东及前</w:t>
      </w:r>
      <w:r>
        <w:rPr>
          <w:rFonts w:hint="eastAsia"/>
          <w:color w:val="000000" w:themeColor="text1"/>
          <w14:textFill>
            <w14:solidFill>
              <w14:schemeClr w14:val="tx1"/>
            </w14:solidFill>
          </w14:textFill>
        </w:rPr>
        <w:t>十</w:t>
      </w:r>
      <w:r>
        <w:rPr>
          <w:color w:val="000000" w:themeColor="text1"/>
          <w14:textFill>
            <w14:solidFill>
              <w14:schemeClr w14:val="tx1"/>
            </w14:solidFill>
          </w14:textFill>
        </w:rPr>
        <w:t>名无限售流通股股东参与转融通业务出借股份情况</w:t>
      </w:r>
    </w:p>
    <w:sdt>
      <w:sdtPr>
        <w:rPr>
          <w:bCs w:val="0"/>
          <w:color w:val="000000" w:themeColor="text1"/>
          <w14:textFill>
            <w14:solidFill>
              <w14:schemeClr w14:val="tx1"/>
            </w14:solidFill>
          </w14:textFill>
        </w:rPr>
        <w:alias w:val="是否适用：前十名股东参与转融通业务出借股份情况[双击切换]"/>
        <w:tag w:val="_GBC_781f403c98a6480ab0058d21456ae70f"/>
        <w:id w:val="147451343"/>
        <w:placeholder>
          <w:docPart w:val="GBC22222222222222222222222222222"/>
        </w:placeholder>
      </w:sdtPr>
      <w:sdtEndPr>
        <w:rPr>
          <w:bCs w:val="0"/>
          <w:color w:val="000000" w:themeColor="text1"/>
          <w14:textFill>
            <w14:solidFill>
              <w14:schemeClr w14:val="tx1"/>
            </w14:solidFill>
          </w14:textFill>
        </w:rPr>
      </w:sdtEndPr>
      <w:sdtContent>
        <w:p w14:paraId="4DBFB40E">
          <w:pPr>
            <w:rPr>
              <w:bCs w:val="0"/>
              <w:color w:val="000000" w:themeColor="text1"/>
              <w14:textFill>
                <w14:solidFill>
                  <w14:schemeClr w14:val="tx1"/>
                </w14:solidFill>
              </w14:textFill>
            </w:rPr>
          </w:pPr>
          <w:r>
            <w:rPr>
              <w:rFonts w:ascii="宋体" w:hAnsi="宋体"/>
              <w:bCs w:val="0"/>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bCs w:val="0"/>
              <w:color w:val="000000" w:themeColor="text1"/>
              <w14:textFill>
                <w14:solidFill>
                  <w14:schemeClr w14:val="tx1"/>
                </w14:solidFill>
              </w14:textFill>
            </w:rPr>
            <w:fldChar w:fldCharType="end"/>
          </w:r>
          <w:r>
            <w:rPr>
              <w:rFonts w:ascii="宋体" w:hAnsi="宋体"/>
              <w:bCs w:val="0"/>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bCs w:val="0"/>
              <w:color w:val="000000" w:themeColor="text1"/>
              <w14:textFill>
                <w14:solidFill>
                  <w14:schemeClr w14:val="tx1"/>
                </w14:solidFill>
              </w14:textFill>
            </w:rPr>
            <w:fldChar w:fldCharType="end"/>
          </w:r>
        </w:p>
      </w:sdtContent>
    </w:sdt>
    <w:p w14:paraId="240D0267">
      <w:pPr>
        <w:rPr>
          <w:color w:val="000000" w:themeColor="text1"/>
          <w14:textFill>
            <w14:solidFill>
              <w14:schemeClr w14:val="tx1"/>
            </w14:solidFill>
          </w14:textFill>
        </w:rPr>
      </w:pPr>
    </w:p>
    <w:bookmarkEnd w:id="99"/>
    <w:p w14:paraId="05A895C0">
      <w:pPr>
        <w:rPr>
          <w:color w:val="000000" w:themeColor="text1"/>
          <w14:textFill>
            <w14:solidFill>
              <w14:schemeClr w14:val="tx1"/>
            </w14:solidFill>
          </w14:textFill>
        </w:rPr>
      </w:pPr>
      <w:bookmarkStart w:id="104" w:name="_Hlk155094189"/>
      <w:r>
        <w:rPr>
          <w:rFonts w:hint="eastAsia"/>
          <w:color w:val="000000" w:themeColor="text1"/>
          <w14:textFill>
            <w14:solidFill>
              <w14:schemeClr w14:val="tx1"/>
            </w14:solidFill>
          </w14:textFill>
        </w:rPr>
        <w:t>前十</w:t>
      </w:r>
      <w:r>
        <w:rPr>
          <w:color w:val="000000" w:themeColor="text1"/>
          <w14:textFill>
            <w14:solidFill>
              <w14:schemeClr w14:val="tx1"/>
            </w14:solidFill>
          </w14:textFill>
        </w:rPr>
        <w:t>名股东及前</w:t>
      </w:r>
      <w:r>
        <w:rPr>
          <w:rFonts w:hint="eastAsia"/>
          <w:color w:val="000000" w:themeColor="text1"/>
          <w14:textFill>
            <w14:solidFill>
              <w14:schemeClr w14:val="tx1"/>
            </w14:solidFill>
          </w14:textFill>
        </w:rPr>
        <w:t>十</w:t>
      </w:r>
      <w:r>
        <w:rPr>
          <w:color w:val="000000" w:themeColor="text1"/>
          <w14:textFill>
            <w14:solidFill>
              <w14:schemeClr w14:val="tx1"/>
            </w14:solidFill>
          </w14:textFill>
        </w:rPr>
        <w:t>名无限售流通股股东因转融通出借/归还原因导致较上期发生变化</w:t>
      </w:r>
    </w:p>
    <w:sdt>
      <w:sdtPr>
        <w:rPr>
          <w:rFonts w:hint="eastAsia"/>
          <w:color w:val="000000" w:themeColor="text1"/>
          <w14:textFill>
            <w14:solidFill>
              <w14:schemeClr w14:val="tx1"/>
            </w14:solidFill>
          </w14:textFill>
        </w:rPr>
        <w:alias w:val="是否适用：前十名股东较上期发生变化[双击切换]"/>
        <w:tag w:val="_GBC_892ba31f016544c894d3e29851e8125d"/>
        <w:id w:val="147451650"/>
        <w:placeholder>
          <w:docPart w:val="GBC22222222222222222222222222222"/>
        </w:placeholder>
      </w:sdtPr>
      <w:sdtEndPr>
        <w:rPr>
          <w:rFonts w:hint="eastAsia"/>
          <w:color w:val="000000" w:themeColor="text1"/>
          <w14:textFill>
            <w14:solidFill>
              <w14:schemeClr w14:val="tx1"/>
            </w14:solidFill>
          </w14:textFill>
        </w:rPr>
      </w:sdtEndPr>
      <w:sdtContent>
        <w:p w14:paraId="7CDFF3F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A12F6B3">
      <w:pPr>
        <w:rPr>
          <w:color w:val="000000" w:themeColor="text1"/>
          <w14:textFill>
            <w14:solidFill>
              <w14:schemeClr w14:val="tx1"/>
            </w14:solidFill>
          </w14:textFill>
        </w:rPr>
      </w:pPr>
    </w:p>
    <w:bookmarkEnd w:id="100"/>
    <w:bookmarkEnd w:id="101"/>
    <w:bookmarkEnd w:id="102"/>
    <w:bookmarkEnd w:id="103"/>
    <w:bookmarkEnd w:id="104"/>
    <w:p w14:paraId="40AC8746">
      <w:pPr>
        <w:rPr>
          <w:color w:val="000000" w:themeColor="text1"/>
          <w14:textFill>
            <w14:solidFill>
              <w14:schemeClr w14:val="tx1"/>
            </w14:solidFill>
          </w14:textFill>
        </w:rPr>
      </w:pPr>
      <w:r>
        <w:rPr>
          <w:color w:val="000000" w:themeColor="text1"/>
          <w14:textFill>
            <w14:solidFill>
              <w14:schemeClr w14:val="tx1"/>
            </w14:solidFill>
          </w14:textFill>
        </w:rPr>
        <w:t>前十名有限售条件股东持股数量及限售条件</w:t>
      </w:r>
    </w:p>
    <w:sdt>
      <w:sdtPr>
        <w:rPr>
          <w:bCs w:val="0"/>
          <w:color w:val="000000" w:themeColor="text1"/>
          <w14:textFill>
            <w14:solidFill>
              <w14:schemeClr w14:val="tx1"/>
            </w14:solidFill>
          </w14:textFill>
        </w:rPr>
        <w:alias w:val="是否适用：前十名有限售条件股东持股数量及限售条件[双击切换]"/>
        <w:tag w:val="_GBC_681c25d581914cb19d4b007c00511b6a"/>
        <w:id w:val="147461407"/>
        <w:placeholder>
          <w:docPart w:val="GBC22222222222222222222222222222"/>
        </w:placeholder>
      </w:sdtPr>
      <w:sdtEndPr>
        <w:rPr>
          <w:bCs w:val="0"/>
          <w:color w:val="000000" w:themeColor="text1"/>
          <w14:textFill>
            <w14:solidFill>
              <w14:schemeClr w14:val="tx1"/>
            </w14:solidFill>
          </w14:textFill>
        </w:rPr>
      </w:sdtEndPr>
      <w:sdtContent>
        <w:p w14:paraId="5B93D62B">
          <w:pPr>
            <w:rPr>
              <w:bCs w:val="0"/>
              <w:color w:val="000000" w:themeColor="text1"/>
              <w14:textFill>
                <w14:solidFill>
                  <w14:schemeClr w14:val="tx1"/>
                </w14:solidFill>
              </w14:textFill>
            </w:rPr>
          </w:pPr>
          <w:r>
            <w:rPr>
              <w:rFonts w:ascii="宋体" w:hAnsi="宋体"/>
              <w:bCs w:val="0"/>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bCs w:val="0"/>
              <w:color w:val="000000" w:themeColor="text1"/>
              <w14:textFill>
                <w14:solidFill>
                  <w14:schemeClr w14:val="tx1"/>
                </w14:solidFill>
              </w14:textFill>
            </w:rPr>
            <w:fldChar w:fldCharType="end"/>
          </w:r>
          <w:r>
            <w:rPr>
              <w:rFonts w:ascii="宋体" w:hAnsi="宋体"/>
              <w:bCs w:val="0"/>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bCs w:val="0"/>
              <w:color w:val="000000" w:themeColor="text1"/>
              <w14:textFill>
                <w14:solidFill>
                  <w14:schemeClr w14:val="tx1"/>
                </w14:solidFill>
              </w14:textFill>
            </w:rPr>
            <w:fldChar w:fldCharType="end"/>
          </w:r>
        </w:p>
      </w:sdtContent>
    </w:sdt>
    <w:p w14:paraId="7EA2A4BD">
      <w:pPr>
        <w:rPr>
          <w:color w:val="000000" w:themeColor="text1"/>
          <w14:textFill>
            <w14:solidFill>
              <w14:schemeClr w14:val="tx1"/>
            </w14:solidFill>
          </w14:textFill>
        </w:rPr>
      </w:pPr>
    </w:p>
    <w:p w14:paraId="4F833CAE">
      <w:pPr>
        <w:pStyle w:val="75"/>
        <w:numPr>
          <w:ilvl w:val="1"/>
          <w:numId w:val="33"/>
        </w:numPr>
        <w:rPr>
          <w:rFonts w:ascii="宋体" w:hAnsi="宋体"/>
          <w:color w:val="000000" w:themeColor="text1"/>
          <w14:textFill>
            <w14:solidFill>
              <w14:schemeClr w14:val="tx1"/>
            </w14:solidFill>
          </w14:textFill>
        </w:rPr>
      </w:pPr>
      <w:bookmarkStart w:id="105" w:name="_Hlk167800260"/>
      <w:bookmarkEnd w:id="105"/>
      <w:bookmarkStart w:id="106" w:name="_Toc342566000"/>
      <w:bookmarkStart w:id="107" w:name="_Toc342059487"/>
      <w:r>
        <w:rPr>
          <w:rFonts w:ascii="宋体" w:hAnsi="宋体"/>
          <w:color w:val="000000" w:themeColor="text1"/>
          <w14:textFill>
            <w14:solidFill>
              <w14:schemeClr w14:val="tx1"/>
            </w14:solidFill>
          </w14:textFill>
        </w:rPr>
        <w:t>战略投资者或一般法人因配售新股成为前十名股东</w:t>
      </w:r>
    </w:p>
    <w:sdt>
      <w:sdtPr>
        <w:rPr>
          <w:color w:val="000000" w:themeColor="text1"/>
          <w14:textFill>
            <w14:solidFill>
              <w14:schemeClr w14:val="tx1"/>
            </w14:solidFill>
          </w14:textFill>
        </w:rPr>
        <w:alias w:val="是否适用：战略投资者或一般法人因配售新股成为前10名股东[双击切换]"/>
        <w:tag w:val="_GBC_fe7bdc72bd78490fb48d0f3eaca6248e"/>
        <w:id w:val="147476792"/>
        <w:placeholder>
          <w:docPart w:val="GBC22222222222222222222222222222"/>
        </w:placeholder>
      </w:sdtPr>
      <w:sdtEndPr>
        <w:rPr>
          <w:color w:val="000000" w:themeColor="text1"/>
          <w14:textFill>
            <w14:solidFill>
              <w14:schemeClr w14:val="tx1"/>
            </w14:solidFill>
          </w14:textFill>
        </w:rPr>
      </w:sdtEndPr>
      <w:sdtContent>
        <w:p w14:paraId="6DFEAB1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BC93F57">
      <w:pPr>
        <w:rPr>
          <w:color w:val="000000" w:themeColor="text1"/>
          <w14:textFill>
            <w14:solidFill>
              <w14:schemeClr w14:val="tx1"/>
            </w14:solidFill>
          </w14:textFill>
        </w:rPr>
      </w:pPr>
    </w:p>
    <w:p w14:paraId="735F556F">
      <w:pPr>
        <w:pStyle w:val="74"/>
        <w:numPr>
          <w:ilvl w:val="0"/>
          <w:numId w:val="30"/>
        </w:numPr>
        <w:spacing w:line="360" w:lineRule="auto"/>
        <w:ind w:left="422" w:hanging="422"/>
        <w:rPr>
          <w:rFonts w:ascii="宋体" w:hAnsi="宋体"/>
          <w:color w:val="000000" w:themeColor="text1"/>
          <w14:textFill>
            <w14:solidFill>
              <w14:schemeClr w14:val="tx1"/>
            </w14:solidFill>
          </w14:textFill>
        </w:rPr>
      </w:pPr>
      <w:bookmarkStart w:id="108" w:name="_Toc342566004"/>
      <w:bookmarkStart w:id="109" w:name="_Toc342057944"/>
      <w:r>
        <w:rPr>
          <w:rFonts w:ascii="宋体" w:hAnsi="宋体"/>
          <w:color w:val="000000" w:themeColor="text1"/>
          <w14:textFill>
            <w14:solidFill>
              <w14:schemeClr w14:val="tx1"/>
            </w14:solidFill>
          </w14:textFill>
        </w:rPr>
        <w:t>董事</w:t>
      </w:r>
      <w:sdt>
        <w:sdtPr>
          <w:tag w:val="_PLD_9d2c0b803c8340e89586e10920d012bd"/>
          <w:id w:val="147476207"/>
        </w:sdtPr>
        <w:sdtContent>
          <w:r>
            <w:rPr>
              <w:rFonts w:ascii="宋体" w:hAnsi="宋体"/>
              <w:color w:val="000000" w:themeColor="text1"/>
              <w14:textFill>
                <w14:solidFill>
                  <w14:schemeClr w14:val="tx1"/>
                </w14:solidFill>
              </w14:textFill>
            </w:rPr>
            <w:t>、监事</w:t>
          </w:r>
        </w:sdtContent>
      </w:sdt>
      <w:r>
        <w:rPr>
          <w:rFonts w:ascii="宋体" w:hAnsi="宋体"/>
          <w:color w:val="000000" w:themeColor="text1"/>
          <w14:textFill>
            <w14:solidFill>
              <w14:schemeClr w14:val="tx1"/>
            </w14:solidFill>
          </w14:textFill>
        </w:rPr>
        <w:t>和高级管理人员情况</w:t>
      </w:r>
    </w:p>
    <w:p w14:paraId="6A87DE11">
      <w:pPr>
        <w:pStyle w:val="4"/>
        <w:numPr>
          <w:ilvl w:val="2"/>
          <w:numId w:val="34"/>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现任及报告期内离任董事</w:t>
      </w:r>
      <w:sdt>
        <w:sdtPr>
          <w:tag w:val="_PLD_1ff8c390f3134ec1834631fe7f4c5106"/>
          <w:id w:val="147480181"/>
        </w:sdtPr>
        <w:sdtContent>
          <w:r>
            <w:rPr>
              <w:rFonts w:ascii="宋体" w:hAnsi="宋体"/>
              <w:color w:val="000000" w:themeColor="text1"/>
              <w14:textFill>
                <w14:solidFill>
                  <w14:schemeClr w14:val="tx1"/>
                </w14:solidFill>
              </w14:textFill>
            </w:rPr>
            <w:t>、监事</w:t>
          </w:r>
        </w:sdtContent>
      </w:sdt>
      <w:r>
        <w:rPr>
          <w:rFonts w:ascii="宋体" w:hAnsi="宋体"/>
          <w:color w:val="000000" w:themeColor="text1"/>
          <w14:textFill>
            <w14:solidFill>
              <w14:schemeClr w14:val="tx1"/>
            </w14:solidFill>
          </w14:textFill>
        </w:rPr>
        <w:t>和高级管理人员持股变动情况</w:t>
      </w:r>
    </w:p>
    <w:sdt>
      <w:sdtPr>
        <w:rPr>
          <w:color w:val="000000" w:themeColor="text1"/>
          <w14:textFill>
            <w14:solidFill>
              <w14:schemeClr w14:val="tx1"/>
            </w14:solidFill>
          </w14:textFill>
        </w:rPr>
        <w:alias w:val="是否适用：董事、监事和高级管理人员持股变动[双击切换]"/>
        <w:tag w:val="_GBC_e4aa9f89c24b4cbb80c479762adcf568"/>
        <w:id w:val="147452720"/>
        <w:placeholder>
          <w:docPart w:val="GBC22222222222222222222222222222"/>
        </w:placeholder>
      </w:sdtPr>
      <w:sdtEndPr>
        <w:rPr>
          <w:color w:val="000000" w:themeColor="text1"/>
          <w14:textFill>
            <w14:solidFill>
              <w14:schemeClr w14:val="tx1"/>
            </w14:solidFill>
          </w14:textFill>
        </w:rPr>
      </w:sdtEndPr>
      <w:sdtContent>
        <w:p w14:paraId="37A90DC8">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43FCF8D">
      <w:pPr>
        <w:rPr>
          <w:color w:val="000000" w:themeColor="text1"/>
          <w14:textFill>
            <w14:solidFill>
              <w14:schemeClr w14:val="tx1"/>
            </w14:solidFill>
          </w14:textFill>
        </w:rPr>
      </w:pPr>
    </w:p>
    <w:p w14:paraId="1161ECD2">
      <w:pPr>
        <w:rPr>
          <w:color w:val="000000" w:themeColor="text1"/>
          <w14:textFill>
            <w14:solidFill>
              <w14:schemeClr w14:val="tx1"/>
            </w14:solidFill>
          </w14:textFill>
        </w:rPr>
      </w:pPr>
      <w:r>
        <w:rPr>
          <w:color w:val="000000" w:themeColor="text1"/>
          <w14:textFill>
            <w14:solidFill>
              <w14:schemeClr w14:val="tx1"/>
            </w14:solidFill>
          </w14:textFill>
        </w:rPr>
        <w:t>其它情况说明</w:t>
      </w:r>
    </w:p>
    <w:sdt>
      <w:sdtPr>
        <w:rPr>
          <w:color w:val="000000" w:themeColor="text1"/>
          <w14:textFill>
            <w14:solidFill>
              <w14:schemeClr w14:val="tx1"/>
            </w14:solidFill>
          </w14:textFill>
        </w:rPr>
        <w:alias w:val="是否适用：董事、监事 和高级管理人员持股变动及报酬情况其他情况说明[双击切换]"/>
        <w:tag w:val="_GBC_6604d619d6f94a81b12f8155637bb211"/>
        <w:id w:val="147452861"/>
        <w:placeholder>
          <w:docPart w:val="GBC22222222222222222222222222222"/>
        </w:placeholder>
      </w:sdtPr>
      <w:sdtEndPr>
        <w:rPr>
          <w:color w:val="000000" w:themeColor="text1"/>
          <w14:textFill>
            <w14:solidFill>
              <w14:schemeClr w14:val="tx1"/>
            </w14:solidFill>
          </w14:textFill>
        </w:rPr>
      </w:sdtEndPr>
      <w:sdtContent>
        <w:p w14:paraId="5577CDA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6DDB12A">
      <w:pPr>
        <w:rPr>
          <w:color w:val="000000" w:themeColor="text1"/>
          <w14:textFill>
            <w14:solidFill>
              <w14:schemeClr w14:val="tx1"/>
            </w14:solidFill>
          </w14:textFill>
        </w:rPr>
      </w:pPr>
    </w:p>
    <w:bookmarkEnd w:id="108"/>
    <w:bookmarkEnd w:id="109"/>
    <w:p w14:paraId="0D229CEF">
      <w:pPr>
        <w:pStyle w:val="4"/>
        <w:numPr>
          <w:ilvl w:val="2"/>
          <w:numId w:val="34"/>
        </w:numPr>
        <w:rPr>
          <w:rFonts w:ascii="宋体" w:hAnsi="宋体"/>
          <w:color w:val="000000" w:themeColor="text1"/>
          <w14:textFill>
            <w14:solidFill>
              <w14:schemeClr w14:val="tx1"/>
            </w14:solidFill>
          </w14:textFill>
        </w:rPr>
      </w:pPr>
      <w:bookmarkStart w:id="110" w:name="_Toc342057945"/>
      <w:bookmarkStart w:id="111" w:name="_Toc342566005"/>
      <w:r>
        <w:rPr>
          <w:rFonts w:ascii="宋体" w:hAnsi="宋体"/>
          <w:color w:val="000000" w:themeColor="text1"/>
          <w14:textFill>
            <w14:solidFill>
              <w14:schemeClr w14:val="tx1"/>
            </w14:solidFill>
          </w14:textFill>
        </w:rPr>
        <w:t>董事</w:t>
      </w:r>
      <w:sdt>
        <w:sdtPr>
          <w:tag w:val="_PLD_d53045f6bb004480a3f318a5ce5ef801"/>
          <w:id w:val="147467110"/>
        </w:sdtPr>
        <w:sdtContent>
          <w:r>
            <w:rPr>
              <w:rFonts w:ascii="宋体" w:hAnsi="宋体"/>
              <w:color w:val="000000" w:themeColor="text1"/>
              <w14:textFill>
                <w14:solidFill>
                  <w14:schemeClr w14:val="tx1"/>
                </w14:solidFill>
              </w14:textFill>
            </w:rPr>
            <w:t>、监事</w:t>
          </w:r>
        </w:sdtContent>
      </w:sdt>
      <w:r>
        <w:rPr>
          <w:rFonts w:ascii="宋体" w:hAnsi="宋体"/>
          <w:color w:val="000000" w:themeColor="text1"/>
          <w14:textFill>
            <w14:solidFill>
              <w14:schemeClr w14:val="tx1"/>
            </w14:solidFill>
          </w14:textFill>
        </w:rPr>
        <w:t>、高级管理人员报告期内被授予的股权激励情况</w:t>
      </w:r>
      <w:bookmarkEnd w:id="110"/>
      <w:bookmarkEnd w:id="111"/>
    </w:p>
    <w:p w14:paraId="6D392853">
      <w:pPr>
        <w:kinsoku w:val="0"/>
        <w:overflowPunct w:val="0"/>
        <w:autoSpaceDE w:val="0"/>
        <w:autoSpaceDN w:val="0"/>
        <w:adjustRightInd w:val="0"/>
        <w:snapToGrid w:val="0"/>
      </w:pPr>
      <w:sdt>
        <w:sdtPr>
          <w:rPr>
            <w:rFonts w:hint="eastAsia"/>
            <w:color w:val="000000" w:themeColor="text1"/>
            <w14:textFill>
              <w14:solidFill>
                <w14:schemeClr w14:val="tx1"/>
              </w14:solidFill>
            </w14:textFill>
          </w:rPr>
          <w:alias w:val="是否适用：董事、监事、高级管理人员报告期内被授予的股权激励情况[双击切换]"/>
          <w:tag w:val="_GBC_3c204ebee7cf4fc2a7c4a3ad63ffe1c4"/>
          <w:id w:val="147470284"/>
          <w:placeholder>
            <w:docPart w:val="GBC22222222222222222222222222222"/>
          </w:placeholder>
        </w:sdtPr>
        <w:sdtEndPr>
          <w:rPr>
            <w:rFonts w:hint="eastAsia"/>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0CCFA324">
      <w:pPr>
        <w:rPr>
          <w:color w:val="000000" w:themeColor="text1"/>
          <w14:textFill>
            <w14:solidFill>
              <w14:schemeClr w14:val="tx1"/>
            </w14:solidFill>
          </w14:textFill>
        </w:rPr>
      </w:pPr>
    </w:p>
    <w:p w14:paraId="7F1ECA3E">
      <w:pPr>
        <w:pStyle w:val="4"/>
        <w:numPr>
          <w:ilvl w:val="2"/>
          <w:numId w:val="34"/>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其他董事、监事、高级管理人员情况说明[双击切换]"/>
        <w:tag w:val="_GBC_8e7eb434c4c34c1b86cdb9f39b70c323"/>
        <w:id w:val="147462792"/>
        <w:placeholder>
          <w:docPart w:val="GBC22222222222222222222222222222"/>
        </w:placeholder>
      </w:sdtPr>
      <w:sdtEndPr>
        <w:rPr>
          <w:color w:val="000000" w:themeColor="text1"/>
          <w14:textFill>
            <w14:solidFill>
              <w14:schemeClr w14:val="tx1"/>
            </w14:solidFill>
          </w14:textFill>
        </w:rPr>
      </w:sdtEndPr>
      <w:sdtContent>
        <w:p w14:paraId="7291CB9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15DB75A">
      <w:pPr>
        <w:rPr>
          <w:color w:val="000000" w:themeColor="text1"/>
          <w14:textFill>
            <w14:solidFill>
              <w14:schemeClr w14:val="tx1"/>
            </w14:solidFill>
          </w14:textFill>
        </w:rPr>
      </w:pPr>
    </w:p>
    <w:bookmarkEnd w:id="106"/>
    <w:bookmarkEnd w:id="107"/>
    <w:p w14:paraId="55E718B6">
      <w:pPr>
        <w:pStyle w:val="74"/>
        <w:numPr>
          <w:ilvl w:val="0"/>
          <w:numId w:val="30"/>
        </w:numPr>
        <w:spacing w:line="360" w:lineRule="auto"/>
        <w:ind w:left="422" w:hanging="422"/>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控股股东或实际控制人变更情况</w:t>
      </w:r>
    </w:p>
    <w:sdt>
      <w:sdtPr>
        <w:rPr>
          <w:color w:val="000000" w:themeColor="text1"/>
          <w14:textFill>
            <w14:solidFill>
              <w14:schemeClr w14:val="tx1"/>
            </w14:solidFill>
          </w14:textFill>
        </w:rPr>
        <w:alias w:val="是否适用：控股股东及实际控制人变更情况[双击切换]"/>
        <w:tag w:val="_GBC_84ff369a3f714dbbbec5a13460906f4b"/>
        <w:id w:val="147469408"/>
        <w:placeholder>
          <w:docPart w:val="GBC22222222222222222222222222222"/>
        </w:placeholder>
      </w:sdtPr>
      <w:sdtEndPr>
        <w:rPr>
          <w:color w:val="000000" w:themeColor="text1"/>
          <w14:textFill>
            <w14:solidFill>
              <w14:schemeClr w14:val="tx1"/>
            </w14:solidFill>
          </w14:textFill>
        </w:rPr>
      </w:sdtEndPr>
      <w:sdtContent>
        <w:p w14:paraId="2D6AEC1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323F057">
      <w:pPr>
        <w:rPr>
          <w:color w:val="000000" w:themeColor="text1"/>
          <w14:textFill>
            <w14:solidFill>
              <w14:schemeClr w14:val="tx1"/>
            </w14:solidFill>
          </w14:textFill>
        </w:rPr>
      </w:pPr>
    </w:p>
    <w:p w14:paraId="5188B8B5">
      <w:pPr>
        <w:pStyle w:val="74"/>
        <w:numPr>
          <w:ilvl w:val="0"/>
          <w:numId w:val="30"/>
        </w:numPr>
        <w:spacing w:line="360" w:lineRule="auto"/>
        <w:ind w:left="422" w:hanging="422"/>
        <w:rPr>
          <w:rFonts w:ascii="宋体" w:hAnsi="宋体"/>
          <w:color w:val="000000" w:themeColor="text1"/>
          <w14:textFill>
            <w14:solidFill>
              <w14:schemeClr w14:val="tx1"/>
            </w14:solidFill>
          </w14:textFill>
        </w:rPr>
      </w:pPr>
      <w:bookmarkStart w:id="112" w:name="_Toc392233017"/>
      <w:bookmarkStart w:id="113" w:name="_Toc76114279"/>
      <w:r>
        <w:rPr>
          <w:rFonts w:ascii="宋体" w:hAnsi="宋体"/>
          <w:color w:val="000000" w:themeColor="text1"/>
          <w14:textFill>
            <w14:solidFill>
              <w14:schemeClr w14:val="tx1"/>
            </w14:solidFill>
          </w14:textFill>
        </w:rPr>
        <w:t>优先股相关情况</w:t>
      </w:r>
    </w:p>
    <w:bookmarkEnd w:id="112"/>
    <w:bookmarkEnd w:id="113"/>
    <w:sdt>
      <w:sdtPr>
        <w:rPr>
          <w:color w:val="000000" w:themeColor="text1"/>
          <w14:textFill>
            <w14:solidFill>
              <w14:schemeClr w14:val="tx1"/>
            </w14:solidFill>
          </w14:textFill>
        </w:rPr>
        <w:alias w:val="是否适用：优先股相关情况[双击切换]"/>
        <w:tag w:val="_GBC_2113adbee8464e1c828b3d6d35c60abf"/>
        <w:id w:val="147477316"/>
        <w:placeholder>
          <w:docPart w:val="GBC22222222222222222222222222222"/>
        </w:placeholder>
      </w:sdtPr>
      <w:sdtEndPr>
        <w:rPr>
          <w:color w:val="000000" w:themeColor="text1"/>
          <w14:textFill>
            <w14:solidFill>
              <w14:schemeClr w14:val="tx1"/>
            </w14:solidFill>
          </w14:textFill>
        </w:rPr>
      </w:sdtEndPr>
      <w:sdtContent>
        <w:p w14:paraId="7AA123A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8E5813B">
      <w:pPr>
        <w:rPr>
          <w:color w:val="000000" w:themeColor="text1"/>
          <w14:textFill>
            <w14:solidFill>
              <w14:schemeClr w14:val="tx1"/>
            </w14:solidFill>
          </w14:textFill>
        </w:rPr>
      </w:pPr>
    </w:p>
    <w:p w14:paraId="0F1993FB">
      <w:pPr>
        <w:rPr>
          <w:color w:val="000000" w:themeColor="text1"/>
          <w14:textFill>
            <w14:solidFill>
              <w14:schemeClr w14:val="tx1"/>
            </w14:solidFill>
          </w14:textFill>
        </w:rPr>
      </w:pPr>
    </w:p>
    <w:p w14:paraId="15ED4A95">
      <w:pPr>
        <w:rPr>
          <w:color w:val="000000" w:themeColor="text1"/>
          <w14:textFill>
            <w14:solidFill>
              <w14:schemeClr w14:val="tx1"/>
            </w14:solidFill>
          </w14:textFill>
        </w:rPr>
        <w:sectPr>
          <w:pgSz w:w="11906" w:h="16838"/>
          <w:pgMar w:top="1525" w:right="1276" w:bottom="1440" w:left="1797" w:header="851" w:footer="992" w:gutter="0"/>
          <w:cols w:space="425" w:num="1"/>
          <w:docGrid w:linePitch="312" w:charSpace="0"/>
        </w:sectPr>
      </w:pPr>
    </w:p>
    <w:p w14:paraId="62D6D66B">
      <w:pPr>
        <w:pStyle w:val="2"/>
        <w:numPr>
          <w:ilvl w:val="0"/>
          <w:numId w:val="3"/>
        </w:numPr>
        <w:rPr>
          <w:rFonts w:ascii="黑体" w:hAnsi="黑体"/>
          <w:color w:val="000000" w:themeColor="text1"/>
          <w14:textFill>
            <w14:solidFill>
              <w14:schemeClr w14:val="tx1"/>
            </w14:solidFill>
          </w14:textFill>
        </w:rPr>
      </w:pPr>
      <w:bookmarkStart w:id="114" w:name="_Toc76114280"/>
      <w:bookmarkStart w:id="115" w:name="_Toc437440717"/>
      <w:bookmarkStart w:id="116" w:name="_Toc200030545"/>
      <w:bookmarkStart w:id="117" w:name="_Toc438111012"/>
      <w:r>
        <w:rPr>
          <w:rFonts w:hint="eastAsia" w:ascii="黑体" w:hAnsi="黑体"/>
          <w:color w:val="000000" w:themeColor="text1"/>
          <w14:textFill>
            <w14:solidFill>
              <w14:schemeClr w14:val="tx1"/>
            </w14:solidFill>
          </w14:textFill>
        </w:rPr>
        <w:t>债券相关情况</w:t>
      </w:r>
    </w:p>
    <w:bookmarkEnd w:id="114"/>
    <w:bookmarkEnd w:id="115"/>
    <w:bookmarkEnd w:id="116"/>
    <w:bookmarkEnd w:id="117"/>
    <w:p w14:paraId="1D0E5E9D">
      <w:pPr>
        <w:pStyle w:val="56"/>
        <w:numPr>
          <w:ilvl w:val="0"/>
          <w:numId w:val="3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公司债券（含企业债券）和非金融企业债务融资工具</w:t>
      </w:r>
    </w:p>
    <w:sdt>
      <w:sdtPr>
        <w:rPr>
          <w:color w:val="000000" w:themeColor="text1"/>
          <w14:textFill>
            <w14:solidFill>
              <w14:schemeClr w14:val="tx1"/>
            </w14:solidFill>
          </w14:textFill>
        </w:rPr>
        <w:alias w:val="是否适用：债券相关情况[双击切换]"/>
        <w:tag w:val="_GBC_8e6b9cf2d8c24a6faf41199f98e408b3"/>
        <w:id w:val="147476860"/>
        <w:lock w:val="contentLocked"/>
        <w:placeholder>
          <w:docPart w:val="GBC22222222222222222222222222222"/>
        </w:placeholder>
      </w:sdtPr>
      <w:sdtEndPr>
        <w:rPr>
          <w:color w:val="000000" w:themeColor="text1"/>
          <w14:textFill>
            <w14:solidFill>
              <w14:schemeClr w14:val="tx1"/>
            </w14:solidFill>
          </w14:textFill>
        </w:rPr>
      </w:sdtEndPr>
      <w:sdtContent>
        <w:p w14:paraId="711186E1">
          <w:pPr>
            <w:rPr>
              <w:color w:val="000000" w:themeColor="text1"/>
              <w14:textFill>
                <w14:solidFill>
                  <w14:schemeClr w14:val="tx1"/>
                </w14:solidFill>
              </w14:textFill>
            </w:rPr>
          </w:pPr>
          <w:bookmarkStart w:id="118" w:name="_Hlk73352152"/>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118"/>
    <w:p w14:paraId="5DEDF238">
      <w:pPr>
        <w:rPr>
          <w:color w:val="000000" w:themeColor="text1"/>
          <w14:textFill>
            <w14:solidFill>
              <w14:schemeClr w14:val="tx1"/>
            </w14:solidFill>
          </w14:textFill>
        </w:rPr>
      </w:pPr>
    </w:p>
    <w:p w14:paraId="77434DF4">
      <w:pPr>
        <w:pStyle w:val="57"/>
        <w:numPr>
          <w:ilvl w:val="0"/>
          <w:numId w:val="3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公司债券（含企业债券）</w:t>
      </w:r>
    </w:p>
    <w:sdt>
      <w:sdtPr>
        <w:rPr>
          <w:color w:val="000000" w:themeColor="text1"/>
          <w14:textFill>
            <w14:solidFill>
              <w14:schemeClr w14:val="tx1"/>
            </w14:solidFill>
          </w14:textFill>
        </w:rPr>
        <w:alias w:val="是否适用：公司债券相关情况[双击切换]"/>
        <w:tag w:val="_GBC_0aefba4fc6d84d32a7c7d372906dfb2e"/>
        <w:id w:val="147475270"/>
        <w:lock w:val="contentLocked"/>
        <w:placeholder>
          <w:docPart w:val="GBC22222222222222222222222222222"/>
        </w:placeholder>
      </w:sdtPr>
      <w:sdtEndPr>
        <w:rPr>
          <w:color w:val="000000" w:themeColor="text1"/>
          <w14:textFill>
            <w14:solidFill>
              <w14:schemeClr w14:val="tx1"/>
            </w14:solidFill>
          </w14:textFill>
        </w:rPr>
      </w:sdtEndPr>
      <w:sdtContent>
        <w:p w14:paraId="25A8EAB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A0B1600">
      <w:pPr>
        <w:pStyle w:val="58"/>
        <w:numPr>
          <w:ilvl w:val="0"/>
          <w:numId w:val="37"/>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公司债券基本情况</w:t>
      </w:r>
    </w:p>
    <w:p w14:paraId="5ABF47BD">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w:t>
      </w:r>
      <w:sdt>
        <w:sdtPr>
          <w:rPr>
            <w:color w:val="000000" w:themeColor="text1"/>
            <w14:textFill>
              <w14:solidFill>
                <w14:schemeClr w14:val="tx1"/>
              </w14:solidFill>
            </w14:textFill>
          </w:rPr>
          <w:alias w:val="单位：财务附注：公司债券基本情况"/>
          <w:tag w:val="_GBC_bd658d77218145d782a67ef68bab687b"/>
          <w:id w:val="-1049533238"/>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r>
        <w:rPr>
          <w:color w:val="000000" w:themeColor="text1"/>
          <w14:textFill>
            <w14:solidFill>
              <w14:schemeClr w14:val="tx1"/>
            </w14:solidFill>
          </w14:textFill>
        </w:rPr>
        <w:t>：</w:t>
      </w:r>
      <w:sdt>
        <w:sdtPr>
          <w:rPr>
            <w:color w:val="000000" w:themeColor="text1"/>
            <w14:textFill>
              <w14:solidFill>
                <w14:schemeClr w14:val="tx1"/>
              </w14:solidFill>
            </w14:textFill>
          </w:rPr>
          <w:alias w:val="币种：财务附注：公司债券基本情况"/>
          <w:tag w:val="_GBC_99178ae7acc84ea696b56df7822a8594"/>
          <w:id w:val="-5594218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596"/>
        <w:gridCol w:w="778"/>
        <w:gridCol w:w="1021"/>
        <w:gridCol w:w="961"/>
        <w:gridCol w:w="613"/>
        <w:gridCol w:w="998"/>
        <w:gridCol w:w="550"/>
        <w:gridCol w:w="660"/>
        <w:gridCol w:w="1491"/>
        <w:gridCol w:w="623"/>
        <w:gridCol w:w="612"/>
        <w:gridCol w:w="586"/>
        <w:gridCol w:w="2046"/>
        <w:gridCol w:w="854"/>
        <w:gridCol w:w="849"/>
      </w:tblGrid>
      <w:tr w14:paraId="737D7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szCs w:val="18"/>
            </w:rPr>
            <w:tag w:val="_PLD_ee9ae463d25e492ca21fbb706dc69510"/>
            <w:id w:val="1463459861"/>
          </w:sdtPr>
          <w:sdtEndPr>
            <w:rPr>
              <w:sz w:val="18"/>
              <w:szCs w:val="18"/>
            </w:rPr>
          </w:sdtEndPr>
          <w:sdtContent>
            <w:tc>
              <w:tcPr>
                <w:tcW w:w="302" w:type="pct"/>
                <w:vAlign w:val="center"/>
              </w:tcPr>
              <w:p w14:paraId="214D1E2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债券</w:t>
                </w:r>
              </w:p>
              <w:p w14:paraId="338FE2D6">
                <w:pPr>
                  <w:jc w:val="center"/>
                  <w:rPr>
                    <w:rFonts w:cs="Times New Roman"/>
                    <w:b/>
                    <w:bCs w:val="0"/>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名称</w:t>
                </w:r>
              </w:p>
            </w:tc>
          </w:sdtContent>
        </w:sdt>
        <w:sdt>
          <w:sdtPr>
            <w:rPr>
              <w:sz w:val="18"/>
              <w:szCs w:val="18"/>
            </w:rPr>
            <w:tag w:val="_PLD_7cfab760046e4722b30a3d9d7139915a"/>
            <w:id w:val="-1247348010"/>
          </w:sdtPr>
          <w:sdtEndPr>
            <w:rPr>
              <w:sz w:val="18"/>
              <w:szCs w:val="18"/>
            </w:rPr>
          </w:sdtEndPr>
          <w:sdtContent>
            <w:tc>
              <w:tcPr>
                <w:tcW w:w="211" w:type="pct"/>
                <w:vAlign w:val="center"/>
              </w:tcPr>
              <w:p w14:paraId="237FE10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简称</w:t>
                </w:r>
              </w:p>
            </w:tc>
          </w:sdtContent>
        </w:sdt>
        <w:sdt>
          <w:sdtPr>
            <w:rPr>
              <w:sz w:val="18"/>
              <w:szCs w:val="18"/>
            </w:rPr>
            <w:tag w:val="_PLD_158dc23ab6eb449eb1af98db4f76a461"/>
            <w:id w:val="1591357757"/>
          </w:sdtPr>
          <w:sdtEndPr>
            <w:rPr>
              <w:sz w:val="18"/>
              <w:szCs w:val="18"/>
            </w:rPr>
          </w:sdtEndPr>
          <w:sdtContent>
            <w:tc>
              <w:tcPr>
                <w:tcW w:w="276" w:type="pct"/>
                <w:vAlign w:val="center"/>
              </w:tcPr>
              <w:p w14:paraId="1890E28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代码</w:t>
                </w:r>
              </w:p>
            </w:tc>
          </w:sdtContent>
        </w:sdt>
        <w:sdt>
          <w:sdtPr>
            <w:rPr>
              <w:sz w:val="18"/>
              <w:szCs w:val="18"/>
            </w:rPr>
            <w:tag w:val="_PLD_0786059317ff458e8abe297727e93701"/>
            <w:id w:val="1241827968"/>
          </w:sdtPr>
          <w:sdtEndPr>
            <w:rPr>
              <w:sz w:val="18"/>
              <w:szCs w:val="18"/>
            </w:rPr>
          </w:sdtEndPr>
          <w:sdtContent>
            <w:tc>
              <w:tcPr>
                <w:tcW w:w="361" w:type="pct"/>
                <w:vAlign w:val="center"/>
              </w:tcPr>
              <w:p w14:paraId="1017750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发行日</w:t>
                </w:r>
              </w:p>
            </w:tc>
          </w:sdtContent>
        </w:sdt>
        <w:tc>
          <w:tcPr>
            <w:tcW w:w="340" w:type="pct"/>
            <w:vAlign w:val="center"/>
          </w:tcPr>
          <w:sdt>
            <w:sdtPr>
              <w:rPr>
                <w:sz w:val="18"/>
                <w:szCs w:val="18"/>
              </w:rPr>
              <w:tag w:val="_PLD_4b6f0176cf0c49b1887cd73b4c82c54c"/>
              <w:id w:val="-208110163"/>
            </w:sdtPr>
            <w:sdtEndPr>
              <w:rPr>
                <w:sz w:val="18"/>
                <w:szCs w:val="18"/>
              </w:rPr>
            </w:sdtEndPr>
            <w:sdtContent>
              <w:p w14:paraId="5B9AF8C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起息日</w:t>
                </w:r>
              </w:p>
            </w:sdtContent>
          </w:sdt>
        </w:tc>
        <w:sdt>
          <w:sdtPr>
            <w:rPr>
              <w:sz w:val="18"/>
              <w:szCs w:val="18"/>
            </w:rPr>
            <w:tag w:val="_PLD_f2ee989273ee44cbbba2e06175ede53a"/>
            <w:id w:val="-1058168164"/>
          </w:sdtPr>
          <w:sdtEndPr>
            <w:rPr>
              <w:sz w:val="18"/>
              <w:szCs w:val="18"/>
            </w:rPr>
          </w:sdtEndPr>
          <w:sdtContent>
            <w:tc>
              <w:tcPr>
                <w:tcW w:w="217" w:type="pct"/>
                <w:vAlign w:val="center"/>
              </w:tcPr>
              <w:p w14:paraId="72A70295">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2025年8月31日后的最近回售日</w:t>
                </w:r>
              </w:p>
            </w:tc>
          </w:sdtContent>
        </w:sdt>
        <w:sdt>
          <w:sdtPr>
            <w:rPr>
              <w:sz w:val="18"/>
              <w:szCs w:val="18"/>
            </w:rPr>
            <w:tag w:val="_PLD_73414814a5554ab9a3b2f77ed7981a78"/>
            <w:id w:val="-1463956561"/>
          </w:sdtPr>
          <w:sdtEndPr>
            <w:rPr>
              <w:sz w:val="18"/>
              <w:szCs w:val="18"/>
            </w:rPr>
          </w:sdtEndPr>
          <w:sdtContent>
            <w:tc>
              <w:tcPr>
                <w:tcW w:w="353" w:type="pct"/>
                <w:vAlign w:val="center"/>
              </w:tcPr>
              <w:p w14:paraId="69FFC58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到期日</w:t>
                </w:r>
              </w:p>
            </w:tc>
          </w:sdtContent>
        </w:sdt>
        <w:sdt>
          <w:sdtPr>
            <w:rPr>
              <w:sz w:val="18"/>
              <w:szCs w:val="18"/>
            </w:rPr>
            <w:tag w:val="_PLD_5e1a5c514ba44564b503b46180ef32f6"/>
            <w:id w:val="1902716903"/>
          </w:sdtPr>
          <w:sdtEndPr>
            <w:rPr>
              <w:sz w:val="18"/>
              <w:szCs w:val="18"/>
            </w:rPr>
          </w:sdtEndPr>
          <w:sdtContent>
            <w:tc>
              <w:tcPr>
                <w:tcW w:w="195" w:type="pct"/>
                <w:vAlign w:val="center"/>
              </w:tcPr>
              <w:p w14:paraId="49640DF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债券</w:t>
                </w:r>
              </w:p>
              <w:p w14:paraId="092A8E6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余额</w:t>
                </w:r>
              </w:p>
            </w:tc>
          </w:sdtContent>
        </w:sdt>
        <w:sdt>
          <w:sdtPr>
            <w:rPr>
              <w:sz w:val="18"/>
              <w:szCs w:val="18"/>
            </w:rPr>
            <w:tag w:val="_PLD_dad6727aad3e47e9a90174643bbb9999"/>
            <w:id w:val="300582399"/>
          </w:sdtPr>
          <w:sdtEndPr>
            <w:rPr>
              <w:sz w:val="18"/>
              <w:szCs w:val="18"/>
            </w:rPr>
          </w:sdtEndPr>
          <w:sdtContent>
            <w:tc>
              <w:tcPr>
                <w:tcW w:w="234" w:type="pct"/>
                <w:vAlign w:val="center"/>
              </w:tcPr>
              <w:p w14:paraId="2235FB5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利率（%）</w:t>
                </w:r>
              </w:p>
            </w:tc>
          </w:sdtContent>
        </w:sdt>
        <w:sdt>
          <w:sdtPr>
            <w:rPr>
              <w:sz w:val="18"/>
              <w:szCs w:val="18"/>
            </w:rPr>
            <w:tag w:val="_PLD_0dc08131a697459984a729607a3f1745"/>
            <w:id w:val="-286968780"/>
          </w:sdtPr>
          <w:sdtEndPr>
            <w:rPr>
              <w:sz w:val="18"/>
              <w:szCs w:val="18"/>
            </w:rPr>
          </w:sdtEndPr>
          <w:sdtContent>
            <w:tc>
              <w:tcPr>
                <w:tcW w:w="528" w:type="pct"/>
                <w:vAlign w:val="center"/>
              </w:tcPr>
              <w:p w14:paraId="5014E04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还本付息方式</w:t>
                </w:r>
              </w:p>
            </w:tc>
          </w:sdtContent>
        </w:sdt>
        <w:sdt>
          <w:sdtPr>
            <w:rPr>
              <w:sz w:val="18"/>
              <w:szCs w:val="18"/>
            </w:rPr>
            <w:tag w:val="_PLD_a52870a0bed34b6f81618fdbf439c3e2"/>
            <w:id w:val="81188804"/>
          </w:sdtPr>
          <w:sdtEndPr>
            <w:rPr>
              <w:sz w:val="18"/>
              <w:szCs w:val="18"/>
            </w:rPr>
          </w:sdtEndPr>
          <w:sdtContent>
            <w:tc>
              <w:tcPr>
                <w:tcW w:w="221" w:type="pct"/>
                <w:vAlign w:val="center"/>
              </w:tcPr>
              <w:p w14:paraId="7A50641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交易场所</w:t>
                </w:r>
              </w:p>
            </w:tc>
          </w:sdtContent>
        </w:sdt>
        <w:sdt>
          <w:sdtPr>
            <w:rPr>
              <w:sz w:val="18"/>
              <w:szCs w:val="18"/>
            </w:rPr>
            <w:tag w:val="_PLD_a60a4b62043a4e2ebb28961958689632"/>
            <w:id w:val="-271631235"/>
          </w:sdtPr>
          <w:sdtEndPr>
            <w:rPr>
              <w:sz w:val="18"/>
              <w:szCs w:val="18"/>
            </w:rPr>
          </w:sdtEndPr>
          <w:sdtContent>
            <w:tc>
              <w:tcPr>
                <w:tcW w:w="217" w:type="pct"/>
                <w:vAlign w:val="center"/>
              </w:tcPr>
              <w:p w14:paraId="664BBE91">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主承销商</w:t>
                </w:r>
              </w:p>
            </w:tc>
          </w:sdtContent>
        </w:sdt>
        <w:sdt>
          <w:sdtPr>
            <w:rPr>
              <w:sz w:val="18"/>
              <w:szCs w:val="18"/>
            </w:rPr>
            <w:tag w:val="_PLD_4518e0c6aeb241fe81b71295b70603c5"/>
            <w:id w:val="-908537034"/>
          </w:sdtPr>
          <w:sdtEndPr>
            <w:rPr>
              <w:sz w:val="18"/>
              <w:szCs w:val="18"/>
            </w:rPr>
          </w:sdtEndPr>
          <w:sdtContent>
            <w:tc>
              <w:tcPr>
                <w:tcW w:w="208" w:type="pct"/>
                <w:vAlign w:val="center"/>
              </w:tcPr>
              <w:p w14:paraId="78394938">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受托管理人</w:t>
                </w:r>
              </w:p>
            </w:tc>
          </w:sdtContent>
        </w:sdt>
        <w:sdt>
          <w:sdtPr>
            <w:rPr>
              <w:sz w:val="18"/>
              <w:szCs w:val="18"/>
            </w:rPr>
            <w:tag w:val="_PLD_2b5f840745ff4e6fade269d44347ba29"/>
            <w:id w:val="882367033"/>
          </w:sdtPr>
          <w:sdtEndPr>
            <w:rPr>
              <w:sz w:val="18"/>
              <w:szCs w:val="18"/>
            </w:rPr>
          </w:sdtEndPr>
          <w:sdtContent>
            <w:tc>
              <w:tcPr>
                <w:tcW w:w="725" w:type="pct"/>
                <w:vAlign w:val="center"/>
              </w:tcPr>
              <w:p w14:paraId="0C659A8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投资者适当性安排（如有）</w:t>
                </w:r>
              </w:p>
            </w:tc>
          </w:sdtContent>
        </w:sdt>
        <w:tc>
          <w:tcPr>
            <w:tcW w:w="303" w:type="pct"/>
            <w:vAlign w:val="center"/>
          </w:tcPr>
          <w:sdt>
            <w:sdtPr>
              <w:rPr>
                <w:sz w:val="18"/>
                <w:szCs w:val="18"/>
              </w:rPr>
              <w:tag w:val="_PLD_02d29026295c4cbc93c2501c0d82e582"/>
              <w:id w:val="788853225"/>
            </w:sdtPr>
            <w:sdtEndPr>
              <w:rPr>
                <w:sz w:val="18"/>
                <w:szCs w:val="18"/>
              </w:rPr>
            </w:sdtEndPr>
            <w:sdtContent>
              <w:p w14:paraId="189F673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交易机制</w:t>
                </w:r>
              </w:p>
            </w:sdtContent>
          </w:sdt>
        </w:tc>
        <w:sdt>
          <w:sdtPr>
            <w:rPr>
              <w:sz w:val="18"/>
              <w:szCs w:val="18"/>
            </w:rPr>
            <w:tag w:val="_PLD_537d595e1283406a968193650e8334f1"/>
            <w:id w:val="-241186784"/>
          </w:sdtPr>
          <w:sdtEndPr>
            <w:rPr>
              <w:sz w:val="18"/>
              <w:szCs w:val="18"/>
            </w:rPr>
          </w:sdtEndPr>
          <w:sdtContent>
            <w:tc>
              <w:tcPr>
                <w:tcW w:w="301" w:type="pct"/>
                <w:vAlign w:val="center"/>
              </w:tcPr>
              <w:p w14:paraId="71A1891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是否存在终止上市交易的风险</w:t>
                </w:r>
              </w:p>
            </w:tc>
          </w:sdtContent>
        </w:sdt>
      </w:tr>
      <w:sdt>
        <w:sdtPr>
          <w:rPr>
            <w:rFonts w:hint="eastAsia"/>
            <w:color w:val="000000" w:themeColor="text1"/>
            <w:sz w:val="18"/>
            <w:szCs w:val="18"/>
            <w14:textFill>
              <w14:solidFill>
                <w14:schemeClr w14:val="tx1"/>
              </w14:solidFill>
            </w14:textFill>
          </w:rPr>
          <w:alias w:val="公司债券基本情况明细"/>
          <w:tag w:val="_TUP_f9a2be8b4d794140bf70d041ece6adeb"/>
          <w:id w:val="-2111567387"/>
          <w:placeholder>
            <w:docPart w:val="{1e954a86-87fb-4bed-80e0-8ce8c7a1a6d1}"/>
          </w:placeholder>
        </w:sdtPr>
        <w:sdtEndPr>
          <w:rPr>
            <w:rFonts w:hint="eastAsia"/>
            <w:color w:val="000000" w:themeColor="text1"/>
            <w:sz w:val="18"/>
            <w:szCs w:val="18"/>
            <w14:textFill>
              <w14:solidFill>
                <w14:schemeClr w14:val="tx1"/>
              </w14:solidFill>
            </w14:textFill>
          </w:rPr>
        </w:sdtEndPr>
        <w:sdtContent>
          <w:tr w14:paraId="58A17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 w:type="pct"/>
                <w:vAlign w:val="center"/>
              </w:tcPr>
              <w:p w14:paraId="596F6D07">
                <w:pPr>
                  <w:rPr>
                    <w:rFonts w:cs="Times New Roman"/>
                    <w:bCs w:val="0"/>
                    <w:sz w:val="18"/>
                    <w:szCs w:val="18"/>
                  </w:rPr>
                </w:pPr>
                <w:r>
                  <w:rPr>
                    <w:rFonts w:hint="eastAsia"/>
                    <w:sz w:val="18"/>
                    <w:szCs w:val="18"/>
                  </w:rPr>
                  <w:t>际华集团股份有限公司2020年公司债券（第一期）</w:t>
                </w:r>
              </w:p>
            </w:tc>
            <w:tc>
              <w:tcPr>
                <w:tcW w:w="211" w:type="pct"/>
                <w:vAlign w:val="center"/>
              </w:tcPr>
              <w:p w14:paraId="66B8213B">
                <w:pPr>
                  <w:rPr>
                    <w:rFonts w:cs="Times New Roman"/>
                    <w:bCs w:val="0"/>
                    <w:sz w:val="18"/>
                    <w:szCs w:val="18"/>
                  </w:rPr>
                </w:pPr>
                <w:r>
                  <w:rPr>
                    <w:rFonts w:hint="eastAsia"/>
                    <w:sz w:val="18"/>
                    <w:szCs w:val="18"/>
                  </w:rPr>
                  <w:t>20际华01</w:t>
                </w:r>
              </w:p>
            </w:tc>
            <w:tc>
              <w:tcPr>
                <w:tcW w:w="276" w:type="pct"/>
                <w:vAlign w:val="center"/>
              </w:tcPr>
              <w:p w14:paraId="6AA24A81">
                <w:pPr>
                  <w:jc w:val="center"/>
                  <w:rPr>
                    <w:rFonts w:cs="Times New Roman"/>
                    <w:bCs w:val="0"/>
                    <w:sz w:val="18"/>
                    <w:szCs w:val="18"/>
                  </w:rPr>
                </w:pPr>
                <w:r>
                  <w:rPr>
                    <w:rFonts w:hint="eastAsia"/>
                    <w:sz w:val="18"/>
                    <w:szCs w:val="18"/>
                  </w:rPr>
                  <w:t>163574</w:t>
                </w:r>
              </w:p>
            </w:tc>
            <w:tc>
              <w:tcPr>
                <w:tcW w:w="361" w:type="pct"/>
                <w:vAlign w:val="center"/>
              </w:tcPr>
              <w:p w14:paraId="249EA84E">
                <w:pPr>
                  <w:jc w:val="center"/>
                  <w:rPr>
                    <w:rFonts w:cs="Times New Roman"/>
                    <w:bCs w:val="0"/>
                    <w:sz w:val="18"/>
                    <w:szCs w:val="18"/>
                  </w:rPr>
                </w:pPr>
                <w:r>
                  <w:rPr>
                    <w:rFonts w:hint="eastAsia"/>
                    <w:sz w:val="18"/>
                    <w:szCs w:val="18"/>
                  </w:rPr>
                  <w:t>2020/6/15</w:t>
                </w:r>
              </w:p>
            </w:tc>
            <w:tc>
              <w:tcPr>
                <w:tcW w:w="340" w:type="pct"/>
                <w:vAlign w:val="center"/>
              </w:tcPr>
              <w:p w14:paraId="2015A653">
                <w:pPr>
                  <w:jc w:val="center"/>
                  <w:rPr>
                    <w:sz w:val="18"/>
                    <w:szCs w:val="18"/>
                  </w:rPr>
                </w:pPr>
                <w:r>
                  <w:rPr>
                    <w:rFonts w:hint="eastAsia"/>
                    <w:sz w:val="18"/>
                    <w:szCs w:val="18"/>
                  </w:rPr>
                  <w:t>2020/6/15</w:t>
                </w:r>
              </w:p>
            </w:tc>
            <w:tc>
              <w:tcPr>
                <w:tcW w:w="217" w:type="pct"/>
                <w:vAlign w:val="center"/>
              </w:tcPr>
              <w:p w14:paraId="176ACC7C">
                <w:pPr>
                  <w:jc w:val="center"/>
                  <w:rPr>
                    <w:sz w:val="18"/>
                    <w:szCs w:val="18"/>
                  </w:rPr>
                </w:pPr>
                <w:r>
                  <w:rPr>
                    <w:rFonts w:hint="eastAsia"/>
                    <w:sz w:val="18"/>
                    <w:szCs w:val="18"/>
                  </w:rPr>
                  <w:t>/</w:t>
                </w:r>
              </w:p>
            </w:tc>
            <w:tc>
              <w:tcPr>
                <w:tcW w:w="353" w:type="pct"/>
                <w:vAlign w:val="center"/>
              </w:tcPr>
              <w:p w14:paraId="573953D8">
                <w:pPr>
                  <w:rPr>
                    <w:rFonts w:cs="Times New Roman"/>
                    <w:bCs w:val="0"/>
                    <w:sz w:val="18"/>
                    <w:szCs w:val="18"/>
                  </w:rPr>
                </w:pPr>
                <w:r>
                  <w:rPr>
                    <w:rFonts w:hint="eastAsia"/>
                    <w:sz w:val="18"/>
                    <w:szCs w:val="18"/>
                  </w:rPr>
                  <w:t>2025/6/15</w:t>
                </w:r>
              </w:p>
            </w:tc>
            <w:tc>
              <w:tcPr>
                <w:tcW w:w="195" w:type="pct"/>
                <w:vAlign w:val="center"/>
              </w:tcPr>
              <w:p w14:paraId="47742A87">
                <w:pPr>
                  <w:jc w:val="center"/>
                  <w:rPr>
                    <w:sz w:val="18"/>
                    <w:szCs w:val="18"/>
                  </w:rPr>
                </w:pPr>
                <w:r>
                  <w:rPr>
                    <w:rFonts w:hint="eastAsia"/>
                    <w:sz w:val="18"/>
                    <w:szCs w:val="18"/>
                  </w:rPr>
                  <w:t>/</w:t>
                </w:r>
              </w:p>
            </w:tc>
            <w:tc>
              <w:tcPr>
                <w:tcW w:w="234" w:type="pct"/>
                <w:vAlign w:val="center"/>
              </w:tcPr>
              <w:p w14:paraId="18333B40">
                <w:pPr>
                  <w:jc w:val="right"/>
                  <w:rPr>
                    <w:sz w:val="18"/>
                    <w:szCs w:val="18"/>
                  </w:rPr>
                </w:pPr>
                <w:r>
                  <w:rPr>
                    <w:rFonts w:hint="eastAsia"/>
                    <w:sz w:val="18"/>
                    <w:szCs w:val="18"/>
                  </w:rPr>
                  <w:t>2.6</w:t>
                </w:r>
              </w:p>
            </w:tc>
            <w:tc>
              <w:tcPr>
                <w:tcW w:w="528" w:type="pct"/>
                <w:vAlign w:val="center"/>
              </w:tcPr>
              <w:p w14:paraId="523699BE">
                <w:pPr>
                  <w:jc w:val="both"/>
                  <w:rPr>
                    <w:rFonts w:cs="Times New Roman"/>
                    <w:bCs w:val="0"/>
                    <w:sz w:val="18"/>
                    <w:szCs w:val="18"/>
                  </w:rPr>
                </w:pPr>
                <w:r>
                  <w:rPr>
                    <w:rFonts w:hint="eastAsia"/>
                    <w:sz w:val="18"/>
                    <w:szCs w:val="18"/>
                  </w:rPr>
                  <w:t>本期债券采用单利按年计息，不计复利，每年付息一次，最后一期利息随本金的兑付一起支付。</w:t>
                </w:r>
              </w:p>
            </w:tc>
            <w:tc>
              <w:tcPr>
                <w:tcW w:w="221" w:type="pct"/>
                <w:vAlign w:val="center"/>
              </w:tcPr>
              <w:p w14:paraId="7E07D184">
                <w:pPr>
                  <w:jc w:val="both"/>
                  <w:rPr>
                    <w:rFonts w:cs="Times New Roman"/>
                    <w:bCs w:val="0"/>
                    <w:sz w:val="18"/>
                    <w:szCs w:val="18"/>
                  </w:rPr>
                </w:pPr>
                <w:r>
                  <w:rPr>
                    <w:rFonts w:hint="eastAsia"/>
                    <w:sz w:val="18"/>
                    <w:szCs w:val="18"/>
                  </w:rPr>
                  <w:t>上海证券交易所</w:t>
                </w:r>
              </w:p>
            </w:tc>
            <w:tc>
              <w:tcPr>
                <w:tcW w:w="217" w:type="pct"/>
                <w:vAlign w:val="center"/>
              </w:tcPr>
              <w:p w14:paraId="4317E3EE">
                <w:pPr>
                  <w:jc w:val="both"/>
                  <w:rPr>
                    <w:sz w:val="18"/>
                    <w:szCs w:val="18"/>
                  </w:rPr>
                </w:pPr>
                <w:r>
                  <w:rPr>
                    <w:rFonts w:hint="eastAsia"/>
                    <w:sz w:val="18"/>
                    <w:szCs w:val="18"/>
                  </w:rPr>
                  <w:t>瑞银证券有限责任公司</w:t>
                </w:r>
              </w:p>
            </w:tc>
            <w:tc>
              <w:tcPr>
                <w:tcW w:w="208" w:type="pct"/>
                <w:vAlign w:val="center"/>
              </w:tcPr>
              <w:p w14:paraId="49468B91">
                <w:pPr>
                  <w:jc w:val="both"/>
                  <w:rPr>
                    <w:sz w:val="18"/>
                    <w:szCs w:val="18"/>
                  </w:rPr>
                </w:pPr>
                <w:r>
                  <w:rPr>
                    <w:rFonts w:hint="eastAsia"/>
                    <w:sz w:val="18"/>
                    <w:szCs w:val="18"/>
                  </w:rPr>
                  <w:t>瑞银证券有限责任公司</w:t>
                </w:r>
              </w:p>
            </w:tc>
            <w:tc>
              <w:tcPr>
                <w:tcW w:w="725" w:type="pct"/>
                <w:vAlign w:val="center"/>
              </w:tcPr>
              <w:p w14:paraId="55908C2C">
                <w:pPr>
                  <w:jc w:val="center"/>
                  <w:rPr>
                    <w:sz w:val="18"/>
                    <w:szCs w:val="18"/>
                  </w:rPr>
                </w:pPr>
                <w:r>
                  <w:rPr>
                    <w:rFonts w:hint="eastAsia"/>
                    <w:sz w:val="18"/>
                    <w:szCs w:val="18"/>
                  </w:rPr>
                  <w:t>本期债券发行对象为符合《公司债券发行与交易管理办法》、《上海证券交易所债券市场投资者适当性管理办法》等相关规定并在债券登记机构开立合格证券账户的合格投资者（法律、法规禁止购买者除外）</w:t>
                </w:r>
              </w:p>
            </w:tc>
            <w:tc>
              <w:tcPr>
                <w:tcW w:w="303" w:type="pct"/>
                <w:vAlign w:val="center"/>
              </w:tcPr>
              <w:p w14:paraId="02883AB3">
                <w:pPr>
                  <w:jc w:val="center"/>
                  <w:rPr>
                    <w:sz w:val="18"/>
                    <w:szCs w:val="18"/>
                  </w:rPr>
                </w:pPr>
                <w:r>
                  <w:rPr>
                    <w:rFonts w:hint="eastAsia"/>
                    <w:sz w:val="18"/>
                    <w:szCs w:val="18"/>
                  </w:rPr>
                  <w:t>匹配成交、点击成交、询价成交、竞买成交和协商成交</w:t>
                </w:r>
              </w:p>
            </w:tc>
            <w:sdt>
              <w:sdtPr>
                <w:rPr>
                  <w:color w:val="000000" w:themeColor="text1"/>
                  <w:sz w:val="18"/>
                  <w:szCs w:val="18"/>
                  <w14:textFill>
                    <w14:solidFill>
                      <w14:schemeClr w14:val="tx1"/>
                    </w14:solidFill>
                  </w14:textFill>
                </w:rPr>
                <w:alias w:val="公司债券基本情况明细_是否存在终止上市交易的风险 "/>
                <w:tag w:val="_GBC_02667000c78f476fba73f0964c9865b3"/>
                <w:id w:val="-568422788"/>
                <w:comboBox>
                  <w:listItem w:displayText="是" w:value="是"/>
                  <w:listItem w:displayText="否" w:value="否"/>
                </w:comboBox>
              </w:sdtPr>
              <w:sdtEndPr>
                <w:rPr>
                  <w:color w:val="000000" w:themeColor="text1"/>
                  <w:sz w:val="18"/>
                  <w:szCs w:val="18"/>
                  <w14:textFill>
                    <w14:solidFill>
                      <w14:schemeClr w14:val="tx1"/>
                    </w14:solidFill>
                  </w14:textFill>
                </w:rPr>
              </w:sdtEndPr>
              <w:sdtContent>
                <w:tc>
                  <w:tcPr>
                    <w:tcW w:w="301" w:type="pct"/>
                    <w:vAlign w:val="center"/>
                  </w:tcPr>
                  <w:p w14:paraId="2978091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否</w:t>
                    </w:r>
                  </w:p>
                </w:tc>
              </w:sdtContent>
            </w:sdt>
          </w:tr>
        </w:sdtContent>
      </w:sdt>
    </w:tbl>
    <w:p w14:paraId="701363C1">
      <w:pPr>
        <w:rPr>
          <w:color w:val="000000" w:themeColor="text1"/>
          <w14:textFill>
            <w14:solidFill>
              <w14:schemeClr w14:val="tx1"/>
            </w14:solidFill>
          </w14:textFill>
        </w:rPr>
      </w:pPr>
    </w:p>
    <w:p w14:paraId="3011E2BD">
      <w:pPr>
        <w:rPr>
          <w:color w:val="000000" w:themeColor="text1"/>
          <w14:textFill>
            <w14:solidFill>
              <w14:schemeClr w14:val="tx1"/>
            </w14:solidFill>
          </w14:textFill>
        </w:rPr>
      </w:pPr>
    </w:p>
    <w:p w14:paraId="4AE94B9C">
      <w:pPr>
        <w:rPr>
          <w:color w:val="000000" w:themeColor="text1"/>
          <w14:textFill>
            <w14:solidFill>
              <w14:schemeClr w14:val="tx1"/>
            </w14:solidFill>
          </w14:textFill>
        </w:rPr>
      </w:pPr>
    </w:p>
    <w:p w14:paraId="2C314A82">
      <w:pPr>
        <w:rPr>
          <w:color w:val="000000" w:themeColor="text1"/>
          <w14:textFill>
            <w14:solidFill>
              <w14:schemeClr w14:val="tx1"/>
            </w14:solidFill>
          </w14:textFill>
        </w:rPr>
      </w:pPr>
      <w:r>
        <w:rPr>
          <w:rFonts w:hint="eastAsia"/>
          <w:color w:val="000000" w:themeColor="text1"/>
          <w14:textFill>
            <w14:solidFill>
              <w14:schemeClr w14:val="tx1"/>
            </w14:solidFill>
          </w14:textFill>
        </w:rPr>
        <w:t>公司对债券终止上市交易风险的应对措施</w:t>
      </w:r>
    </w:p>
    <w:sdt>
      <w:sdtPr>
        <w:rPr>
          <w:rFonts w:cs="Times New Roman"/>
          <w:bCs w:val="0"/>
          <w:color w:val="000000" w:themeColor="text1"/>
          <w:kern w:val="2"/>
          <w14:textFill>
            <w14:solidFill>
              <w14:schemeClr w14:val="tx1"/>
            </w14:solidFill>
          </w14:textFill>
        </w:rPr>
        <w:alias w:val="是否适用：公司对债券终止上市交易风险的应对措施 [双击切换]"/>
        <w:tag w:val="_GBC_fa1265d9d8f2402a80462c3b9ee0681e"/>
        <w:id w:val="147452280"/>
        <w:placeholder>
          <w:docPart w:val="GBC22222222222222222222222222222"/>
        </w:placeholder>
      </w:sdtPr>
      <w:sdtEndPr>
        <w:rPr>
          <w:rFonts w:cs="Times New Roman"/>
          <w:bCs w:val="0"/>
          <w:color w:val="000000" w:themeColor="text1"/>
          <w:kern w:val="2"/>
          <w14:textFill>
            <w14:solidFill>
              <w14:schemeClr w14:val="tx1"/>
            </w14:solidFill>
          </w14:textFill>
        </w:rPr>
      </w:sdtEndPr>
      <w:sdtContent>
        <w:p w14:paraId="21A5D81E">
          <w:pPr>
            <w:rPr>
              <w:color w:val="000000" w:themeColor="text1"/>
              <w14:textFill>
                <w14:solidFill>
                  <w14:schemeClr w14:val="tx1"/>
                </w14:solidFill>
              </w14:textFill>
            </w:rPr>
          </w:pPr>
          <w:r>
            <w:rPr>
              <w:rFonts w:ascii="宋体" w:hAnsi="宋体" w:cs="Times New Roman"/>
              <w:bCs w:val="0"/>
              <w:color w:val="000000" w:themeColor="text1"/>
              <w:kern w:val="2"/>
              <w14:textFill>
                <w14:solidFill>
                  <w14:schemeClr w14:val="tx1"/>
                </w14:solidFill>
              </w14:textFill>
            </w:rPr>
            <w:fldChar w:fldCharType="begin"/>
          </w:r>
          <w:r>
            <w:rPr>
              <w:rFonts w:hint="eastAsia" w:ascii="宋体" w:hAnsi="宋体" w:cs="Times New Roman"/>
              <w:color w:val="000000" w:themeColor="text1"/>
              <w:kern w:val="2"/>
              <w14:textFill>
                <w14:solidFill>
                  <w14:schemeClr w14:val="tx1"/>
                </w14:solidFill>
              </w14:textFill>
            </w:rPr>
            <w:instrText xml:space="preserve"> MACROBUTTON  SnrToggleCheckbox □适用 </w:instrText>
          </w:r>
          <w:r>
            <w:rPr>
              <w:rFonts w:ascii="宋体" w:hAnsi="宋体" w:cs="Times New Roman"/>
              <w:bCs w:val="0"/>
              <w:color w:val="000000" w:themeColor="text1"/>
              <w:kern w:val="2"/>
              <w14:textFill>
                <w14:solidFill>
                  <w14:schemeClr w14:val="tx1"/>
                </w14:solidFill>
              </w14:textFill>
            </w:rPr>
            <w:fldChar w:fldCharType="end"/>
          </w:r>
          <w:r>
            <w:rPr>
              <w:rFonts w:ascii="宋体" w:hAnsi="宋体" w:cs="Times New Roman"/>
              <w:bCs w:val="0"/>
              <w:color w:val="000000" w:themeColor="text1"/>
              <w:kern w:val="2"/>
              <w14:textFill>
                <w14:solidFill>
                  <w14:schemeClr w14:val="tx1"/>
                </w14:solidFill>
              </w14:textFill>
            </w:rPr>
            <w:fldChar w:fldCharType="begin"/>
          </w:r>
          <w:r>
            <w:rPr>
              <w:rFonts w:hint="eastAsia" w:ascii="宋体" w:hAnsi="宋体" w:cs="Times New Roman"/>
              <w:color w:val="000000" w:themeColor="text1"/>
              <w:kern w:val="2"/>
              <w14:textFill>
                <w14:solidFill>
                  <w14:schemeClr w14:val="tx1"/>
                </w14:solidFill>
              </w14:textFill>
            </w:rPr>
            <w:instrText xml:space="preserve"> MACROBUTTON  SnrToggleCheckbox √不适用 </w:instrText>
          </w:r>
          <w:r>
            <w:rPr>
              <w:rFonts w:ascii="宋体" w:hAnsi="宋体" w:cs="Times New Roman"/>
              <w:bCs w:val="0"/>
              <w:color w:val="000000" w:themeColor="text1"/>
              <w:kern w:val="2"/>
              <w14:textFill>
                <w14:solidFill>
                  <w14:schemeClr w14:val="tx1"/>
                </w14:solidFill>
              </w14:textFill>
            </w:rPr>
            <w:fldChar w:fldCharType="end"/>
          </w:r>
        </w:p>
      </w:sdtContent>
    </w:sdt>
    <w:p w14:paraId="5D545F15">
      <w:pPr>
        <w:rPr>
          <w:color w:val="000000" w:themeColor="text1"/>
          <w14:textFill>
            <w14:solidFill>
              <w14:schemeClr w14:val="tx1"/>
            </w14:solidFill>
          </w14:textFill>
        </w:rPr>
        <w:sectPr>
          <w:pgSz w:w="16838" w:h="11906" w:orient="landscape"/>
          <w:pgMar w:top="1797" w:right="1525" w:bottom="1276" w:left="1440" w:header="851" w:footer="992" w:gutter="0"/>
          <w:cols w:space="425" w:num="1"/>
          <w:docGrid w:linePitch="312" w:charSpace="0"/>
        </w:sectPr>
      </w:pPr>
    </w:p>
    <w:p w14:paraId="2070AC80">
      <w:pPr>
        <w:rPr>
          <w:color w:val="000000" w:themeColor="text1"/>
          <w14:textFill>
            <w14:solidFill>
              <w14:schemeClr w14:val="tx1"/>
            </w14:solidFill>
          </w14:textFill>
        </w:rPr>
      </w:pPr>
    </w:p>
    <w:p w14:paraId="632EF9FD">
      <w:pPr>
        <w:pStyle w:val="58"/>
        <w:numPr>
          <w:ilvl w:val="0"/>
          <w:numId w:val="37"/>
        </w:numPr>
        <w:rPr>
          <w:rFonts w:ascii="宋体" w:hAnsi="宋体"/>
          <w:color w:val="000000" w:themeColor="text1"/>
          <w14:textFill>
            <w14:solidFill>
              <w14:schemeClr w14:val="tx1"/>
            </w14:solidFill>
          </w14:textFill>
        </w:rPr>
      </w:pPr>
      <w:bookmarkStart w:id="119" w:name="_Hlk41317963"/>
      <w:r>
        <w:rPr>
          <w:rFonts w:hint="eastAsia" w:ascii="宋体" w:hAnsi="宋体"/>
          <w:color w:val="000000" w:themeColor="text1"/>
          <w14:textFill>
            <w14:solidFill>
              <w14:schemeClr w14:val="tx1"/>
            </w14:solidFill>
          </w14:textFill>
        </w:rPr>
        <w:t>公司或投资者选择权条款、投资者保护条款的触发和执行情况</w:t>
      </w:r>
    </w:p>
    <w:sdt>
      <w:sdtPr>
        <w:rPr>
          <w:rFonts w:cs="Times New Roman"/>
          <w:bCs w:val="0"/>
          <w:color w:val="000000" w:themeColor="text1"/>
          <w:kern w:val="2"/>
          <w14:textFill>
            <w14:solidFill>
              <w14:schemeClr w14:val="tx1"/>
            </w14:solidFill>
          </w14:textFill>
        </w:rPr>
        <w:alias w:val="是否适用：发行人或投资者选择权条款、投资者保护条款的触发和执行情况[双击切换]"/>
        <w:tag w:val="_GBC_185e6a8631e94bd5ac84f901f842a806"/>
        <w:id w:val="147480366"/>
        <w:placeholder>
          <w:docPart w:val="GBC22222222222222222222222222222"/>
        </w:placeholder>
      </w:sdtPr>
      <w:sdtEndPr>
        <w:rPr>
          <w:rFonts w:cs="Times New Roman"/>
          <w:bCs w:val="0"/>
          <w:color w:val="000000" w:themeColor="text1"/>
          <w:kern w:val="2"/>
          <w14:textFill>
            <w14:solidFill>
              <w14:schemeClr w14:val="tx1"/>
            </w14:solidFill>
          </w14:textFill>
        </w:rPr>
      </w:sdtEndPr>
      <w:sdtContent>
        <w:p w14:paraId="1407D654">
          <w:pPr>
            <w:rPr>
              <w:rFonts w:cs="Times New Roman"/>
              <w:bCs w:val="0"/>
              <w:color w:val="000000" w:themeColor="text1"/>
              <w:kern w:val="2"/>
              <w14:textFill>
                <w14:solidFill>
                  <w14:schemeClr w14:val="tx1"/>
                </w14:solidFill>
              </w14:textFill>
            </w:rPr>
          </w:pPr>
          <w:r>
            <w:rPr>
              <w:rFonts w:ascii="宋体" w:hAnsi="宋体" w:cs="Times New Roman"/>
              <w:bCs w:val="0"/>
              <w:color w:val="000000" w:themeColor="text1"/>
              <w:kern w:val="2"/>
              <w14:textFill>
                <w14:solidFill>
                  <w14:schemeClr w14:val="tx1"/>
                </w14:solidFill>
              </w14:textFill>
            </w:rPr>
            <w:fldChar w:fldCharType="begin"/>
          </w:r>
          <w:r>
            <w:rPr>
              <w:rFonts w:hint="eastAsia" w:ascii="宋体" w:hAnsi="宋体" w:cs="Times New Roman"/>
              <w:color w:val="000000" w:themeColor="text1"/>
              <w:kern w:val="2"/>
              <w14:textFill>
                <w14:solidFill>
                  <w14:schemeClr w14:val="tx1"/>
                </w14:solidFill>
              </w14:textFill>
            </w:rPr>
            <w:instrText xml:space="preserve"> MACROBUTTON  SnrToggleCheckbox □适用 </w:instrText>
          </w:r>
          <w:r>
            <w:rPr>
              <w:rFonts w:ascii="宋体" w:hAnsi="宋体" w:cs="Times New Roman"/>
              <w:bCs w:val="0"/>
              <w:color w:val="000000" w:themeColor="text1"/>
              <w:kern w:val="2"/>
              <w14:textFill>
                <w14:solidFill>
                  <w14:schemeClr w14:val="tx1"/>
                </w14:solidFill>
              </w14:textFill>
            </w:rPr>
            <w:fldChar w:fldCharType="end"/>
          </w:r>
          <w:r>
            <w:rPr>
              <w:rFonts w:ascii="宋体" w:hAnsi="宋体" w:cs="Times New Roman"/>
              <w:bCs w:val="0"/>
              <w:color w:val="000000" w:themeColor="text1"/>
              <w:kern w:val="2"/>
              <w14:textFill>
                <w14:solidFill>
                  <w14:schemeClr w14:val="tx1"/>
                </w14:solidFill>
              </w14:textFill>
            </w:rPr>
            <w:fldChar w:fldCharType="begin"/>
          </w:r>
          <w:r>
            <w:rPr>
              <w:rFonts w:hint="eastAsia" w:ascii="宋体" w:hAnsi="宋体" w:cs="Times New Roman"/>
              <w:color w:val="000000" w:themeColor="text1"/>
              <w:kern w:val="2"/>
              <w14:textFill>
                <w14:solidFill>
                  <w14:schemeClr w14:val="tx1"/>
                </w14:solidFill>
              </w14:textFill>
            </w:rPr>
            <w:instrText xml:space="preserve"> MACROBUTTON  SnrToggleCheckbox √不适用 </w:instrText>
          </w:r>
          <w:r>
            <w:rPr>
              <w:rFonts w:ascii="宋体" w:hAnsi="宋体" w:cs="Times New Roman"/>
              <w:bCs w:val="0"/>
              <w:color w:val="000000" w:themeColor="text1"/>
              <w:kern w:val="2"/>
              <w14:textFill>
                <w14:solidFill>
                  <w14:schemeClr w14:val="tx1"/>
                </w14:solidFill>
              </w14:textFill>
            </w:rPr>
            <w:fldChar w:fldCharType="end"/>
          </w:r>
        </w:p>
      </w:sdtContent>
    </w:sdt>
    <w:p w14:paraId="0D61D495">
      <w:pPr>
        <w:rPr>
          <w:rFonts w:cs="Times New Roman"/>
          <w:bCs w:val="0"/>
          <w:color w:val="000000" w:themeColor="text1"/>
          <w:kern w:val="2"/>
          <w14:textFill>
            <w14:solidFill>
              <w14:schemeClr w14:val="tx1"/>
            </w14:solidFill>
          </w14:textFill>
        </w:rPr>
      </w:pPr>
    </w:p>
    <w:bookmarkEnd w:id="119"/>
    <w:p w14:paraId="05813DB0">
      <w:pPr>
        <w:pStyle w:val="58"/>
        <w:numPr>
          <w:ilvl w:val="0"/>
          <w:numId w:val="37"/>
        </w:numPr>
        <w:rPr>
          <w:rFonts w:ascii="宋体" w:hAnsi="宋体"/>
          <w:color w:val="000000" w:themeColor="text1"/>
          <w14:textFill>
            <w14:solidFill>
              <w14:schemeClr w14:val="tx1"/>
            </w14:solidFill>
          </w14:textFill>
        </w:rPr>
      </w:pPr>
      <w:bookmarkStart w:id="120" w:name="_Hlk200358802"/>
      <w:bookmarkStart w:id="121" w:name="_Hlk105685913"/>
      <w:bookmarkStart w:id="122" w:name="_Hlk105762728"/>
      <w:r>
        <w:rPr>
          <w:rFonts w:hint="eastAsia" w:ascii="宋体" w:hAnsi="宋体"/>
          <w:color w:val="000000" w:themeColor="text1"/>
          <w14:textFill>
            <w14:solidFill>
              <w14:schemeClr w14:val="tx1"/>
            </w14:solidFill>
          </w14:textFill>
        </w:rPr>
        <w:t>信用评级结果调整情况</w:t>
      </w:r>
    </w:p>
    <w:sdt>
      <w:sdtPr>
        <w:rPr>
          <w:rFonts w:hint="eastAsia" w:cs="Times New Roman"/>
          <w:bCs w:val="0"/>
          <w:color w:val="000000" w:themeColor="text1"/>
          <w:kern w:val="2"/>
          <w14:textFill>
            <w14:solidFill>
              <w14:schemeClr w14:val="tx1"/>
            </w14:solidFill>
          </w14:textFill>
        </w:rPr>
        <w:alias w:val="是否适用：公司债券评级情况[双击切换]"/>
        <w:tag w:val="_GBC_964e49aa0366415fa055308c9faddb13"/>
        <w:id w:val="147460686"/>
        <w:placeholder>
          <w:docPart w:val="GBC22222222222222222222222222222"/>
        </w:placeholder>
      </w:sdtPr>
      <w:sdtEndPr>
        <w:rPr>
          <w:rFonts w:hint="eastAsia" w:cs="Times New Roman"/>
          <w:bCs w:val="0"/>
          <w:color w:val="000000" w:themeColor="text1"/>
          <w:kern w:val="2"/>
          <w14:textFill>
            <w14:solidFill>
              <w14:schemeClr w14:val="tx1"/>
            </w14:solidFill>
          </w14:textFill>
        </w:rPr>
      </w:sdtEndPr>
      <w:sdtContent>
        <w:p w14:paraId="7A6C1E4C">
          <w:pPr>
            <w:rPr>
              <w:rFonts w:cs="Times New Roman"/>
              <w:bCs w:val="0"/>
              <w:color w:val="000000" w:themeColor="text1"/>
              <w:kern w:val="2"/>
              <w14:textFill>
                <w14:solidFill>
                  <w14:schemeClr w14:val="tx1"/>
                </w14:solidFill>
              </w14:textFill>
            </w:rPr>
          </w:pPr>
          <w:r>
            <w:rPr>
              <w:rFonts w:ascii="宋体" w:hAnsi="宋体" w:cs="Times New Roman"/>
              <w:bCs w:val="0"/>
              <w:color w:val="000000" w:themeColor="text1"/>
              <w:kern w:val="2"/>
              <w14:textFill>
                <w14:solidFill>
                  <w14:schemeClr w14:val="tx1"/>
                </w14:solidFill>
              </w14:textFill>
            </w:rPr>
            <w:fldChar w:fldCharType="begin"/>
          </w:r>
          <w:r>
            <w:rPr>
              <w:rFonts w:hint="eastAsia" w:ascii="宋体" w:hAnsi="宋体" w:cs="Times New Roman"/>
              <w:color w:val="000000" w:themeColor="text1"/>
              <w:kern w:val="2"/>
              <w14:textFill>
                <w14:solidFill>
                  <w14:schemeClr w14:val="tx1"/>
                </w14:solidFill>
              </w14:textFill>
            </w:rPr>
            <w:instrText xml:space="preserve"> MACROBUTTON  SnrToggleCheckbox □适用 </w:instrText>
          </w:r>
          <w:r>
            <w:rPr>
              <w:rFonts w:ascii="宋体" w:hAnsi="宋体" w:cs="Times New Roman"/>
              <w:bCs w:val="0"/>
              <w:color w:val="000000" w:themeColor="text1"/>
              <w:kern w:val="2"/>
              <w14:textFill>
                <w14:solidFill>
                  <w14:schemeClr w14:val="tx1"/>
                </w14:solidFill>
              </w14:textFill>
            </w:rPr>
            <w:fldChar w:fldCharType="end"/>
          </w:r>
          <w:r>
            <w:rPr>
              <w:rFonts w:ascii="宋体" w:hAnsi="宋体" w:cs="Times New Roman"/>
              <w:bCs w:val="0"/>
              <w:color w:val="000000" w:themeColor="text1"/>
              <w:kern w:val="2"/>
              <w14:textFill>
                <w14:solidFill>
                  <w14:schemeClr w14:val="tx1"/>
                </w14:solidFill>
              </w14:textFill>
            </w:rPr>
            <w:fldChar w:fldCharType="begin"/>
          </w:r>
          <w:r>
            <w:rPr>
              <w:rFonts w:hint="eastAsia" w:ascii="宋体" w:hAnsi="宋体" w:cs="Times New Roman"/>
              <w:color w:val="000000" w:themeColor="text1"/>
              <w:kern w:val="2"/>
              <w14:textFill>
                <w14:solidFill>
                  <w14:schemeClr w14:val="tx1"/>
                </w14:solidFill>
              </w14:textFill>
            </w:rPr>
            <w:instrText xml:space="preserve"> MACROBUTTON  SnrToggleCheckbox √不适用 </w:instrText>
          </w:r>
          <w:r>
            <w:rPr>
              <w:rFonts w:ascii="宋体" w:hAnsi="宋体" w:cs="Times New Roman"/>
              <w:bCs w:val="0"/>
              <w:color w:val="000000" w:themeColor="text1"/>
              <w:kern w:val="2"/>
              <w14:textFill>
                <w14:solidFill>
                  <w14:schemeClr w14:val="tx1"/>
                </w14:solidFill>
              </w14:textFill>
            </w:rPr>
            <w:fldChar w:fldCharType="end"/>
          </w:r>
        </w:p>
      </w:sdtContent>
    </w:sdt>
    <w:p w14:paraId="17C508C6">
      <w:pPr>
        <w:rPr>
          <w:rFonts w:cs="Times New Roman"/>
          <w:bCs w:val="0"/>
          <w:color w:val="000000" w:themeColor="text1"/>
          <w:kern w:val="2"/>
          <w14:textFill>
            <w14:solidFill>
              <w14:schemeClr w14:val="tx1"/>
            </w14:solidFill>
          </w14:textFill>
        </w:rPr>
      </w:pPr>
    </w:p>
    <w:bookmarkEnd w:id="120"/>
    <w:bookmarkEnd w:id="121"/>
    <w:p w14:paraId="1B9205E8">
      <w:pPr>
        <w:adjustRightInd w:val="0"/>
        <w:snapToGrid w:val="0"/>
        <w:rPr>
          <w:rFonts w:hAnsi="Arial" w:cs="Times New Roman"/>
          <w:bCs w:val="0"/>
          <w:color w:val="000000" w:themeColor="text1"/>
          <w:kern w:val="2"/>
          <w14:textFill>
            <w14:solidFill>
              <w14:schemeClr w14:val="tx1"/>
            </w14:solidFill>
          </w14:textFill>
        </w:rPr>
      </w:pPr>
      <w:bookmarkStart w:id="123" w:name="_Hlk105685972"/>
      <w:r>
        <w:rPr>
          <w:rFonts w:hint="eastAsia" w:ascii="Arial" w:hAnsi="Arial" w:cs="Times New Roman"/>
          <w:color w:val="000000" w:themeColor="text1"/>
          <w:kern w:val="2"/>
          <w14:textFill>
            <w14:solidFill>
              <w14:schemeClr w14:val="tx1"/>
            </w14:solidFill>
          </w14:textFill>
        </w:rPr>
        <w:t>其他说明</w:t>
      </w:r>
    </w:p>
    <w:sdt>
      <w:sdtPr>
        <w:rPr>
          <w:rFonts w:cs="Times New Roman"/>
          <w:bCs w:val="0"/>
          <w:color w:val="000000" w:themeColor="text1"/>
          <w:kern w:val="2"/>
          <w14:textFill>
            <w14:solidFill>
              <w14:schemeClr w14:val="tx1"/>
            </w14:solidFill>
          </w14:textFill>
        </w:rPr>
        <w:alias w:val="信用评级结果调整情况其他说明"/>
        <w:tag w:val="_GBC_8374c35808984d628ccf92147840f4dc"/>
        <w:id w:val="147469116"/>
        <w:placeholder>
          <w:docPart w:val="GBC22222222222222222222222222222"/>
        </w:placeholder>
      </w:sdtPr>
      <w:sdtEndPr>
        <w:rPr>
          <w:rFonts w:cs="Times New Roman"/>
          <w:bCs w:val="0"/>
          <w:color w:val="000000" w:themeColor="text1"/>
          <w:kern w:val="2"/>
          <w14:textFill>
            <w14:solidFill>
              <w14:schemeClr w14:val="tx1"/>
            </w14:solidFill>
          </w14:textFill>
        </w:rPr>
      </w:sdtEndPr>
      <w:sdtContent>
        <w:p w14:paraId="2BB5CB4A">
          <w:pPr>
            <w:rPr>
              <w:rFonts w:cs="Times New Roman"/>
              <w:bCs w:val="0"/>
              <w:color w:val="000000" w:themeColor="text1"/>
              <w:kern w:val="2"/>
              <w14:textFill>
                <w14:solidFill>
                  <w14:schemeClr w14:val="tx1"/>
                </w14:solidFill>
              </w14:textFill>
            </w:rPr>
          </w:pPr>
          <w:r>
            <w:rPr>
              <w:rFonts w:hint="eastAsia" w:cs="Times New Roman"/>
              <w:bCs w:val="0"/>
              <w:color w:val="000000" w:themeColor="text1"/>
              <w:kern w:val="2"/>
              <w14:textFill>
                <w14:solidFill>
                  <w14:schemeClr w14:val="tx1"/>
                </w14:solidFill>
              </w14:textFill>
            </w:rPr>
            <w:t>无</w:t>
          </w:r>
        </w:p>
      </w:sdtContent>
    </w:sdt>
    <w:p w14:paraId="73BC518B">
      <w:pPr>
        <w:rPr>
          <w:rFonts w:cs="Times New Roman"/>
          <w:b/>
          <w:bCs w:val="0"/>
          <w:color w:val="000000" w:themeColor="text1"/>
          <w:kern w:val="2"/>
          <w14:textFill>
            <w14:solidFill>
              <w14:schemeClr w14:val="tx1"/>
            </w14:solidFill>
          </w14:textFill>
        </w:rPr>
      </w:pPr>
    </w:p>
    <w:bookmarkEnd w:id="123"/>
    <w:p w14:paraId="13CC5CCD">
      <w:pPr>
        <w:pStyle w:val="58"/>
        <w:numPr>
          <w:ilvl w:val="0"/>
          <w:numId w:val="37"/>
        </w:numPr>
        <w:rPr>
          <w:rFonts w:ascii="宋体" w:hAnsi="宋体"/>
          <w:color w:val="000000" w:themeColor="text1"/>
          <w14:textFill>
            <w14:solidFill>
              <w14:schemeClr w14:val="tx1"/>
            </w14:solidFill>
          </w14:textFill>
        </w:rPr>
      </w:pPr>
      <w:bookmarkStart w:id="124" w:name="_Hlk105686033"/>
      <w:r>
        <w:rPr>
          <w:rFonts w:hint="eastAsia" w:ascii="宋体" w:hAnsi="宋体"/>
          <w:color w:val="000000" w:themeColor="text1"/>
          <w14:textFill>
            <w14:solidFill>
              <w14:schemeClr w14:val="tx1"/>
            </w14:solidFill>
          </w14:textFill>
        </w:rPr>
        <w:t>担保情况、偿债计划及其他偿债保障措施在报告期内的执行和变化情况及其影响</w:t>
      </w:r>
    </w:p>
    <w:sdt>
      <w:sdtPr>
        <w:rPr>
          <w:rFonts w:cs="Times New Roman"/>
          <w:bCs w:val="0"/>
          <w:color w:val="000000" w:themeColor="text1"/>
          <w:kern w:val="2"/>
          <w14:textFill>
            <w14:solidFill>
              <w14:schemeClr w14:val="tx1"/>
            </w14:solidFill>
          </w14:textFill>
        </w:rPr>
        <w:alias w:val="是否适用：担保情况、偿债计划及其他偿债保障措施在报告期内的执行情况和变化情况及对债券投资者权益的影响[双击切换]"/>
        <w:tag w:val="_GBC_ad1e9e8b0cdb4fc6835d46e0c897eb78"/>
        <w:id w:val="147477591"/>
        <w:placeholder>
          <w:docPart w:val="GBC22222222222222222222222222222"/>
        </w:placeholder>
      </w:sdtPr>
      <w:sdtEndPr>
        <w:rPr>
          <w:rFonts w:cs="Times New Roman"/>
          <w:bCs w:val="0"/>
          <w:color w:val="000000" w:themeColor="text1"/>
          <w:kern w:val="2"/>
          <w14:textFill>
            <w14:solidFill>
              <w14:schemeClr w14:val="tx1"/>
            </w14:solidFill>
          </w14:textFill>
        </w:rPr>
      </w:sdtEndPr>
      <w:sdtContent>
        <w:p w14:paraId="69AA6469">
          <w:pPr>
            <w:rPr>
              <w:rFonts w:cs="Times New Roman"/>
              <w:bCs w:val="0"/>
              <w:color w:val="000000" w:themeColor="text1"/>
              <w:kern w:val="2"/>
              <w14:textFill>
                <w14:solidFill>
                  <w14:schemeClr w14:val="tx1"/>
                </w14:solidFill>
              </w14:textFill>
            </w:rPr>
          </w:pPr>
          <w:r>
            <w:rPr>
              <w:rFonts w:ascii="宋体" w:hAnsi="宋体" w:cs="Times New Roman"/>
              <w:bCs w:val="0"/>
              <w:color w:val="000000" w:themeColor="text1"/>
              <w:kern w:val="2"/>
              <w14:textFill>
                <w14:solidFill>
                  <w14:schemeClr w14:val="tx1"/>
                </w14:solidFill>
              </w14:textFill>
            </w:rPr>
            <w:fldChar w:fldCharType="begin"/>
          </w:r>
          <w:r>
            <w:rPr>
              <w:rFonts w:hint="eastAsia" w:ascii="宋体" w:hAnsi="宋体" w:cs="Times New Roman"/>
              <w:color w:val="000000" w:themeColor="text1"/>
              <w:kern w:val="2"/>
              <w14:textFill>
                <w14:solidFill>
                  <w14:schemeClr w14:val="tx1"/>
                </w14:solidFill>
              </w14:textFill>
            </w:rPr>
            <w:instrText xml:space="preserve"> MACROBUTTON  SnrToggleCheckbox □适用 </w:instrText>
          </w:r>
          <w:r>
            <w:rPr>
              <w:rFonts w:ascii="宋体" w:hAnsi="宋体" w:cs="Times New Roman"/>
              <w:bCs w:val="0"/>
              <w:color w:val="000000" w:themeColor="text1"/>
              <w:kern w:val="2"/>
              <w14:textFill>
                <w14:solidFill>
                  <w14:schemeClr w14:val="tx1"/>
                </w14:solidFill>
              </w14:textFill>
            </w:rPr>
            <w:fldChar w:fldCharType="end"/>
          </w:r>
          <w:r>
            <w:rPr>
              <w:rFonts w:ascii="宋体" w:hAnsi="宋体" w:cs="Times New Roman"/>
              <w:bCs w:val="0"/>
              <w:color w:val="000000" w:themeColor="text1"/>
              <w:kern w:val="2"/>
              <w14:textFill>
                <w14:solidFill>
                  <w14:schemeClr w14:val="tx1"/>
                </w14:solidFill>
              </w14:textFill>
            </w:rPr>
            <w:fldChar w:fldCharType="begin"/>
          </w:r>
          <w:r>
            <w:rPr>
              <w:rFonts w:hint="eastAsia" w:ascii="宋体" w:hAnsi="宋体" w:cs="Times New Roman"/>
              <w:color w:val="000000" w:themeColor="text1"/>
              <w:kern w:val="2"/>
              <w14:textFill>
                <w14:solidFill>
                  <w14:schemeClr w14:val="tx1"/>
                </w14:solidFill>
              </w14:textFill>
            </w:rPr>
            <w:instrText xml:space="preserve"> MACROBUTTON  SnrToggleCheckbox √不适用 </w:instrText>
          </w:r>
          <w:r>
            <w:rPr>
              <w:rFonts w:ascii="宋体" w:hAnsi="宋体" w:cs="Times New Roman"/>
              <w:bCs w:val="0"/>
              <w:color w:val="000000" w:themeColor="text1"/>
              <w:kern w:val="2"/>
              <w14:textFill>
                <w14:solidFill>
                  <w14:schemeClr w14:val="tx1"/>
                </w14:solidFill>
              </w14:textFill>
            </w:rPr>
            <w:fldChar w:fldCharType="end"/>
          </w:r>
        </w:p>
      </w:sdtContent>
    </w:sdt>
    <w:p w14:paraId="762CFDD9">
      <w:pPr>
        <w:rPr>
          <w:rFonts w:cs="Times New Roman"/>
          <w:bCs w:val="0"/>
          <w:color w:val="000000" w:themeColor="text1"/>
          <w:kern w:val="2"/>
          <w14:textFill>
            <w14:solidFill>
              <w14:schemeClr w14:val="tx1"/>
            </w14:solidFill>
          </w14:textFill>
        </w:rPr>
      </w:pPr>
    </w:p>
    <w:bookmarkEnd w:id="124"/>
    <w:p w14:paraId="20D2C314">
      <w:pPr>
        <w:pStyle w:val="57"/>
        <w:numPr>
          <w:ilvl w:val="0"/>
          <w:numId w:val="36"/>
        </w:numPr>
        <w:rPr>
          <w:rFonts w:ascii="宋体" w:hAnsi="宋体"/>
          <w:color w:val="000000" w:themeColor="text1"/>
          <w14:textFill>
            <w14:solidFill>
              <w14:schemeClr w14:val="tx1"/>
            </w14:solidFill>
          </w14:textFill>
        </w:rPr>
      </w:pPr>
      <w:bookmarkStart w:id="125" w:name="_Hlk200456483"/>
      <w:r>
        <w:rPr>
          <w:rFonts w:hint="eastAsia" w:ascii="宋体" w:hAnsi="宋体"/>
          <w:color w:val="000000" w:themeColor="text1"/>
          <w14:textFill>
            <w14:solidFill>
              <w14:schemeClr w14:val="tx1"/>
            </w14:solidFill>
          </w14:textFill>
        </w:rPr>
        <w:t>公司债券募集资金情况</w:t>
      </w:r>
    </w:p>
    <w:sdt>
      <w:sdtPr>
        <w:rPr>
          <w:bCs w:val="0"/>
          <w:color w:val="000000" w:themeColor="text1"/>
          <w14:textFill>
            <w14:solidFill>
              <w14:schemeClr w14:val="tx1"/>
            </w14:solidFill>
          </w14:textFill>
        </w:rPr>
        <w:alias w:val="是否：在报告期内使用募集资金"/>
        <w:tag w:val="_GBC_a9fc2a22a6aa4f7bb7f1d88774b6e37e"/>
        <w:id w:val="147459303"/>
        <w:placeholder>
          <w:docPart w:val="GBC22222222222222222222222222222"/>
        </w:placeholder>
      </w:sdtPr>
      <w:sdtEndPr>
        <w:rPr>
          <w:b/>
          <w:bCs w:val="0"/>
          <w:color w:val="000000" w:themeColor="text1"/>
          <w14:textFill>
            <w14:solidFill>
              <w14:schemeClr w14:val="tx1"/>
            </w14:solidFill>
          </w14:textFill>
        </w:rPr>
      </w:sdtEndPr>
      <w:sdtContent>
        <w:p w14:paraId="77B0BF26">
          <w:pPr>
            <w:kinsoku w:val="0"/>
            <w:overflowPunct w:val="0"/>
            <w:rPr>
              <w:b/>
              <w:bCs w:val="0"/>
              <w:color w:val="000000" w:themeColor="text1"/>
              <w14:textFill>
                <w14:solidFill>
                  <w14:schemeClr w14:val="tx1"/>
                </w14:solidFill>
              </w14:textFill>
            </w:rPr>
          </w:pPr>
          <w:r>
            <w:rPr>
              <w:rFonts w:asciiTheme="majorEastAsia" w:hAnsiTheme="majorEastAsia" w:eastAsiaTheme="majorEastAsia"/>
              <w:bCs w:val="0"/>
              <w:color w:val="000000" w:themeColor="text1"/>
              <w14:textFill>
                <w14:solidFill>
                  <w14:schemeClr w14:val="tx1"/>
                </w14:solidFill>
              </w14:textFill>
            </w:rPr>
            <w:fldChar w:fldCharType="begin"/>
          </w:r>
          <w:r>
            <w:rPr>
              <w:rFonts w:hint="eastAsia" w:asciiTheme="majorEastAsia" w:hAnsiTheme="majorEastAsia" w:eastAsiaTheme="majorEastAsia"/>
              <w:bCs w:val="0"/>
              <w:color w:val="000000" w:themeColor="text1"/>
              <w14:textFill>
                <w14:solidFill>
                  <w14:schemeClr w14:val="tx1"/>
                </w14:solidFill>
              </w14:textFill>
            </w:rPr>
            <w:instrText xml:space="preserve"> MACROBUTTON  SnrToggleCheckbox □公司债券在报告期内涉及募集资金使用或者整改 </w:instrText>
          </w:r>
          <w:r>
            <w:rPr>
              <w:rFonts w:asciiTheme="majorEastAsia" w:hAnsiTheme="majorEastAsia" w:eastAsiaTheme="majorEastAsia"/>
              <w:bCs w:val="0"/>
              <w:color w:val="000000" w:themeColor="text1"/>
              <w14:textFill>
                <w14:solidFill>
                  <w14:schemeClr w14:val="tx1"/>
                </w14:solidFill>
              </w14:textFill>
            </w:rPr>
            <w:fldChar w:fldCharType="end"/>
          </w:r>
          <w:r>
            <w:rPr>
              <w:rFonts w:asciiTheme="majorEastAsia" w:hAnsiTheme="majorEastAsia" w:eastAsiaTheme="majorEastAsia"/>
              <w:bCs w:val="0"/>
              <w:color w:val="000000" w:themeColor="text1"/>
              <w14:textFill>
                <w14:solidFill>
                  <w14:schemeClr w14:val="tx1"/>
                </w14:solidFill>
              </w14:textFill>
            </w:rPr>
            <w:fldChar w:fldCharType="begin"/>
          </w:r>
          <w:r>
            <w:rPr>
              <w:rFonts w:hint="eastAsia" w:asciiTheme="majorEastAsia" w:hAnsiTheme="majorEastAsia" w:eastAsiaTheme="majorEastAsia"/>
              <w:bCs w:val="0"/>
              <w:color w:val="000000" w:themeColor="text1"/>
              <w14:textFill>
                <w14:solidFill>
                  <w14:schemeClr w14:val="tx1"/>
                </w14:solidFill>
              </w14:textFill>
            </w:rPr>
            <w:instrText xml:space="preserve"> MACROBUTTON  SnrToggleCheckbox √本公司所有公司债券在报告期内均不涉及募集资金使用或者整改 </w:instrText>
          </w:r>
          <w:r>
            <w:rPr>
              <w:rFonts w:asciiTheme="majorEastAsia" w:hAnsiTheme="majorEastAsia" w:eastAsiaTheme="majorEastAsia"/>
              <w:bCs w:val="0"/>
              <w:color w:val="000000" w:themeColor="text1"/>
              <w14:textFill>
                <w14:solidFill>
                  <w14:schemeClr w14:val="tx1"/>
                </w14:solidFill>
              </w14:textFill>
            </w:rPr>
            <w:fldChar w:fldCharType="end"/>
          </w:r>
        </w:p>
      </w:sdtContent>
    </w:sdt>
    <w:p w14:paraId="0496623B">
      <w:pPr>
        <w:kinsoku w:val="0"/>
        <w:overflowPunct w:val="0"/>
        <w:rPr>
          <w:b/>
          <w:bCs w:val="0"/>
          <w:color w:val="000000" w:themeColor="text1"/>
          <w14:textFill>
            <w14:solidFill>
              <w14:schemeClr w14:val="tx1"/>
            </w14:solidFill>
          </w14:textFill>
        </w:rPr>
      </w:pPr>
    </w:p>
    <w:bookmarkEnd w:id="125"/>
    <w:p w14:paraId="3CF361E8">
      <w:pPr>
        <w:pStyle w:val="57"/>
        <w:numPr>
          <w:ilvl w:val="0"/>
          <w:numId w:val="3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专项品种债券应当披露的其他事项</w:t>
      </w:r>
    </w:p>
    <w:p w14:paraId="7D1EE03F">
      <w:pPr>
        <w:rPr>
          <w:color w:val="000000" w:themeColor="text1"/>
          <w14:textFill>
            <w14:solidFill>
              <w14:schemeClr w14:val="tx1"/>
            </w14:solidFill>
          </w14:textFill>
        </w:rPr>
      </w:pPr>
      <w:sdt>
        <w:sdtPr>
          <w:rPr>
            <w:color w:val="000000" w:themeColor="text1"/>
            <w14:textFill>
              <w14:solidFill>
                <w14:schemeClr w14:val="tx1"/>
              </w14:solidFill>
            </w14:textFill>
          </w:rPr>
          <w:alias w:val="是否适用：专项品种债券事项[双击切换]"/>
          <w:tag w:val="_GBC_8990cd09e94e41caa21161912e5ca382"/>
          <w:id w:val="147478752"/>
          <w:placeholder>
            <w:docPart w:val="GBC22222222222222222222222222222"/>
          </w:placeholder>
        </w:sdtPr>
        <w:sdtEndPr>
          <w:rPr>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1BD7C2E8">
      <w:pPr>
        <w:kinsoku w:val="0"/>
        <w:overflowPunct w:val="0"/>
        <w:rPr>
          <w:color w:val="000000"/>
        </w:rPr>
      </w:pPr>
    </w:p>
    <w:bookmarkEnd w:id="122"/>
    <w:p w14:paraId="2B849EEB">
      <w:pPr>
        <w:pStyle w:val="57"/>
        <w:numPr>
          <w:ilvl w:val="0"/>
          <w:numId w:val="3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报告期内公司债券相关重要事项</w:t>
      </w:r>
    </w:p>
    <w:sdt>
      <w:sdtPr>
        <w:rPr>
          <w:color w:val="000000" w:themeColor="text1"/>
          <w14:textFill>
            <w14:solidFill>
              <w14:schemeClr w14:val="tx1"/>
            </w14:solidFill>
          </w14:textFill>
        </w:rPr>
        <w:alias w:val="是否适用：报告期内公司债券相关重要事项[双击切换]"/>
        <w:tag w:val="_GBC_b5c1f1bb171d41db987ae555bddecbbd"/>
        <w:id w:val="147453960"/>
        <w:lock w:val="contentLocked"/>
        <w:placeholder>
          <w:docPart w:val="GBC22222222222222222222222222222"/>
        </w:placeholder>
      </w:sdtPr>
      <w:sdtEndPr>
        <w:rPr>
          <w:color w:val="000000" w:themeColor="text1"/>
          <w14:textFill>
            <w14:solidFill>
              <w14:schemeClr w14:val="tx1"/>
            </w14:solidFill>
          </w14:textFill>
        </w:rPr>
      </w:sdtEndPr>
      <w:sdtContent>
        <w:p w14:paraId="57360C5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4396C36">
      <w:pPr>
        <w:kinsoku w:val="0"/>
        <w:overflowPunct w:val="0"/>
        <w:rPr>
          <w:color w:val="000000" w:themeColor="text1"/>
          <w14:textFill>
            <w14:solidFill>
              <w14:schemeClr w14:val="tx1"/>
            </w14:solidFill>
          </w14:textFill>
        </w:rPr>
      </w:pPr>
    </w:p>
    <w:p w14:paraId="198117E9">
      <w:pPr>
        <w:pStyle w:val="58"/>
        <w:numPr>
          <w:ilvl w:val="0"/>
          <w:numId w:val="38"/>
        </w:numPr>
        <w:rPr>
          <w:color w:val="000000" w:themeColor="text1"/>
          <w14:textFill>
            <w14:solidFill>
              <w14:schemeClr w14:val="tx1"/>
            </w14:solidFill>
          </w14:textFill>
        </w:rPr>
      </w:pPr>
      <w:bookmarkStart w:id="126" w:name="_Hlk169619094"/>
      <w:r>
        <w:rPr>
          <w:rFonts w:hint="eastAsia"/>
          <w:color w:val="000000" w:themeColor="text1"/>
          <w14:textFill>
            <w14:solidFill>
              <w14:schemeClr w14:val="tx1"/>
            </w14:solidFill>
          </w14:textFill>
        </w:rPr>
        <w:t>非经营性往来占款和资金拆借</w:t>
      </w:r>
    </w:p>
    <w:p w14:paraId="04E820F0">
      <w:pPr>
        <w:pStyle w:val="59"/>
        <w:numPr>
          <w:ilvl w:val="0"/>
          <w:numId w:val="39"/>
        </w:numPr>
        <w:rPr>
          <w:color w:val="000000" w:themeColor="text1"/>
          <w14:textFill>
            <w14:solidFill>
              <w14:schemeClr w14:val="tx1"/>
            </w14:solidFill>
          </w14:textFill>
        </w:rPr>
      </w:pPr>
      <w:r>
        <w:rPr>
          <w:rFonts w:hint="eastAsia"/>
          <w:color w:val="000000" w:themeColor="text1"/>
          <w14:textFill>
            <w14:solidFill>
              <w14:schemeClr w14:val="tx1"/>
            </w14:solidFill>
          </w14:textFill>
        </w:rPr>
        <w:t>非经营性往来占款和资金拆借余额</w:t>
      </w:r>
    </w:p>
    <w:p w14:paraId="37786692">
      <w:pPr>
        <w:pStyle w:val="60"/>
        <w:kinsoku w:val="0"/>
        <w:overflowPunct w:val="0"/>
        <w:spacing w:before="120" w:beforeLines="50" w:after="120" w:afterLines="50"/>
        <w:rPr>
          <w:color w:val="000000" w:themeColor="text1"/>
          <w14:textFill>
            <w14:solidFill>
              <w14:schemeClr w14:val="tx1"/>
            </w14:solidFill>
          </w14:textFill>
        </w:rPr>
      </w:pPr>
      <w:r>
        <w:rPr>
          <w:rFonts w:hint="eastAsia"/>
          <w:color w:val="000000" w:themeColor="text1"/>
          <w14:textFill>
            <w14:solidFill>
              <w14:schemeClr w14:val="tx1"/>
            </w14:solidFill>
          </w14:textFill>
        </w:rPr>
        <w:t>报告期初，公司合并口径应收的非因生产经营直接产生的对其他方的往来占款和资金拆借（以下简称非经营性往来占款和资金拆借）余额：</w:t>
      </w:r>
      <w:sdt>
        <w:sdtPr>
          <w:rPr>
            <w:rFonts w:hint="eastAsia"/>
            <w:color w:val="000000" w:themeColor="text1"/>
            <w14:textFill>
              <w14:solidFill>
                <w14:schemeClr w14:val="tx1"/>
              </w14:solidFill>
            </w14:textFill>
          </w:rPr>
          <w:alias w:val="非经营性往来占款和资金拆借金额"/>
          <w:tag w:val="_GBC_bee19427389e4555b75ba410c9d16be7"/>
          <w:id w:val="147456933"/>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w:t>
          </w:r>
        </w:sdtContent>
      </w:sdt>
      <w:sdt>
        <w:sdtPr>
          <w:rPr>
            <w:rFonts w:hint="eastAsia"/>
            <w:color w:val="000000" w:themeColor="text1"/>
            <w14:textFill>
              <w14:solidFill>
                <w14:schemeClr w14:val="tx1"/>
              </w14:solidFill>
            </w14:textFill>
          </w:rPr>
          <w:alias w:val="单位：非经营性往来占款和资金拆借"/>
          <w:tag w:val="_GBC_f75a7c511cc74cf9a1f2dd0563598af8"/>
          <w:id w:val="147472492"/>
          <w:placeholder>
            <w:docPart w:val="GBC22222222222222222222222222222"/>
          </w:placeholder>
          <w:dataBinding w:prefixMappings="xmlns:bond='bond'" w:xpath="/*/bond:DanWeiFeiJingYingXingWangLaiZhanKuanHeZiJinChaiJie[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lang w:eastAsia="zh-CN"/>
              <w14:textFill>
                <w14:solidFill>
                  <w14:schemeClr w14:val="tx1"/>
                </w14:solidFill>
              </w14:textFill>
            </w:rPr>
            <w:t>亿元</w:t>
          </w:r>
        </w:sdtContent>
      </w:sdt>
      <w:r>
        <w:rPr>
          <w:rFonts w:hint="eastAsia"/>
          <w:color w:val="000000" w:themeColor="text1"/>
          <w14:textFill>
            <w14:solidFill>
              <w14:schemeClr w14:val="tx1"/>
            </w14:solidFill>
          </w14:textFill>
        </w:rPr>
        <w:t>；</w:t>
      </w:r>
    </w:p>
    <w:p w14:paraId="301D2240">
      <w:pPr>
        <w:pStyle w:val="60"/>
        <w:kinsoku w:val="0"/>
        <w:overflowPunct w:val="0"/>
        <w:spacing w:before="120" w:beforeLines="50" w:after="120" w:afterLines="50"/>
        <w:rPr>
          <w:color w:val="000000" w:themeColor="text1"/>
          <w14:textFill>
            <w14:solidFill>
              <w14:schemeClr w14:val="tx1"/>
            </w14:solidFill>
          </w14:textFill>
        </w:rPr>
      </w:pPr>
      <w:r>
        <w:rPr>
          <w:rFonts w:hint="eastAsia"/>
          <w:color w:val="000000" w:themeColor="text1"/>
          <w14:textFill>
            <w14:solidFill>
              <w14:schemeClr w14:val="tx1"/>
            </w14:solidFill>
          </w14:textFill>
        </w:rPr>
        <w:t>报告期内，非经营性往来占款或资金拆借情形是否存在违反募集说明书相关约定或承诺的情况</w:t>
      </w:r>
    </w:p>
    <w:sdt>
      <w:sdtPr>
        <w:rPr>
          <w:rFonts w:asciiTheme="minorEastAsia" w:hAnsiTheme="minorEastAsia" w:eastAsiaTheme="minorEastAsia"/>
          <w:color w:val="000000" w:themeColor="text1"/>
          <w14:textFill>
            <w14:solidFill>
              <w14:schemeClr w14:val="tx1"/>
            </w14:solidFill>
          </w14:textFill>
        </w:rPr>
        <w:alias w:val="非经营性往来占款或资金拆借情形是否存在违反募集说明书相关约定或承诺的情况[双击切换]"/>
        <w:tag w:val="_GBC_7302cd4d6be44bbcab134f00193c8454"/>
        <w:id w:val="147470177"/>
        <w:placeholder>
          <w:docPart w:val="GBC22222222222222222222222222222"/>
        </w:placeholder>
      </w:sdtPr>
      <w:sdtEndPr>
        <w:rPr>
          <w:rFonts w:asciiTheme="minorEastAsia" w:hAnsiTheme="minorEastAsia" w:eastAsiaTheme="minorEastAsia"/>
          <w:color w:val="000000" w:themeColor="text1"/>
          <w14:textFill>
            <w14:solidFill>
              <w14:schemeClr w14:val="tx1"/>
            </w14:solidFill>
          </w14:textFill>
        </w:rPr>
      </w:sdtEndPr>
      <w:sdtContent>
        <w:p w14:paraId="166DAEDD">
          <w:pPr>
            <w:rPr>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fldChar w:fldCharType="begin"/>
          </w:r>
          <w:r>
            <w:rPr>
              <w:rFonts w:hint="eastAsia" w:asciiTheme="minorEastAsia" w:hAnsiTheme="minorEastAsia" w:eastAsiaTheme="minorEastAsia"/>
              <w:color w:val="000000" w:themeColor="text1"/>
              <w14:textFill>
                <w14:solidFill>
                  <w14:schemeClr w14:val="tx1"/>
                </w14:solidFill>
              </w14:textFill>
            </w:rPr>
            <w:instrText xml:space="preserve"> MACROBUTTON  SnrToggleCheckbox □是 </w:instrText>
          </w:r>
          <w:r>
            <w:rPr>
              <w:rFonts w:asciiTheme="minorEastAsia" w:hAnsiTheme="minorEastAsia" w:eastAsiaTheme="minorEastAsia"/>
              <w:color w:val="000000" w:themeColor="text1"/>
              <w14:textFill>
                <w14:solidFill>
                  <w14:schemeClr w14:val="tx1"/>
                </w14:solidFill>
              </w14:textFill>
            </w:rPr>
            <w:fldChar w:fldCharType="end"/>
          </w:r>
          <w:r>
            <w:rPr>
              <w:rFonts w:asciiTheme="minorEastAsia" w:hAnsiTheme="minorEastAsia" w:eastAsiaTheme="minorEastAsia"/>
              <w:color w:val="000000" w:themeColor="text1"/>
              <w14:textFill>
                <w14:solidFill>
                  <w14:schemeClr w14:val="tx1"/>
                </w14:solidFill>
              </w14:textFill>
            </w:rPr>
            <w:fldChar w:fldCharType="begin"/>
          </w:r>
          <w:r>
            <w:rPr>
              <w:rFonts w:hint="eastAsia" w:asciiTheme="minorEastAsia" w:hAnsiTheme="minorEastAsia" w:eastAsiaTheme="minorEastAsia"/>
              <w:color w:val="000000" w:themeColor="text1"/>
              <w14:textFill>
                <w14:solidFill>
                  <w14:schemeClr w14:val="tx1"/>
                </w14:solidFill>
              </w14:textFill>
            </w:rPr>
            <w:instrText xml:space="preserve"> MACROBUTTON  SnrToggleCheckbox √否 </w:instrText>
          </w:r>
          <w:r>
            <w:rPr>
              <w:rFonts w:asciiTheme="minorEastAsia" w:hAnsiTheme="minorEastAsia" w:eastAsiaTheme="minorEastAsia"/>
              <w:color w:val="000000" w:themeColor="text1"/>
              <w14:textFill>
                <w14:solidFill>
                  <w14:schemeClr w14:val="tx1"/>
                </w14:solidFill>
              </w14:textFill>
            </w:rPr>
            <w:fldChar w:fldCharType="end"/>
          </w:r>
        </w:p>
      </w:sdtContent>
    </w:sdt>
    <w:p w14:paraId="13286EFE">
      <w:pPr>
        <w:rPr>
          <w:color w:val="000000" w:themeColor="text1"/>
          <w14:textFill>
            <w14:solidFill>
              <w14:schemeClr w14:val="tx1"/>
            </w14:solidFill>
          </w14:textFill>
        </w:rPr>
      </w:pPr>
    </w:p>
    <w:p w14:paraId="1E013BBC">
      <w:pPr>
        <w:rPr>
          <w:color w:val="000000" w:themeColor="text1"/>
          <w14:textFill>
            <w14:solidFill>
              <w14:schemeClr w14:val="tx1"/>
            </w14:solidFill>
          </w14:textFill>
        </w:rPr>
      </w:pPr>
      <w:r>
        <w:rPr>
          <w:rFonts w:hint="eastAsia"/>
          <w:color w:val="000000" w:themeColor="text1"/>
          <w14:textFill>
            <w14:solidFill>
              <w14:schemeClr w14:val="tx1"/>
            </w14:solidFill>
          </w14:textFill>
        </w:rPr>
        <w:t>报告期末，未收回的非经营性往来占款和资金拆借合计：</w:t>
      </w:r>
      <w:sdt>
        <w:sdtPr>
          <w:rPr>
            <w:rFonts w:hint="eastAsia"/>
            <w:color w:val="000000" w:themeColor="text1"/>
            <w14:textFill>
              <w14:solidFill>
                <w14:schemeClr w14:val="tx1"/>
              </w14:solidFill>
            </w14:textFill>
          </w:rPr>
          <w:alias w:val="未回收的非经营性往来占款和资金拆借占款金额合计"/>
          <w:tag w:val="_GBC_3b72d6534263473ba1502e58f23ed40c"/>
          <w:id w:val="147470645"/>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w:t>
          </w:r>
        </w:sdtContent>
      </w:sdt>
      <w:sdt>
        <w:sdtPr>
          <w:rPr>
            <w:rFonts w:hint="eastAsia"/>
            <w:color w:val="000000" w:themeColor="text1"/>
            <w14:textFill>
              <w14:solidFill>
                <w14:schemeClr w14:val="tx1"/>
              </w14:solidFill>
            </w14:textFill>
          </w:rPr>
          <w:alias w:val="单位：非经营性往来占款和资金拆借"/>
          <w:tag w:val="_GBC_65e2c15e26634a0e8d47357f4c34b8e7"/>
          <w:id w:val="147452918"/>
          <w:placeholder>
            <w:docPart w:val="GBC22222222222222222222222222222"/>
          </w:placeholder>
          <w:dataBinding w:prefixMappings="xmlns:bond='bond'" w:xpath="/*/bond:DanWeiFeiJingYingXingWangLaiZhanKuanHeZiJinChaiJie[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lang w:eastAsia="zh-CN"/>
              <w14:textFill>
                <w14:solidFill>
                  <w14:schemeClr w14:val="tx1"/>
                </w14:solidFill>
              </w14:textFill>
            </w:rPr>
            <w:t>亿元</w:t>
          </w:r>
        </w:sdtContent>
      </w:sdt>
    </w:p>
    <w:p w14:paraId="187A8D0F">
      <w:pPr>
        <w:rPr>
          <w:color w:val="000000" w:themeColor="text1"/>
          <w14:textFill>
            <w14:solidFill>
              <w14:schemeClr w14:val="tx1"/>
            </w14:solidFill>
          </w14:textFill>
        </w:rPr>
      </w:pPr>
    </w:p>
    <w:p w14:paraId="40B1A57A">
      <w:pPr>
        <w:pStyle w:val="59"/>
        <w:numPr>
          <w:ilvl w:val="0"/>
          <w:numId w:val="39"/>
        </w:numPr>
        <w:rPr>
          <w:color w:val="000000" w:themeColor="text1"/>
          <w14:textFill>
            <w14:solidFill>
              <w14:schemeClr w14:val="tx1"/>
            </w14:solidFill>
          </w14:textFill>
        </w:rPr>
      </w:pPr>
      <w:r>
        <w:rPr>
          <w:rFonts w:hint="eastAsia"/>
          <w:color w:val="000000" w:themeColor="text1"/>
          <w14:textFill>
            <w14:solidFill>
              <w14:schemeClr w14:val="tx1"/>
            </w14:solidFill>
          </w14:textFill>
        </w:rPr>
        <w:t>非经营性往来占款和资金拆借明细</w:t>
      </w:r>
    </w:p>
    <w:p w14:paraId="0B5B3A16">
      <w:pPr>
        <w:rPr>
          <w:color w:val="000000" w:themeColor="text1"/>
          <w14:textFill>
            <w14:solidFill>
              <w14:schemeClr w14:val="tx1"/>
            </w14:solidFill>
          </w14:textFill>
        </w:rPr>
      </w:pPr>
      <w:r>
        <w:rPr>
          <w:rFonts w:hint="eastAsia"/>
          <w:color w:val="000000" w:themeColor="text1"/>
          <w14:textFill>
            <w14:solidFill>
              <w14:schemeClr w14:val="tx1"/>
            </w14:solidFill>
          </w14:textFill>
        </w:rPr>
        <w:t>报告期末，公司合并口径未收回的非经营性往来占款和资金拆借占合并口径净资产的比例：</w:t>
      </w:r>
      <w:sdt>
        <w:sdtPr>
          <w:rPr>
            <w:rFonts w:hint="eastAsia"/>
            <w:color w:val="000000" w:themeColor="text1"/>
            <w14:textFill>
              <w14:solidFill>
                <w14:schemeClr w14:val="tx1"/>
              </w14:solidFill>
            </w14:textFill>
          </w:rPr>
          <w:alias w:val="报告期末非经营性往来占款和资金拆借合计占净资产的比例"/>
          <w:tag w:val="_GBC_a35edbb6aef648bd990d7e323162cba2"/>
          <w:id w:val="147482123"/>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w:t>
          </w:r>
        </w:sdtContent>
      </w:sdt>
      <w:r>
        <w:rPr>
          <w:rFonts w:hint="eastAsia"/>
          <w:color w:val="000000" w:themeColor="text1"/>
          <w14:textFill>
            <w14:solidFill>
              <w14:schemeClr w14:val="tx1"/>
            </w14:solidFill>
          </w14:textFill>
        </w:rPr>
        <w:t>%</w:t>
      </w:r>
    </w:p>
    <w:p w14:paraId="23D30FD4">
      <w:pPr>
        <w:rPr>
          <w:color w:val="000000" w:themeColor="text1"/>
          <w14:textFill>
            <w14:solidFill>
              <w14:schemeClr w14:val="tx1"/>
            </w14:solidFill>
          </w14:textFill>
        </w:rPr>
      </w:pPr>
      <w:r>
        <w:rPr>
          <w:rFonts w:hint="eastAsia"/>
          <w:color w:val="000000" w:themeColor="text1"/>
          <w14:textFill>
            <w14:solidFill>
              <w14:schemeClr w14:val="tx1"/>
            </w14:solidFill>
          </w14:textFill>
        </w:rPr>
        <w:t>是否超过合并口径净资产的10%：</w:t>
      </w:r>
      <w:sdt>
        <w:sdtPr>
          <w:rPr>
            <w:rFonts w:hint="eastAsia"/>
            <w:color w:val="000000" w:themeColor="text1"/>
            <w14:textFill>
              <w14:solidFill>
                <w14:schemeClr w14:val="tx1"/>
              </w14:solidFill>
            </w14:textFill>
          </w:rPr>
          <w:alias w:val="报告期末非经营性往来占款和资金拆借合计占净资产的比例是否超过10%[双击切换]"/>
          <w:tag w:val="_GBC_21e7cc88877444fbafcb0d3f2afac497"/>
          <w:id w:val="147472276"/>
          <w:placeholder>
            <w:docPart w:val="GBC22222222222222222222222222222"/>
          </w:placeholder>
        </w:sdtPr>
        <w:sdtEndPr>
          <w:rPr>
            <w:rFonts w:hint="eastAsia"/>
            <w:color w:val="000000" w:themeColor="text1"/>
            <w14:textFill>
              <w14:solidFill>
                <w14:schemeClr w14:val="tx1"/>
              </w14:solidFill>
            </w14:textFill>
          </w:rPr>
        </w:sdtEndPr>
        <w:sdtContent>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□是 </w:instrText>
          </w:r>
          <w:r>
            <w:rPr>
              <w:color w:val="000000" w:themeColor="text1"/>
              <w14:textFill>
                <w14:solidFill>
                  <w14:schemeClr w14:val="tx1"/>
                </w14:solidFill>
              </w14:textFill>
            </w:rPr>
            <w:fldChar w:fldCharType="end"/>
          </w:r>
          <w:r>
            <w:rPr>
              <w:rFonts w:asciiTheme="minorEastAsia" w:hAnsiTheme="minorEastAsia" w:eastAsiaTheme="minorEastAsia"/>
              <w:color w:val="000000" w:themeColor="text1"/>
              <w14:textFill>
                <w14:solidFill>
                  <w14:schemeClr w14:val="tx1"/>
                </w14:solidFill>
              </w14:textFill>
            </w:rPr>
            <w:fldChar w:fldCharType="begin"/>
          </w:r>
          <w:r>
            <w:rPr>
              <w:rFonts w:hint="eastAsia" w:asciiTheme="minorEastAsia" w:hAnsiTheme="minorEastAsia" w:eastAsiaTheme="minorEastAsia"/>
              <w:color w:val="000000" w:themeColor="text1"/>
              <w14:textFill>
                <w14:solidFill>
                  <w14:schemeClr w14:val="tx1"/>
                </w14:solidFill>
              </w14:textFill>
            </w:rPr>
            <w:instrText xml:space="preserve"> MACROBUTTON  SnrToggleCheckbox √否 </w:instrText>
          </w:r>
          <w:r>
            <w:rPr>
              <w:rFonts w:asciiTheme="minorEastAsia" w:hAnsiTheme="minorEastAsia" w:eastAsiaTheme="minorEastAsia"/>
              <w:color w:val="000000" w:themeColor="text1"/>
              <w14:textFill>
                <w14:solidFill>
                  <w14:schemeClr w14:val="tx1"/>
                </w14:solidFill>
              </w14:textFill>
            </w:rPr>
            <w:fldChar w:fldCharType="end"/>
          </w:r>
        </w:sdtContent>
      </w:sdt>
    </w:p>
    <w:bookmarkEnd w:id="126"/>
    <w:p w14:paraId="0F5966AB">
      <w:pPr>
        <w:rPr>
          <w:color w:val="000000" w:themeColor="text1"/>
          <w14:textFill>
            <w14:solidFill>
              <w14:schemeClr w14:val="tx1"/>
            </w14:solidFill>
          </w14:textFill>
        </w:rPr>
      </w:pPr>
      <w:bookmarkStart w:id="127" w:name="_Hlk169619769"/>
    </w:p>
    <w:p w14:paraId="03F65262">
      <w:pPr>
        <w:pStyle w:val="59"/>
        <w:numPr>
          <w:ilvl w:val="0"/>
          <w:numId w:val="39"/>
        </w:numPr>
        <w:rPr>
          <w:color w:val="000000" w:themeColor="text1"/>
          <w14:textFill>
            <w14:solidFill>
              <w14:schemeClr w14:val="tx1"/>
            </w14:solidFill>
          </w14:textFill>
        </w:rPr>
      </w:pPr>
      <w:r>
        <w:rPr>
          <w:rFonts w:hint="eastAsia"/>
          <w:color w:val="000000" w:themeColor="text1"/>
          <w14:textFill>
            <w14:solidFill>
              <w14:schemeClr w14:val="tx1"/>
            </w14:solidFill>
          </w14:textFill>
        </w:rPr>
        <w:t>以前报告期内披露的回款安排的执行情况</w:t>
      </w:r>
    </w:p>
    <w:sdt>
      <w:sdtPr>
        <w:rPr>
          <w:rFonts w:hint="eastAsia"/>
          <w:color w:val="000000" w:themeColor="text1"/>
          <w14:textFill>
            <w14:solidFill>
              <w14:schemeClr w14:val="tx1"/>
            </w14:solidFill>
          </w14:textFill>
        </w:rPr>
        <w:alias w:val="是否完全执行：以前报告期内披露的回款安排的执行情况"/>
        <w:tag w:val="_GBC_301bdaf81e754f7484a7ac6de000c4cd"/>
        <w:id w:val="147463980"/>
        <w:placeholder>
          <w:docPart w:val="GBC22222222222222222222222222222"/>
        </w:placeholder>
      </w:sdtPr>
      <w:sdtEndPr>
        <w:rPr>
          <w:rFonts w:hint="eastAsia"/>
          <w:color w:val="000000" w:themeColor="text1"/>
          <w14:textFill>
            <w14:solidFill>
              <w14:schemeClr w14:val="tx1"/>
            </w14:solidFill>
          </w14:textFill>
        </w:rPr>
      </w:sdtEndPr>
      <w:sdtContent>
        <w:p w14:paraId="706FCC51">
          <w:pPr>
            <w:tabs>
              <w:tab w:val="left" w:pos="1080"/>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MACROBUTTON  SnrToggleCheckbox √完全执行 </w:instrText>
          </w:r>
          <w:r>
            <w:rPr>
              <w:color w:val="000000" w:themeColor="text1"/>
              <w14:textFill>
                <w14:solidFill>
                  <w14:schemeClr w14:val="tx1"/>
                </w14:solidFill>
              </w14:textFill>
            </w:rPr>
            <w:fldChar w:fldCharType="end"/>
          </w:r>
          <w:r>
            <w:rPr>
              <w:rFonts w:asciiTheme="minorEastAsia" w:hAnsiTheme="minorEastAsia" w:eastAsiaTheme="minorEastAsia"/>
              <w:color w:val="000000" w:themeColor="text1"/>
              <w14:textFill>
                <w14:solidFill>
                  <w14:schemeClr w14:val="tx1"/>
                </w14:solidFill>
              </w14:textFill>
            </w:rPr>
            <w:fldChar w:fldCharType="begin"/>
          </w:r>
          <w:r>
            <w:rPr>
              <w:rFonts w:hint="eastAsia" w:asciiTheme="minorEastAsia" w:hAnsiTheme="minorEastAsia" w:eastAsiaTheme="minorEastAsia"/>
              <w:color w:val="000000" w:themeColor="text1"/>
              <w14:textFill>
                <w14:solidFill>
                  <w14:schemeClr w14:val="tx1"/>
                </w14:solidFill>
              </w14:textFill>
            </w:rPr>
            <w:instrText xml:space="preserve"> MACROBUTTON  SnrToggleCheckbox □未完全执行 </w:instrText>
          </w:r>
          <w:r>
            <w:rPr>
              <w:rFonts w:asciiTheme="minorEastAsia" w:hAnsiTheme="minorEastAsia" w:eastAsiaTheme="minorEastAsia"/>
              <w:color w:val="000000" w:themeColor="text1"/>
              <w14:textFill>
                <w14:solidFill>
                  <w14:schemeClr w14:val="tx1"/>
                </w14:solidFill>
              </w14:textFill>
            </w:rPr>
            <w:fldChar w:fldCharType="end"/>
          </w:r>
        </w:p>
      </w:sdtContent>
    </w:sdt>
    <w:p w14:paraId="30940572">
      <w:pPr>
        <w:rPr>
          <w:color w:val="000000" w:themeColor="text1"/>
          <w14:textFill>
            <w14:solidFill>
              <w14:schemeClr w14:val="tx1"/>
            </w14:solidFill>
          </w14:textFill>
        </w:rPr>
      </w:pPr>
    </w:p>
    <w:bookmarkEnd w:id="127"/>
    <w:p w14:paraId="4B4F59A7">
      <w:pPr>
        <w:pStyle w:val="58"/>
        <w:numPr>
          <w:ilvl w:val="0"/>
          <w:numId w:val="38"/>
        </w:numPr>
        <w:rPr>
          <w:color w:val="000000" w:themeColor="text1"/>
          <w14:textFill>
            <w14:solidFill>
              <w14:schemeClr w14:val="tx1"/>
            </w14:solidFill>
          </w14:textFill>
        </w:rPr>
      </w:pPr>
      <w:bookmarkStart w:id="128" w:name="_Toc141452811"/>
      <w:bookmarkStart w:id="129" w:name="_Hlk169620115"/>
      <w:r>
        <w:rPr>
          <w:rFonts w:hint="eastAsia"/>
          <w:color w:val="000000" w:themeColor="text1"/>
          <w14:textFill>
            <w14:solidFill>
              <w14:schemeClr w14:val="tx1"/>
            </w14:solidFill>
          </w14:textFill>
        </w:rPr>
        <w:t>负债情况</w:t>
      </w:r>
      <w:bookmarkEnd w:id="128"/>
    </w:p>
    <w:p w14:paraId="42FCC761">
      <w:pPr>
        <w:pStyle w:val="59"/>
        <w:numPr>
          <w:ilvl w:val="0"/>
          <w:numId w:val="40"/>
        </w:numPr>
        <w:rPr>
          <w:color w:val="000000" w:themeColor="text1"/>
          <w14:textFill>
            <w14:solidFill>
              <w14:schemeClr w14:val="tx1"/>
            </w14:solidFill>
          </w14:textFill>
        </w:rPr>
      </w:pPr>
      <w:r>
        <w:rPr>
          <w:rFonts w:hint="eastAsia"/>
          <w:color w:val="000000" w:themeColor="text1"/>
          <w14:textFill>
            <w14:solidFill>
              <w14:schemeClr w14:val="tx1"/>
            </w14:solidFill>
          </w14:textFill>
        </w:rPr>
        <w:t>有息债务及其变动情况</w:t>
      </w:r>
    </w:p>
    <w:p w14:paraId="6A4DA427">
      <w:pPr>
        <w:pStyle w:val="63"/>
        <w:numPr>
          <w:ilvl w:val="0"/>
          <w:numId w:val="41"/>
        </w:numPr>
        <w:ind w:left="420" w:firstLineChars="0"/>
        <w:outlineLvl w:val="5"/>
        <w:rPr>
          <w:b/>
          <w:color w:val="000000" w:themeColor="text1"/>
          <w14:textFill>
            <w14:solidFill>
              <w14:schemeClr w14:val="tx1"/>
            </w14:solidFill>
          </w14:textFill>
        </w:rPr>
      </w:pPr>
      <w:bookmarkStart w:id="130" w:name="_Hlk200359969"/>
      <w:r>
        <w:rPr>
          <w:rFonts w:hint="eastAsia"/>
          <w:b/>
          <w:color w:val="000000" w:themeColor="text1"/>
          <w14:textFill>
            <w14:solidFill>
              <w14:schemeClr w14:val="tx1"/>
            </w14:solidFill>
          </w14:textFill>
        </w:rPr>
        <w:t>公司债务结构情况</w:t>
      </w:r>
    </w:p>
    <w:p w14:paraId="52598CE5">
      <w:pPr>
        <w:pStyle w:val="63"/>
        <w:ind w:firstLine="4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报告期初和报告期末，公司（非公司合并范围口径）有息债务余额分别为</w:t>
      </w:r>
      <w:sdt>
        <w:sdtPr>
          <w:rPr>
            <w:rFonts w:ascii="Times New Roman" w:hAnsi="Times New Roman"/>
            <w:color w:val="000000" w:themeColor="text1"/>
            <w14:textFill>
              <w14:solidFill>
                <w14:schemeClr w14:val="tx1"/>
              </w14:solidFill>
            </w14:textFill>
          </w:rPr>
          <w:alias w:val="有息债务"/>
          <w:tag w:val="_GBC_b3542d7d369643879d02099ffb14e6a8"/>
          <w:id w:val="147474809"/>
          <w:placeholder>
            <w:docPart w:val="GBC22222222222222222222222222222"/>
          </w:placeholder>
        </w:sdtPr>
        <w:sdtEndPr>
          <w:rPr>
            <w:rFonts w:ascii="Times New Roman" w:hAnsi="Times New Roman"/>
            <w:color w:val="000000" w:themeColor="text1"/>
            <w14:textFill>
              <w14:solidFill>
                <w14:schemeClr w14:val="tx1"/>
              </w14:solidFill>
            </w14:textFill>
          </w:rPr>
        </w:sdtEndPr>
        <w:sdtContent>
          <w:r>
            <w:rPr>
              <w:rFonts w:ascii="Times New Roman" w:hAnsi="Times New Roman"/>
              <w:color w:val="000000" w:themeColor="text1"/>
              <w14:textFill>
                <w14:solidFill>
                  <w14:schemeClr w14:val="tx1"/>
                </w14:solidFill>
              </w14:textFill>
            </w:rPr>
            <w:t>12.43</w:t>
          </w:r>
        </w:sdtContent>
      </w:sdt>
      <w:sdt>
        <w:sdtPr>
          <w:rPr>
            <w:rFonts w:ascii="Times New Roman" w:hAnsi="Times New Roman"/>
            <w:color w:val="000000" w:themeColor="text1"/>
            <w14:textFill>
              <w14:solidFill>
                <w14:schemeClr w14:val="tx1"/>
              </w14:solidFill>
            </w14:textFill>
          </w:rPr>
          <w:alias w:val="单位：母公司有息债务"/>
          <w:tag w:val="_GBC_6565ff86bbdd44e9a5dd16ddba451e23"/>
          <w:id w:val="147474023"/>
          <w:placeholder>
            <w:docPart w:val="GBC22222222222222222222222222222"/>
          </w:placeholder>
          <w:dataBinding w:prefixMappings="xmlns:bond='bond'" w:xpath="/*/bond:DanWeiMuGongS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ascii="Times New Roman" w:hAnsi="Times New Roman"/>
            <w:color w:val="000000" w:themeColor="text1"/>
            <w14:textFill>
              <w14:solidFill>
                <w14:schemeClr w14:val="tx1"/>
              </w14:solidFill>
            </w14:textFill>
          </w:rPr>
        </w:sdtEndPr>
        <w:sdtContent>
          <w:r>
            <w:rPr>
              <w:rFonts w:ascii="Times New Roman" w:hAnsi="Times New Roman"/>
              <w:color w:val="000000" w:themeColor="text1"/>
              <w14:textFill>
                <w14:solidFill>
                  <w14:schemeClr w14:val="tx1"/>
                </w14:solidFill>
              </w14:textFill>
            </w:rPr>
            <w:t>亿元</w:t>
          </w:r>
        </w:sdtContent>
      </w:sdt>
      <w:r>
        <w:rPr>
          <w:rFonts w:ascii="Times New Roman" w:hAnsi="Times New Roman"/>
          <w:color w:val="000000" w:themeColor="text1"/>
          <w14:textFill>
            <w14:solidFill>
              <w14:schemeClr w14:val="tx1"/>
            </w14:solidFill>
          </w14:textFill>
        </w:rPr>
        <w:t>和</w:t>
      </w:r>
      <w:sdt>
        <w:sdtPr>
          <w:rPr>
            <w:rFonts w:ascii="Times New Roman" w:hAnsi="Times New Roman"/>
            <w:color w:val="000000" w:themeColor="text1"/>
            <w14:textFill>
              <w14:solidFill>
                <w14:schemeClr w14:val="tx1"/>
              </w14:solidFill>
            </w14:textFill>
          </w:rPr>
          <w:alias w:val="有息债务"/>
          <w:tag w:val="_GBC_8e6091c8bc0846ff859bebec3d77bbb2"/>
          <w:id w:val="147463729"/>
          <w:placeholder>
            <w:docPart w:val="GBC22222222222222222222222222222"/>
          </w:placeholder>
        </w:sdtPr>
        <w:sdtEndPr>
          <w:rPr>
            <w:rFonts w:ascii="Times New Roman" w:hAnsi="Times New Roman"/>
            <w:color w:val="000000" w:themeColor="text1"/>
            <w14:textFill>
              <w14:solidFill>
                <w14:schemeClr w14:val="tx1"/>
              </w14:solidFill>
            </w14:textFill>
          </w:rPr>
        </w:sdtEndPr>
        <w:sdtContent>
          <w:r>
            <w:rPr>
              <w:rFonts w:ascii="Times New Roman" w:hAnsi="Times New Roman"/>
              <w:color w:val="000000" w:themeColor="text1"/>
              <w14:textFill>
                <w14:solidFill>
                  <w14:schemeClr w14:val="tx1"/>
                </w14:solidFill>
              </w14:textFill>
            </w:rPr>
            <w:t>32.05</w:t>
          </w:r>
        </w:sdtContent>
      </w:sdt>
      <w:sdt>
        <w:sdtPr>
          <w:rPr>
            <w:rFonts w:ascii="Times New Roman" w:hAnsi="Times New Roman"/>
            <w:color w:val="000000" w:themeColor="text1"/>
            <w14:textFill>
              <w14:solidFill>
                <w14:schemeClr w14:val="tx1"/>
              </w14:solidFill>
            </w14:textFill>
          </w:rPr>
          <w:alias w:val="单位：母公司有息债务"/>
          <w:tag w:val="_GBC_44fc6fb130534a4b8fb8b625266fdb93"/>
          <w:id w:val="147463460"/>
          <w:placeholder>
            <w:docPart w:val="GBC22222222222222222222222222222"/>
          </w:placeholder>
          <w:dataBinding w:prefixMappings="xmlns:bond='bond'" w:xpath="/*/bond:DanWeiMuGongS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ascii="Times New Roman" w:hAnsi="Times New Roman"/>
            <w:color w:val="000000" w:themeColor="text1"/>
            <w14:textFill>
              <w14:solidFill>
                <w14:schemeClr w14:val="tx1"/>
              </w14:solidFill>
            </w14:textFill>
          </w:rPr>
        </w:sdtEndPr>
        <w:sdtContent>
          <w:r>
            <w:rPr>
              <w:rFonts w:ascii="Times New Roman" w:hAnsi="Times New Roman"/>
              <w:color w:val="000000" w:themeColor="text1"/>
              <w14:textFill>
                <w14:solidFill>
                  <w14:schemeClr w14:val="tx1"/>
                </w14:solidFill>
              </w14:textFill>
            </w:rPr>
            <w:t>亿元</w:t>
          </w:r>
        </w:sdtContent>
      </w:sdt>
      <w:r>
        <w:rPr>
          <w:rFonts w:ascii="Times New Roman" w:hAnsi="Times New Roman"/>
          <w:color w:val="000000" w:themeColor="text1"/>
          <w14:textFill>
            <w14:solidFill>
              <w14:schemeClr w14:val="tx1"/>
            </w14:solidFill>
          </w14:textFill>
        </w:rPr>
        <w:t>，报告期内有息债务余额同比变动</w:t>
      </w:r>
      <w:sdt>
        <w:sdtPr>
          <w:rPr>
            <w:rFonts w:ascii="Times New Roman" w:hAnsi="Times New Roman"/>
            <w:color w:val="000000" w:themeColor="text1"/>
            <w14:textFill>
              <w14:solidFill>
                <w14:schemeClr w14:val="tx1"/>
              </w14:solidFill>
            </w14:textFill>
          </w:rPr>
          <w:alias w:val="有息债务变动比例"/>
          <w:tag w:val="_GBC_61e74095990b4d298b097f5be2b1c3e9"/>
          <w:id w:val="147453739"/>
          <w:placeholder>
            <w:docPart w:val="GBC22222222222222222222222222222"/>
          </w:placeholder>
        </w:sdtPr>
        <w:sdtEndPr>
          <w:rPr>
            <w:rFonts w:ascii="Times New Roman" w:hAnsi="Times New Roman"/>
            <w:color w:val="000000" w:themeColor="text1"/>
            <w14:textFill>
              <w14:solidFill>
                <w14:schemeClr w14:val="tx1"/>
              </w14:solidFill>
            </w14:textFill>
          </w:rPr>
        </w:sdtEndPr>
        <w:sdtContent>
          <w:r>
            <w:rPr>
              <w:rFonts w:ascii="Times New Roman" w:hAnsi="Times New Roman"/>
              <w:color w:val="000000" w:themeColor="text1"/>
              <w14:textFill>
                <w14:solidFill>
                  <w14:schemeClr w14:val="tx1"/>
                </w14:solidFill>
              </w14:textFill>
            </w:rPr>
            <w:t>157.84</w:t>
          </w:r>
        </w:sdtContent>
      </w:sdt>
      <w:r>
        <w:rPr>
          <w:rFonts w:ascii="Times New Roman" w:hAnsi="Times New Roman"/>
          <w:color w:val="000000" w:themeColor="text1"/>
          <w14:textFill>
            <w14:solidFill>
              <w14:schemeClr w14:val="tx1"/>
            </w14:solidFill>
          </w14:textFill>
        </w:rPr>
        <w:t>%。</w:t>
      </w:r>
    </w:p>
    <w:p w14:paraId="7A1B55B6">
      <w:pPr>
        <w:kinsoku w:val="0"/>
        <w:overflowPunct w:val="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母公司有息债务"/>
          <w:tag w:val="_GBC_336b849a956648e1b5213813d45f5bfc"/>
          <w:id w:val="147482375"/>
          <w:placeholder>
            <w:docPart w:val="GBC22222222222222222222222222222"/>
          </w:placeholder>
          <w:dataBinding w:prefixMappings="xmlns:bond='bond'" w:xpath="/*/bond:DanWeiMuGongS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有息债务"/>
          <w:tag w:val="_GBC_ece73dbbb3a146daaf99703fc7bcecf3"/>
          <w:id w:val="1474779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5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6"/>
        <w:gridCol w:w="617"/>
        <w:gridCol w:w="1459"/>
        <w:gridCol w:w="1466"/>
        <w:gridCol w:w="1457"/>
        <w:gridCol w:w="1584"/>
      </w:tblGrid>
      <w:tr w14:paraId="4A71B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ef1148713b54f0680ef79a24b76a1e1"/>
            <w:id w:val="147481823"/>
          </w:sdtPr>
          <w:sdtContent>
            <w:tc>
              <w:tcPr>
                <w:tcW w:w="1363" w:type="pct"/>
                <w:vMerge w:val="restart"/>
                <w:vAlign w:val="center"/>
              </w:tcPr>
              <w:p w14:paraId="2751EE54">
                <w:pPr>
                  <w:widowControl w:val="0"/>
                  <w:kinsoku w:val="0"/>
                  <w:overflowPunct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有息债务类别</w:t>
                </w:r>
              </w:p>
            </w:tc>
          </w:sdtContent>
        </w:sdt>
        <w:sdt>
          <w:sdtPr>
            <w:tag w:val="_PLD_7efc3ca703ea4655a3f44df63d300281"/>
            <w:id w:val="147464180"/>
          </w:sdtPr>
          <w:sdtContent>
            <w:tc>
              <w:tcPr>
                <w:tcW w:w="1957" w:type="pct"/>
                <w:gridSpan w:val="3"/>
                <w:vAlign w:val="center"/>
              </w:tcPr>
              <w:p w14:paraId="16361D27">
                <w:pPr>
                  <w:widowControl w:val="0"/>
                  <w:kinsoku w:val="0"/>
                  <w:overflowPunct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到期时间</w:t>
                </w:r>
              </w:p>
            </w:tc>
          </w:sdtContent>
        </w:sdt>
        <w:sdt>
          <w:sdtPr>
            <w:tag w:val="_PLD_923a00a476a144b5bb079c8daad6335a"/>
            <w:id w:val="147457657"/>
          </w:sdtPr>
          <w:sdtContent>
            <w:tc>
              <w:tcPr>
                <w:tcW w:w="805" w:type="pct"/>
                <w:vMerge w:val="restart"/>
                <w:vAlign w:val="center"/>
              </w:tcPr>
              <w:p w14:paraId="3FAC28CC">
                <w:pPr>
                  <w:widowControl w:val="0"/>
                  <w:kinsoku w:val="0"/>
                  <w:overflowPunct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金额合计</w:t>
                </w:r>
              </w:p>
            </w:tc>
          </w:sdtContent>
        </w:sdt>
        <w:tc>
          <w:tcPr>
            <w:tcW w:w="875" w:type="pct"/>
            <w:vMerge w:val="restart"/>
            <w:vAlign w:val="center"/>
          </w:tcPr>
          <w:sdt>
            <w:sdtPr>
              <w:tag w:val="_PLD_ba4e8cce08494d4e8305f2995a3f864a"/>
              <w:id w:val="147479789"/>
            </w:sdtPr>
            <w:sdtContent>
              <w:p w14:paraId="747A7433">
                <w:pPr>
                  <w:widowControl w:val="0"/>
                  <w:kinsoku w:val="0"/>
                  <w:overflowPunct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金额占有息债务的占比（%）</w:t>
                </w:r>
              </w:p>
            </w:sdtContent>
          </w:sdt>
        </w:tc>
      </w:tr>
      <w:tr w14:paraId="733F3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vMerge w:val="continue"/>
            <w:vAlign w:val="center"/>
          </w:tcPr>
          <w:p w14:paraId="0443AB90">
            <w:pPr>
              <w:widowControl w:val="0"/>
              <w:kinsoku w:val="0"/>
              <w:overflowPunct w:val="0"/>
              <w:jc w:val="center"/>
              <w:rPr>
                <w:color w:val="000000" w:themeColor="text1"/>
                <w14:textFill>
                  <w14:solidFill>
                    <w14:schemeClr w14:val="tx1"/>
                  </w14:solidFill>
                </w14:textFill>
              </w:rPr>
            </w:pPr>
          </w:p>
        </w:tc>
        <w:sdt>
          <w:sdtPr>
            <w:tag w:val="_PLD_f3ef537965d5419f8c633911eae25658"/>
            <w:id w:val="147457944"/>
          </w:sdtPr>
          <w:sdtContent>
            <w:tc>
              <w:tcPr>
                <w:tcW w:w="341" w:type="pct"/>
                <w:vAlign w:val="center"/>
              </w:tcPr>
              <w:p w14:paraId="6F5718D4">
                <w:pPr>
                  <w:widowControl w:val="0"/>
                  <w:kinsoku w:val="0"/>
                  <w:overflowPunct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已逾期</w:t>
                </w:r>
              </w:p>
            </w:tc>
          </w:sdtContent>
        </w:sdt>
        <w:sdt>
          <w:sdtPr>
            <w:tag w:val="_PLD_d6eb29fd6d254197829d34b9859efa0b"/>
            <w:id w:val="147478872"/>
          </w:sdtPr>
          <w:sdtContent>
            <w:tc>
              <w:tcPr>
                <w:tcW w:w="806" w:type="pct"/>
                <w:vAlign w:val="center"/>
              </w:tcPr>
              <w:p w14:paraId="682061C0">
                <w:pPr>
                  <w:widowControl w:val="0"/>
                  <w:kinsoku w:val="0"/>
                  <w:overflowPunct w:val="0"/>
                  <w:jc w:val="center"/>
                  <w:rPr>
                    <w:color w:val="000000" w:themeColor="text1"/>
                    <w14:textFill>
                      <w14:solidFill>
                        <w14:schemeClr w14:val="tx1"/>
                      </w14:solidFill>
                    </w14:textFill>
                  </w:rPr>
                </w:pPr>
                <w:r>
                  <w:rPr>
                    <w:color w:val="000000" w:themeColor="text1"/>
                    <w14:textFill>
                      <w14:solidFill>
                        <w14:schemeClr w14:val="tx1"/>
                      </w14:solidFill>
                    </w14:textFill>
                  </w:rPr>
                  <w:t>1年以内</w:t>
                </w:r>
              </w:p>
              <w:p w14:paraId="6583BAAD">
                <w:pPr>
                  <w:widowControl w:val="0"/>
                  <w:kinsoku w:val="0"/>
                  <w:overflowPunct w:val="0"/>
                  <w:jc w:val="center"/>
                  <w:rPr>
                    <w:color w:val="000000" w:themeColor="text1"/>
                    <w14:textFill>
                      <w14:solidFill>
                        <w14:schemeClr w14:val="tx1"/>
                      </w14:solidFill>
                    </w14:textFill>
                  </w:rPr>
                </w:pPr>
                <w:r>
                  <w:rPr>
                    <w:color w:val="000000" w:themeColor="text1"/>
                    <w14:textFill>
                      <w14:solidFill>
                        <w14:schemeClr w14:val="tx1"/>
                      </w14:solidFill>
                    </w14:textFill>
                  </w:rPr>
                  <w:t>（含）</w:t>
                </w:r>
              </w:p>
            </w:tc>
          </w:sdtContent>
        </w:sdt>
        <w:sdt>
          <w:sdtPr>
            <w:tag w:val="_PLD_ea78a9d7426c48d5b116013ec7782eaf"/>
            <w:id w:val="147463009"/>
          </w:sdtPr>
          <w:sdtContent>
            <w:tc>
              <w:tcPr>
                <w:tcW w:w="810" w:type="pct"/>
                <w:vAlign w:val="center"/>
              </w:tcPr>
              <w:p w14:paraId="6DEB50E2">
                <w:pPr>
                  <w:widowControl w:val="0"/>
                  <w:kinsoku w:val="0"/>
                  <w:overflowPunct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超过</w:t>
                </w:r>
                <w:r>
                  <w:rPr>
                    <w:color w:val="000000" w:themeColor="text1"/>
                    <w14:textFill>
                      <w14:solidFill>
                        <w14:schemeClr w14:val="tx1"/>
                      </w14:solidFill>
                    </w14:textFill>
                  </w:rPr>
                  <w:t>1年</w:t>
                </w:r>
              </w:p>
              <w:p w14:paraId="2687C54A">
                <w:pPr>
                  <w:widowControl w:val="0"/>
                  <w:kinsoku w:val="0"/>
                  <w:overflowPunct w:val="0"/>
                  <w:jc w:val="center"/>
                  <w:rPr>
                    <w:color w:val="000000" w:themeColor="text1"/>
                    <w14:textFill>
                      <w14:solidFill>
                        <w14:schemeClr w14:val="tx1"/>
                      </w14:solidFill>
                    </w14:textFill>
                  </w:rPr>
                </w:pPr>
                <w:r>
                  <w:rPr>
                    <w:color w:val="000000" w:themeColor="text1"/>
                    <w14:textFill>
                      <w14:solidFill>
                        <w14:schemeClr w14:val="tx1"/>
                      </w14:solidFill>
                    </w14:textFill>
                  </w:rPr>
                  <w:t>（不含）</w:t>
                </w:r>
              </w:p>
            </w:tc>
          </w:sdtContent>
        </w:sdt>
        <w:tc>
          <w:tcPr>
            <w:tcW w:w="805" w:type="pct"/>
            <w:vMerge w:val="continue"/>
            <w:vAlign w:val="center"/>
          </w:tcPr>
          <w:p w14:paraId="09C8CAE4">
            <w:pPr>
              <w:widowControl w:val="0"/>
              <w:kinsoku w:val="0"/>
              <w:overflowPunct w:val="0"/>
              <w:jc w:val="center"/>
              <w:rPr>
                <w:color w:val="000000" w:themeColor="text1"/>
                <w14:textFill>
                  <w14:solidFill>
                    <w14:schemeClr w14:val="tx1"/>
                  </w14:solidFill>
                </w14:textFill>
              </w:rPr>
            </w:pPr>
          </w:p>
        </w:tc>
        <w:tc>
          <w:tcPr>
            <w:tcW w:w="875" w:type="pct"/>
            <w:vMerge w:val="continue"/>
            <w:vAlign w:val="center"/>
          </w:tcPr>
          <w:p w14:paraId="76316749">
            <w:pPr>
              <w:widowControl w:val="0"/>
              <w:kinsoku w:val="0"/>
              <w:overflowPunct w:val="0"/>
              <w:jc w:val="center"/>
              <w:rPr>
                <w:color w:val="000000" w:themeColor="text1"/>
                <w14:textFill>
                  <w14:solidFill>
                    <w14:schemeClr w14:val="tx1"/>
                  </w14:solidFill>
                </w14:textFill>
              </w:rPr>
            </w:pPr>
          </w:p>
        </w:tc>
      </w:tr>
      <w:tr w14:paraId="68B8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vAlign w:val="center"/>
          </w:tcPr>
          <w:p w14:paraId="3B4C1381">
            <w:pPr>
              <w:widowControl w:val="0"/>
              <w:kinsoku w:val="0"/>
              <w:overflowPunct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公司信用类债券</w:t>
            </w:r>
          </w:p>
        </w:tc>
        <w:tc>
          <w:tcPr>
            <w:tcW w:w="341" w:type="pct"/>
            <w:vAlign w:val="center"/>
          </w:tcPr>
          <w:p w14:paraId="16E5B786">
            <w:pPr>
              <w:widowControl w:val="0"/>
              <w:kinsoku w:val="0"/>
              <w:overflowPunct w:val="0"/>
              <w:jc w:val="right"/>
              <w:rPr>
                <w:rFonts w:cs="Times New Roman"/>
              </w:rPr>
            </w:pPr>
          </w:p>
        </w:tc>
        <w:tc>
          <w:tcPr>
            <w:tcW w:w="806" w:type="pct"/>
            <w:vAlign w:val="center"/>
          </w:tcPr>
          <w:p w14:paraId="32FE4490">
            <w:pPr>
              <w:widowControl/>
              <w:jc w:val="right"/>
              <w:textAlignment w:val="center"/>
              <w:rPr>
                <w:rFonts w:cs="Times New Roman"/>
              </w:rPr>
            </w:pPr>
            <w:r>
              <w:rPr>
                <w:rFonts w:eastAsia="等线" w:cs="Times New Roman"/>
                <w:color w:val="000000"/>
                <w:lang w:bidi="ar"/>
              </w:rPr>
              <w:t xml:space="preserve">5.01 </w:t>
            </w:r>
          </w:p>
        </w:tc>
        <w:tc>
          <w:tcPr>
            <w:tcW w:w="810" w:type="pct"/>
            <w:vAlign w:val="center"/>
          </w:tcPr>
          <w:p w14:paraId="49F5FF87">
            <w:pPr>
              <w:widowControl w:val="0"/>
              <w:jc w:val="right"/>
              <w:rPr>
                <w:rFonts w:cs="Times New Roman"/>
              </w:rPr>
            </w:pPr>
          </w:p>
        </w:tc>
        <w:tc>
          <w:tcPr>
            <w:tcW w:w="805" w:type="pct"/>
            <w:vAlign w:val="center"/>
          </w:tcPr>
          <w:p w14:paraId="1A326B62">
            <w:pPr>
              <w:widowControl/>
              <w:jc w:val="right"/>
              <w:textAlignment w:val="center"/>
              <w:rPr>
                <w:rFonts w:cs="Times New Roman"/>
              </w:rPr>
            </w:pPr>
            <w:r>
              <w:rPr>
                <w:rFonts w:eastAsia="等线" w:cs="Times New Roman"/>
                <w:color w:val="000000"/>
                <w:lang w:bidi="ar"/>
              </w:rPr>
              <w:t xml:space="preserve">5.01 </w:t>
            </w:r>
          </w:p>
        </w:tc>
        <w:tc>
          <w:tcPr>
            <w:tcW w:w="875" w:type="pct"/>
            <w:vAlign w:val="center"/>
          </w:tcPr>
          <w:p w14:paraId="1737C8E2">
            <w:pPr>
              <w:widowControl/>
              <w:jc w:val="right"/>
              <w:textAlignment w:val="center"/>
              <w:rPr>
                <w:rFonts w:cs="Times New Roman"/>
              </w:rPr>
            </w:pPr>
            <w:r>
              <w:rPr>
                <w:rFonts w:eastAsia="等线" w:cs="Times New Roman"/>
                <w:color w:val="000000"/>
                <w:lang w:bidi="ar"/>
              </w:rPr>
              <w:t xml:space="preserve">15.63 </w:t>
            </w:r>
          </w:p>
        </w:tc>
      </w:tr>
      <w:tr w14:paraId="0AB2C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vAlign w:val="center"/>
          </w:tcPr>
          <w:p w14:paraId="015B83E7">
            <w:pPr>
              <w:widowControl w:val="0"/>
              <w:kinsoku w:val="0"/>
              <w:overflowPunct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银行贷款</w:t>
            </w:r>
          </w:p>
        </w:tc>
        <w:tc>
          <w:tcPr>
            <w:tcW w:w="341" w:type="pct"/>
            <w:vAlign w:val="center"/>
          </w:tcPr>
          <w:p w14:paraId="25BD455A">
            <w:pPr>
              <w:widowControl w:val="0"/>
              <w:kinsoku w:val="0"/>
              <w:overflowPunct w:val="0"/>
              <w:jc w:val="right"/>
              <w:rPr>
                <w:rFonts w:cs="Times New Roman"/>
              </w:rPr>
            </w:pPr>
          </w:p>
        </w:tc>
        <w:tc>
          <w:tcPr>
            <w:tcW w:w="806" w:type="pct"/>
            <w:vAlign w:val="center"/>
          </w:tcPr>
          <w:p w14:paraId="4D47FA3D">
            <w:pPr>
              <w:widowControl/>
              <w:jc w:val="right"/>
              <w:textAlignment w:val="center"/>
              <w:rPr>
                <w:rFonts w:cs="Times New Roman"/>
              </w:rPr>
            </w:pPr>
            <w:r>
              <w:rPr>
                <w:rFonts w:eastAsia="等线" w:cs="Times New Roman"/>
                <w:color w:val="000000"/>
                <w:lang w:bidi="ar"/>
              </w:rPr>
              <w:t>0.03</w:t>
            </w:r>
          </w:p>
        </w:tc>
        <w:tc>
          <w:tcPr>
            <w:tcW w:w="810" w:type="pct"/>
            <w:vAlign w:val="center"/>
          </w:tcPr>
          <w:p w14:paraId="5B55676A">
            <w:pPr>
              <w:widowControl/>
              <w:jc w:val="right"/>
              <w:textAlignment w:val="center"/>
              <w:rPr>
                <w:rFonts w:cs="Times New Roman"/>
              </w:rPr>
            </w:pPr>
            <w:r>
              <w:rPr>
                <w:rFonts w:eastAsia="等线" w:cs="Times New Roman"/>
                <w:color w:val="000000"/>
                <w:lang w:bidi="ar"/>
              </w:rPr>
              <w:t xml:space="preserve">19.88 </w:t>
            </w:r>
          </w:p>
        </w:tc>
        <w:tc>
          <w:tcPr>
            <w:tcW w:w="805" w:type="pct"/>
            <w:vAlign w:val="center"/>
          </w:tcPr>
          <w:p w14:paraId="72203AF8">
            <w:pPr>
              <w:widowControl/>
              <w:jc w:val="right"/>
              <w:textAlignment w:val="center"/>
              <w:rPr>
                <w:rFonts w:cs="Times New Roman"/>
              </w:rPr>
            </w:pPr>
            <w:r>
              <w:rPr>
                <w:rFonts w:eastAsia="等线" w:cs="Times New Roman"/>
                <w:color w:val="000000"/>
                <w:lang w:bidi="ar"/>
              </w:rPr>
              <w:t xml:space="preserve">19.91 </w:t>
            </w:r>
          </w:p>
        </w:tc>
        <w:tc>
          <w:tcPr>
            <w:tcW w:w="875" w:type="pct"/>
            <w:vAlign w:val="center"/>
          </w:tcPr>
          <w:p w14:paraId="01D4CB49">
            <w:pPr>
              <w:widowControl/>
              <w:jc w:val="right"/>
              <w:textAlignment w:val="center"/>
              <w:rPr>
                <w:rFonts w:cs="Times New Roman"/>
              </w:rPr>
            </w:pPr>
            <w:r>
              <w:rPr>
                <w:rFonts w:eastAsia="等线" w:cs="Times New Roman"/>
                <w:color w:val="000000"/>
                <w:lang w:bidi="ar"/>
              </w:rPr>
              <w:t xml:space="preserve">62.12 </w:t>
            </w:r>
          </w:p>
        </w:tc>
      </w:tr>
      <w:tr w14:paraId="4DC0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vAlign w:val="center"/>
          </w:tcPr>
          <w:p w14:paraId="13DD1E21">
            <w:pPr>
              <w:widowControl w:val="0"/>
              <w:kinsoku w:val="0"/>
              <w:overflowPunct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非银行金融机构贷款</w:t>
            </w:r>
          </w:p>
        </w:tc>
        <w:tc>
          <w:tcPr>
            <w:tcW w:w="341" w:type="pct"/>
            <w:vAlign w:val="center"/>
          </w:tcPr>
          <w:p w14:paraId="24547E91">
            <w:pPr>
              <w:widowControl w:val="0"/>
              <w:kinsoku w:val="0"/>
              <w:overflowPunct w:val="0"/>
              <w:jc w:val="right"/>
              <w:rPr>
                <w:rFonts w:cs="Times New Roman"/>
              </w:rPr>
            </w:pPr>
          </w:p>
        </w:tc>
        <w:tc>
          <w:tcPr>
            <w:tcW w:w="806" w:type="pct"/>
            <w:vAlign w:val="center"/>
          </w:tcPr>
          <w:p w14:paraId="2EB0DC7B">
            <w:pPr>
              <w:widowControl/>
              <w:jc w:val="right"/>
              <w:textAlignment w:val="center"/>
              <w:rPr>
                <w:rFonts w:cs="Times New Roman"/>
              </w:rPr>
            </w:pPr>
            <w:r>
              <w:rPr>
                <w:rFonts w:eastAsia="等线" w:cs="Times New Roman"/>
                <w:color w:val="000000"/>
                <w:lang w:bidi="ar"/>
              </w:rPr>
              <w:t xml:space="preserve">0.02 </w:t>
            </w:r>
          </w:p>
        </w:tc>
        <w:tc>
          <w:tcPr>
            <w:tcW w:w="810" w:type="pct"/>
            <w:vAlign w:val="center"/>
          </w:tcPr>
          <w:p w14:paraId="756868EB">
            <w:pPr>
              <w:widowControl/>
              <w:jc w:val="right"/>
              <w:textAlignment w:val="center"/>
              <w:rPr>
                <w:rFonts w:cs="Times New Roman"/>
              </w:rPr>
            </w:pPr>
            <w:r>
              <w:rPr>
                <w:rFonts w:eastAsia="等线" w:cs="Times New Roman"/>
                <w:color w:val="000000"/>
                <w:lang w:bidi="ar"/>
              </w:rPr>
              <w:t xml:space="preserve">4.96 </w:t>
            </w:r>
          </w:p>
        </w:tc>
        <w:tc>
          <w:tcPr>
            <w:tcW w:w="805" w:type="pct"/>
            <w:vAlign w:val="center"/>
          </w:tcPr>
          <w:p w14:paraId="2FAE074E">
            <w:pPr>
              <w:widowControl/>
              <w:jc w:val="right"/>
              <w:textAlignment w:val="center"/>
              <w:rPr>
                <w:rFonts w:cs="Times New Roman"/>
              </w:rPr>
            </w:pPr>
            <w:r>
              <w:rPr>
                <w:rFonts w:eastAsia="等线" w:cs="Times New Roman"/>
                <w:color w:val="000000"/>
                <w:lang w:bidi="ar"/>
              </w:rPr>
              <w:t xml:space="preserve">4.98 </w:t>
            </w:r>
          </w:p>
        </w:tc>
        <w:tc>
          <w:tcPr>
            <w:tcW w:w="875" w:type="pct"/>
            <w:vAlign w:val="center"/>
          </w:tcPr>
          <w:p w14:paraId="6EEF5C95">
            <w:pPr>
              <w:widowControl/>
              <w:jc w:val="right"/>
              <w:textAlignment w:val="center"/>
              <w:rPr>
                <w:rFonts w:cs="Times New Roman"/>
              </w:rPr>
            </w:pPr>
            <w:r>
              <w:rPr>
                <w:rFonts w:eastAsia="等线" w:cs="Times New Roman"/>
                <w:color w:val="000000"/>
                <w:lang w:bidi="ar"/>
              </w:rPr>
              <w:t xml:space="preserve">15.54 </w:t>
            </w:r>
          </w:p>
        </w:tc>
      </w:tr>
      <w:tr w14:paraId="00CFB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vAlign w:val="center"/>
          </w:tcPr>
          <w:p w14:paraId="57E80A44">
            <w:pPr>
              <w:widowControl w:val="0"/>
              <w:kinsoku w:val="0"/>
              <w:overflowPunct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其他有息债务</w:t>
            </w:r>
          </w:p>
        </w:tc>
        <w:tc>
          <w:tcPr>
            <w:tcW w:w="341" w:type="pct"/>
            <w:vAlign w:val="center"/>
          </w:tcPr>
          <w:p w14:paraId="61E13515">
            <w:pPr>
              <w:widowControl w:val="0"/>
              <w:kinsoku w:val="0"/>
              <w:overflowPunct w:val="0"/>
              <w:jc w:val="right"/>
              <w:rPr>
                <w:rFonts w:cs="Times New Roman"/>
              </w:rPr>
            </w:pPr>
          </w:p>
        </w:tc>
        <w:tc>
          <w:tcPr>
            <w:tcW w:w="806" w:type="pct"/>
            <w:vAlign w:val="center"/>
          </w:tcPr>
          <w:p w14:paraId="428CD14E">
            <w:pPr>
              <w:widowControl/>
              <w:jc w:val="right"/>
              <w:textAlignment w:val="center"/>
              <w:rPr>
                <w:rFonts w:cs="Times New Roman"/>
              </w:rPr>
            </w:pPr>
            <w:r>
              <w:rPr>
                <w:rFonts w:eastAsia="Arial Narrow" w:cs="Times New Roman"/>
                <w:color w:val="000000"/>
                <w:lang w:bidi="ar"/>
              </w:rPr>
              <w:t xml:space="preserve">2.15 </w:t>
            </w:r>
          </w:p>
        </w:tc>
        <w:tc>
          <w:tcPr>
            <w:tcW w:w="810" w:type="pct"/>
            <w:vAlign w:val="center"/>
          </w:tcPr>
          <w:p w14:paraId="6E9FB7CD">
            <w:pPr>
              <w:widowControl/>
              <w:jc w:val="right"/>
              <w:textAlignment w:val="center"/>
              <w:rPr>
                <w:rFonts w:cs="Times New Roman"/>
              </w:rPr>
            </w:pPr>
            <w:r>
              <w:rPr>
                <w:rFonts w:eastAsia="Arial Narrow" w:cs="Times New Roman"/>
                <w:color w:val="000000"/>
                <w:lang w:bidi="ar"/>
              </w:rPr>
              <w:t xml:space="preserve">   </w:t>
            </w:r>
          </w:p>
        </w:tc>
        <w:tc>
          <w:tcPr>
            <w:tcW w:w="805" w:type="pct"/>
            <w:vAlign w:val="center"/>
          </w:tcPr>
          <w:p w14:paraId="708DFABB">
            <w:pPr>
              <w:widowControl/>
              <w:jc w:val="right"/>
              <w:textAlignment w:val="center"/>
              <w:rPr>
                <w:rFonts w:cs="Times New Roman"/>
              </w:rPr>
            </w:pPr>
            <w:r>
              <w:rPr>
                <w:rFonts w:eastAsia="等线" w:cs="Times New Roman"/>
                <w:color w:val="000000"/>
                <w:lang w:bidi="ar"/>
              </w:rPr>
              <w:t xml:space="preserve">2.15 </w:t>
            </w:r>
          </w:p>
        </w:tc>
        <w:tc>
          <w:tcPr>
            <w:tcW w:w="875" w:type="pct"/>
            <w:vAlign w:val="center"/>
          </w:tcPr>
          <w:p w14:paraId="672152B7">
            <w:pPr>
              <w:widowControl/>
              <w:jc w:val="right"/>
              <w:textAlignment w:val="center"/>
              <w:rPr>
                <w:rFonts w:cs="Times New Roman"/>
              </w:rPr>
            </w:pPr>
            <w:r>
              <w:rPr>
                <w:rFonts w:eastAsia="等线" w:cs="Times New Roman"/>
                <w:color w:val="000000"/>
                <w:lang w:bidi="ar"/>
              </w:rPr>
              <w:t xml:space="preserve">6.71 </w:t>
            </w:r>
          </w:p>
        </w:tc>
      </w:tr>
      <w:tr w14:paraId="2369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vAlign w:val="center"/>
          </w:tcPr>
          <w:p w14:paraId="402D9C3E">
            <w:pPr>
              <w:widowControl w:val="0"/>
              <w:kinsoku w:val="0"/>
              <w:overflowPunct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341" w:type="pct"/>
            <w:vAlign w:val="center"/>
          </w:tcPr>
          <w:p w14:paraId="0E41C157">
            <w:pPr>
              <w:widowControl w:val="0"/>
              <w:kinsoku w:val="0"/>
              <w:overflowPunct w:val="0"/>
              <w:jc w:val="right"/>
              <w:rPr>
                <w:rFonts w:cs="Times New Roman"/>
              </w:rPr>
            </w:pPr>
          </w:p>
        </w:tc>
        <w:tc>
          <w:tcPr>
            <w:tcW w:w="806" w:type="pct"/>
            <w:vAlign w:val="center"/>
          </w:tcPr>
          <w:p w14:paraId="20B16959">
            <w:pPr>
              <w:widowControl/>
              <w:jc w:val="right"/>
              <w:textAlignment w:val="center"/>
              <w:rPr>
                <w:rFonts w:cs="Times New Roman"/>
              </w:rPr>
            </w:pPr>
            <w:r>
              <w:rPr>
                <w:rFonts w:eastAsia="等线" w:cs="Times New Roman"/>
                <w:color w:val="000000"/>
                <w:lang w:bidi="ar"/>
              </w:rPr>
              <w:t xml:space="preserve">7.21 </w:t>
            </w:r>
          </w:p>
        </w:tc>
        <w:tc>
          <w:tcPr>
            <w:tcW w:w="810" w:type="pct"/>
            <w:vAlign w:val="center"/>
          </w:tcPr>
          <w:p w14:paraId="511B8AF6">
            <w:pPr>
              <w:widowControl/>
              <w:jc w:val="right"/>
              <w:textAlignment w:val="center"/>
              <w:rPr>
                <w:rFonts w:cs="Times New Roman"/>
              </w:rPr>
            </w:pPr>
            <w:r>
              <w:rPr>
                <w:rFonts w:eastAsia="等线" w:cs="Times New Roman"/>
                <w:color w:val="000000"/>
                <w:lang w:bidi="ar"/>
              </w:rPr>
              <w:t xml:space="preserve">24.84 </w:t>
            </w:r>
          </w:p>
        </w:tc>
        <w:tc>
          <w:tcPr>
            <w:tcW w:w="805" w:type="pct"/>
            <w:vAlign w:val="center"/>
          </w:tcPr>
          <w:p w14:paraId="6E6E5557">
            <w:pPr>
              <w:widowControl/>
              <w:jc w:val="right"/>
              <w:textAlignment w:val="center"/>
              <w:rPr>
                <w:rFonts w:cs="Times New Roman"/>
              </w:rPr>
            </w:pPr>
            <w:r>
              <w:rPr>
                <w:rFonts w:eastAsia="等线" w:cs="Times New Roman"/>
                <w:color w:val="000000"/>
                <w:lang w:bidi="ar"/>
              </w:rPr>
              <w:t xml:space="preserve">32.05 </w:t>
            </w:r>
          </w:p>
        </w:tc>
        <w:tc>
          <w:tcPr>
            <w:tcW w:w="875" w:type="pct"/>
            <w:vAlign w:val="center"/>
          </w:tcPr>
          <w:p w14:paraId="1A0994B3">
            <w:pPr>
              <w:widowControl w:val="0"/>
              <w:kinsoku w:val="0"/>
              <w:overflowPunct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bl>
    <w:p w14:paraId="63D860ED">
      <w:pPr>
        <w:rPr>
          <w:color w:val="000000" w:themeColor="text1"/>
          <w14:textFill>
            <w14:solidFill>
              <w14:schemeClr w14:val="tx1"/>
            </w14:solidFill>
          </w14:textFill>
        </w:rPr>
      </w:pPr>
    </w:p>
    <w:p w14:paraId="7587389D">
      <w:pPr>
        <w:ind w:firstLine="525" w:firstLineChars="250"/>
        <w:rPr>
          <w:color w:val="000000" w:themeColor="text1"/>
          <w14:textFill>
            <w14:solidFill>
              <w14:schemeClr w14:val="tx1"/>
            </w14:solidFill>
          </w14:textFill>
        </w:rPr>
      </w:pPr>
      <w:r>
        <w:rPr>
          <w:rFonts w:hint="eastAsia"/>
          <w:color w:val="000000" w:themeColor="text1"/>
          <w14:textFill>
            <w14:solidFill>
              <w14:schemeClr w14:val="tx1"/>
            </w14:solidFill>
          </w14:textFill>
        </w:rPr>
        <w:t>报告期末公司存续的公司信用类债券中，公司债券余额</w:t>
      </w:r>
      <w:sdt>
        <w:sdtPr>
          <w:rPr>
            <w:rFonts w:hint="eastAsia"/>
            <w:color w:val="000000" w:themeColor="text1"/>
            <w14:textFill>
              <w14:solidFill>
                <w14:schemeClr w14:val="tx1"/>
              </w14:solidFill>
            </w14:textFill>
          </w:rPr>
          <w:alias w:val="公司信用类债券中公司债券余额"/>
          <w:tag w:val="_GBC_dffa26633bd6458a9c7b442d4c9ae2f8"/>
          <w:id w:val="147483064"/>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w:t>
          </w:r>
        </w:sdtContent>
      </w:sdt>
      <w:sdt>
        <w:sdtPr>
          <w:rPr>
            <w:rFonts w:hint="eastAsia"/>
            <w:color w:val="000000" w:themeColor="text1"/>
            <w14:textFill>
              <w14:solidFill>
                <w14:schemeClr w14:val="tx1"/>
              </w14:solidFill>
            </w14:textFill>
          </w:rPr>
          <w:alias w:val="单位：母公司有息债务"/>
          <w:tag w:val="_GBC_9ce635ec89b04a87be4b9992768f867a"/>
          <w:id w:val="147477104"/>
          <w:placeholder>
            <w:docPart w:val="GBC22222222222222222222222222222"/>
          </w:placeholder>
          <w:dataBinding w:prefixMappings="xmlns:bond='bond'" w:xpath="/*/bond:DanWeiMuGongS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r>
        <w:rPr>
          <w:rFonts w:hint="eastAsia"/>
          <w:color w:val="000000" w:themeColor="text1"/>
          <w14:textFill>
            <w14:solidFill>
              <w14:schemeClr w14:val="tx1"/>
            </w14:solidFill>
          </w14:textFill>
        </w:rPr>
        <w:t>，企业债券余额</w:t>
      </w:r>
      <w:sdt>
        <w:sdtPr>
          <w:rPr>
            <w:rFonts w:hint="eastAsia"/>
            <w:color w:val="000000" w:themeColor="text1"/>
            <w14:textFill>
              <w14:solidFill>
                <w14:schemeClr w14:val="tx1"/>
              </w14:solidFill>
            </w14:textFill>
          </w:rPr>
          <w:alias w:val="公司信用类债券中企业债券余额"/>
          <w:tag w:val="_GBC_d13c54270a354a0eb8a10f0e10850d2a"/>
          <w:id w:val="147466720"/>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w:t>
          </w:r>
        </w:sdtContent>
      </w:sdt>
      <w:sdt>
        <w:sdtPr>
          <w:rPr>
            <w:rFonts w:hint="eastAsia"/>
            <w:color w:val="000000" w:themeColor="text1"/>
            <w14:textFill>
              <w14:solidFill>
                <w14:schemeClr w14:val="tx1"/>
              </w14:solidFill>
            </w14:textFill>
          </w:rPr>
          <w:alias w:val="单位：母公司有息债务"/>
          <w:tag w:val="_GBC_1652639abbb0499abd11923d81bb6efd"/>
          <w:id w:val="147458135"/>
          <w:placeholder>
            <w:docPart w:val="GBC22222222222222222222222222222"/>
          </w:placeholder>
          <w:dataBinding w:prefixMappings="xmlns:bond='bond'" w:xpath="/*/bond:DanWeiMuGongS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r>
        <w:rPr>
          <w:rFonts w:hint="eastAsia"/>
          <w:color w:val="000000" w:themeColor="text1"/>
          <w14:textFill>
            <w14:solidFill>
              <w14:schemeClr w14:val="tx1"/>
            </w14:solidFill>
          </w14:textFill>
        </w:rPr>
        <w:t>，非金融企业债务融资工具余额</w:t>
      </w:r>
      <w:sdt>
        <w:sdtPr>
          <w:rPr>
            <w:rFonts w:hint="eastAsia"/>
            <w:color w:val="000000" w:themeColor="text1"/>
            <w14:textFill>
              <w14:solidFill>
                <w14:schemeClr w14:val="tx1"/>
              </w14:solidFill>
            </w14:textFill>
          </w:rPr>
          <w:alias w:val="公司信用类债券中非金融企业债务融资工具余额"/>
          <w:tag w:val="_GBC_20d8ce5fadfa41f8916b5939011cb226"/>
          <w:id w:val="147475495"/>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5.01</w:t>
          </w:r>
        </w:sdtContent>
      </w:sdt>
      <w:sdt>
        <w:sdtPr>
          <w:rPr>
            <w:rFonts w:hint="eastAsia"/>
            <w:color w:val="000000" w:themeColor="text1"/>
            <w14:textFill>
              <w14:solidFill>
                <w14:schemeClr w14:val="tx1"/>
              </w14:solidFill>
            </w14:textFill>
          </w:rPr>
          <w:alias w:val="单位：母公司有息债务"/>
          <w:tag w:val="_GBC_3c1eff66be7044e685167494c568abae"/>
          <w:id w:val="147473985"/>
          <w:placeholder>
            <w:docPart w:val="GBC22222222222222222222222222222"/>
          </w:placeholder>
          <w:dataBinding w:prefixMappings="xmlns:bond='bond'" w:xpath="/*/bond:DanWeiMuGongS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r>
        <w:rPr>
          <w:rFonts w:hint="eastAsia"/>
          <w:color w:val="000000" w:themeColor="text1"/>
          <w14:textFill>
            <w14:solidFill>
              <w14:schemeClr w14:val="tx1"/>
            </w14:solidFill>
          </w14:textFill>
        </w:rPr>
        <w:t>。</w:t>
      </w:r>
    </w:p>
    <w:p w14:paraId="78DD76DA">
      <w:pPr>
        <w:rPr>
          <w:color w:val="000000" w:themeColor="text1"/>
          <w14:textFill>
            <w14:solidFill>
              <w14:schemeClr w14:val="tx1"/>
            </w14:solidFill>
          </w14:textFill>
        </w:rPr>
      </w:pPr>
    </w:p>
    <w:p w14:paraId="4E9A6874">
      <w:pPr>
        <w:pStyle w:val="63"/>
        <w:numPr>
          <w:ilvl w:val="0"/>
          <w:numId w:val="41"/>
        </w:numPr>
        <w:ind w:left="420" w:firstLineChars="0"/>
        <w:outlineLvl w:val="5"/>
        <w:rPr>
          <w:b/>
          <w:color w:val="000000" w:themeColor="text1"/>
          <w14:textFill>
            <w14:solidFill>
              <w14:schemeClr w14:val="tx1"/>
            </w14:solidFill>
          </w14:textFill>
        </w:rPr>
      </w:pPr>
      <w:r>
        <w:rPr>
          <w:rFonts w:hint="eastAsia"/>
          <w:b/>
          <w:color w:val="000000" w:themeColor="text1"/>
          <w14:textFill>
            <w14:solidFill>
              <w14:schemeClr w14:val="tx1"/>
            </w14:solidFill>
          </w14:textFill>
        </w:rPr>
        <w:t>公司合并口径有息债务结构情况</w:t>
      </w:r>
    </w:p>
    <w:p w14:paraId="2A851DFE">
      <w:pPr>
        <w:pStyle w:val="63"/>
        <w:ind w:firstLine="4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报告期初和报告期末，公司合并报表范围内公司有息债务余额分别为</w:t>
      </w:r>
      <w:sdt>
        <w:sdtPr>
          <w:rPr>
            <w:rFonts w:ascii="Times New Roman" w:hAnsi="Times New Roman"/>
            <w:color w:val="000000" w:themeColor="text1"/>
            <w14:textFill>
              <w14:solidFill>
                <w14:schemeClr w14:val="tx1"/>
              </w14:solidFill>
            </w14:textFill>
          </w:rPr>
          <w:alias w:val="有息债务"/>
          <w:tag w:val="_GBC_9384d19728344a8da30ff4584793135e"/>
          <w:id w:val="147461220"/>
          <w:placeholder>
            <w:docPart w:val="GBC22222222222222222222222222222"/>
          </w:placeholder>
        </w:sdtPr>
        <w:sdtEndPr>
          <w:rPr>
            <w:rFonts w:ascii="Times New Roman" w:hAnsi="Times New Roman"/>
            <w:color w:val="000000" w:themeColor="text1"/>
            <w14:textFill>
              <w14:solidFill>
                <w14:schemeClr w14:val="tx1"/>
              </w14:solidFill>
            </w14:textFill>
          </w:rPr>
        </w:sdtEndPr>
        <w:sdtContent>
          <w:r>
            <w:rPr>
              <w:rFonts w:ascii="Times New Roman" w:hAnsi="Times New Roman"/>
              <w:color w:val="000000" w:themeColor="text1"/>
              <w14:textFill>
                <w14:solidFill>
                  <w14:schemeClr w14:val="tx1"/>
                </w14:solidFill>
              </w14:textFill>
            </w:rPr>
            <w:t>17.69</w:t>
          </w:r>
        </w:sdtContent>
      </w:sdt>
      <w:sdt>
        <w:sdtPr>
          <w:rPr>
            <w:rFonts w:ascii="Times New Roman" w:hAnsi="Times New Roman"/>
            <w:color w:val="000000" w:themeColor="text1"/>
            <w14:textFill>
              <w14:solidFill>
                <w14:schemeClr w14:val="tx1"/>
              </w14:solidFill>
            </w14:textFill>
          </w:rPr>
          <w:alias w:val="单位：有息债务"/>
          <w:tag w:val="_GBC_97ad5639f55c4cee885aa12237aecdba"/>
          <w:id w:val="147452148"/>
          <w:placeholder>
            <w:docPart w:val="GBC22222222222222222222222222222"/>
          </w:placeholder>
          <w:dataBinding w:prefixMappings="xmlns:bond='bond'" w:xpath="/*/bond:DanWe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ascii="Times New Roman" w:hAnsi="Times New Roman"/>
            <w:color w:val="000000" w:themeColor="text1"/>
            <w14:textFill>
              <w14:solidFill>
                <w14:schemeClr w14:val="tx1"/>
              </w14:solidFill>
            </w14:textFill>
          </w:rPr>
        </w:sdtEndPr>
        <w:sdtContent>
          <w:r>
            <w:rPr>
              <w:rFonts w:ascii="Times New Roman" w:hAnsi="Times New Roman"/>
              <w:color w:val="000000" w:themeColor="text1"/>
              <w14:textFill>
                <w14:solidFill>
                  <w14:schemeClr w14:val="tx1"/>
                </w14:solidFill>
              </w14:textFill>
            </w:rPr>
            <w:t>亿元</w:t>
          </w:r>
        </w:sdtContent>
      </w:sdt>
      <w:r>
        <w:rPr>
          <w:rFonts w:ascii="Times New Roman" w:hAnsi="Times New Roman"/>
          <w:color w:val="000000" w:themeColor="text1"/>
          <w14:textFill>
            <w14:solidFill>
              <w14:schemeClr w14:val="tx1"/>
            </w14:solidFill>
          </w14:textFill>
        </w:rPr>
        <w:t>和</w:t>
      </w:r>
      <w:sdt>
        <w:sdtPr>
          <w:rPr>
            <w:rFonts w:ascii="Times New Roman" w:hAnsi="Times New Roman"/>
            <w:color w:val="000000" w:themeColor="text1"/>
            <w14:textFill>
              <w14:solidFill>
                <w14:schemeClr w14:val="tx1"/>
              </w14:solidFill>
            </w14:textFill>
          </w:rPr>
          <w:alias w:val="有息债务"/>
          <w:tag w:val="_GBC_c70977b4bb4a43bbb055fa1ebdfad87f"/>
          <w:id w:val="147476847"/>
          <w:placeholder>
            <w:docPart w:val="GBC22222222222222222222222222222"/>
          </w:placeholder>
        </w:sdtPr>
        <w:sdtEndPr>
          <w:rPr>
            <w:rFonts w:ascii="Times New Roman" w:hAnsi="Times New Roman"/>
            <w:color w:val="000000" w:themeColor="text1"/>
            <w14:textFill>
              <w14:solidFill>
                <w14:schemeClr w14:val="tx1"/>
              </w14:solidFill>
            </w14:textFill>
          </w:rPr>
        </w:sdtEndPr>
        <w:sdtContent>
          <w:r>
            <w:rPr>
              <w:rFonts w:ascii="Times New Roman" w:hAnsi="Times New Roman"/>
              <w:color w:val="000000" w:themeColor="text1"/>
              <w14:textFill>
                <w14:solidFill>
                  <w14:schemeClr w14:val="tx1"/>
                </w14:solidFill>
              </w14:textFill>
            </w:rPr>
            <w:t>35.95</w:t>
          </w:r>
        </w:sdtContent>
      </w:sdt>
      <w:sdt>
        <w:sdtPr>
          <w:rPr>
            <w:rFonts w:ascii="Times New Roman" w:hAnsi="Times New Roman"/>
            <w:color w:val="000000" w:themeColor="text1"/>
            <w14:textFill>
              <w14:solidFill>
                <w14:schemeClr w14:val="tx1"/>
              </w14:solidFill>
            </w14:textFill>
          </w:rPr>
          <w:alias w:val="单位：有息债务"/>
          <w:tag w:val="_GBC_7d102e4467984b689099515899a9116d"/>
          <w:id w:val="147467345"/>
          <w:placeholder>
            <w:docPart w:val="GBC22222222222222222222222222222"/>
          </w:placeholder>
          <w:dataBinding w:prefixMappings="xmlns:bond='bond'" w:xpath="/*/bond:DanWe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ascii="Times New Roman" w:hAnsi="Times New Roman"/>
            <w:color w:val="000000" w:themeColor="text1"/>
            <w14:textFill>
              <w14:solidFill>
                <w14:schemeClr w14:val="tx1"/>
              </w14:solidFill>
            </w14:textFill>
          </w:rPr>
        </w:sdtEndPr>
        <w:sdtContent>
          <w:r>
            <w:rPr>
              <w:rFonts w:ascii="Times New Roman" w:hAnsi="Times New Roman"/>
              <w:color w:val="000000" w:themeColor="text1"/>
              <w14:textFill>
                <w14:solidFill>
                  <w14:schemeClr w14:val="tx1"/>
                </w14:solidFill>
              </w14:textFill>
            </w:rPr>
            <w:t>亿元</w:t>
          </w:r>
        </w:sdtContent>
      </w:sdt>
      <w:r>
        <w:rPr>
          <w:rFonts w:ascii="Times New Roman" w:hAnsi="Times New Roman"/>
          <w:color w:val="000000" w:themeColor="text1"/>
          <w14:textFill>
            <w14:solidFill>
              <w14:schemeClr w14:val="tx1"/>
            </w14:solidFill>
          </w14:textFill>
        </w:rPr>
        <w:t>，报告期内有息债务余额同比变动</w:t>
      </w:r>
      <w:sdt>
        <w:sdtPr>
          <w:rPr>
            <w:rFonts w:ascii="Times New Roman" w:hAnsi="Times New Roman"/>
            <w:color w:val="000000" w:themeColor="text1"/>
            <w14:textFill>
              <w14:solidFill>
                <w14:schemeClr w14:val="tx1"/>
              </w14:solidFill>
            </w14:textFill>
          </w:rPr>
          <w:alias w:val="有息债务变动比例"/>
          <w:tag w:val="_GBC_5d2bce29346e4f0fa938e51afa2edcde"/>
          <w:id w:val="147475007"/>
          <w:placeholder>
            <w:docPart w:val="GBC22222222222222222222222222222"/>
          </w:placeholder>
        </w:sdtPr>
        <w:sdtEndPr>
          <w:rPr>
            <w:rFonts w:ascii="Times New Roman" w:hAnsi="Times New Roman"/>
            <w:color w:val="000000" w:themeColor="text1"/>
            <w14:textFill>
              <w14:solidFill>
                <w14:schemeClr w14:val="tx1"/>
              </w14:solidFill>
            </w14:textFill>
          </w:rPr>
        </w:sdtEndPr>
        <w:sdtContent>
          <w:r>
            <w:rPr>
              <w:rFonts w:ascii="Times New Roman" w:hAnsi="Times New Roman"/>
              <w:color w:val="000000" w:themeColor="text1"/>
              <w14:textFill>
                <w14:solidFill>
                  <w14:schemeClr w14:val="tx1"/>
                </w14:solidFill>
              </w14:textFill>
            </w:rPr>
            <w:t>103.22</w:t>
          </w:r>
        </w:sdtContent>
      </w:sdt>
      <w:r>
        <w:rPr>
          <w:rFonts w:ascii="Times New Roman" w:hAnsi="Times New Roman"/>
          <w:color w:val="000000" w:themeColor="text1"/>
          <w14:textFill>
            <w14:solidFill>
              <w14:schemeClr w14:val="tx1"/>
            </w14:solidFill>
          </w14:textFill>
        </w:rPr>
        <w:t>%。</w:t>
      </w:r>
    </w:p>
    <w:p w14:paraId="47D7A2D9">
      <w:pPr>
        <w:kinsoku w:val="0"/>
        <w:overflowPunct w:val="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有息债务"/>
          <w:tag w:val="_GBC_78dd63cff4a64eeb9f91324054e58386"/>
          <w:id w:val="147470854"/>
          <w:placeholder>
            <w:docPart w:val="GBC22222222222222222222222222222"/>
          </w:placeholder>
          <w:dataBinding w:prefixMappings="xmlns:bond='bond'" w:xpath="/*/bond:DanWe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有息债务"/>
          <w:tag w:val="_GBC_bd96460d75e2466b9504fdc2e878f98c"/>
          <w:id w:val="1474759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5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6"/>
        <w:gridCol w:w="932"/>
        <w:gridCol w:w="1458"/>
        <w:gridCol w:w="1461"/>
        <w:gridCol w:w="1458"/>
        <w:gridCol w:w="1584"/>
      </w:tblGrid>
      <w:tr w14:paraId="22F06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f01df12987344659c3cecde3da1e809"/>
            <w:id w:val="147482537"/>
          </w:sdtPr>
          <w:sdtContent>
            <w:tc>
              <w:tcPr>
                <w:tcW w:w="1191" w:type="pct"/>
                <w:vMerge w:val="restart"/>
                <w:vAlign w:val="center"/>
              </w:tcPr>
              <w:p w14:paraId="7583ECFB">
                <w:pPr>
                  <w:widowControl w:val="0"/>
                  <w:kinsoku w:val="0"/>
                  <w:overflowPunct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有息债务类别</w:t>
                </w:r>
              </w:p>
            </w:tc>
          </w:sdtContent>
        </w:sdt>
        <w:sdt>
          <w:sdtPr>
            <w:tag w:val="_PLD_6b5533ba1ebe48559158efa77197624d"/>
            <w:id w:val="147479110"/>
          </w:sdtPr>
          <w:sdtContent>
            <w:tc>
              <w:tcPr>
                <w:tcW w:w="2127" w:type="pct"/>
                <w:gridSpan w:val="3"/>
                <w:vAlign w:val="center"/>
              </w:tcPr>
              <w:p w14:paraId="08CDB18D">
                <w:pPr>
                  <w:widowControl w:val="0"/>
                  <w:kinsoku w:val="0"/>
                  <w:overflowPunct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到期时间</w:t>
                </w:r>
              </w:p>
            </w:tc>
          </w:sdtContent>
        </w:sdt>
        <w:sdt>
          <w:sdtPr>
            <w:tag w:val="_PLD_296f377c4198465faa99049e3f107485"/>
            <w:id w:val="147473021"/>
          </w:sdtPr>
          <w:sdtContent>
            <w:tc>
              <w:tcPr>
                <w:tcW w:w="805" w:type="pct"/>
                <w:vMerge w:val="restart"/>
                <w:vAlign w:val="center"/>
              </w:tcPr>
              <w:p w14:paraId="75CA1D27">
                <w:pPr>
                  <w:widowControl w:val="0"/>
                  <w:kinsoku w:val="0"/>
                  <w:overflowPunct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金额合计</w:t>
                </w:r>
              </w:p>
            </w:tc>
          </w:sdtContent>
        </w:sdt>
        <w:tc>
          <w:tcPr>
            <w:tcW w:w="875" w:type="pct"/>
            <w:vMerge w:val="restart"/>
            <w:vAlign w:val="center"/>
          </w:tcPr>
          <w:sdt>
            <w:sdtPr>
              <w:tag w:val="_PLD_e141af3b051a4a5598f71ca45e8ab064"/>
              <w:id w:val="147459774"/>
            </w:sdtPr>
            <w:sdtContent>
              <w:p w14:paraId="4F52C78F">
                <w:pPr>
                  <w:widowControl w:val="0"/>
                  <w:kinsoku w:val="0"/>
                  <w:overflowPunct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金额占有息债务的占比（%）</w:t>
                </w:r>
              </w:p>
            </w:sdtContent>
          </w:sdt>
        </w:tc>
      </w:tr>
      <w:tr w14:paraId="0488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pct"/>
            <w:vMerge w:val="continue"/>
            <w:vAlign w:val="center"/>
          </w:tcPr>
          <w:p w14:paraId="51A9592B">
            <w:pPr>
              <w:widowControl w:val="0"/>
              <w:kinsoku w:val="0"/>
              <w:overflowPunct w:val="0"/>
              <w:jc w:val="center"/>
              <w:rPr>
                <w:color w:val="000000" w:themeColor="text1"/>
                <w14:textFill>
                  <w14:solidFill>
                    <w14:schemeClr w14:val="tx1"/>
                  </w14:solidFill>
                </w14:textFill>
              </w:rPr>
            </w:pPr>
          </w:p>
        </w:tc>
        <w:sdt>
          <w:sdtPr>
            <w:tag w:val="_PLD_8f4451cba9094329842d5a5bae1d3417"/>
            <w:id w:val="147459097"/>
          </w:sdtPr>
          <w:sdtContent>
            <w:tc>
              <w:tcPr>
                <w:tcW w:w="515" w:type="pct"/>
                <w:vAlign w:val="center"/>
              </w:tcPr>
              <w:p w14:paraId="6C5E107D">
                <w:pPr>
                  <w:widowControl w:val="0"/>
                  <w:kinsoku w:val="0"/>
                  <w:overflowPunct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已逾期</w:t>
                </w:r>
              </w:p>
            </w:tc>
          </w:sdtContent>
        </w:sdt>
        <w:sdt>
          <w:sdtPr>
            <w:tag w:val="_PLD_e66855704f2c40f5bcb838280fcd7da2"/>
            <w:id w:val="147479358"/>
          </w:sdtPr>
          <w:sdtContent>
            <w:tc>
              <w:tcPr>
                <w:tcW w:w="805" w:type="pct"/>
                <w:vAlign w:val="center"/>
              </w:tcPr>
              <w:p w14:paraId="0856841B">
                <w:pPr>
                  <w:widowControl w:val="0"/>
                  <w:kinsoku w:val="0"/>
                  <w:overflowPunct w:val="0"/>
                  <w:jc w:val="center"/>
                  <w:rPr>
                    <w:color w:val="000000" w:themeColor="text1"/>
                    <w14:textFill>
                      <w14:solidFill>
                        <w14:schemeClr w14:val="tx1"/>
                      </w14:solidFill>
                    </w14:textFill>
                  </w:rPr>
                </w:pPr>
                <w:r>
                  <w:rPr>
                    <w:color w:val="000000" w:themeColor="text1"/>
                    <w14:textFill>
                      <w14:solidFill>
                        <w14:schemeClr w14:val="tx1"/>
                      </w14:solidFill>
                    </w14:textFill>
                  </w:rPr>
                  <w:t>1年以内</w:t>
                </w:r>
              </w:p>
              <w:p w14:paraId="424E04B2">
                <w:pPr>
                  <w:widowControl w:val="0"/>
                  <w:kinsoku w:val="0"/>
                  <w:overflowPunct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（含）</w:t>
                </w:r>
              </w:p>
            </w:tc>
          </w:sdtContent>
        </w:sdt>
        <w:sdt>
          <w:sdtPr>
            <w:tag w:val="_PLD_63a6e1ec465b48dda16454fa1c0fecf4"/>
            <w:id w:val="147459968"/>
          </w:sdtPr>
          <w:sdtContent>
            <w:tc>
              <w:tcPr>
                <w:tcW w:w="807" w:type="pct"/>
                <w:vAlign w:val="center"/>
              </w:tcPr>
              <w:p w14:paraId="79C25C94">
                <w:pPr>
                  <w:widowControl w:val="0"/>
                  <w:kinsoku w:val="0"/>
                  <w:overflowPunct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超过</w:t>
                </w:r>
                <w:r>
                  <w:rPr>
                    <w:color w:val="000000" w:themeColor="text1"/>
                    <w14:textFill>
                      <w14:solidFill>
                        <w14:schemeClr w14:val="tx1"/>
                      </w14:solidFill>
                    </w14:textFill>
                  </w:rPr>
                  <w:t>1年（不含）</w:t>
                </w:r>
              </w:p>
            </w:tc>
          </w:sdtContent>
        </w:sdt>
        <w:tc>
          <w:tcPr>
            <w:tcW w:w="805" w:type="pct"/>
            <w:vMerge w:val="continue"/>
            <w:vAlign w:val="center"/>
          </w:tcPr>
          <w:p w14:paraId="7EBC17AB">
            <w:pPr>
              <w:widowControl w:val="0"/>
              <w:kinsoku w:val="0"/>
              <w:overflowPunct w:val="0"/>
              <w:jc w:val="center"/>
              <w:rPr>
                <w:color w:val="000000" w:themeColor="text1"/>
                <w14:textFill>
                  <w14:solidFill>
                    <w14:schemeClr w14:val="tx1"/>
                  </w14:solidFill>
                </w14:textFill>
              </w:rPr>
            </w:pPr>
          </w:p>
        </w:tc>
        <w:tc>
          <w:tcPr>
            <w:tcW w:w="875" w:type="pct"/>
            <w:vMerge w:val="continue"/>
            <w:vAlign w:val="center"/>
          </w:tcPr>
          <w:p w14:paraId="73194B5F">
            <w:pPr>
              <w:widowControl w:val="0"/>
              <w:kinsoku w:val="0"/>
              <w:overflowPunct w:val="0"/>
              <w:jc w:val="center"/>
              <w:rPr>
                <w:color w:val="000000" w:themeColor="text1"/>
                <w14:textFill>
                  <w14:solidFill>
                    <w14:schemeClr w14:val="tx1"/>
                  </w14:solidFill>
                </w14:textFill>
              </w:rPr>
            </w:pPr>
          </w:p>
        </w:tc>
      </w:tr>
      <w:tr w14:paraId="6D5C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pct"/>
            <w:vAlign w:val="center"/>
          </w:tcPr>
          <w:p w14:paraId="4CCF419E">
            <w:pPr>
              <w:widowControl w:val="0"/>
              <w:kinsoku w:val="0"/>
              <w:overflowPunct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公司信用类债券</w:t>
            </w:r>
          </w:p>
        </w:tc>
        <w:tc>
          <w:tcPr>
            <w:tcW w:w="515" w:type="pct"/>
            <w:vAlign w:val="center"/>
          </w:tcPr>
          <w:p w14:paraId="7B691C52">
            <w:pPr>
              <w:widowControl w:val="0"/>
              <w:kinsoku w:val="0"/>
              <w:overflowPunct w:val="0"/>
              <w:jc w:val="right"/>
              <w:rPr>
                <w:rFonts w:cs="Times New Roman"/>
              </w:rPr>
            </w:pPr>
          </w:p>
        </w:tc>
        <w:tc>
          <w:tcPr>
            <w:tcW w:w="805" w:type="pct"/>
            <w:vAlign w:val="center"/>
          </w:tcPr>
          <w:p w14:paraId="0185741D">
            <w:pPr>
              <w:widowControl/>
              <w:jc w:val="right"/>
              <w:textAlignment w:val="center"/>
              <w:rPr>
                <w:rFonts w:cs="Times New Roman"/>
              </w:rPr>
            </w:pPr>
            <w:r>
              <w:rPr>
                <w:rFonts w:eastAsia="等线" w:cs="Times New Roman"/>
                <w:color w:val="000000"/>
                <w:lang w:bidi="ar"/>
              </w:rPr>
              <w:t>5.01</w:t>
            </w:r>
          </w:p>
        </w:tc>
        <w:tc>
          <w:tcPr>
            <w:tcW w:w="807" w:type="pct"/>
            <w:vAlign w:val="center"/>
          </w:tcPr>
          <w:p w14:paraId="5E288F90">
            <w:pPr>
              <w:widowControl/>
              <w:jc w:val="right"/>
              <w:textAlignment w:val="center"/>
              <w:rPr>
                <w:rFonts w:cs="Times New Roman"/>
              </w:rPr>
            </w:pPr>
          </w:p>
        </w:tc>
        <w:tc>
          <w:tcPr>
            <w:tcW w:w="805" w:type="pct"/>
            <w:vAlign w:val="center"/>
          </w:tcPr>
          <w:p w14:paraId="0A6FB39D">
            <w:pPr>
              <w:widowControl/>
              <w:jc w:val="right"/>
              <w:textAlignment w:val="center"/>
              <w:rPr>
                <w:rFonts w:cs="Times New Roman"/>
              </w:rPr>
            </w:pPr>
            <w:r>
              <w:rPr>
                <w:rFonts w:eastAsia="等线" w:cs="Times New Roman"/>
                <w:color w:val="000000"/>
                <w:lang w:bidi="ar"/>
              </w:rPr>
              <w:t>5.01</w:t>
            </w:r>
          </w:p>
        </w:tc>
        <w:tc>
          <w:tcPr>
            <w:tcW w:w="875" w:type="pct"/>
            <w:vAlign w:val="center"/>
          </w:tcPr>
          <w:p w14:paraId="0522B908">
            <w:pPr>
              <w:widowControl/>
              <w:jc w:val="right"/>
              <w:textAlignment w:val="center"/>
              <w:rPr>
                <w:rFonts w:cs="Times New Roman"/>
              </w:rPr>
            </w:pPr>
            <w:r>
              <w:rPr>
                <w:rFonts w:eastAsia="等线" w:cs="Times New Roman"/>
                <w:color w:val="000000"/>
                <w:lang w:bidi="ar"/>
              </w:rPr>
              <w:t xml:space="preserve">13.94 </w:t>
            </w:r>
          </w:p>
        </w:tc>
      </w:tr>
      <w:tr w14:paraId="19E9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pct"/>
            <w:vAlign w:val="center"/>
          </w:tcPr>
          <w:p w14:paraId="5E03122B">
            <w:pPr>
              <w:widowControl w:val="0"/>
              <w:kinsoku w:val="0"/>
              <w:overflowPunct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银行贷款</w:t>
            </w:r>
          </w:p>
        </w:tc>
        <w:tc>
          <w:tcPr>
            <w:tcW w:w="515" w:type="pct"/>
            <w:vAlign w:val="center"/>
          </w:tcPr>
          <w:p w14:paraId="0E03DBD1">
            <w:pPr>
              <w:widowControl w:val="0"/>
              <w:kinsoku w:val="0"/>
              <w:overflowPunct w:val="0"/>
              <w:jc w:val="right"/>
              <w:rPr>
                <w:rFonts w:cs="Times New Roman"/>
              </w:rPr>
            </w:pPr>
          </w:p>
        </w:tc>
        <w:tc>
          <w:tcPr>
            <w:tcW w:w="805" w:type="pct"/>
            <w:vAlign w:val="center"/>
          </w:tcPr>
          <w:p w14:paraId="004555E5">
            <w:pPr>
              <w:widowControl/>
              <w:jc w:val="right"/>
              <w:textAlignment w:val="center"/>
              <w:rPr>
                <w:rFonts w:cs="Times New Roman"/>
              </w:rPr>
            </w:pPr>
            <w:r>
              <w:rPr>
                <w:rFonts w:eastAsia="等线" w:cs="Times New Roman"/>
                <w:color w:val="000000"/>
                <w:lang w:bidi="ar"/>
              </w:rPr>
              <w:t xml:space="preserve">2.95 </w:t>
            </w:r>
          </w:p>
        </w:tc>
        <w:tc>
          <w:tcPr>
            <w:tcW w:w="807" w:type="pct"/>
            <w:vAlign w:val="center"/>
          </w:tcPr>
          <w:p w14:paraId="0184C925">
            <w:pPr>
              <w:widowControl/>
              <w:jc w:val="right"/>
              <w:textAlignment w:val="center"/>
              <w:rPr>
                <w:rFonts w:cs="Times New Roman"/>
              </w:rPr>
            </w:pPr>
            <w:r>
              <w:rPr>
                <w:rFonts w:eastAsia="等线" w:cs="Times New Roman"/>
                <w:color w:val="000000"/>
                <w:lang w:bidi="ar"/>
              </w:rPr>
              <w:t xml:space="preserve">20.19 </w:t>
            </w:r>
          </w:p>
        </w:tc>
        <w:tc>
          <w:tcPr>
            <w:tcW w:w="805" w:type="pct"/>
            <w:vAlign w:val="center"/>
          </w:tcPr>
          <w:p w14:paraId="1A2C5B4D">
            <w:pPr>
              <w:widowControl/>
              <w:jc w:val="right"/>
              <w:textAlignment w:val="center"/>
              <w:rPr>
                <w:rFonts w:cs="Times New Roman"/>
              </w:rPr>
            </w:pPr>
            <w:r>
              <w:rPr>
                <w:rFonts w:eastAsia="等线" w:cs="Times New Roman"/>
                <w:color w:val="000000"/>
                <w:lang w:bidi="ar"/>
              </w:rPr>
              <w:t xml:space="preserve">23.14 </w:t>
            </w:r>
          </w:p>
        </w:tc>
        <w:tc>
          <w:tcPr>
            <w:tcW w:w="875" w:type="pct"/>
            <w:vAlign w:val="center"/>
          </w:tcPr>
          <w:p w14:paraId="28AFFB8D">
            <w:pPr>
              <w:widowControl/>
              <w:jc w:val="right"/>
              <w:textAlignment w:val="center"/>
              <w:rPr>
                <w:rFonts w:cs="Times New Roman"/>
              </w:rPr>
            </w:pPr>
            <w:r>
              <w:rPr>
                <w:rFonts w:eastAsia="等线" w:cs="Times New Roman"/>
                <w:color w:val="000000"/>
                <w:lang w:bidi="ar"/>
              </w:rPr>
              <w:t xml:space="preserve">64.36 </w:t>
            </w:r>
          </w:p>
        </w:tc>
      </w:tr>
      <w:tr w14:paraId="294BD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pct"/>
            <w:vAlign w:val="center"/>
          </w:tcPr>
          <w:p w14:paraId="170B44A7">
            <w:pPr>
              <w:widowControl w:val="0"/>
              <w:kinsoku w:val="0"/>
              <w:overflowPunct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非银行金融机构贷款</w:t>
            </w:r>
          </w:p>
        </w:tc>
        <w:tc>
          <w:tcPr>
            <w:tcW w:w="515" w:type="pct"/>
            <w:vAlign w:val="center"/>
          </w:tcPr>
          <w:p w14:paraId="6B3362C3">
            <w:pPr>
              <w:widowControl w:val="0"/>
              <w:kinsoku w:val="0"/>
              <w:overflowPunct w:val="0"/>
              <w:jc w:val="right"/>
              <w:rPr>
                <w:rFonts w:cs="Times New Roman"/>
              </w:rPr>
            </w:pPr>
          </w:p>
        </w:tc>
        <w:tc>
          <w:tcPr>
            <w:tcW w:w="805" w:type="pct"/>
            <w:vAlign w:val="center"/>
          </w:tcPr>
          <w:p w14:paraId="1F46EFE5">
            <w:pPr>
              <w:widowControl/>
              <w:jc w:val="right"/>
              <w:textAlignment w:val="center"/>
              <w:rPr>
                <w:rFonts w:cs="Times New Roman"/>
              </w:rPr>
            </w:pPr>
            <w:r>
              <w:rPr>
                <w:rFonts w:eastAsia="等线" w:cs="Times New Roman"/>
                <w:color w:val="000000"/>
                <w:lang w:bidi="ar"/>
              </w:rPr>
              <w:t xml:space="preserve">0.09 </w:t>
            </w:r>
          </w:p>
        </w:tc>
        <w:tc>
          <w:tcPr>
            <w:tcW w:w="807" w:type="pct"/>
            <w:vAlign w:val="center"/>
          </w:tcPr>
          <w:p w14:paraId="2A40F02B">
            <w:pPr>
              <w:widowControl/>
              <w:jc w:val="right"/>
              <w:textAlignment w:val="center"/>
              <w:rPr>
                <w:rFonts w:cs="Times New Roman"/>
              </w:rPr>
            </w:pPr>
            <w:r>
              <w:rPr>
                <w:rFonts w:eastAsia="等线" w:cs="Times New Roman"/>
                <w:color w:val="000000"/>
                <w:lang w:bidi="ar"/>
              </w:rPr>
              <w:t xml:space="preserve">4.96 </w:t>
            </w:r>
          </w:p>
        </w:tc>
        <w:tc>
          <w:tcPr>
            <w:tcW w:w="805" w:type="pct"/>
            <w:vAlign w:val="center"/>
          </w:tcPr>
          <w:p w14:paraId="27E47242">
            <w:pPr>
              <w:widowControl/>
              <w:jc w:val="right"/>
              <w:textAlignment w:val="center"/>
              <w:rPr>
                <w:rFonts w:cs="Times New Roman"/>
              </w:rPr>
            </w:pPr>
            <w:r>
              <w:rPr>
                <w:rFonts w:eastAsia="等线" w:cs="Times New Roman"/>
                <w:color w:val="000000"/>
                <w:lang w:bidi="ar"/>
              </w:rPr>
              <w:t xml:space="preserve">5.05 </w:t>
            </w:r>
          </w:p>
        </w:tc>
        <w:tc>
          <w:tcPr>
            <w:tcW w:w="875" w:type="pct"/>
            <w:vAlign w:val="center"/>
          </w:tcPr>
          <w:p w14:paraId="1F408A48">
            <w:pPr>
              <w:widowControl/>
              <w:jc w:val="right"/>
              <w:textAlignment w:val="center"/>
              <w:rPr>
                <w:rFonts w:cs="Times New Roman"/>
              </w:rPr>
            </w:pPr>
            <w:r>
              <w:rPr>
                <w:rFonts w:eastAsia="等线" w:cs="Times New Roman"/>
                <w:color w:val="000000"/>
                <w:lang w:bidi="ar"/>
              </w:rPr>
              <w:t xml:space="preserve">14.05 </w:t>
            </w:r>
          </w:p>
        </w:tc>
      </w:tr>
      <w:tr w14:paraId="310E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pct"/>
            <w:vAlign w:val="center"/>
          </w:tcPr>
          <w:p w14:paraId="7DA8F8E9">
            <w:pPr>
              <w:widowControl w:val="0"/>
              <w:kinsoku w:val="0"/>
              <w:overflowPunct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其他有息债务</w:t>
            </w:r>
          </w:p>
        </w:tc>
        <w:tc>
          <w:tcPr>
            <w:tcW w:w="515" w:type="pct"/>
            <w:vAlign w:val="center"/>
          </w:tcPr>
          <w:p w14:paraId="285D51F4">
            <w:pPr>
              <w:widowControl w:val="0"/>
              <w:kinsoku w:val="0"/>
              <w:overflowPunct w:val="0"/>
              <w:jc w:val="right"/>
              <w:rPr>
                <w:rFonts w:cs="Times New Roman"/>
              </w:rPr>
            </w:pPr>
          </w:p>
        </w:tc>
        <w:tc>
          <w:tcPr>
            <w:tcW w:w="805" w:type="pct"/>
            <w:vAlign w:val="center"/>
          </w:tcPr>
          <w:p w14:paraId="1994B8EB">
            <w:pPr>
              <w:widowControl/>
              <w:jc w:val="right"/>
              <w:textAlignment w:val="center"/>
              <w:rPr>
                <w:rFonts w:cs="Times New Roman"/>
              </w:rPr>
            </w:pPr>
            <w:r>
              <w:rPr>
                <w:rFonts w:eastAsia="等线" w:cs="Times New Roman"/>
                <w:color w:val="000000"/>
                <w:lang w:bidi="ar"/>
              </w:rPr>
              <w:t xml:space="preserve">2.75 </w:t>
            </w:r>
          </w:p>
        </w:tc>
        <w:tc>
          <w:tcPr>
            <w:tcW w:w="807" w:type="pct"/>
            <w:vAlign w:val="center"/>
          </w:tcPr>
          <w:p w14:paraId="6378F50F">
            <w:pPr>
              <w:widowControl/>
              <w:jc w:val="right"/>
              <w:textAlignment w:val="center"/>
              <w:rPr>
                <w:rFonts w:cs="Times New Roman"/>
              </w:rPr>
            </w:pPr>
            <w:r>
              <w:rPr>
                <w:rFonts w:eastAsia="等线" w:cs="Times New Roman"/>
                <w:color w:val="000000"/>
                <w:lang w:bidi="ar"/>
              </w:rPr>
              <w:t xml:space="preserve">   </w:t>
            </w:r>
          </w:p>
        </w:tc>
        <w:tc>
          <w:tcPr>
            <w:tcW w:w="805" w:type="pct"/>
            <w:vAlign w:val="center"/>
          </w:tcPr>
          <w:p w14:paraId="20063200">
            <w:pPr>
              <w:widowControl/>
              <w:jc w:val="right"/>
              <w:textAlignment w:val="center"/>
              <w:rPr>
                <w:rFonts w:cs="Times New Roman"/>
              </w:rPr>
            </w:pPr>
            <w:r>
              <w:rPr>
                <w:rFonts w:eastAsia="等线" w:cs="Times New Roman"/>
                <w:color w:val="000000"/>
                <w:lang w:bidi="ar"/>
              </w:rPr>
              <w:t xml:space="preserve">2.75 </w:t>
            </w:r>
          </w:p>
        </w:tc>
        <w:tc>
          <w:tcPr>
            <w:tcW w:w="875" w:type="pct"/>
            <w:vAlign w:val="center"/>
          </w:tcPr>
          <w:p w14:paraId="126AD957">
            <w:pPr>
              <w:widowControl/>
              <w:jc w:val="right"/>
              <w:textAlignment w:val="center"/>
              <w:rPr>
                <w:rFonts w:cs="Times New Roman"/>
              </w:rPr>
            </w:pPr>
            <w:r>
              <w:rPr>
                <w:rFonts w:eastAsia="等线" w:cs="Times New Roman"/>
                <w:color w:val="000000"/>
                <w:lang w:bidi="ar"/>
              </w:rPr>
              <w:t xml:space="preserve">7.65 </w:t>
            </w:r>
          </w:p>
        </w:tc>
      </w:tr>
      <w:tr w14:paraId="2CD27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pct"/>
            <w:vAlign w:val="center"/>
          </w:tcPr>
          <w:p w14:paraId="7C8BB793">
            <w:pPr>
              <w:widowControl w:val="0"/>
              <w:kinsoku w:val="0"/>
              <w:overflowPunct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515" w:type="pct"/>
            <w:vAlign w:val="center"/>
          </w:tcPr>
          <w:p w14:paraId="27601CD6">
            <w:pPr>
              <w:widowControl w:val="0"/>
              <w:kinsoku w:val="0"/>
              <w:overflowPunct w:val="0"/>
              <w:jc w:val="right"/>
              <w:rPr>
                <w:rFonts w:cs="Times New Roman"/>
              </w:rPr>
            </w:pPr>
          </w:p>
        </w:tc>
        <w:tc>
          <w:tcPr>
            <w:tcW w:w="805" w:type="pct"/>
            <w:vAlign w:val="center"/>
          </w:tcPr>
          <w:p w14:paraId="19A2AE37">
            <w:pPr>
              <w:widowControl/>
              <w:jc w:val="right"/>
              <w:textAlignment w:val="center"/>
              <w:rPr>
                <w:rFonts w:cs="Times New Roman"/>
              </w:rPr>
            </w:pPr>
            <w:r>
              <w:rPr>
                <w:rFonts w:eastAsia="等线" w:cs="Times New Roman"/>
                <w:color w:val="000000"/>
                <w:lang w:bidi="ar"/>
              </w:rPr>
              <w:t xml:space="preserve">10.80 </w:t>
            </w:r>
          </w:p>
        </w:tc>
        <w:tc>
          <w:tcPr>
            <w:tcW w:w="807" w:type="pct"/>
            <w:vAlign w:val="center"/>
          </w:tcPr>
          <w:p w14:paraId="03EB3143">
            <w:pPr>
              <w:widowControl/>
              <w:jc w:val="right"/>
              <w:textAlignment w:val="center"/>
              <w:rPr>
                <w:rFonts w:cs="Times New Roman"/>
              </w:rPr>
            </w:pPr>
            <w:r>
              <w:rPr>
                <w:rFonts w:eastAsia="等线" w:cs="Times New Roman"/>
                <w:color w:val="000000"/>
                <w:lang w:bidi="ar"/>
              </w:rPr>
              <w:t xml:space="preserve">25.15 </w:t>
            </w:r>
          </w:p>
        </w:tc>
        <w:tc>
          <w:tcPr>
            <w:tcW w:w="805" w:type="pct"/>
            <w:vAlign w:val="center"/>
          </w:tcPr>
          <w:p w14:paraId="549E141D">
            <w:pPr>
              <w:widowControl/>
              <w:jc w:val="right"/>
              <w:textAlignment w:val="center"/>
              <w:rPr>
                <w:rFonts w:cs="Times New Roman"/>
              </w:rPr>
            </w:pPr>
            <w:r>
              <w:rPr>
                <w:rFonts w:eastAsia="等线" w:cs="Times New Roman"/>
                <w:color w:val="000000"/>
                <w:lang w:bidi="ar"/>
              </w:rPr>
              <w:t xml:space="preserve">35.95 </w:t>
            </w:r>
          </w:p>
        </w:tc>
        <w:tc>
          <w:tcPr>
            <w:tcW w:w="875" w:type="pct"/>
            <w:vAlign w:val="center"/>
          </w:tcPr>
          <w:p w14:paraId="4D32F98B">
            <w:pPr>
              <w:widowControl w:val="0"/>
              <w:kinsoku w:val="0"/>
              <w:overflowPunct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bl>
    <w:p w14:paraId="5CDFFCBA">
      <w:pPr>
        <w:rPr>
          <w:color w:val="000000" w:themeColor="text1"/>
          <w14:textFill>
            <w14:solidFill>
              <w14:schemeClr w14:val="tx1"/>
            </w14:solidFill>
          </w14:textFill>
        </w:rPr>
      </w:pPr>
    </w:p>
    <w:p w14:paraId="2B60CCB3">
      <w:pPr>
        <w:ind w:firstLine="525" w:firstLineChars="250"/>
        <w:rPr>
          <w:color w:val="000000" w:themeColor="text1"/>
          <w14:textFill>
            <w14:solidFill>
              <w14:schemeClr w14:val="tx1"/>
            </w14:solidFill>
          </w14:textFill>
        </w:rPr>
      </w:pPr>
      <w:r>
        <w:rPr>
          <w:rFonts w:hint="eastAsia"/>
          <w:color w:val="000000" w:themeColor="text1"/>
          <w14:textFill>
            <w14:solidFill>
              <w14:schemeClr w14:val="tx1"/>
            </w14:solidFill>
          </w14:textFill>
        </w:rPr>
        <w:t>报告期末，公司合并口径存续的公司信用类债券中，公司债券余额</w:t>
      </w:r>
      <w:sdt>
        <w:sdtPr>
          <w:rPr>
            <w:rFonts w:hint="eastAsia"/>
            <w:color w:val="000000" w:themeColor="text1"/>
            <w14:textFill>
              <w14:solidFill>
                <w14:schemeClr w14:val="tx1"/>
              </w14:solidFill>
            </w14:textFill>
          </w:rPr>
          <w:alias w:val="公司信用类债券中公司债券余额"/>
          <w:tag w:val="_GBC_afd8c63d566b4f6ca50e8f1240387d49"/>
          <w:id w:val="147482557"/>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w:t>
          </w:r>
        </w:sdtContent>
      </w:sdt>
      <w:sdt>
        <w:sdtPr>
          <w:rPr>
            <w:rFonts w:hint="eastAsia"/>
            <w:color w:val="000000" w:themeColor="text1"/>
            <w14:textFill>
              <w14:solidFill>
                <w14:schemeClr w14:val="tx1"/>
              </w14:solidFill>
            </w14:textFill>
          </w:rPr>
          <w:alias w:val="单位：有息债务"/>
          <w:tag w:val="_GBC_6b44394c25d24bf996fc8c3099d322c9"/>
          <w:id w:val="147468752"/>
          <w:placeholder>
            <w:docPart w:val="GBC22222222222222222222222222222"/>
          </w:placeholder>
          <w:dataBinding w:prefixMappings="xmlns:bond='bond'" w:xpath="/*/bond:DanWe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r>
        <w:rPr>
          <w:rFonts w:hint="eastAsia"/>
          <w:color w:val="000000" w:themeColor="text1"/>
          <w14:textFill>
            <w14:solidFill>
              <w14:schemeClr w14:val="tx1"/>
            </w14:solidFill>
          </w14:textFill>
        </w:rPr>
        <w:t>，企业债券余额</w:t>
      </w:r>
      <w:sdt>
        <w:sdtPr>
          <w:rPr>
            <w:rFonts w:hint="eastAsia"/>
            <w:color w:val="000000" w:themeColor="text1"/>
            <w14:textFill>
              <w14:solidFill>
                <w14:schemeClr w14:val="tx1"/>
              </w14:solidFill>
            </w14:textFill>
          </w:rPr>
          <w:alias w:val="公司信用类债券中企业债券余额"/>
          <w:tag w:val="_GBC_3843c89a14db43019945efd3e33c0011"/>
          <w:id w:val="147457482"/>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w:t>
          </w:r>
        </w:sdtContent>
      </w:sdt>
      <w:sdt>
        <w:sdtPr>
          <w:rPr>
            <w:rFonts w:hint="eastAsia"/>
            <w:color w:val="000000" w:themeColor="text1"/>
            <w14:textFill>
              <w14:solidFill>
                <w14:schemeClr w14:val="tx1"/>
              </w14:solidFill>
            </w14:textFill>
          </w:rPr>
          <w:alias w:val="单位：有息债务"/>
          <w:tag w:val="_GBC_95da1cc3b8f047d09fe0a8279291c318"/>
          <w:id w:val="147469200"/>
          <w:placeholder>
            <w:docPart w:val="GBC22222222222222222222222222222"/>
          </w:placeholder>
          <w:dataBinding w:prefixMappings="xmlns:bond='bond'" w:xpath="/*/bond:DanWe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r>
        <w:rPr>
          <w:rFonts w:hint="eastAsia"/>
          <w:color w:val="000000" w:themeColor="text1"/>
          <w14:textFill>
            <w14:solidFill>
              <w14:schemeClr w14:val="tx1"/>
            </w14:solidFill>
          </w14:textFill>
        </w:rPr>
        <w:t>，非金融企业债务融资工具余额</w:t>
      </w:r>
      <w:sdt>
        <w:sdtPr>
          <w:rPr>
            <w:rFonts w:hint="eastAsia"/>
            <w:color w:val="000000" w:themeColor="text1"/>
            <w14:textFill>
              <w14:solidFill>
                <w14:schemeClr w14:val="tx1"/>
              </w14:solidFill>
            </w14:textFill>
          </w:rPr>
          <w:alias w:val="公司信用类债券中非金融企业债务融资工具余额"/>
          <w:tag w:val="_GBC_32eb8fe545914e11be3670bebc0a7e29"/>
          <w:id w:val="147467313"/>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5.01</w:t>
          </w:r>
        </w:sdtContent>
      </w:sdt>
      <w:sdt>
        <w:sdtPr>
          <w:rPr>
            <w:rFonts w:hint="eastAsia"/>
            <w:color w:val="000000" w:themeColor="text1"/>
            <w14:textFill>
              <w14:solidFill>
                <w14:schemeClr w14:val="tx1"/>
              </w14:solidFill>
            </w14:textFill>
          </w:rPr>
          <w:alias w:val="单位：有息债务"/>
          <w:tag w:val="_GBC_f554d7b07e8d43bbbc81f8ae4605ac7d"/>
          <w:id w:val="147455814"/>
          <w:placeholder>
            <w:docPart w:val="GBC22222222222222222222222222222"/>
          </w:placeholder>
          <w:dataBinding w:prefixMappings="xmlns:bond='bond'" w:xpath="/*/bond:DanWe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r>
        <w:rPr>
          <w:rFonts w:hint="eastAsia"/>
          <w:color w:val="000000" w:themeColor="text1"/>
          <w14:textFill>
            <w14:solidFill>
              <w14:schemeClr w14:val="tx1"/>
            </w14:solidFill>
          </w14:textFill>
        </w:rPr>
        <w:t>。</w:t>
      </w:r>
    </w:p>
    <w:p w14:paraId="526F462E">
      <w:pPr>
        <w:rPr>
          <w:color w:val="000000" w:themeColor="text1"/>
          <w14:textFill>
            <w14:solidFill>
              <w14:schemeClr w14:val="tx1"/>
            </w14:solidFill>
          </w14:textFill>
        </w:rPr>
      </w:pPr>
    </w:p>
    <w:bookmarkEnd w:id="130"/>
    <w:p w14:paraId="736078FD">
      <w:pPr>
        <w:pStyle w:val="63"/>
        <w:numPr>
          <w:ilvl w:val="0"/>
          <w:numId w:val="41"/>
        </w:numPr>
        <w:ind w:left="420" w:firstLineChars="0"/>
        <w:outlineLvl w:val="5"/>
        <w:rPr>
          <w:b/>
          <w:color w:val="000000" w:themeColor="text1"/>
          <w14:textFill>
            <w14:solidFill>
              <w14:schemeClr w14:val="tx1"/>
            </w14:solidFill>
          </w14:textFill>
        </w:rPr>
      </w:pPr>
      <w:r>
        <w:rPr>
          <w:rFonts w:hint="eastAsia"/>
          <w:b/>
          <w:color w:val="000000" w:themeColor="text1"/>
          <w14:textFill>
            <w14:solidFill>
              <w14:schemeClr w14:val="tx1"/>
            </w14:solidFill>
          </w14:textFill>
        </w:rPr>
        <w:t>境外债券情况</w:t>
      </w:r>
    </w:p>
    <w:p w14:paraId="4D0A65AF">
      <w:pPr>
        <w:ind w:firstLine="420" w:firstLineChars="200"/>
      </w:pPr>
      <w:r>
        <w:rPr>
          <w:rFonts w:hint="eastAsia"/>
          <w:color w:val="000000" w:themeColor="text1"/>
          <w14:textFill>
            <w14:solidFill>
              <w14:schemeClr w14:val="tx1"/>
            </w14:solidFill>
          </w14:textFill>
        </w:rPr>
        <w:t>截止报告期末，公司合并报表范围内发行的境外债券余额</w:t>
      </w:r>
      <w:sdt>
        <w:sdtPr>
          <w:rPr>
            <w:rFonts w:hint="eastAsia"/>
            <w:color w:val="000000" w:themeColor="text1"/>
            <w14:textFill>
              <w14:solidFill>
                <w14:schemeClr w14:val="tx1"/>
              </w14:solidFill>
            </w14:textFill>
          </w:rPr>
          <w:alias w:val="境外债券"/>
          <w:tag w:val="_GBC_afb4d168938544c3a82db96e007d8a2f"/>
          <w:id w:val="147474091"/>
          <w:placeholder>
            <w:docPart w:val="GBC22222222222222222222222222222"/>
          </w:placeholder>
          <w:dataBinding w:prefixMappings="xmlns:bond='bond'" w:xpath="/*/bond:JingWaiZhaiQuan[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w:t>
          </w:r>
        </w:sdtContent>
      </w:sdt>
      <w:sdt>
        <w:sdtPr>
          <w:rPr>
            <w:rFonts w:hint="eastAsia"/>
            <w:color w:val="000000" w:themeColor="text1"/>
            <w14:textFill>
              <w14:solidFill>
                <w14:schemeClr w14:val="tx1"/>
              </w14:solidFill>
            </w14:textFill>
          </w:rPr>
          <w:alias w:val="单位：发行人境外市场发行债券"/>
          <w:tag w:val="_GBC_4968d9e540e44414b345d17103fde1f7"/>
          <w:id w:val="147458010"/>
          <w:placeholder>
            <w:docPart w:val="GBC22222222222222222222222222222"/>
          </w:placeholder>
          <w:dataBinding w:prefixMappings="xmlns:bond='bond'" w:xpath="/*/bond:DanWeiFaXingRenJingWaiShiChangFaXingZhaiQuan[not(@periodRef)]" w:storeItemID="{89EBAB94-44A0-46A2-B712-30D997D04A6D}"/>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亿元</w:t>
          </w:r>
        </w:sdtContent>
      </w:sdt>
      <w:sdt>
        <w:sdtPr>
          <w:rPr>
            <w:rFonts w:hint="eastAsia"/>
            <w:color w:val="000000" w:themeColor="text1"/>
            <w14:textFill>
              <w14:solidFill>
                <w14:schemeClr w14:val="tx1"/>
              </w14:solidFill>
            </w14:textFill>
          </w:rPr>
          <w:alias w:val="币种：发行人境外市场发行债券"/>
          <w:tag w:val="_GBC_0dd954c100414c9e8a625f5767bd5682"/>
          <w:id w:val="147468869"/>
          <w:placeholder>
            <w:docPart w:val="GBC22222222222222222222222222222"/>
          </w:placeholder>
          <w:dataBinding w:prefixMappings="xmlns:bond='bond'" w:xpath="/*/bond:BiZhongFaXingRenJingWaiShiChangFaXingZhaiQuan[not(@periodRef)]" w:storeItemID="{89EBAB94-44A0-46A2-B712-30D997D04A6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w:t>
      </w:r>
      <w:bookmarkStart w:id="131" w:name="_Hlk200553537"/>
      <w:bookmarkStart w:id="132" w:name="_Hlk200703962"/>
      <w:r>
        <w:rPr>
          <w:rFonts w:hint="eastAsia"/>
        </w:rPr>
        <w:t>其中1年以内（含）到期本金规模为</w:t>
      </w:r>
      <w:sdt>
        <w:sdtPr>
          <w:rPr>
            <w:rFonts w:hint="eastAsia"/>
          </w:rPr>
          <w:alias w:val="一年内到期的境外债券"/>
          <w:tag w:val="_GBC_4b3f56a73f674beea2fba7c2ebf58ce5"/>
          <w:id w:val="147459312"/>
          <w:placeholder>
            <w:docPart w:val="GBC22222222222222222222222222222"/>
          </w:placeholder>
        </w:sdtPr>
        <w:sdtEndPr>
          <w:rPr>
            <w:rFonts w:hint="eastAsia"/>
          </w:rPr>
        </w:sdtEndPr>
        <w:sdtContent>
          <w:r>
            <w:rPr>
              <w:rFonts w:hint="eastAsia"/>
            </w:rPr>
            <w:t>0</w:t>
          </w:r>
        </w:sdtContent>
      </w:sdt>
      <w:sdt>
        <w:sdtPr>
          <w:rPr>
            <w:rFonts w:hint="eastAsia"/>
          </w:rPr>
          <w:alias w:val="单位：发行人境外市场发行债券"/>
          <w:tag w:val="_GBC_f7d0da6a3e4f41c99a830a728c8d4bf6"/>
          <w:id w:val="147473340"/>
          <w:placeholder>
            <w:docPart w:val="GBC22222222222222222222222222222"/>
          </w:placeholder>
          <w:dataBinding w:prefixMappings="xmlns:bond='bond'" w:xpath="/*/bond:DanWeiFaXingRenJingWaiShiChangFaXingZhaiQuan[not(@periodRef)]" w:storeItemID="{89EBAB94-44A0-46A2-B712-30D997D04A6D}"/>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亿元</w:t>
          </w:r>
        </w:sdtContent>
      </w:sdt>
      <w:sdt>
        <w:sdtPr>
          <w:rPr>
            <w:rFonts w:hint="eastAsia"/>
          </w:rPr>
          <w:alias w:val="币种：发行人境外市场发行债券"/>
          <w:tag w:val="_GBC_551d60ccf91c4291b7003b867723dcd2"/>
          <w:id w:val="1474593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r>
        <w:rPr>
          <w:rFonts w:hint="eastAsia"/>
        </w:rPr>
        <w:t>。</w:t>
      </w:r>
      <w:bookmarkEnd w:id="131"/>
    </w:p>
    <w:p w14:paraId="15D88400">
      <w:pPr>
        <w:rPr>
          <w:color w:val="000000" w:themeColor="text1"/>
          <w14:textFill>
            <w14:solidFill>
              <w14:schemeClr w14:val="tx1"/>
            </w14:solidFill>
          </w14:textFill>
        </w:rPr>
      </w:pPr>
    </w:p>
    <w:bookmarkEnd w:id="132"/>
    <w:p w14:paraId="6DC5D1E5">
      <w:pPr>
        <w:pStyle w:val="59"/>
        <w:numPr>
          <w:ilvl w:val="0"/>
          <w:numId w:val="40"/>
        </w:numPr>
        <w:rPr>
          <w:color w:val="000000" w:themeColor="text1"/>
          <w14:textFill>
            <w14:solidFill>
              <w14:schemeClr w14:val="tx1"/>
            </w14:solidFill>
          </w14:textFill>
        </w:rPr>
      </w:pPr>
      <w:r>
        <w:rPr>
          <w:rFonts w:hint="eastAsia"/>
          <w:color w:val="000000" w:themeColor="text1"/>
          <w14:textFill>
            <w14:solidFill>
              <w14:schemeClr w14:val="tx1"/>
            </w14:solidFill>
          </w14:textFill>
        </w:rPr>
        <w:t>报告期末公司及其子公司存在逾期金额超过1000万元的有息债务或者公司信用类债券逾期情况</w:t>
      </w:r>
    </w:p>
    <w:sdt>
      <w:sdtPr>
        <w:rPr>
          <w:color w:val="000000" w:themeColor="text1"/>
          <w14:textFill>
            <w14:solidFill>
              <w14:schemeClr w14:val="tx1"/>
            </w14:solidFill>
          </w14:textFill>
        </w:rPr>
        <w:alias w:val="是否适用：逾期金额较大的有息债务或者公司信用类债券逾期[双击切换]"/>
        <w:tag w:val="_GBC_417a5ca9f1d5453481794d3a0ce950a7"/>
        <w:id w:val="147480578"/>
        <w:placeholder>
          <w:docPart w:val="GBC22222222222222222222222222222"/>
        </w:placeholder>
      </w:sdtPr>
      <w:sdtEndPr>
        <w:rPr>
          <w:color w:val="000000" w:themeColor="text1"/>
          <w14:textFill>
            <w14:solidFill>
              <w14:schemeClr w14:val="tx1"/>
            </w14:solidFill>
          </w14:textFill>
        </w:rPr>
      </w:sdtEndPr>
      <w:sdtContent>
        <w:p w14:paraId="506782A9">
          <w:pPr>
            <w:kinsoku w:val="0"/>
            <w:overflowPunct w:val="0"/>
            <w:spacing w:before="120" w:beforeLines="50" w:after="120" w:afterLines="5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0A3974B">
      <w:pPr>
        <w:pStyle w:val="59"/>
        <w:numPr>
          <w:ilvl w:val="0"/>
          <w:numId w:val="40"/>
        </w:numPr>
        <w:rPr>
          <w:color w:val="000000" w:themeColor="text1"/>
          <w14:textFill>
            <w14:solidFill>
              <w14:schemeClr w14:val="tx1"/>
            </w14:solidFill>
          </w14:textFill>
        </w:rPr>
      </w:pPr>
      <w:r>
        <w:rPr>
          <w:rFonts w:hint="eastAsia"/>
          <w:color w:val="000000" w:themeColor="text1"/>
          <w14:textFill>
            <w14:solidFill>
              <w14:schemeClr w14:val="tx1"/>
            </w14:solidFill>
          </w14:textFill>
        </w:rPr>
        <w:t>可对抗第三人的优先偿付负债情况</w:t>
      </w:r>
    </w:p>
    <w:p w14:paraId="75099751">
      <w:pPr>
        <w:spacing w:before="120" w:beforeLines="50" w:after="120" w:afterLines="50"/>
        <w:rPr>
          <w:color w:val="000000" w:themeColor="text1"/>
          <w14:textFill>
            <w14:solidFill>
              <w14:schemeClr w14:val="tx1"/>
            </w14:solidFill>
          </w14:textFill>
        </w:rPr>
      </w:pPr>
      <w:r>
        <w:rPr>
          <w:color w:val="000000" w:themeColor="text1"/>
          <w14:textFill>
            <w14:solidFill>
              <w14:schemeClr w14:val="tx1"/>
            </w14:solidFill>
          </w14:textFill>
        </w:rPr>
        <w:t>截至报告期末</w:t>
      </w:r>
      <w:r>
        <w:rPr>
          <w:rFonts w:hint="eastAsia"/>
          <w:color w:val="000000" w:themeColor="text1"/>
          <w14:textFill>
            <w14:solidFill>
              <w14:schemeClr w14:val="tx1"/>
            </w14:solidFill>
          </w14:textFill>
        </w:rPr>
        <w:t>，公司合并报表范围内存在</w:t>
      </w:r>
      <w:r>
        <w:rPr>
          <w:color w:val="000000" w:themeColor="text1"/>
          <w14:textFill>
            <w14:solidFill>
              <w14:schemeClr w14:val="tx1"/>
            </w14:solidFill>
          </w14:textFill>
        </w:rPr>
        <w:t>可对抗第三人的优先偿付负债</w:t>
      </w:r>
      <w:r>
        <w:rPr>
          <w:rFonts w:hint="eastAsia"/>
          <w:color w:val="000000" w:themeColor="text1"/>
          <w14:textFill>
            <w14:solidFill>
              <w14:schemeClr w14:val="tx1"/>
            </w14:solidFill>
          </w14:textFill>
        </w:rPr>
        <w:t>：</w:t>
      </w:r>
    </w:p>
    <w:sdt>
      <w:sdtPr>
        <w:rPr>
          <w:rFonts w:hint="eastAsia"/>
          <w:color w:val="000000" w:themeColor="text1"/>
          <w14:textFill>
            <w14:solidFill>
              <w14:schemeClr w14:val="tx1"/>
            </w14:solidFill>
          </w14:textFill>
        </w:rPr>
        <w:alias w:val="是否适用：可对抗第三人的优先偿付负债情况[双击切换]"/>
        <w:tag w:val="_GBC_a48d3a8bca9d48c888f8b7f2142ae0d6"/>
        <w:id w:val="147467937"/>
        <w:placeholder>
          <w:docPart w:val="GBC22222222222222222222222222222"/>
        </w:placeholder>
      </w:sdtPr>
      <w:sdtEndPr>
        <w:rPr>
          <w:rFonts w:hint="eastAsia"/>
          <w:color w:val="000000" w:themeColor="text1"/>
          <w14:textFill>
            <w14:solidFill>
              <w14:schemeClr w14:val="tx1"/>
            </w14:solidFill>
          </w14:textFill>
        </w:rPr>
      </w:sdtEndPr>
      <w:sdtContent>
        <w:p w14:paraId="36837406">
          <w:pPr>
            <w:spacing w:before="120" w:beforeLines="50" w:after="120" w:afterLines="50"/>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129"/>
    <w:p w14:paraId="2BD15946">
      <w:pPr>
        <w:pStyle w:val="59"/>
        <w:numPr>
          <w:ilvl w:val="0"/>
          <w:numId w:val="40"/>
        </w:numPr>
        <w:rPr>
          <w:color w:val="000000" w:themeColor="text1"/>
          <w14:textFill>
            <w14:solidFill>
              <w14:schemeClr w14:val="tx1"/>
            </w14:solidFill>
          </w14:textFill>
        </w:rPr>
      </w:pPr>
      <w:bookmarkStart w:id="133" w:name="_Hlk89434062"/>
      <w:r>
        <w:rPr>
          <w:rFonts w:hint="eastAsia"/>
          <w:color w:val="000000" w:themeColor="text1"/>
          <w14:textFill>
            <w14:solidFill>
              <w14:schemeClr w14:val="tx1"/>
            </w14:solidFill>
          </w14:textFill>
        </w:rPr>
        <w:t>违反规定及约定情况</w:t>
      </w:r>
    </w:p>
    <w:p w14:paraId="7AB2C77F">
      <w:pPr>
        <w:rPr>
          <w:rFonts w:ascii="宋体" w:hAnsi="宋体"/>
          <w:szCs w:val="24"/>
        </w:rPr>
      </w:pPr>
      <w:r>
        <w:rPr>
          <w:rFonts w:ascii="宋体" w:hAnsi="宋体"/>
          <w:szCs w:val="24"/>
        </w:rPr>
        <w:t>报告期内</w:t>
      </w:r>
      <w:r>
        <w:t>违反</w:t>
      </w:r>
      <w:r>
        <w:rPr>
          <w:rFonts w:hint="eastAsia"/>
        </w:rPr>
        <w:t>法律法规、自律</w:t>
      </w:r>
      <w:r>
        <w:t>规则</w:t>
      </w:r>
      <w:r>
        <w:rPr>
          <w:rFonts w:hint="eastAsia"/>
        </w:rPr>
        <w:t>、公司章程、信息披露事务管理制度等规定以及债券募集说明书约定或承诺的情况，以及相关</w:t>
      </w:r>
      <w:r>
        <w:t>情况</w:t>
      </w:r>
      <w:r>
        <w:rPr>
          <w:rFonts w:hint="eastAsia"/>
        </w:rPr>
        <w:t>对债券投资者权益的影响</w:t>
      </w:r>
    </w:p>
    <w:sdt>
      <w:sdtPr>
        <w:rPr>
          <w:rFonts w:ascii="Arial" w:hAnsi="Arial" w:cs="Times New Roman"/>
          <w:bCs w:val="0"/>
          <w:kern w:val="2"/>
        </w:rPr>
        <w:alias w:val="是否适用：报告期内违反情况以及对债券投资者权益的影响 [双击切换]"/>
        <w:tag w:val="_GBC_46856cea96874e4584d17d3d568d3708"/>
        <w:id w:val="147468204"/>
        <w:placeholder>
          <w:docPart w:val="GBC22222222222222222222222222222"/>
        </w:placeholder>
      </w:sdtPr>
      <w:sdtEndPr>
        <w:rPr>
          <w:rFonts w:ascii="Arial" w:hAnsi="Arial" w:cs="Times New Roman"/>
          <w:bCs w:val="0"/>
          <w:kern w:val="2"/>
        </w:rPr>
      </w:sdtEndPr>
      <w:sdtContent>
        <w:p w14:paraId="25FD1845">
          <w:pPr>
            <w:rPr>
              <w:rFonts w:cs="Times New Roman"/>
              <w:bCs w:val="0"/>
              <w:kern w:val="2"/>
            </w:rPr>
          </w:pPr>
          <w:r>
            <w:rPr>
              <w:rFonts w:ascii="宋体" w:hAnsi="宋体" w:cs="Times New Roman"/>
              <w:bCs w:val="0"/>
              <w:kern w:val="2"/>
            </w:rPr>
            <w:fldChar w:fldCharType="begin"/>
          </w:r>
          <w:r>
            <w:rPr>
              <w:rFonts w:hint="eastAsia" w:ascii="宋体" w:hAnsi="宋体" w:cs="Times New Roman"/>
              <w:bCs w:val="0"/>
              <w:kern w:val="2"/>
            </w:rPr>
            <w:instrText xml:space="preserve"> MACROBUTTON  SnrToggleCheckbox □适用 </w:instrText>
          </w:r>
          <w:r>
            <w:rPr>
              <w:rFonts w:ascii="宋体" w:hAnsi="宋体" w:cs="Times New Roman"/>
              <w:bCs w:val="0"/>
              <w:kern w:val="2"/>
            </w:rPr>
            <w:fldChar w:fldCharType="end"/>
          </w:r>
          <w:r>
            <w:rPr>
              <w:rFonts w:ascii="宋体" w:hAnsi="宋体" w:cs="Times New Roman"/>
              <w:bCs w:val="0"/>
              <w:kern w:val="2"/>
            </w:rPr>
            <w:fldChar w:fldCharType="begin"/>
          </w:r>
          <w:r>
            <w:rPr>
              <w:rFonts w:hint="eastAsia" w:ascii="宋体" w:hAnsi="宋体" w:cs="Times New Roman"/>
              <w:bCs w:val="0"/>
              <w:kern w:val="2"/>
            </w:rPr>
            <w:instrText xml:space="preserve"> MACROBUTTON  SnrToggleCheckbox √不适用 </w:instrText>
          </w:r>
          <w:r>
            <w:rPr>
              <w:rFonts w:ascii="宋体" w:hAnsi="宋体" w:cs="Times New Roman"/>
              <w:bCs w:val="0"/>
              <w:kern w:val="2"/>
            </w:rPr>
            <w:fldChar w:fldCharType="end"/>
          </w:r>
        </w:p>
      </w:sdtContent>
    </w:sdt>
    <w:bookmarkEnd w:id="133"/>
    <w:p w14:paraId="45C1AFC5">
      <w:pPr>
        <w:rPr>
          <w:color w:val="000000" w:themeColor="text1"/>
          <w14:textFill>
            <w14:solidFill>
              <w14:schemeClr w14:val="tx1"/>
            </w14:solidFill>
          </w14:textFill>
        </w:rPr>
      </w:pPr>
    </w:p>
    <w:p w14:paraId="42222E1F">
      <w:pPr>
        <w:rPr>
          <w:color w:val="000000" w:themeColor="text1"/>
          <w14:textFill>
            <w14:solidFill>
              <w14:schemeClr w14:val="tx1"/>
            </w14:solidFill>
          </w14:textFill>
        </w:rPr>
        <w:sectPr>
          <w:pgSz w:w="11906" w:h="16838"/>
          <w:pgMar w:top="1525" w:right="1276" w:bottom="1440" w:left="1797" w:header="851" w:footer="992" w:gutter="0"/>
          <w:cols w:space="425" w:num="1"/>
          <w:docGrid w:linePitch="312" w:charSpace="0"/>
        </w:sectPr>
      </w:pPr>
    </w:p>
    <w:p w14:paraId="5E903CDC">
      <w:pPr>
        <w:rPr>
          <w:color w:val="000000" w:themeColor="text1"/>
          <w14:textFill>
            <w14:solidFill>
              <w14:schemeClr w14:val="tx1"/>
            </w14:solidFill>
          </w14:textFill>
        </w:rPr>
      </w:pPr>
    </w:p>
    <w:p w14:paraId="542B22B3">
      <w:pPr>
        <w:pStyle w:val="57"/>
        <w:numPr>
          <w:ilvl w:val="0"/>
          <w:numId w:val="3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银行间债券市场非金融企业债务融资工具</w:t>
      </w:r>
    </w:p>
    <w:sdt>
      <w:sdtPr>
        <w:rPr>
          <w:rFonts w:hint="eastAsia"/>
          <w:color w:val="000000" w:themeColor="text1"/>
          <w14:textFill>
            <w14:solidFill>
              <w14:schemeClr w14:val="tx1"/>
            </w14:solidFill>
          </w14:textFill>
        </w:rPr>
        <w:alias w:val="是否适用：银行间债券市场非金融企业债务融资工具相关情况[双击切换]"/>
        <w:tag w:val="_GBC_26e1b928d11c47bfad361d998e446706"/>
        <w:id w:val="147480873"/>
        <w:lock w:val="contentLocked"/>
        <w:placeholder>
          <w:docPart w:val="GBC22222222222222222222222222222"/>
        </w:placeholder>
      </w:sdtPr>
      <w:sdtEndPr>
        <w:rPr>
          <w:rFonts w:hint="eastAsia"/>
          <w:color w:val="000000" w:themeColor="text1"/>
          <w14:textFill>
            <w14:solidFill>
              <w14:schemeClr w14:val="tx1"/>
            </w14:solidFill>
          </w14:textFill>
        </w:rPr>
      </w:sdtEndPr>
      <w:sdtContent>
        <w:p w14:paraId="2BF2322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EC74AA6">
      <w:pPr>
        <w:pStyle w:val="58"/>
        <w:numPr>
          <w:ilvl w:val="0"/>
          <w:numId w:val="42"/>
        </w:numPr>
        <w:rPr>
          <w:rFonts w:ascii="宋体" w:hAnsi="宋体" w:cs="宋体"/>
          <w:color w:val="000000" w:themeColor="text1"/>
          <w:kern w:val="0"/>
          <w:szCs w:val="24"/>
          <w14:textFill>
            <w14:solidFill>
              <w14:schemeClr w14:val="tx1"/>
            </w14:solidFill>
          </w14:textFill>
        </w:rPr>
      </w:pPr>
      <w:bookmarkStart w:id="134" w:name="_Hlk74747055"/>
      <w:r>
        <w:rPr>
          <w:rFonts w:ascii="宋体" w:hAnsi="宋体" w:cs="宋体"/>
          <w:color w:val="000000" w:themeColor="text1"/>
          <w:kern w:val="0"/>
          <w:szCs w:val="24"/>
          <w14:textFill>
            <w14:solidFill>
              <w14:schemeClr w14:val="tx1"/>
            </w14:solidFill>
          </w14:textFill>
        </w:rPr>
        <w:t>非金融企业债务融资工具</w:t>
      </w:r>
      <w:r>
        <w:rPr>
          <w:rFonts w:hint="eastAsia" w:ascii="宋体" w:hAnsi="宋体" w:cs="宋体"/>
          <w:color w:val="000000" w:themeColor="text1"/>
          <w:kern w:val="0"/>
          <w:szCs w:val="24"/>
          <w14:textFill>
            <w14:solidFill>
              <w14:schemeClr w14:val="tx1"/>
            </w14:solidFill>
          </w14:textFill>
        </w:rPr>
        <w:t>基本情况</w:t>
      </w:r>
    </w:p>
    <w:p w14:paraId="53DB32C5">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w:t>
      </w:r>
      <w:sdt>
        <w:sdtPr>
          <w:rPr>
            <w:color w:val="000000" w:themeColor="text1"/>
            <w14:textFill>
              <w14:solidFill>
                <w14:schemeClr w14:val="tx1"/>
              </w14:solidFill>
            </w14:textFill>
          </w:rPr>
          <w:alias w:val="单位：财务附注：公司债券基本情况"/>
          <w:tag w:val="_GBC_7df1b0ddc1ae48d2a74c0fa42ce9eb2d"/>
          <w:id w:val="1474524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color w:val="000000" w:themeColor="text1"/>
              <w14:textFill>
                <w14:solidFill>
                  <w14:schemeClr w14:val="tx1"/>
                </w14:solidFill>
              </w14:textFill>
            </w:rPr>
            <w:t>亿元</w:t>
          </w:r>
        </w:sdtContent>
      </w:sdt>
      <w:r>
        <w:rPr>
          <w:rFonts w:hint="eastAsia"/>
          <w:color w:val="000000" w:themeColor="text1"/>
          <w14:textFill>
            <w14:solidFill>
              <w14:schemeClr w14:val="tx1"/>
            </w14:solidFill>
          </w14:textFill>
        </w:rPr>
        <w:t xml:space="preserve">  币种</w:t>
      </w:r>
      <w:r>
        <w:rPr>
          <w:color w:val="000000" w:themeColor="text1"/>
          <w14:textFill>
            <w14:solidFill>
              <w14:schemeClr w14:val="tx1"/>
            </w14:solidFill>
          </w14:textFill>
        </w:rPr>
        <w:t>：</w:t>
      </w:r>
      <w:sdt>
        <w:sdtPr>
          <w:rPr>
            <w:color w:val="000000" w:themeColor="text1"/>
            <w14:textFill>
              <w14:solidFill>
                <w14:schemeClr w14:val="tx1"/>
              </w14:solidFill>
            </w14:textFill>
          </w:rPr>
          <w:alias w:val="币种：财务附注：公司债券基本情况"/>
          <w:tag w:val="_GBC_7135d7c4f3914194be67f9b07af24f15"/>
          <w:id w:val="1474735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136"/>
        <w:gridCol w:w="1136"/>
        <w:gridCol w:w="1041"/>
        <w:gridCol w:w="906"/>
        <w:gridCol w:w="934"/>
        <w:gridCol w:w="759"/>
        <w:gridCol w:w="999"/>
        <w:gridCol w:w="999"/>
        <w:gridCol w:w="813"/>
        <w:gridCol w:w="1172"/>
        <w:gridCol w:w="2094"/>
        <w:gridCol w:w="967"/>
      </w:tblGrid>
      <w:tr w14:paraId="79CD8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efc9fa0055f44cfbb3ae7a661706d4c"/>
            <w:id w:val="147474223"/>
          </w:sdtPr>
          <w:sdtContent>
            <w:tc>
              <w:tcPr>
                <w:tcW w:w="402" w:type="pct"/>
                <w:vAlign w:val="center"/>
              </w:tcPr>
              <w:p w14:paraId="2EFAF305">
                <w:pPr>
                  <w:widowControl w:val="0"/>
                  <w:jc w:val="center"/>
                  <w:rPr>
                    <w:rFonts w:cs="Times New Roman"/>
                    <w:b/>
                    <w:bCs w:val="0"/>
                    <w:color w:val="000000" w:themeColor="text1"/>
                    <w:kern w:val="2"/>
                    <w14:textFill>
                      <w14:solidFill>
                        <w14:schemeClr w14:val="tx1"/>
                      </w14:solidFill>
                    </w14:textFill>
                  </w:rPr>
                </w:pPr>
                <w:r>
                  <w:rPr>
                    <w:rFonts w:hint="eastAsia"/>
                    <w:color w:val="000000" w:themeColor="text1"/>
                    <w14:textFill>
                      <w14:solidFill>
                        <w14:schemeClr w14:val="tx1"/>
                      </w14:solidFill>
                    </w14:textFill>
                  </w:rPr>
                  <w:t>债券名称</w:t>
                </w:r>
              </w:p>
            </w:tc>
          </w:sdtContent>
        </w:sdt>
        <w:sdt>
          <w:sdtPr>
            <w:tag w:val="_PLD_14ccfc2bb9ad4cb8b4a686db812a0260"/>
            <w:id w:val="147463342"/>
          </w:sdtPr>
          <w:sdtContent>
            <w:tc>
              <w:tcPr>
                <w:tcW w:w="403" w:type="pct"/>
                <w:vAlign w:val="center"/>
              </w:tcPr>
              <w:p w14:paraId="5BF09B88">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简称</w:t>
                </w:r>
              </w:p>
            </w:tc>
          </w:sdtContent>
        </w:sdt>
        <w:sdt>
          <w:sdtPr>
            <w:tag w:val="_PLD_91751b709ecb43eea4bbb230f28a4472"/>
            <w:id w:val="147480477"/>
          </w:sdtPr>
          <w:sdtContent>
            <w:tc>
              <w:tcPr>
                <w:tcW w:w="403" w:type="pct"/>
                <w:vAlign w:val="center"/>
              </w:tcPr>
              <w:p w14:paraId="26EAB739">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代码</w:t>
                </w:r>
              </w:p>
            </w:tc>
          </w:sdtContent>
        </w:sdt>
        <w:sdt>
          <w:sdtPr>
            <w:tag w:val="_PLD_5cd0c320e788477eb40e6b1e1a0b21d3"/>
            <w:id w:val="147453088"/>
          </w:sdtPr>
          <w:sdtContent>
            <w:tc>
              <w:tcPr>
                <w:tcW w:w="369" w:type="pct"/>
                <w:vAlign w:val="center"/>
              </w:tcPr>
              <w:p w14:paraId="4D067AD3">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发行日</w:t>
                </w:r>
              </w:p>
            </w:tc>
          </w:sdtContent>
        </w:sdt>
        <w:tc>
          <w:tcPr>
            <w:tcW w:w="321" w:type="pct"/>
            <w:vAlign w:val="center"/>
          </w:tcPr>
          <w:sdt>
            <w:sdtPr>
              <w:tag w:val="_PLD_a179a38dcf5742f6924600a59e8c23df"/>
              <w:id w:val="147481590"/>
            </w:sdtPr>
            <w:sdtContent>
              <w:p w14:paraId="3E071C5A">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起息日</w:t>
                </w:r>
              </w:p>
            </w:sdtContent>
          </w:sdt>
        </w:tc>
        <w:sdt>
          <w:sdtPr>
            <w:tag w:val="_PLD_57eb03616af54594b8b86984ce9ae577"/>
            <w:id w:val="147452770"/>
          </w:sdtPr>
          <w:sdtContent>
            <w:tc>
              <w:tcPr>
                <w:tcW w:w="331" w:type="pct"/>
                <w:vAlign w:val="center"/>
              </w:tcPr>
              <w:p w14:paraId="1C1FF71E">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到期日</w:t>
                </w:r>
              </w:p>
            </w:tc>
          </w:sdtContent>
        </w:sdt>
        <w:sdt>
          <w:sdtPr>
            <w:tag w:val="_PLD_8519bda52cad4bbb90b70955340d3ce9"/>
            <w:id w:val="147469094"/>
          </w:sdtPr>
          <w:sdtContent>
            <w:tc>
              <w:tcPr>
                <w:tcW w:w="269" w:type="pct"/>
                <w:vAlign w:val="center"/>
              </w:tcPr>
              <w:p w14:paraId="448BF298">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债券余额</w:t>
                </w:r>
              </w:p>
            </w:tc>
          </w:sdtContent>
        </w:sdt>
        <w:sdt>
          <w:sdtPr>
            <w:tag w:val="_PLD_284486936ee94f7ba1480887494dcdf9"/>
            <w:id w:val="147478228"/>
          </w:sdtPr>
          <w:sdtContent>
            <w:tc>
              <w:tcPr>
                <w:tcW w:w="354" w:type="pct"/>
                <w:vAlign w:val="center"/>
              </w:tcPr>
              <w:p w14:paraId="32358C16">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利率（%）</w:t>
                </w:r>
              </w:p>
            </w:tc>
          </w:sdtContent>
        </w:sdt>
        <w:sdt>
          <w:sdtPr>
            <w:tag w:val="_PLD_9c5aaa44f2284f91ad1e98d6975891cb"/>
            <w:id w:val="147454898"/>
          </w:sdtPr>
          <w:sdtContent>
            <w:tc>
              <w:tcPr>
                <w:tcW w:w="354" w:type="pct"/>
                <w:vAlign w:val="center"/>
              </w:tcPr>
              <w:p w14:paraId="6F8EECBC">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还本付息方式</w:t>
                </w:r>
              </w:p>
            </w:tc>
          </w:sdtContent>
        </w:sdt>
        <w:sdt>
          <w:sdtPr>
            <w:tag w:val="_PLD_6f95e644000d48a497b513d88ac448b2"/>
            <w:id w:val="147452655"/>
          </w:sdtPr>
          <w:sdtContent>
            <w:tc>
              <w:tcPr>
                <w:tcW w:w="288" w:type="pct"/>
                <w:vAlign w:val="center"/>
              </w:tcPr>
              <w:p w14:paraId="1C8F4A36">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交易场所</w:t>
                </w:r>
              </w:p>
            </w:tc>
          </w:sdtContent>
        </w:sdt>
        <w:sdt>
          <w:sdtPr>
            <w:tag w:val="_PLD_4f8bb6ea216146418807f05b78ac10dc"/>
            <w:id w:val="147479298"/>
          </w:sdtPr>
          <w:sdtContent>
            <w:tc>
              <w:tcPr>
                <w:tcW w:w="416" w:type="pct"/>
                <w:vAlign w:val="center"/>
              </w:tcPr>
              <w:p w14:paraId="22BC2E0D">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投资者适当性安排（如有）</w:t>
                </w:r>
              </w:p>
            </w:tc>
          </w:sdtContent>
        </w:sdt>
        <w:tc>
          <w:tcPr>
            <w:tcW w:w="742" w:type="pct"/>
            <w:vAlign w:val="center"/>
          </w:tcPr>
          <w:sdt>
            <w:sdtPr>
              <w:tag w:val="_PLD_d192663cc211442b88877c029c729869"/>
              <w:id w:val="147454845"/>
            </w:sdtPr>
            <w:sdtContent>
              <w:p w14:paraId="38ECA607">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交易机制</w:t>
                </w:r>
              </w:p>
            </w:sdtContent>
          </w:sdt>
        </w:tc>
        <w:sdt>
          <w:sdtPr>
            <w:tag w:val="_PLD_0f76b4981a9049cbbe1a608fda9cd3b0"/>
            <w:id w:val="147458495"/>
          </w:sdtPr>
          <w:sdtContent>
            <w:tc>
              <w:tcPr>
                <w:tcW w:w="343" w:type="pct"/>
              </w:tcPr>
              <w:p w14:paraId="5A382E03">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是否存在终止上市交易的风险</w:t>
                </w:r>
              </w:p>
            </w:tc>
          </w:sdtContent>
        </w:sdt>
      </w:tr>
      <w:tr w14:paraId="591D5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vAlign w:val="center"/>
          </w:tcPr>
          <w:p w14:paraId="55CCD392">
            <w:pPr>
              <w:jc w:val="both"/>
              <w:textAlignment w:val="center"/>
              <w:rPr>
                <w:rFonts w:cs="Times New Roman"/>
                <w:sz w:val="18"/>
                <w:szCs w:val="18"/>
              </w:rPr>
            </w:pPr>
            <w:r>
              <w:rPr>
                <w:rFonts w:cs="Times New Roman"/>
                <w:color w:val="000000"/>
                <w:sz w:val="18"/>
                <w:szCs w:val="18"/>
                <w:lang w:bidi="ar"/>
              </w:rPr>
              <w:t>际华集团股份有限公司2023年度第一期中期票据</w:t>
            </w:r>
          </w:p>
        </w:tc>
        <w:tc>
          <w:tcPr>
            <w:tcW w:w="403" w:type="pct"/>
            <w:vAlign w:val="center"/>
          </w:tcPr>
          <w:p w14:paraId="6FDADE01">
            <w:pPr>
              <w:jc w:val="both"/>
              <w:textAlignment w:val="center"/>
              <w:rPr>
                <w:rFonts w:cs="Times New Roman"/>
                <w:sz w:val="18"/>
                <w:szCs w:val="18"/>
              </w:rPr>
            </w:pPr>
            <w:r>
              <w:rPr>
                <w:rFonts w:eastAsia="Arial Narrow" w:cs="Times New Roman"/>
                <w:color w:val="000000"/>
                <w:sz w:val="18"/>
                <w:szCs w:val="18"/>
                <w:lang w:bidi="ar"/>
              </w:rPr>
              <w:t>23</w:t>
            </w:r>
            <w:r>
              <w:rPr>
                <w:rFonts w:hint="eastAsia" w:asciiTheme="minorEastAsia" w:hAnsiTheme="minorEastAsia" w:eastAsiaTheme="minorEastAsia" w:cstheme="minorEastAsia"/>
                <w:color w:val="000000"/>
                <w:sz w:val="18"/>
                <w:szCs w:val="18"/>
                <w:lang w:bidi="ar"/>
              </w:rPr>
              <w:t>际华集团</w:t>
            </w:r>
            <w:r>
              <w:rPr>
                <w:rFonts w:eastAsia="Arial Narrow" w:cs="Times New Roman"/>
                <w:color w:val="000000"/>
                <w:sz w:val="18"/>
                <w:szCs w:val="18"/>
                <w:lang w:bidi="ar"/>
              </w:rPr>
              <w:t>MTN001</w:t>
            </w:r>
          </w:p>
        </w:tc>
        <w:tc>
          <w:tcPr>
            <w:tcW w:w="403" w:type="pct"/>
            <w:vAlign w:val="center"/>
          </w:tcPr>
          <w:p w14:paraId="275E373D">
            <w:pPr>
              <w:jc w:val="both"/>
              <w:textAlignment w:val="center"/>
              <w:rPr>
                <w:rFonts w:cs="Times New Roman"/>
                <w:sz w:val="18"/>
                <w:szCs w:val="18"/>
              </w:rPr>
            </w:pPr>
            <w:r>
              <w:rPr>
                <w:rFonts w:eastAsia="Arial Narrow" w:cs="Times New Roman"/>
                <w:color w:val="000000"/>
                <w:sz w:val="18"/>
                <w:szCs w:val="18"/>
                <w:lang w:bidi="ar"/>
              </w:rPr>
              <w:t>102381286.IB</w:t>
            </w:r>
          </w:p>
        </w:tc>
        <w:tc>
          <w:tcPr>
            <w:tcW w:w="369" w:type="pct"/>
            <w:vAlign w:val="center"/>
          </w:tcPr>
          <w:p w14:paraId="32F5862B">
            <w:pPr>
              <w:jc w:val="both"/>
              <w:textAlignment w:val="center"/>
              <w:rPr>
                <w:rFonts w:eastAsia="Arial Narrow" w:cs="Times New Roman"/>
                <w:color w:val="000000"/>
                <w:sz w:val="18"/>
                <w:szCs w:val="18"/>
                <w:lang w:bidi="ar"/>
              </w:rPr>
            </w:pPr>
            <w:r>
              <w:rPr>
                <w:rFonts w:eastAsia="Arial Narrow" w:cs="Times New Roman"/>
                <w:color w:val="000000"/>
                <w:sz w:val="18"/>
                <w:szCs w:val="18"/>
                <w:lang w:bidi="ar"/>
              </w:rPr>
              <w:t>2023</w:t>
            </w:r>
            <w:r>
              <w:rPr>
                <w:rFonts w:cs="Times New Roman"/>
                <w:color w:val="000000"/>
                <w:sz w:val="18"/>
                <w:szCs w:val="18"/>
                <w:lang w:bidi="ar"/>
              </w:rPr>
              <w:t>/</w:t>
            </w:r>
            <w:r>
              <w:rPr>
                <w:rFonts w:eastAsia="Arial Narrow" w:cs="Times New Roman"/>
                <w:color w:val="000000"/>
                <w:sz w:val="18"/>
                <w:szCs w:val="18"/>
                <w:lang w:bidi="ar"/>
              </w:rPr>
              <w:t>6</w:t>
            </w:r>
            <w:r>
              <w:rPr>
                <w:rFonts w:cs="Times New Roman"/>
                <w:color w:val="000000"/>
                <w:sz w:val="18"/>
                <w:szCs w:val="18"/>
                <w:lang w:bidi="ar"/>
              </w:rPr>
              <w:t>/</w:t>
            </w:r>
            <w:r>
              <w:rPr>
                <w:rFonts w:eastAsia="Arial Narrow" w:cs="Times New Roman"/>
                <w:color w:val="000000"/>
                <w:sz w:val="18"/>
                <w:szCs w:val="18"/>
                <w:lang w:bidi="ar"/>
              </w:rPr>
              <w:t>1-</w:t>
            </w:r>
          </w:p>
          <w:p w14:paraId="76017AD4">
            <w:pPr>
              <w:jc w:val="both"/>
              <w:textAlignment w:val="center"/>
              <w:rPr>
                <w:rFonts w:cs="Times New Roman"/>
                <w:sz w:val="18"/>
                <w:szCs w:val="18"/>
              </w:rPr>
            </w:pPr>
            <w:r>
              <w:rPr>
                <w:rFonts w:eastAsia="Arial Narrow" w:cs="Times New Roman"/>
                <w:color w:val="000000"/>
                <w:sz w:val="18"/>
                <w:szCs w:val="18"/>
                <w:lang w:bidi="ar"/>
              </w:rPr>
              <w:t>2023</w:t>
            </w:r>
            <w:r>
              <w:rPr>
                <w:rFonts w:cs="Times New Roman"/>
                <w:color w:val="000000"/>
                <w:sz w:val="18"/>
                <w:szCs w:val="18"/>
                <w:lang w:bidi="ar"/>
              </w:rPr>
              <w:t>/</w:t>
            </w:r>
            <w:r>
              <w:rPr>
                <w:rFonts w:eastAsia="Arial Narrow" w:cs="Times New Roman"/>
                <w:color w:val="000000"/>
                <w:sz w:val="18"/>
                <w:szCs w:val="18"/>
                <w:lang w:bidi="ar"/>
              </w:rPr>
              <w:t>6</w:t>
            </w:r>
            <w:r>
              <w:rPr>
                <w:rFonts w:cs="Times New Roman"/>
                <w:color w:val="000000"/>
                <w:sz w:val="18"/>
                <w:szCs w:val="18"/>
                <w:lang w:bidi="ar"/>
              </w:rPr>
              <w:t>/</w:t>
            </w:r>
            <w:r>
              <w:rPr>
                <w:rFonts w:eastAsia="Arial Narrow" w:cs="Times New Roman"/>
                <w:color w:val="000000"/>
                <w:sz w:val="18"/>
                <w:szCs w:val="18"/>
                <w:lang w:bidi="ar"/>
              </w:rPr>
              <w:t>2</w:t>
            </w:r>
          </w:p>
        </w:tc>
        <w:tc>
          <w:tcPr>
            <w:tcW w:w="321" w:type="pct"/>
            <w:vAlign w:val="center"/>
          </w:tcPr>
          <w:p w14:paraId="02D0A676">
            <w:pPr>
              <w:jc w:val="both"/>
              <w:textAlignment w:val="center"/>
              <w:rPr>
                <w:rFonts w:cs="Times New Roman"/>
                <w:sz w:val="18"/>
                <w:szCs w:val="18"/>
              </w:rPr>
            </w:pPr>
            <w:r>
              <w:rPr>
                <w:rFonts w:eastAsia="Arial Narrow" w:cs="Times New Roman"/>
                <w:color w:val="000000"/>
                <w:sz w:val="18"/>
                <w:szCs w:val="18"/>
                <w:lang w:bidi="ar"/>
              </w:rPr>
              <w:t>2023</w:t>
            </w:r>
            <w:r>
              <w:rPr>
                <w:rFonts w:cs="Times New Roman"/>
                <w:color w:val="000000"/>
                <w:sz w:val="18"/>
                <w:szCs w:val="18"/>
                <w:lang w:bidi="ar"/>
              </w:rPr>
              <w:t>/</w:t>
            </w:r>
            <w:r>
              <w:rPr>
                <w:rFonts w:eastAsia="Arial Narrow" w:cs="Times New Roman"/>
                <w:color w:val="000000"/>
                <w:sz w:val="18"/>
                <w:szCs w:val="18"/>
                <w:lang w:bidi="ar"/>
              </w:rPr>
              <w:t>6</w:t>
            </w:r>
            <w:r>
              <w:rPr>
                <w:rFonts w:cs="Times New Roman"/>
                <w:color w:val="000000"/>
                <w:sz w:val="18"/>
                <w:szCs w:val="18"/>
                <w:lang w:bidi="ar"/>
              </w:rPr>
              <w:t>/</w:t>
            </w:r>
            <w:r>
              <w:rPr>
                <w:rFonts w:eastAsia="Arial Narrow" w:cs="Times New Roman"/>
                <w:color w:val="000000"/>
                <w:sz w:val="18"/>
                <w:szCs w:val="18"/>
                <w:lang w:bidi="ar"/>
              </w:rPr>
              <w:t>5</w:t>
            </w:r>
          </w:p>
        </w:tc>
        <w:tc>
          <w:tcPr>
            <w:tcW w:w="331" w:type="pct"/>
            <w:vAlign w:val="center"/>
          </w:tcPr>
          <w:p w14:paraId="1C741C15">
            <w:pPr>
              <w:jc w:val="both"/>
              <w:textAlignment w:val="center"/>
              <w:rPr>
                <w:rFonts w:cs="Times New Roman"/>
                <w:sz w:val="18"/>
                <w:szCs w:val="18"/>
              </w:rPr>
            </w:pPr>
            <w:r>
              <w:rPr>
                <w:rFonts w:eastAsia="Arial Narrow" w:cs="Times New Roman"/>
                <w:color w:val="000000"/>
                <w:sz w:val="18"/>
                <w:szCs w:val="18"/>
                <w:lang w:bidi="ar"/>
              </w:rPr>
              <w:t>2026</w:t>
            </w:r>
            <w:r>
              <w:rPr>
                <w:rFonts w:cs="Times New Roman"/>
                <w:color w:val="000000"/>
                <w:sz w:val="18"/>
                <w:szCs w:val="18"/>
                <w:lang w:bidi="ar"/>
              </w:rPr>
              <w:t>/</w:t>
            </w:r>
            <w:r>
              <w:rPr>
                <w:rFonts w:eastAsia="Arial Narrow" w:cs="Times New Roman"/>
                <w:color w:val="000000"/>
                <w:sz w:val="18"/>
                <w:szCs w:val="18"/>
                <w:lang w:bidi="ar"/>
              </w:rPr>
              <w:t>6</w:t>
            </w:r>
            <w:r>
              <w:rPr>
                <w:rFonts w:cs="Times New Roman"/>
                <w:color w:val="000000"/>
                <w:sz w:val="18"/>
                <w:szCs w:val="18"/>
                <w:lang w:bidi="ar"/>
              </w:rPr>
              <w:t>/</w:t>
            </w:r>
            <w:r>
              <w:rPr>
                <w:rFonts w:eastAsia="Arial Narrow" w:cs="Times New Roman"/>
                <w:color w:val="000000"/>
                <w:sz w:val="18"/>
                <w:szCs w:val="18"/>
                <w:lang w:bidi="ar"/>
              </w:rPr>
              <w:t>5</w:t>
            </w:r>
          </w:p>
        </w:tc>
        <w:tc>
          <w:tcPr>
            <w:tcW w:w="269" w:type="pct"/>
            <w:vAlign w:val="center"/>
          </w:tcPr>
          <w:p w14:paraId="55D679D3">
            <w:pPr>
              <w:jc w:val="center"/>
              <w:textAlignment w:val="center"/>
              <w:rPr>
                <w:rFonts w:cs="Times New Roman"/>
                <w:sz w:val="18"/>
                <w:szCs w:val="18"/>
              </w:rPr>
            </w:pPr>
            <w:r>
              <w:rPr>
                <w:rFonts w:eastAsia="Arial Narrow" w:cs="Times New Roman"/>
                <w:color w:val="000000"/>
                <w:sz w:val="18"/>
                <w:szCs w:val="18"/>
                <w:lang w:bidi="ar"/>
              </w:rPr>
              <w:t>5</w:t>
            </w:r>
          </w:p>
        </w:tc>
        <w:tc>
          <w:tcPr>
            <w:tcW w:w="354" w:type="pct"/>
            <w:vAlign w:val="center"/>
          </w:tcPr>
          <w:p w14:paraId="5859F9D0">
            <w:pPr>
              <w:jc w:val="center"/>
              <w:textAlignment w:val="center"/>
              <w:rPr>
                <w:rFonts w:cs="Times New Roman"/>
                <w:sz w:val="18"/>
                <w:szCs w:val="18"/>
              </w:rPr>
            </w:pPr>
            <w:r>
              <w:rPr>
                <w:rFonts w:eastAsia="Arial Narrow" w:cs="Times New Roman"/>
                <w:color w:val="000000"/>
                <w:sz w:val="18"/>
                <w:szCs w:val="18"/>
                <w:lang w:bidi="ar"/>
              </w:rPr>
              <w:t>3.07</w:t>
            </w:r>
          </w:p>
        </w:tc>
        <w:tc>
          <w:tcPr>
            <w:tcW w:w="354" w:type="pct"/>
            <w:vAlign w:val="center"/>
          </w:tcPr>
          <w:p w14:paraId="27FC0608">
            <w:pPr>
              <w:jc w:val="both"/>
              <w:textAlignment w:val="center"/>
              <w:rPr>
                <w:rFonts w:cs="Times New Roman"/>
                <w:sz w:val="18"/>
                <w:szCs w:val="18"/>
              </w:rPr>
            </w:pPr>
            <w:r>
              <w:rPr>
                <w:rFonts w:cs="Times New Roman"/>
                <w:color w:val="000000"/>
                <w:sz w:val="18"/>
                <w:szCs w:val="18"/>
                <w:lang w:bidi="ar"/>
              </w:rPr>
              <w:t>按年付息到期一次性还本</w:t>
            </w:r>
          </w:p>
        </w:tc>
        <w:tc>
          <w:tcPr>
            <w:tcW w:w="288" w:type="pct"/>
            <w:vAlign w:val="center"/>
          </w:tcPr>
          <w:p w14:paraId="347C0C70">
            <w:pPr>
              <w:jc w:val="both"/>
              <w:textAlignment w:val="center"/>
              <w:rPr>
                <w:rFonts w:cs="Times New Roman"/>
                <w:sz w:val="18"/>
                <w:szCs w:val="18"/>
              </w:rPr>
            </w:pPr>
            <w:r>
              <w:rPr>
                <w:rFonts w:cs="Times New Roman"/>
                <w:color w:val="000000"/>
                <w:sz w:val="18"/>
                <w:szCs w:val="18"/>
                <w:lang w:bidi="ar"/>
              </w:rPr>
              <w:t>银行间市场</w:t>
            </w:r>
          </w:p>
        </w:tc>
        <w:tc>
          <w:tcPr>
            <w:tcW w:w="416" w:type="pct"/>
            <w:vAlign w:val="center"/>
          </w:tcPr>
          <w:p w14:paraId="351CFBE8">
            <w:pPr>
              <w:jc w:val="both"/>
              <w:textAlignment w:val="center"/>
              <w:rPr>
                <w:rFonts w:cs="Times New Roman"/>
                <w:sz w:val="18"/>
                <w:szCs w:val="18"/>
              </w:rPr>
            </w:pPr>
            <w:r>
              <w:rPr>
                <w:rFonts w:cs="Times New Roman"/>
                <w:color w:val="000000"/>
                <w:sz w:val="18"/>
                <w:szCs w:val="18"/>
                <w:lang w:bidi="ar"/>
              </w:rPr>
              <w:t>银行间市场的机构投资者（国家法律法规禁止购买者除外）</w:t>
            </w:r>
          </w:p>
        </w:tc>
        <w:tc>
          <w:tcPr>
            <w:tcW w:w="742" w:type="pct"/>
            <w:vAlign w:val="center"/>
          </w:tcPr>
          <w:p w14:paraId="56432CA0">
            <w:pPr>
              <w:jc w:val="both"/>
              <w:textAlignment w:val="center"/>
              <w:rPr>
                <w:rFonts w:cs="Times New Roman"/>
                <w:sz w:val="18"/>
                <w:szCs w:val="18"/>
              </w:rPr>
            </w:pPr>
            <w:r>
              <w:rPr>
                <w:rFonts w:cs="Times New Roman"/>
                <w:color w:val="000000"/>
                <w:sz w:val="18"/>
                <w:szCs w:val="18"/>
                <w:lang w:bidi="ar"/>
              </w:rPr>
              <w:t>本期中期票据在债权登记日的次一工作日(2023年6月6日)，即可以在全国银行间债券市场流通转让。按照全国银行间同业拆借中心颁布的相关规定进行。</w:t>
            </w:r>
          </w:p>
        </w:tc>
        <w:sdt>
          <w:sdtPr>
            <w:rPr>
              <w:rFonts w:cs="Times New Roman"/>
              <w:color w:val="000000" w:themeColor="text1"/>
              <w:sz w:val="18"/>
              <w:szCs w:val="18"/>
              <w14:textFill>
                <w14:solidFill>
                  <w14:schemeClr w14:val="tx1"/>
                </w14:solidFill>
              </w14:textFill>
            </w:rPr>
            <w:alias w:val="公司债券基本情况明细_是否存在终止上市交易的风险 "/>
            <w:tag w:val="_GBC_55933d0e33804432bc2d8ad90d191ec6"/>
            <w:id w:val="147481197"/>
            <w:comboBox>
              <w:listItem w:displayText="是" w:value="是"/>
              <w:listItem w:displayText="否" w:value="否"/>
            </w:comboBox>
          </w:sdtPr>
          <w:sdtEndPr>
            <w:rPr>
              <w:rFonts w:cs="Times New Roman"/>
              <w:color w:val="000000" w:themeColor="text1"/>
              <w:sz w:val="18"/>
              <w:szCs w:val="18"/>
              <w14:textFill>
                <w14:solidFill>
                  <w14:schemeClr w14:val="tx1"/>
                </w14:solidFill>
              </w14:textFill>
            </w:rPr>
          </w:sdtEndPr>
          <w:sdtContent>
            <w:tc>
              <w:tcPr>
                <w:tcW w:w="343" w:type="pct"/>
                <w:vAlign w:val="center"/>
              </w:tcPr>
              <w:p w14:paraId="546CCD18">
                <w:pPr>
                  <w:widowControl w:val="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否</w:t>
                </w:r>
              </w:p>
            </w:tc>
          </w:sdtContent>
        </w:sdt>
      </w:tr>
    </w:tbl>
    <w:p w14:paraId="3655165F">
      <w:pPr>
        <w:rPr>
          <w:color w:val="000000" w:themeColor="text1"/>
          <w14:textFill>
            <w14:solidFill>
              <w14:schemeClr w14:val="tx1"/>
            </w14:solidFill>
          </w14:textFill>
        </w:rPr>
      </w:pPr>
    </w:p>
    <w:bookmarkEnd w:id="134"/>
    <w:p w14:paraId="429EAD9B">
      <w:pPr>
        <w:rPr>
          <w:color w:val="000000" w:themeColor="text1"/>
          <w14:textFill>
            <w14:solidFill>
              <w14:schemeClr w14:val="tx1"/>
            </w14:solidFill>
          </w14:textFill>
        </w:rPr>
      </w:pPr>
      <w:bookmarkStart w:id="135" w:name="_Hlk74747078"/>
      <w:r>
        <w:rPr>
          <w:rFonts w:hint="eastAsia"/>
          <w:color w:val="000000" w:themeColor="text1"/>
          <w14:textFill>
            <w14:solidFill>
              <w14:schemeClr w14:val="tx1"/>
            </w14:solidFill>
          </w14:textFill>
        </w:rPr>
        <w:t>公司对债券终止上市交易风险的应对措施</w:t>
      </w:r>
    </w:p>
    <w:sdt>
      <w:sdtPr>
        <w:rPr>
          <w:rFonts w:cs="Times New Roman"/>
          <w:bCs w:val="0"/>
          <w:color w:val="000000" w:themeColor="text1"/>
          <w:kern w:val="2"/>
          <w14:textFill>
            <w14:solidFill>
              <w14:schemeClr w14:val="tx1"/>
            </w14:solidFill>
          </w14:textFill>
        </w:rPr>
        <w:alias w:val="是否适用：公司对债券终止上市交易风险的应对措施 [双击切换]"/>
        <w:tag w:val="_GBC_0bf7144a544f49b783e7bb7f2a3c8140"/>
        <w:id w:val="147461714"/>
        <w:placeholder>
          <w:docPart w:val="GBC22222222222222222222222222222"/>
        </w:placeholder>
      </w:sdtPr>
      <w:sdtEndPr>
        <w:rPr>
          <w:rFonts w:cs="Times New Roman"/>
          <w:bCs w:val="0"/>
          <w:color w:val="000000" w:themeColor="text1"/>
          <w:kern w:val="2"/>
          <w14:textFill>
            <w14:solidFill>
              <w14:schemeClr w14:val="tx1"/>
            </w14:solidFill>
          </w14:textFill>
        </w:rPr>
      </w:sdtEndPr>
      <w:sdtContent>
        <w:p w14:paraId="2EEFAA09">
          <w:pPr>
            <w:rPr>
              <w:color w:val="000000" w:themeColor="text1"/>
              <w14:textFill>
                <w14:solidFill>
                  <w14:schemeClr w14:val="tx1"/>
                </w14:solidFill>
              </w14:textFill>
            </w:rPr>
          </w:pPr>
          <w:r>
            <w:rPr>
              <w:rFonts w:ascii="宋体" w:hAnsi="宋体" w:cs="Times New Roman"/>
              <w:bCs w:val="0"/>
              <w:color w:val="000000" w:themeColor="text1"/>
              <w:kern w:val="2"/>
              <w14:textFill>
                <w14:solidFill>
                  <w14:schemeClr w14:val="tx1"/>
                </w14:solidFill>
              </w14:textFill>
            </w:rPr>
            <w:fldChar w:fldCharType="begin"/>
          </w:r>
          <w:r>
            <w:rPr>
              <w:rFonts w:hint="eastAsia" w:ascii="宋体" w:hAnsi="宋体" w:cs="Times New Roman"/>
              <w:color w:val="000000" w:themeColor="text1"/>
              <w:kern w:val="2"/>
              <w14:textFill>
                <w14:solidFill>
                  <w14:schemeClr w14:val="tx1"/>
                </w14:solidFill>
              </w14:textFill>
            </w:rPr>
            <w:instrText xml:space="preserve"> MACROBUTTON  SnrToggleCheckbox □适用 </w:instrText>
          </w:r>
          <w:r>
            <w:rPr>
              <w:rFonts w:ascii="宋体" w:hAnsi="宋体" w:cs="Times New Roman"/>
              <w:bCs w:val="0"/>
              <w:color w:val="000000" w:themeColor="text1"/>
              <w:kern w:val="2"/>
              <w14:textFill>
                <w14:solidFill>
                  <w14:schemeClr w14:val="tx1"/>
                </w14:solidFill>
              </w14:textFill>
            </w:rPr>
            <w:fldChar w:fldCharType="end"/>
          </w:r>
          <w:r>
            <w:rPr>
              <w:rFonts w:ascii="宋体" w:hAnsi="宋体" w:cs="Times New Roman"/>
              <w:bCs w:val="0"/>
              <w:color w:val="000000" w:themeColor="text1"/>
              <w:kern w:val="2"/>
              <w14:textFill>
                <w14:solidFill>
                  <w14:schemeClr w14:val="tx1"/>
                </w14:solidFill>
              </w14:textFill>
            </w:rPr>
            <w:fldChar w:fldCharType="begin"/>
          </w:r>
          <w:r>
            <w:rPr>
              <w:rFonts w:hint="eastAsia" w:ascii="宋体" w:hAnsi="宋体" w:cs="Times New Roman"/>
              <w:color w:val="000000" w:themeColor="text1"/>
              <w:kern w:val="2"/>
              <w14:textFill>
                <w14:solidFill>
                  <w14:schemeClr w14:val="tx1"/>
                </w14:solidFill>
              </w14:textFill>
            </w:rPr>
            <w:instrText xml:space="preserve"> MACROBUTTON  SnrToggleCheckbox √不适用 </w:instrText>
          </w:r>
          <w:r>
            <w:rPr>
              <w:rFonts w:ascii="宋体" w:hAnsi="宋体" w:cs="Times New Roman"/>
              <w:bCs w:val="0"/>
              <w:color w:val="000000" w:themeColor="text1"/>
              <w:kern w:val="2"/>
              <w14:textFill>
                <w14:solidFill>
                  <w14:schemeClr w14:val="tx1"/>
                </w14:solidFill>
              </w14:textFill>
            </w:rPr>
            <w:fldChar w:fldCharType="end"/>
          </w:r>
        </w:p>
      </w:sdtContent>
    </w:sdt>
    <w:p w14:paraId="0B1386BD">
      <w:pPr>
        <w:rPr>
          <w:rFonts w:cs="Times New Roman"/>
          <w:bCs w:val="0"/>
          <w:color w:val="000000" w:themeColor="text1"/>
          <w:kern w:val="2"/>
          <w14:textFill>
            <w14:solidFill>
              <w14:schemeClr w14:val="tx1"/>
            </w14:solidFill>
          </w14:textFill>
        </w:rPr>
      </w:pPr>
    </w:p>
    <w:bookmarkEnd w:id="135"/>
    <w:p w14:paraId="7CCCA0EE">
      <w:pPr>
        <w:pStyle w:val="55"/>
      </w:pPr>
      <w:r>
        <w:t>逾期未偿还债券</w:t>
      </w:r>
    </w:p>
    <w:sdt>
      <w:sdtPr>
        <w:rPr>
          <w:rFonts w:hint="eastAsia"/>
        </w:rPr>
        <w:alias w:val="是否适用：逾期未偿还债券[双击切换]"/>
        <w:tag w:val="_GBC_c6b3c4ac625949b18b2e62f38b4bb870"/>
        <w:id w:val="147466217"/>
        <w:placeholder>
          <w:docPart w:val="GBC22222222222222222222222222222"/>
        </w:placeholder>
      </w:sdtPr>
      <w:sdtEndPr>
        <w:rPr>
          <w:rFonts w:hint="eastAsia"/>
        </w:rPr>
      </w:sdtEndPr>
      <w:sdtContent>
        <w:p w14:paraId="3ECB7B67">
          <w:pPr>
            <w:pStyle w:val="55"/>
          </w:pPr>
          <w:r>
            <w:rPr>
              <w:rFonts w:ascii="宋体" w:hAnsi="宋体"/>
            </w:rPr>
            <w:fldChar w:fldCharType="begin"/>
          </w:r>
          <w:r>
            <w:rPr>
              <w:rFonts w:hint="eastAsia"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p w14:paraId="0E43ED0C">
      <w:pPr>
        <w:rPr>
          <w:rFonts w:cs="Times New Roman"/>
          <w:bCs w:val="0"/>
          <w:kern w:val="2"/>
        </w:rPr>
      </w:pPr>
    </w:p>
    <w:p w14:paraId="29D22872">
      <w:pPr>
        <w:pStyle w:val="55"/>
      </w:pPr>
      <w:bookmarkStart w:id="136" w:name="_Hlk199924947"/>
      <w:bookmarkStart w:id="137" w:name="_Hlk74833699"/>
      <w:bookmarkStart w:id="138" w:name="_Hlk74747129"/>
      <w:r>
        <w:t>关于逾期债项的说明</w:t>
      </w:r>
    </w:p>
    <w:sdt>
      <w:sdtPr>
        <w:rPr>
          <w:rFonts w:hint="eastAsia"/>
        </w:rPr>
        <w:alias w:val="是否适用：关于逾期债项的说明 [双击切换]"/>
        <w:tag w:val="_GBC_d4354302b24f47d5946fa3fd141b16b7"/>
        <w:id w:val="147453478"/>
        <w:placeholder>
          <w:docPart w:val="GBC22222222222222222222222222222"/>
        </w:placeholder>
      </w:sdtPr>
      <w:sdtEndPr>
        <w:rPr>
          <w:rFonts w:hint="eastAsia"/>
        </w:rPr>
      </w:sdtEndPr>
      <w:sdtContent>
        <w:p w14:paraId="527B9982">
          <w:pPr>
            <w:pStyle w:val="55"/>
          </w:pPr>
          <w:r>
            <w:rPr>
              <w:rFonts w:ascii="宋体" w:hAnsi="宋体"/>
            </w:rPr>
            <w:fldChar w:fldCharType="begin"/>
          </w:r>
          <w:r>
            <w:rPr>
              <w:rFonts w:hint="eastAsia"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p w14:paraId="4DA5CB0D">
      <w:pPr>
        <w:pStyle w:val="55"/>
      </w:pPr>
    </w:p>
    <w:bookmarkEnd w:id="136"/>
    <w:bookmarkEnd w:id="137"/>
    <w:bookmarkEnd w:id="138"/>
    <w:p w14:paraId="61F43126">
      <w:pPr>
        <w:pStyle w:val="58"/>
        <w:numPr>
          <w:ilvl w:val="0"/>
          <w:numId w:val="42"/>
        </w:numPr>
        <w:rPr>
          <w:rFonts w:ascii="宋体" w:hAnsi="宋体" w:cs="宋体"/>
          <w:color w:val="000000" w:themeColor="text1"/>
          <w:kern w:val="0"/>
          <w:szCs w:val="24"/>
          <w14:textFill>
            <w14:solidFill>
              <w14:schemeClr w14:val="tx1"/>
            </w14:solidFill>
          </w14:textFill>
        </w:rPr>
      </w:pPr>
      <w:bookmarkStart w:id="139" w:name="_Hlk74747153"/>
      <w:r>
        <w:rPr>
          <w:rFonts w:ascii="宋体" w:hAnsi="宋体" w:cs="宋体"/>
          <w:color w:val="000000" w:themeColor="text1"/>
          <w:kern w:val="0"/>
          <w:szCs w:val="24"/>
          <w14:textFill>
            <w14:solidFill>
              <w14:schemeClr w14:val="tx1"/>
            </w14:solidFill>
          </w14:textFill>
        </w:rPr>
        <w:t>公司或投资者选择权条款、投资者保护条款的触发和执行情况</w:t>
      </w:r>
    </w:p>
    <w:sdt>
      <w:sdtPr>
        <w:rPr>
          <w:rFonts w:cs="Times New Roman"/>
          <w:bCs w:val="0"/>
          <w:color w:val="000000" w:themeColor="text1"/>
          <w:kern w:val="2"/>
          <w14:textFill>
            <w14:solidFill>
              <w14:schemeClr w14:val="tx1"/>
            </w14:solidFill>
          </w14:textFill>
        </w:rPr>
        <w:alias w:val="是否适用：发行人或投资者选择权条款、投资者保护条款的触发和执行情况[双击切换]"/>
        <w:tag w:val="_GBC_272e98a7f8184f1abf1274b7fb444f09"/>
        <w:id w:val="147464693"/>
        <w:placeholder>
          <w:docPart w:val="GBC22222222222222222222222222222"/>
        </w:placeholder>
      </w:sdtPr>
      <w:sdtEndPr>
        <w:rPr>
          <w:rFonts w:cs="Times New Roman"/>
          <w:bCs w:val="0"/>
          <w:color w:val="000000" w:themeColor="text1"/>
          <w:kern w:val="2"/>
          <w14:textFill>
            <w14:solidFill>
              <w14:schemeClr w14:val="tx1"/>
            </w14:solidFill>
          </w14:textFill>
        </w:rPr>
      </w:sdtEndPr>
      <w:sdtContent>
        <w:p w14:paraId="49F3741E">
          <w:pPr>
            <w:rPr>
              <w:rFonts w:cs="Times New Roman"/>
              <w:bCs w:val="0"/>
              <w:color w:val="000000" w:themeColor="text1"/>
              <w:kern w:val="2"/>
              <w14:textFill>
                <w14:solidFill>
                  <w14:schemeClr w14:val="tx1"/>
                </w14:solidFill>
              </w14:textFill>
            </w:rPr>
          </w:pPr>
          <w:r>
            <w:rPr>
              <w:rFonts w:ascii="宋体" w:hAnsi="宋体" w:cs="Times New Roman"/>
              <w:bCs w:val="0"/>
              <w:color w:val="000000" w:themeColor="text1"/>
              <w:kern w:val="2"/>
              <w14:textFill>
                <w14:solidFill>
                  <w14:schemeClr w14:val="tx1"/>
                </w14:solidFill>
              </w14:textFill>
            </w:rPr>
            <w:fldChar w:fldCharType="begin"/>
          </w:r>
          <w:r>
            <w:rPr>
              <w:rFonts w:hint="eastAsia" w:ascii="宋体" w:hAnsi="宋体" w:cs="Times New Roman"/>
              <w:color w:val="000000" w:themeColor="text1"/>
              <w:kern w:val="2"/>
              <w14:textFill>
                <w14:solidFill>
                  <w14:schemeClr w14:val="tx1"/>
                </w14:solidFill>
              </w14:textFill>
            </w:rPr>
            <w:instrText xml:space="preserve"> MACROBUTTON  SnrToggleCheckbox □适用 </w:instrText>
          </w:r>
          <w:r>
            <w:rPr>
              <w:rFonts w:ascii="宋体" w:hAnsi="宋体" w:cs="Times New Roman"/>
              <w:bCs w:val="0"/>
              <w:color w:val="000000" w:themeColor="text1"/>
              <w:kern w:val="2"/>
              <w14:textFill>
                <w14:solidFill>
                  <w14:schemeClr w14:val="tx1"/>
                </w14:solidFill>
              </w14:textFill>
            </w:rPr>
            <w:fldChar w:fldCharType="end"/>
          </w:r>
          <w:r>
            <w:rPr>
              <w:rFonts w:ascii="宋体" w:hAnsi="宋体" w:cs="Times New Roman"/>
              <w:bCs w:val="0"/>
              <w:color w:val="000000" w:themeColor="text1"/>
              <w:kern w:val="2"/>
              <w14:textFill>
                <w14:solidFill>
                  <w14:schemeClr w14:val="tx1"/>
                </w14:solidFill>
              </w14:textFill>
            </w:rPr>
            <w:fldChar w:fldCharType="begin"/>
          </w:r>
          <w:r>
            <w:rPr>
              <w:rFonts w:hint="eastAsia" w:ascii="宋体" w:hAnsi="宋体" w:cs="Times New Roman"/>
              <w:color w:val="000000" w:themeColor="text1"/>
              <w:kern w:val="2"/>
              <w14:textFill>
                <w14:solidFill>
                  <w14:schemeClr w14:val="tx1"/>
                </w14:solidFill>
              </w14:textFill>
            </w:rPr>
            <w:instrText xml:space="preserve"> MACROBUTTON  SnrToggleCheckbox √不适用 </w:instrText>
          </w:r>
          <w:r>
            <w:rPr>
              <w:rFonts w:ascii="宋体" w:hAnsi="宋体" w:cs="Times New Roman"/>
              <w:bCs w:val="0"/>
              <w:color w:val="000000" w:themeColor="text1"/>
              <w:kern w:val="2"/>
              <w14:textFill>
                <w14:solidFill>
                  <w14:schemeClr w14:val="tx1"/>
                </w14:solidFill>
              </w14:textFill>
            </w:rPr>
            <w:fldChar w:fldCharType="end"/>
          </w:r>
        </w:p>
      </w:sdtContent>
    </w:sdt>
    <w:p w14:paraId="6FC17681">
      <w:pPr>
        <w:rPr>
          <w:color w:val="000000" w:themeColor="text1"/>
          <w14:textFill>
            <w14:solidFill>
              <w14:schemeClr w14:val="tx1"/>
            </w14:solidFill>
          </w14:textFill>
        </w:rPr>
      </w:pPr>
    </w:p>
    <w:bookmarkEnd w:id="139"/>
    <w:p w14:paraId="55E74FDD">
      <w:pPr>
        <w:pStyle w:val="58"/>
        <w:numPr>
          <w:ilvl w:val="0"/>
          <w:numId w:val="42"/>
        </w:numPr>
        <w:rPr>
          <w:rFonts w:ascii="宋体" w:hAnsi="宋体" w:cs="宋体"/>
          <w:color w:val="000000" w:themeColor="text1"/>
          <w:kern w:val="0"/>
          <w:szCs w:val="24"/>
          <w14:textFill>
            <w14:solidFill>
              <w14:schemeClr w14:val="tx1"/>
            </w14:solidFill>
          </w14:textFill>
        </w:rPr>
      </w:pPr>
      <w:bookmarkStart w:id="140" w:name="_Hlk105686306"/>
      <w:bookmarkStart w:id="141" w:name="_Hlk105762790"/>
      <w:r>
        <w:rPr>
          <w:rFonts w:ascii="宋体" w:hAnsi="宋体" w:cs="宋体"/>
          <w:color w:val="000000" w:themeColor="text1"/>
          <w:kern w:val="0"/>
          <w:szCs w:val="24"/>
          <w14:textFill>
            <w14:solidFill>
              <w14:schemeClr w14:val="tx1"/>
            </w14:solidFill>
          </w14:textFill>
        </w:rPr>
        <w:t>信用评级结果调整情况</w:t>
      </w:r>
    </w:p>
    <w:sdt>
      <w:sdtPr>
        <w:rPr>
          <w:rFonts w:hint="eastAsia" w:cs="Times New Roman"/>
          <w:bCs w:val="0"/>
          <w:color w:val="000000" w:themeColor="text1"/>
          <w:kern w:val="2"/>
          <w14:textFill>
            <w14:solidFill>
              <w14:schemeClr w14:val="tx1"/>
            </w14:solidFill>
          </w14:textFill>
        </w:rPr>
        <w:alias w:val="是否适用：公司债券评级情况[双击切换]"/>
        <w:tag w:val="_GBC_bbc1fd646553402a82fb0612b4175686"/>
        <w:id w:val="147471424"/>
        <w:placeholder>
          <w:docPart w:val="GBC22222222222222222222222222222"/>
        </w:placeholder>
      </w:sdtPr>
      <w:sdtEndPr>
        <w:rPr>
          <w:rFonts w:hint="eastAsia" w:cs="Times New Roman"/>
          <w:bCs w:val="0"/>
          <w:color w:val="000000" w:themeColor="text1"/>
          <w:kern w:val="2"/>
          <w14:textFill>
            <w14:solidFill>
              <w14:schemeClr w14:val="tx1"/>
            </w14:solidFill>
          </w14:textFill>
        </w:rPr>
      </w:sdtEndPr>
      <w:sdtContent>
        <w:p w14:paraId="1BA24FBF">
          <w:pPr>
            <w:rPr>
              <w:rFonts w:cs="Times New Roman"/>
              <w:bCs w:val="0"/>
              <w:color w:val="000000" w:themeColor="text1"/>
              <w:kern w:val="2"/>
              <w14:textFill>
                <w14:solidFill>
                  <w14:schemeClr w14:val="tx1"/>
                </w14:solidFill>
              </w14:textFill>
            </w:rPr>
          </w:pPr>
          <w:r>
            <w:rPr>
              <w:rFonts w:ascii="宋体" w:hAnsi="宋体" w:cs="Times New Roman"/>
              <w:bCs w:val="0"/>
              <w:color w:val="000000" w:themeColor="text1"/>
              <w:kern w:val="2"/>
              <w14:textFill>
                <w14:solidFill>
                  <w14:schemeClr w14:val="tx1"/>
                </w14:solidFill>
              </w14:textFill>
            </w:rPr>
            <w:fldChar w:fldCharType="begin"/>
          </w:r>
          <w:r>
            <w:rPr>
              <w:rFonts w:hint="eastAsia" w:ascii="宋体" w:hAnsi="宋体" w:cs="Times New Roman"/>
              <w:color w:val="000000" w:themeColor="text1"/>
              <w:kern w:val="2"/>
              <w14:textFill>
                <w14:solidFill>
                  <w14:schemeClr w14:val="tx1"/>
                </w14:solidFill>
              </w14:textFill>
            </w:rPr>
            <w:instrText xml:space="preserve"> MACROBUTTON  SnrToggleCheckbox □适用 </w:instrText>
          </w:r>
          <w:r>
            <w:rPr>
              <w:rFonts w:ascii="宋体" w:hAnsi="宋体" w:cs="Times New Roman"/>
              <w:bCs w:val="0"/>
              <w:color w:val="000000" w:themeColor="text1"/>
              <w:kern w:val="2"/>
              <w14:textFill>
                <w14:solidFill>
                  <w14:schemeClr w14:val="tx1"/>
                </w14:solidFill>
              </w14:textFill>
            </w:rPr>
            <w:fldChar w:fldCharType="end"/>
          </w:r>
          <w:r>
            <w:rPr>
              <w:rFonts w:ascii="宋体" w:hAnsi="宋体" w:cs="Times New Roman"/>
              <w:bCs w:val="0"/>
              <w:color w:val="000000" w:themeColor="text1"/>
              <w:kern w:val="2"/>
              <w14:textFill>
                <w14:solidFill>
                  <w14:schemeClr w14:val="tx1"/>
                </w14:solidFill>
              </w14:textFill>
            </w:rPr>
            <w:fldChar w:fldCharType="begin"/>
          </w:r>
          <w:r>
            <w:rPr>
              <w:rFonts w:hint="eastAsia" w:ascii="宋体" w:hAnsi="宋体" w:cs="Times New Roman"/>
              <w:color w:val="000000" w:themeColor="text1"/>
              <w:kern w:val="2"/>
              <w14:textFill>
                <w14:solidFill>
                  <w14:schemeClr w14:val="tx1"/>
                </w14:solidFill>
              </w14:textFill>
            </w:rPr>
            <w:instrText xml:space="preserve"> MACROBUTTON  SnrToggleCheckbox √不适用 </w:instrText>
          </w:r>
          <w:r>
            <w:rPr>
              <w:rFonts w:ascii="宋体" w:hAnsi="宋体" w:cs="Times New Roman"/>
              <w:bCs w:val="0"/>
              <w:color w:val="000000" w:themeColor="text1"/>
              <w:kern w:val="2"/>
              <w14:textFill>
                <w14:solidFill>
                  <w14:schemeClr w14:val="tx1"/>
                </w14:solidFill>
              </w14:textFill>
            </w:rPr>
            <w:fldChar w:fldCharType="end"/>
          </w:r>
        </w:p>
      </w:sdtContent>
    </w:sdt>
    <w:p w14:paraId="183F11A9">
      <w:pPr>
        <w:rPr>
          <w:rFonts w:cs="Times New Roman"/>
          <w:bCs w:val="0"/>
          <w:color w:val="000000" w:themeColor="text1"/>
          <w:kern w:val="2"/>
          <w14:textFill>
            <w14:solidFill>
              <w14:schemeClr w14:val="tx1"/>
            </w14:solidFill>
          </w14:textFill>
        </w:rPr>
      </w:pPr>
    </w:p>
    <w:bookmarkEnd w:id="140"/>
    <w:p w14:paraId="45D85AD0">
      <w:pPr>
        <w:adjustRightInd w:val="0"/>
        <w:snapToGrid w:val="0"/>
        <w:rPr>
          <w:rFonts w:hAnsi="Arial" w:cs="Times New Roman"/>
          <w:bCs w:val="0"/>
          <w:color w:val="000000" w:themeColor="text1"/>
          <w:kern w:val="2"/>
          <w14:textFill>
            <w14:solidFill>
              <w14:schemeClr w14:val="tx1"/>
            </w14:solidFill>
          </w14:textFill>
        </w:rPr>
      </w:pPr>
      <w:bookmarkStart w:id="142" w:name="_Hlk105686344"/>
      <w:r>
        <w:rPr>
          <w:rFonts w:hint="eastAsia" w:ascii="Arial" w:hAnsi="Arial" w:cs="Times New Roman"/>
          <w:color w:val="000000" w:themeColor="text1"/>
          <w:kern w:val="2"/>
          <w14:textFill>
            <w14:solidFill>
              <w14:schemeClr w14:val="tx1"/>
            </w14:solidFill>
          </w14:textFill>
        </w:rPr>
        <w:t>其他说明</w:t>
      </w:r>
    </w:p>
    <w:sdt>
      <w:sdtPr>
        <w:rPr>
          <w:rFonts w:cs="Times New Roman"/>
          <w:bCs w:val="0"/>
          <w:color w:val="000000" w:themeColor="text1"/>
          <w:kern w:val="2"/>
          <w14:textFill>
            <w14:solidFill>
              <w14:schemeClr w14:val="tx1"/>
            </w14:solidFill>
          </w14:textFill>
        </w:rPr>
        <w:alias w:val="信用评级结果调整情况其他说明"/>
        <w:tag w:val="_GBC_0bcce15d59b44824ba86600a52ca6d59"/>
        <w:id w:val="147468360"/>
        <w:placeholder>
          <w:docPart w:val="GBC22222222222222222222222222222"/>
        </w:placeholder>
      </w:sdtPr>
      <w:sdtEndPr>
        <w:rPr>
          <w:rFonts w:cs="Times New Roman"/>
          <w:bCs w:val="0"/>
          <w:color w:val="000000" w:themeColor="text1"/>
          <w:kern w:val="2"/>
          <w14:textFill>
            <w14:solidFill>
              <w14:schemeClr w14:val="tx1"/>
            </w14:solidFill>
          </w14:textFill>
        </w:rPr>
      </w:sdtEndPr>
      <w:sdtContent>
        <w:p w14:paraId="5EA7B7A5">
          <w:pPr>
            <w:rPr>
              <w:rFonts w:cs="Times New Roman"/>
              <w:bCs w:val="0"/>
              <w:color w:val="000000" w:themeColor="text1"/>
              <w:kern w:val="2"/>
              <w14:textFill>
                <w14:solidFill>
                  <w14:schemeClr w14:val="tx1"/>
                </w14:solidFill>
              </w14:textFill>
            </w:rPr>
          </w:pPr>
          <w:r>
            <w:rPr>
              <w:rFonts w:hint="eastAsia" w:cs="Times New Roman"/>
              <w:bCs w:val="0"/>
              <w:color w:val="000000" w:themeColor="text1"/>
              <w:kern w:val="2"/>
              <w14:textFill>
                <w14:solidFill>
                  <w14:schemeClr w14:val="tx1"/>
                </w14:solidFill>
              </w14:textFill>
            </w:rPr>
            <w:t>无</w:t>
          </w:r>
        </w:p>
      </w:sdtContent>
    </w:sdt>
    <w:p w14:paraId="452AFF8A">
      <w:pPr>
        <w:rPr>
          <w:rFonts w:cs="Times New Roman"/>
          <w:b/>
          <w:bCs w:val="0"/>
          <w:color w:val="000000" w:themeColor="text1"/>
          <w:kern w:val="2"/>
          <w14:textFill>
            <w14:solidFill>
              <w14:schemeClr w14:val="tx1"/>
            </w14:solidFill>
          </w14:textFill>
        </w:rPr>
      </w:pPr>
    </w:p>
    <w:bookmarkEnd w:id="142"/>
    <w:p w14:paraId="24FE295D">
      <w:pPr>
        <w:pStyle w:val="58"/>
        <w:numPr>
          <w:ilvl w:val="0"/>
          <w:numId w:val="42"/>
        </w:numPr>
        <w:rPr>
          <w:rFonts w:ascii="宋体" w:hAnsi="宋体" w:cs="宋体"/>
          <w:color w:val="000000" w:themeColor="text1"/>
          <w:kern w:val="0"/>
          <w:szCs w:val="24"/>
          <w14:textFill>
            <w14:solidFill>
              <w14:schemeClr w14:val="tx1"/>
            </w14:solidFill>
          </w14:textFill>
        </w:rPr>
      </w:pPr>
      <w:bookmarkStart w:id="143" w:name="_Hlk105686452"/>
      <w:r>
        <w:rPr>
          <w:rFonts w:ascii="宋体" w:hAnsi="宋体" w:cs="宋体"/>
          <w:color w:val="000000" w:themeColor="text1"/>
          <w:kern w:val="0"/>
          <w:szCs w:val="24"/>
          <w14:textFill>
            <w14:solidFill>
              <w14:schemeClr w14:val="tx1"/>
            </w14:solidFill>
          </w14:textFill>
        </w:rPr>
        <w:t>担保情况、偿债计划及其他偿债保障措施在报告期内的执行和变化情况及其影响</w:t>
      </w:r>
    </w:p>
    <w:sdt>
      <w:sdtPr>
        <w:rPr>
          <w:rFonts w:cs="Times New Roman"/>
          <w:bCs w:val="0"/>
          <w:color w:val="000000" w:themeColor="text1"/>
          <w:kern w:val="2"/>
          <w14:textFill>
            <w14:solidFill>
              <w14:schemeClr w14:val="tx1"/>
            </w14:solidFill>
          </w14:textFill>
        </w:rPr>
        <w:alias w:val="是否适用：担保情况、偿债计划及其他偿债保障措施在报告期内的执行情况和变化情况及对债券投资者权益的影响[双击切换]"/>
        <w:tag w:val="_GBC_0e3aec2f88da46aaa1096da2686ba9be"/>
        <w:id w:val="147453767"/>
        <w:placeholder>
          <w:docPart w:val="GBC22222222222222222222222222222"/>
        </w:placeholder>
      </w:sdtPr>
      <w:sdtEndPr>
        <w:rPr>
          <w:rFonts w:cs="Times New Roman"/>
          <w:bCs w:val="0"/>
          <w:color w:val="000000" w:themeColor="text1"/>
          <w:kern w:val="2"/>
          <w14:textFill>
            <w14:solidFill>
              <w14:schemeClr w14:val="tx1"/>
            </w14:solidFill>
          </w14:textFill>
        </w:rPr>
      </w:sdtEndPr>
      <w:sdtContent>
        <w:p w14:paraId="145EA8DF">
          <w:pPr>
            <w:rPr>
              <w:rFonts w:cs="Times New Roman"/>
              <w:bCs w:val="0"/>
              <w:color w:val="000000" w:themeColor="text1"/>
              <w:kern w:val="2"/>
              <w14:textFill>
                <w14:solidFill>
                  <w14:schemeClr w14:val="tx1"/>
                </w14:solidFill>
              </w14:textFill>
            </w:rPr>
          </w:pPr>
          <w:r>
            <w:rPr>
              <w:rFonts w:ascii="宋体" w:hAnsi="宋体" w:cs="Times New Roman"/>
              <w:bCs w:val="0"/>
              <w:color w:val="000000" w:themeColor="text1"/>
              <w:kern w:val="2"/>
              <w14:textFill>
                <w14:solidFill>
                  <w14:schemeClr w14:val="tx1"/>
                </w14:solidFill>
              </w14:textFill>
            </w:rPr>
            <w:fldChar w:fldCharType="begin"/>
          </w:r>
          <w:r>
            <w:rPr>
              <w:rFonts w:hint="eastAsia" w:ascii="宋体" w:hAnsi="宋体" w:cs="Times New Roman"/>
              <w:color w:val="000000" w:themeColor="text1"/>
              <w:kern w:val="2"/>
              <w14:textFill>
                <w14:solidFill>
                  <w14:schemeClr w14:val="tx1"/>
                </w14:solidFill>
              </w14:textFill>
            </w:rPr>
            <w:instrText xml:space="preserve"> MACROBUTTON  SnrToggleCheckbox □适用 </w:instrText>
          </w:r>
          <w:r>
            <w:rPr>
              <w:rFonts w:ascii="宋体" w:hAnsi="宋体" w:cs="Times New Roman"/>
              <w:bCs w:val="0"/>
              <w:color w:val="000000" w:themeColor="text1"/>
              <w:kern w:val="2"/>
              <w14:textFill>
                <w14:solidFill>
                  <w14:schemeClr w14:val="tx1"/>
                </w14:solidFill>
              </w14:textFill>
            </w:rPr>
            <w:fldChar w:fldCharType="end"/>
          </w:r>
          <w:r>
            <w:rPr>
              <w:rFonts w:ascii="宋体" w:hAnsi="宋体" w:cs="Times New Roman"/>
              <w:bCs w:val="0"/>
              <w:color w:val="000000" w:themeColor="text1"/>
              <w:kern w:val="2"/>
              <w14:textFill>
                <w14:solidFill>
                  <w14:schemeClr w14:val="tx1"/>
                </w14:solidFill>
              </w14:textFill>
            </w:rPr>
            <w:fldChar w:fldCharType="begin"/>
          </w:r>
          <w:r>
            <w:rPr>
              <w:rFonts w:hint="eastAsia" w:ascii="宋体" w:hAnsi="宋体" w:cs="Times New Roman"/>
              <w:color w:val="000000" w:themeColor="text1"/>
              <w:kern w:val="2"/>
              <w14:textFill>
                <w14:solidFill>
                  <w14:schemeClr w14:val="tx1"/>
                </w14:solidFill>
              </w14:textFill>
            </w:rPr>
            <w:instrText xml:space="preserve"> MACROBUTTON  SnrToggleCheckbox √不适用 </w:instrText>
          </w:r>
          <w:r>
            <w:rPr>
              <w:rFonts w:ascii="宋体" w:hAnsi="宋体" w:cs="Times New Roman"/>
              <w:bCs w:val="0"/>
              <w:color w:val="000000" w:themeColor="text1"/>
              <w:kern w:val="2"/>
              <w14:textFill>
                <w14:solidFill>
                  <w14:schemeClr w14:val="tx1"/>
                </w14:solidFill>
              </w14:textFill>
            </w:rPr>
            <w:fldChar w:fldCharType="end"/>
          </w:r>
        </w:p>
      </w:sdtContent>
    </w:sdt>
    <w:p w14:paraId="5B50DC36">
      <w:pPr>
        <w:rPr>
          <w:rFonts w:cs="Times New Roman"/>
          <w:bCs w:val="0"/>
          <w:color w:val="000000" w:themeColor="text1"/>
          <w:kern w:val="2"/>
          <w14:textFill>
            <w14:solidFill>
              <w14:schemeClr w14:val="tx1"/>
            </w14:solidFill>
          </w14:textFill>
        </w:rPr>
      </w:pPr>
    </w:p>
    <w:bookmarkEnd w:id="143"/>
    <w:p w14:paraId="17438619">
      <w:pPr>
        <w:rPr>
          <w:color w:val="000000" w:themeColor="text1"/>
          <w14:textFill>
            <w14:solidFill>
              <w14:schemeClr w14:val="tx1"/>
            </w14:solidFill>
          </w14:textFill>
        </w:rPr>
      </w:pPr>
      <w:bookmarkStart w:id="144" w:name="_Hlk74747197"/>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担保情况、偿债计划及其他偿债保障措施在报告期内的执行情况和变化情况及对债券投资者权益的影响"/>
        <w:tag w:val="_GBC_a38608f5e4ed4154888c9017d276a5a8"/>
        <w:id w:val="147469719"/>
        <w:placeholder>
          <w:docPart w:val="GBC22222222222222222222222222222"/>
        </w:placeholder>
      </w:sdtPr>
      <w:sdtEndPr>
        <w:rPr>
          <w:color w:val="000000" w:themeColor="text1"/>
          <w14:textFill>
            <w14:solidFill>
              <w14:schemeClr w14:val="tx1"/>
            </w14:solidFill>
          </w14:textFill>
        </w:rPr>
      </w:sdtEndPr>
      <w:sdtContent>
        <w:p w14:paraId="4CFC67E4">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4C59F792">
      <w:pPr>
        <w:rPr>
          <w:color w:val="000000" w:themeColor="text1"/>
          <w14:textFill>
            <w14:solidFill>
              <w14:schemeClr w14:val="tx1"/>
            </w14:solidFill>
          </w14:textFill>
        </w:rPr>
      </w:pPr>
    </w:p>
    <w:bookmarkEnd w:id="141"/>
    <w:bookmarkEnd w:id="144"/>
    <w:p w14:paraId="3CBC6F0C">
      <w:pPr>
        <w:pStyle w:val="58"/>
        <w:numPr>
          <w:ilvl w:val="0"/>
          <w:numId w:val="42"/>
        </w:numPr>
        <w:rPr>
          <w:rFonts w:ascii="宋体" w:hAnsi="宋体" w:cs="宋体"/>
          <w:color w:val="000000" w:themeColor="text1"/>
          <w:kern w:val="0"/>
          <w:szCs w:val="24"/>
          <w14:textFill>
            <w14:solidFill>
              <w14:schemeClr w14:val="tx1"/>
            </w14:solidFill>
          </w14:textFill>
        </w:rPr>
      </w:pPr>
      <w:r>
        <w:rPr>
          <w:rFonts w:ascii="宋体" w:hAnsi="宋体" w:cs="宋体"/>
          <w:color w:val="000000" w:themeColor="text1"/>
          <w:kern w:val="0"/>
          <w:szCs w:val="24"/>
          <w14:textFill>
            <w14:solidFill>
              <w14:schemeClr w14:val="tx1"/>
            </w14:solidFill>
          </w14:textFill>
        </w:rPr>
        <w:t>非金融企业债务融资工具其他情况的说明</w:t>
      </w:r>
    </w:p>
    <w:sdt>
      <w:sdtPr>
        <w:rPr>
          <w:rFonts w:cs="Times New Roman"/>
          <w:bCs w:val="0"/>
          <w:color w:val="000000" w:themeColor="text1"/>
          <w:kern w:val="2"/>
          <w14:textFill>
            <w14:solidFill>
              <w14:schemeClr w14:val="tx1"/>
            </w14:solidFill>
          </w14:textFill>
        </w:rPr>
        <w:alias w:val="是否适用：非金融企业债务融资工具其他情况的说明[双击切换]"/>
        <w:tag w:val="_GBC_1545a32f6e064f4ba4a6f6496d1c3fdc"/>
        <w:id w:val="147458830"/>
        <w:placeholder>
          <w:docPart w:val="GBC22222222222222222222222222222"/>
        </w:placeholder>
      </w:sdtPr>
      <w:sdtEndPr>
        <w:rPr>
          <w:rFonts w:cs="Times New Roman"/>
          <w:bCs w:val="0"/>
          <w:color w:val="000000" w:themeColor="text1"/>
          <w:kern w:val="2"/>
          <w14:textFill>
            <w14:solidFill>
              <w14:schemeClr w14:val="tx1"/>
            </w14:solidFill>
          </w14:textFill>
        </w:rPr>
      </w:sdtEndPr>
      <w:sdtContent>
        <w:p w14:paraId="0D7E5C40">
          <w:pPr>
            <w:rPr>
              <w:rFonts w:cs="Times New Roman"/>
              <w:bCs w:val="0"/>
              <w:color w:val="000000" w:themeColor="text1"/>
              <w:kern w:val="2"/>
              <w14:textFill>
                <w14:solidFill>
                  <w14:schemeClr w14:val="tx1"/>
                </w14:solidFill>
              </w14:textFill>
            </w:rPr>
          </w:pPr>
          <w:r>
            <w:rPr>
              <w:rFonts w:ascii="宋体" w:hAnsi="宋体" w:cs="Times New Roman"/>
              <w:bCs w:val="0"/>
              <w:color w:val="000000" w:themeColor="text1"/>
              <w:kern w:val="2"/>
              <w14:textFill>
                <w14:solidFill>
                  <w14:schemeClr w14:val="tx1"/>
                </w14:solidFill>
              </w14:textFill>
            </w:rPr>
            <w:fldChar w:fldCharType="begin"/>
          </w:r>
          <w:r>
            <w:rPr>
              <w:rFonts w:hint="eastAsia" w:ascii="宋体" w:hAnsi="宋体" w:cs="Times New Roman"/>
              <w:color w:val="000000" w:themeColor="text1"/>
              <w:kern w:val="2"/>
              <w14:textFill>
                <w14:solidFill>
                  <w14:schemeClr w14:val="tx1"/>
                </w14:solidFill>
              </w14:textFill>
            </w:rPr>
            <w:instrText xml:space="preserve"> MACROBUTTON  SnrToggleCheckbox □适用 </w:instrText>
          </w:r>
          <w:r>
            <w:rPr>
              <w:rFonts w:ascii="宋体" w:hAnsi="宋体" w:cs="Times New Roman"/>
              <w:bCs w:val="0"/>
              <w:color w:val="000000" w:themeColor="text1"/>
              <w:kern w:val="2"/>
              <w14:textFill>
                <w14:solidFill>
                  <w14:schemeClr w14:val="tx1"/>
                </w14:solidFill>
              </w14:textFill>
            </w:rPr>
            <w:fldChar w:fldCharType="end"/>
          </w:r>
          <w:r>
            <w:rPr>
              <w:rFonts w:ascii="宋体" w:hAnsi="宋体" w:cs="Times New Roman"/>
              <w:bCs w:val="0"/>
              <w:color w:val="000000" w:themeColor="text1"/>
              <w:kern w:val="2"/>
              <w14:textFill>
                <w14:solidFill>
                  <w14:schemeClr w14:val="tx1"/>
                </w14:solidFill>
              </w14:textFill>
            </w:rPr>
            <w:fldChar w:fldCharType="begin"/>
          </w:r>
          <w:r>
            <w:rPr>
              <w:rFonts w:hint="eastAsia" w:ascii="宋体" w:hAnsi="宋体" w:cs="Times New Roman"/>
              <w:color w:val="000000" w:themeColor="text1"/>
              <w:kern w:val="2"/>
              <w14:textFill>
                <w14:solidFill>
                  <w14:schemeClr w14:val="tx1"/>
                </w14:solidFill>
              </w14:textFill>
            </w:rPr>
            <w:instrText xml:space="preserve"> MACROBUTTON  SnrToggleCheckbox √不适用 </w:instrText>
          </w:r>
          <w:r>
            <w:rPr>
              <w:rFonts w:ascii="宋体" w:hAnsi="宋体" w:cs="Times New Roman"/>
              <w:bCs w:val="0"/>
              <w:color w:val="000000" w:themeColor="text1"/>
              <w:kern w:val="2"/>
              <w14:textFill>
                <w14:solidFill>
                  <w14:schemeClr w14:val="tx1"/>
                </w14:solidFill>
              </w14:textFill>
            </w:rPr>
            <w:fldChar w:fldCharType="end"/>
          </w:r>
        </w:p>
      </w:sdtContent>
    </w:sdt>
    <w:p w14:paraId="0508EF89">
      <w:pPr>
        <w:rPr>
          <w:color w:val="000000" w:themeColor="text1"/>
          <w14:textFill>
            <w14:solidFill>
              <w14:schemeClr w14:val="tx1"/>
            </w14:solidFill>
          </w14:textFill>
        </w:rPr>
      </w:pPr>
    </w:p>
    <w:p w14:paraId="6CDE6096">
      <w:pPr>
        <w:rPr>
          <w:color w:val="000000" w:themeColor="text1"/>
          <w14:textFill>
            <w14:solidFill>
              <w14:schemeClr w14:val="tx1"/>
            </w14:solidFill>
          </w14:textFill>
        </w:rPr>
        <w:sectPr>
          <w:pgSz w:w="16838" w:h="11906" w:orient="landscape"/>
          <w:pgMar w:top="1797" w:right="1525" w:bottom="1276" w:left="1440" w:header="851" w:footer="992" w:gutter="0"/>
          <w:cols w:space="425" w:num="1"/>
          <w:docGrid w:linePitch="312" w:charSpace="0"/>
        </w:sectPr>
      </w:pPr>
    </w:p>
    <w:p w14:paraId="009CE6DA">
      <w:pPr>
        <w:rPr>
          <w:color w:val="000000" w:themeColor="text1"/>
          <w14:textFill>
            <w14:solidFill>
              <w14:schemeClr w14:val="tx1"/>
            </w14:solidFill>
          </w14:textFill>
        </w:rPr>
      </w:pPr>
    </w:p>
    <w:p w14:paraId="36711489">
      <w:pPr>
        <w:pStyle w:val="57"/>
        <w:numPr>
          <w:ilvl w:val="0"/>
          <w:numId w:val="3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公司报告期内合并报表范围亏损超过上年末净资产10%</w:t>
      </w:r>
    </w:p>
    <w:sdt>
      <w:sdtPr>
        <w:rPr>
          <w:rFonts w:cs="Times New Roman"/>
          <w:bCs w:val="0"/>
          <w:color w:val="000000" w:themeColor="text1"/>
          <w:kern w:val="2"/>
          <w14:textFill>
            <w14:solidFill>
              <w14:schemeClr w14:val="tx1"/>
            </w14:solidFill>
          </w14:textFill>
        </w:rPr>
        <w:alias w:val="是否适用：公司报告期内合并报表范围亏损超过上年末净资产10% [双击切换]"/>
        <w:tag w:val="_GBC_ff0f2375ea374f0b8a9d7ba3ce91f6ae"/>
        <w:id w:val="147470985"/>
        <w:placeholder>
          <w:docPart w:val="GBC22222222222222222222222222222"/>
        </w:placeholder>
      </w:sdtPr>
      <w:sdtEndPr>
        <w:rPr>
          <w:rFonts w:cs="Times New Roman"/>
          <w:bCs w:val="0"/>
          <w:color w:val="000000" w:themeColor="text1"/>
          <w:kern w:val="2"/>
          <w14:textFill>
            <w14:solidFill>
              <w14:schemeClr w14:val="tx1"/>
            </w14:solidFill>
          </w14:textFill>
        </w:rPr>
      </w:sdtEndPr>
      <w:sdtContent>
        <w:p w14:paraId="2DFC0F51">
          <w:pPr>
            <w:rPr>
              <w:rFonts w:cs="Times New Roman"/>
              <w:bCs w:val="0"/>
              <w:color w:val="000000" w:themeColor="text1"/>
              <w:kern w:val="2"/>
              <w14:textFill>
                <w14:solidFill>
                  <w14:schemeClr w14:val="tx1"/>
                </w14:solidFill>
              </w14:textFill>
            </w:rPr>
          </w:pPr>
          <w:r>
            <w:rPr>
              <w:rFonts w:ascii="宋体" w:hAnsi="宋体" w:cs="Times New Roman"/>
              <w:bCs w:val="0"/>
              <w:color w:val="000000" w:themeColor="text1"/>
              <w:kern w:val="2"/>
              <w14:textFill>
                <w14:solidFill>
                  <w14:schemeClr w14:val="tx1"/>
                </w14:solidFill>
              </w14:textFill>
            </w:rPr>
            <w:fldChar w:fldCharType="begin"/>
          </w:r>
          <w:r>
            <w:rPr>
              <w:rFonts w:hint="eastAsia" w:ascii="宋体" w:hAnsi="宋体" w:cs="Times New Roman"/>
              <w:color w:val="000000" w:themeColor="text1"/>
              <w:kern w:val="2"/>
              <w14:textFill>
                <w14:solidFill>
                  <w14:schemeClr w14:val="tx1"/>
                </w14:solidFill>
              </w14:textFill>
            </w:rPr>
            <w:instrText xml:space="preserve"> MACROBUTTON  SnrToggleCheckbox □适用 </w:instrText>
          </w:r>
          <w:r>
            <w:rPr>
              <w:rFonts w:ascii="宋体" w:hAnsi="宋体" w:cs="Times New Roman"/>
              <w:bCs w:val="0"/>
              <w:color w:val="000000" w:themeColor="text1"/>
              <w:kern w:val="2"/>
              <w14:textFill>
                <w14:solidFill>
                  <w14:schemeClr w14:val="tx1"/>
                </w14:solidFill>
              </w14:textFill>
            </w:rPr>
            <w:fldChar w:fldCharType="end"/>
          </w:r>
          <w:r>
            <w:rPr>
              <w:rFonts w:ascii="宋体" w:hAnsi="宋体" w:cs="Times New Roman"/>
              <w:bCs w:val="0"/>
              <w:color w:val="000000" w:themeColor="text1"/>
              <w:kern w:val="2"/>
              <w14:textFill>
                <w14:solidFill>
                  <w14:schemeClr w14:val="tx1"/>
                </w14:solidFill>
              </w14:textFill>
            </w:rPr>
            <w:fldChar w:fldCharType="begin"/>
          </w:r>
          <w:r>
            <w:rPr>
              <w:rFonts w:hint="eastAsia" w:ascii="宋体" w:hAnsi="宋体" w:cs="Times New Roman"/>
              <w:color w:val="000000" w:themeColor="text1"/>
              <w:kern w:val="2"/>
              <w14:textFill>
                <w14:solidFill>
                  <w14:schemeClr w14:val="tx1"/>
                </w14:solidFill>
              </w14:textFill>
            </w:rPr>
            <w:instrText xml:space="preserve"> MACROBUTTON  SnrToggleCheckbox √不适用 </w:instrText>
          </w:r>
          <w:r>
            <w:rPr>
              <w:rFonts w:ascii="宋体" w:hAnsi="宋体" w:cs="Times New Roman"/>
              <w:bCs w:val="0"/>
              <w:color w:val="000000" w:themeColor="text1"/>
              <w:kern w:val="2"/>
              <w14:textFill>
                <w14:solidFill>
                  <w14:schemeClr w14:val="tx1"/>
                </w14:solidFill>
              </w14:textFill>
            </w:rPr>
            <w:fldChar w:fldCharType="end"/>
          </w:r>
        </w:p>
      </w:sdtContent>
    </w:sdt>
    <w:p w14:paraId="130364FD">
      <w:pPr>
        <w:rPr>
          <w:rFonts w:cs="Times New Roman"/>
          <w:bCs w:val="0"/>
          <w:color w:val="000000" w:themeColor="text1"/>
          <w:kern w:val="2"/>
          <w14:textFill>
            <w14:solidFill>
              <w14:schemeClr w14:val="tx1"/>
            </w14:solidFill>
          </w14:textFill>
        </w:rPr>
      </w:pPr>
    </w:p>
    <w:p w14:paraId="117F5D37">
      <w:pPr>
        <w:pStyle w:val="57"/>
        <w:numPr>
          <w:ilvl w:val="0"/>
          <w:numId w:val="3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主要会计数据和财务指标 </w:t>
      </w:r>
    </w:p>
    <w:sdt>
      <w:sdtPr>
        <w:rPr>
          <w:color w:val="000000" w:themeColor="text1"/>
          <w14:textFill>
            <w14:solidFill>
              <w14:schemeClr w14:val="tx1"/>
            </w14:solidFill>
          </w14:textFill>
        </w:rPr>
        <w:alias w:val="是否适用：截至报告期末和上年末（或本报告期和上年同期）下列会计数据和财务指标 [双击切换]"/>
        <w:tag w:val="_GBC_e1fb30558f9c454b8f3ba9e82315063f"/>
        <w:id w:val="147455766"/>
        <w:placeholder>
          <w:docPart w:val="GBC22222222222222222222222222222"/>
        </w:placeholder>
      </w:sdtPr>
      <w:sdtEndPr>
        <w:rPr>
          <w:color w:val="000000" w:themeColor="text1"/>
          <w14:textFill>
            <w14:solidFill>
              <w14:schemeClr w14:val="tx1"/>
            </w14:solidFill>
          </w14:textFill>
        </w:rPr>
      </w:sdtEndPr>
      <w:sdtContent>
        <w:p w14:paraId="3B56DC3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FBBA8A0">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w:t>
      </w:r>
      <w:sdt>
        <w:sdtPr>
          <w:rPr>
            <w:color w:val="000000" w:themeColor="text1"/>
            <w14:textFill>
              <w14:solidFill>
                <w14:schemeClr w14:val="tx1"/>
              </w14:solidFill>
            </w14:textFill>
          </w:rPr>
          <w:alias w:val="单位：财务附注：截至报告期末公司近2年的会计数据和财务指标"/>
          <w:tag w:val="_GBC_afc0f331fd4b47ce87ad91eec01d628d"/>
          <w:id w:val="1474833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r>
        <w:rPr>
          <w:color w:val="000000" w:themeColor="text1"/>
          <w14:textFill>
            <w14:solidFill>
              <w14:schemeClr w14:val="tx1"/>
            </w14:solidFill>
          </w14:textFill>
        </w:rPr>
        <w:t>：</w:t>
      </w:r>
      <w:sdt>
        <w:sdtPr>
          <w:rPr>
            <w:color w:val="000000" w:themeColor="text1"/>
            <w14:textFill>
              <w14:solidFill>
                <w14:schemeClr w14:val="tx1"/>
              </w14:solidFill>
            </w14:textFill>
          </w:rPr>
          <w:alias w:val="币种：财务附注：截至报告期末公司近2年的会计数据和财务指标"/>
          <w:tag w:val="_GBC_17d60ed9196541edac6e74398e4722b2"/>
          <w:id w:val="1474657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color w:val="000000" w:themeColor="text1"/>
              <w14:textFill>
                <w14:solidFill>
                  <w14:schemeClr w14:val="tx1"/>
                </w14:solidFill>
              </w14:textFill>
            </w:rPr>
            <w:t>人民币</w:t>
          </w:r>
        </w:sdtContent>
      </w:sdt>
    </w:p>
    <w:tbl>
      <w:tblPr>
        <w:tblStyle w:val="3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3"/>
        <w:gridCol w:w="1685"/>
        <w:gridCol w:w="1439"/>
        <w:gridCol w:w="1454"/>
        <w:gridCol w:w="2135"/>
      </w:tblGrid>
      <w:tr w14:paraId="5DF8E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195a4fd0c8947ce9988f222f3a78dcb"/>
            <w:id w:val="147461942"/>
          </w:sdtPr>
          <w:sdtContent>
            <w:tc>
              <w:tcPr>
                <w:tcW w:w="1288" w:type="pct"/>
                <w:vAlign w:val="center"/>
              </w:tcPr>
              <w:p w14:paraId="48A55755">
                <w:pPr>
                  <w:jc w:val="center"/>
                  <w:rPr>
                    <w:rFonts w:cs="Times New Roman"/>
                    <w:b/>
                    <w:bCs w:val="0"/>
                    <w:color w:val="000000" w:themeColor="text1"/>
                    <w14:textFill>
                      <w14:solidFill>
                        <w14:schemeClr w14:val="tx1"/>
                      </w14:solidFill>
                    </w14:textFill>
                  </w:rPr>
                </w:pPr>
                <w:r>
                  <w:rPr>
                    <w:rFonts w:hint="eastAsia"/>
                    <w:color w:val="000000" w:themeColor="text1"/>
                    <w14:textFill>
                      <w14:solidFill>
                        <w14:schemeClr w14:val="tx1"/>
                      </w14:solidFill>
                    </w14:textFill>
                  </w:rPr>
                  <w:t>主要指标</w:t>
                </w:r>
              </w:p>
            </w:tc>
          </w:sdtContent>
        </w:sdt>
        <w:sdt>
          <w:sdtPr>
            <w:tag w:val="_PLD_c7ed68982a194c52a3ba61882b189048"/>
            <w:id w:val="147473001"/>
          </w:sdtPr>
          <w:sdtContent>
            <w:tc>
              <w:tcPr>
                <w:tcW w:w="931" w:type="pct"/>
                <w:vAlign w:val="center"/>
              </w:tcPr>
              <w:p w14:paraId="1DB8C03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本报告期末</w:t>
                </w:r>
              </w:p>
            </w:tc>
          </w:sdtContent>
        </w:sdt>
        <w:sdt>
          <w:sdtPr>
            <w:tag w:val="_PLD_47ecd04c8b4547359265315ddd51a277"/>
            <w:id w:val="147476541"/>
          </w:sdtPr>
          <w:sdtContent>
            <w:tc>
              <w:tcPr>
                <w:tcW w:w="795" w:type="pct"/>
                <w:vAlign w:val="center"/>
              </w:tcPr>
              <w:p w14:paraId="3202C58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上年度末</w:t>
                </w:r>
              </w:p>
            </w:tc>
          </w:sdtContent>
        </w:sdt>
        <w:sdt>
          <w:sdtPr>
            <w:tag w:val="_PLD_d7987bdd020141d68b5e9af795a4bf39"/>
            <w:id w:val="147461004"/>
          </w:sdtPr>
          <w:sdtContent>
            <w:tc>
              <w:tcPr>
                <w:tcW w:w="804" w:type="pct"/>
                <w:vAlign w:val="center"/>
              </w:tcPr>
              <w:p w14:paraId="0A4BE2D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本报告期末比上年度末增减（%）</w:t>
                </w:r>
              </w:p>
            </w:tc>
          </w:sdtContent>
        </w:sdt>
        <w:sdt>
          <w:sdtPr>
            <w:tag w:val="_PLD_0a234168cf5443608cc3ae6d76104114"/>
            <w:id w:val="147452423"/>
          </w:sdtPr>
          <w:sdtContent>
            <w:tc>
              <w:tcPr>
                <w:tcW w:w="1180" w:type="pct"/>
                <w:vAlign w:val="center"/>
              </w:tcPr>
              <w:p w14:paraId="48A0B80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变动原因</w:t>
                </w:r>
              </w:p>
            </w:tc>
          </w:sdtContent>
        </w:sdt>
      </w:tr>
      <w:tr w14:paraId="631F5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8" w:type="pct"/>
            <w:vAlign w:val="center"/>
          </w:tcPr>
          <w:p w14:paraId="7D356C04">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流动比率</w:t>
            </w:r>
          </w:p>
        </w:tc>
        <w:tc>
          <w:tcPr>
            <w:tcW w:w="931" w:type="pct"/>
            <w:vAlign w:val="center"/>
          </w:tcPr>
          <w:p w14:paraId="469D94B9">
            <w:pPr>
              <w:jc w:val="right"/>
              <w:textAlignment w:val="center"/>
              <w:rPr>
                <w:rFonts w:cs="Times New Roman"/>
              </w:rPr>
            </w:pPr>
            <w:r>
              <w:rPr>
                <w:rFonts w:eastAsia="Arial Narrow" w:cs="Times New Roman"/>
                <w:color w:val="000000"/>
                <w:lang w:bidi="ar"/>
              </w:rPr>
              <w:t>2.10</w:t>
            </w:r>
          </w:p>
        </w:tc>
        <w:tc>
          <w:tcPr>
            <w:tcW w:w="795" w:type="pct"/>
            <w:vAlign w:val="center"/>
          </w:tcPr>
          <w:p w14:paraId="41DC48E4">
            <w:pPr>
              <w:jc w:val="right"/>
              <w:textAlignment w:val="center"/>
              <w:rPr>
                <w:rFonts w:cs="Times New Roman"/>
              </w:rPr>
            </w:pPr>
            <w:r>
              <w:rPr>
                <w:rFonts w:eastAsia="Arial Narrow" w:cs="Times New Roman"/>
                <w:color w:val="000000"/>
                <w:lang w:bidi="ar"/>
              </w:rPr>
              <w:t>1.77</w:t>
            </w:r>
          </w:p>
        </w:tc>
        <w:tc>
          <w:tcPr>
            <w:tcW w:w="804" w:type="pct"/>
            <w:vAlign w:val="center"/>
          </w:tcPr>
          <w:p w14:paraId="5D844285">
            <w:pPr>
              <w:jc w:val="right"/>
              <w:textAlignment w:val="center"/>
              <w:rPr>
                <w:rFonts w:cs="Times New Roman"/>
              </w:rPr>
            </w:pPr>
            <w:r>
              <w:rPr>
                <w:rFonts w:eastAsia="Arial Narrow" w:cs="Times New Roman"/>
                <w:color w:val="000000"/>
                <w:lang w:bidi="ar"/>
              </w:rPr>
              <w:t>18.64</w:t>
            </w:r>
          </w:p>
        </w:tc>
        <w:tc>
          <w:tcPr>
            <w:tcW w:w="1180" w:type="pct"/>
            <w:vAlign w:val="center"/>
          </w:tcPr>
          <w:p w14:paraId="335A5452">
            <w:pPr>
              <w:jc w:val="center"/>
            </w:pPr>
          </w:p>
        </w:tc>
      </w:tr>
      <w:tr w14:paraId="66D5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8" w:type="pct"/>
            <w:vAlign w:val="center"/>
          </w:tcPr>
          <w:p w14:paraId="0DA51D8A">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速动比率</w:t>
            </w:r>
          </w:p>
        </w:tc>
        <w:tc>
          <w:tcPr>
            <w:tcW w:w="931" w:type="pct"/>
            <w:vAlign w:val="center"/>
          </w:tcPr>
          <w:p w14:paraId="144A58D8">
            <w:pPr>
              <w:jc w:val="right"/>
              <w:textAlignment w:val="center"/>
              <w:rPr>
                <w:rFonts w:cs="Times New Roman"/>
                <w:highlight w:val="cyan"/>
              </w:rPr>
            </w:pPr>
            <w:r>
              <w:rPr>
                <w:rFonts w:eastAsia="Arial Narrow" w:cs="Times New Roman"/>
                <w:color w:val="000000"/>
                <w:lang w:bidi="ar"/>
              </w:rPr>
              <w:t>1.69</w:t>
            </w:r>
          </w:p>
        </w:tc>
        <w:tc>
          <w:tcPr>
            <w:tcW w:w="795" w:type="pct"/>
            <w:vAlign w:val="center"/>
          </w:tcPr>
          <w:p w14:paraId="07F602EA">
            <w:pPr>
              <w:jc w:val="right"/>
              <w:textAlignment w:val="center"/>
              <w:rPr>
                <w:rFonts w:cs="Times New Roman"/>
                <w:highlight w:val="cyan"/>
              </w:rPr>
            </w:pPr>
            <w:r>
              <w:rPr>
                <w:rFonts w:eastAsia="Arial Narrow" w:cs="Times New Roman"/>
                <w:color w:val="000000"/>
                <w:lang w:bidi="ar"/>
              </w:rPr>
              <w:t>1.39</w:t>
            </w:r>
          </w:p>
        </w:tc>
        <w:tc>
          <w:tcPr>
            <w:tcW w:w="804" w:type="pct"/>
            <w:vAlign w:val="center"/>
          </w:tcPr>
          <w:p w14:paraId="29C59849">
            <w:pPr>
              <w:jc w:val="right"/>
              <w:textAlignment w:val="center"/>
              <w:rPr>
                <w:rFonts w:cs="Times New Roman"/>
                <w:highlight w:val="cyan"/>
              </w:rPr>
            </w:pPr>
            <w:r>
              <w:rPr>
                <w:rFonts w:eastAsia="Arial Narrow" w:cs="Times New Roman"/>
                <w:color w:val="000000"/>
                <w:lang w:bidi="ar"/>
              </w:rPr>
              <w:t>21.58</w:t>
            </w:r>
          </w:p>
        </w:tc>
        <w:tc>
          <w:tcPr>
            <w:tcW w:w="1180" w:type="pct"/>
            <w:vAlign w:val="center"/>
          </w:tcPr>
          <w:p w14:paraId="282BB600">
            <w:pPr>
              <w:jc w:val="center"/>
            </w:pPr>
          </w:p>
        </w:tc>
      </w:tr>
      <w:tr w14:paraId="2709F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8" w:type="pct"/>
            <w:vAlign w:val="center"/>
          </w:tcPr>
          <w:p w14:paraId="5DE1F597">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资产负债率（%）</w:t>
            </w:r>
          </w:p>
        </w:tc>
        <w:tc>
          <w:tcPr>
            <w:tcW w:w="931" w:type="pct"/>
            <w:vAlign w:val="center"/>
          </w:tcPr>
          <w:p w14:paraId="224FC7FC">
            <w:pPr>
              <w:jc w:val="right"/>
              <w:textAlignment w:val="center"/>
              <w:rPr>
                <w:rFonts w:cs="Times New Roman"/>
              </w:rPr>
            </w:pPr>
            <w:r>
              <w:rPr>
                <w:rFonts w:eastAsia="Arial Narrow" w:cs="Times New Roman"/>
                <w:color w:val="000000"/>
                <w:lang w:bidi="ar"/>
              </w:rPr>
              <w:t>42.79</w:t>
            </w:r>
          </w:p>
        </w:tc>
        <w:tc>
          <w:tcPr>
            <w:tcW w:w="795" w:type="pct"/>
            <w:vAlign w:val="center"/>
          </w:tcPr>
          <w:p w14:paraId="00C81B9C">
            <w:pPr>
              <w:jc w:val="right"/>
              <w:textAlignment w:val="center"/>
              <w:rPr>
                <w:rFonts w:cs="Times New Roman"/>
              </w:rPr>
            </w:pPr>
            <w:r>
              <w:rPr>
                <w:rFonts w:eastAsia="Arial Narrow" w:cs="Times New Roman"/>
                <w:color w:val="000000"/>
                <w:lang w:bidi="ar"/>
              </w:rPr>
              <w:t>40.89</w:t>
            </w:r>
          </w:p>
        </w:tc>
        <w:tc>
          <w:tcPr>
            <w:tcW w:w="804" w:type="pct"/>
            <w:vAlign w:val="center"/>
          </w:tcPr>
          <w:p w14:paraId="3E6ECFEA">
            <w:pPr>
              <w:jc w:val="right"/>
              <w:textAlignment w:val="center"/>
              <w:rPr>
                <w:rFonts w:cs="Times New Roman"/>
              </w:rPr>
            </w:pPr>
            <w:r>
              <w:rPr>
                <w:rFonts w:eastAsia="Arial Narrow" w:cs="Times New Roman"/>
                <w:color w:val="000000"/>
                <w:lang w:bidi="ar"/>
              </w:rPr>
              <w:t>1.90</w:t>
            </w:r>
          </w:p>
        </w:tc>
        <w:tc>
          <w:tcPr>
            <w:tcW w:w="1180" w:type="pct"/>
            <w:vAlign w:val="center"/>
          </w:tcPr>
          <w:p w14:paraId="78CF8C45">
            <w:pPr>
              <w:jc w:val="center"/>
            </w:pPr>
          </w:p>
        </w:tc>
      </w:tr>
      <w:tr w14:paraId="4288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8" w:type="pct"/>
            <w:vAlign w:val="center"/>
          </w:tcPr>
          <w:p w14:paraId="5F5FA8F5">
            <w:pPr>
              <w:jc w:val="both"/>
              <w:rPr>
                <w:color w:val="000000" w:themeColor="text1"/>
                <w14:textFill>
                  <w14:solidFill>
                    <w14:schemeClr w14:val="tx1"/>
                  </w14:solidFill>
                </w14:textFill>
              </w:rPr>
            </w:pPr>
          </w:p>
        </w:tc>
        <w:sdt>
          <w:sdtPr>
            <w:rPr>
              <w:rFonts w:cs="Times New Roman"/>
            </w:rPr>
            <w:tag w:val="_PLD_cd01cbf2064441c59f0d55273cf5edd8"/>
            <w:id w:val="147476720"/>
          </w:sdtPr>
          <w:sdtEndPr>
            <w:rPr>
              <w:rFonts w:cs="Times New Roman"/>
            </w:rPr>
          </w:sdtEndPr>
          <w:sdtContent>
            <w:tc>
              <w:tcPr>
                <w:tcW w:w="931" w:type="pct"/>
                <w:vAlign w:val="center"/>
              </w:tcPr>
              <w:p w14:paraId="61726488">
                <w:pPr>
                  <w:kinsoku w:val="0"/>
                  <w:overflowPunct w:val="0"/>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本报告期</w:t>
                </w:r>
              </w:p>
              <w:p w14:paraId="211917B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（1-6月）</w:t>
                </w:r>
              </w:p>
            </w:tc>
          </w:sdtContent>
        </w:sdt>
        <w:sdt>
          <w:sdtPr>
            <w:rPr>
              <w:rFonts w:cs="Times New Roman"/>
            </w:rPr>
            <w:tag w:val="_PLD_d9f41572fdf9470db9c0bdb0e5965c99"/>
            <w:id w:val="147466872"/>
          </w:sdtPr>
          <w:sdtEndPr>
            <w:rPr>
              <w:rFonts w:cs="Times New Roman"/>
            </w:rPr>
          </w:sdtEndPr>
          <w:sdtContent>
            <w:tc>
              <w:tcPr>
                <w:tcW w:w="795" w:type="pct"/>
                <w:vAlign w:val="center"/>
              </w:tcPr>
              <w:p w14:paraId="2998BEF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上年同期</w:t>
                </w:r>
              </w:p>
            </w:tc>
          </w:sdtContent>
        </w:sdt>
        <w:sdt>
          <w:sdtPr>
            <w:rPr>
              <w:rFonts w:cs="Times New Roman"/>
            </w:rPr>
            <w:tag w:val="_PLD_56d0ed11f2ac430eba65cfcf410fb79a"/>
            <w:id w:val="147475234"/>
          </w:sdtPr>
          <w:sdtEndPr>
            <w:rPr>
              <w:rFonts w:cs="Times New Roman"/>
            </w:rPr>
          </w:sdtEndPr>
          <w:sdtContent>
            <w:tc>
              <w:tcPr>
                <w:tcW w:w="804" w:type="pct"/>
                <w:vAlign w:val="center"/>
              </w:tcPr>
              <w:p w14:paraId="34B01752">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本报告期比上年同期增减(%)</w:t>
                </w:r>
              </w:p>
            </w:tc>
          </w:sdtContent>
        </w:sdt>
        <w:sdt>
          <w:sdtPr>
            <w:tag w:val="_PLD_55052107e6074393811b3d17d8f0571a"/>
            <w:id w:val="147452207"/>
          </w:sdtPr>
          <w:sdtContent>
            <w:tc>
              <w:tcPr>
                <w:tcW w:w="1180" w:type="pct"/>
                <w:vAlign w:val="center"/>
              </w:tcPr>
              <w:p w14:paraId="65B7441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变动原因</w:t>
                </w:r>
              </w:p>
            </w:tc>
          </w:sdtContent>
        </w:sdt>
      </w:tr>
      <w:tr w14:paraId="315C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288" w:type="pct"/>
            <w:vAlign w:val="center"/>
          </w:tcPr>
          <w:p w14:paraId="23969252">
            <w:pPr>
              <w:jc w:val="both"/>
              <w:rPr>
                <w:color w:val="000000" w:themeColor="text1"/>
                <w14:textFill>
                  <w14:solidFill>
                    <w14:schemeClr w14:val="tx1"/>
                  </w14:solidFill>
                </w14:textFill>
              </w:rPr>
            </w:pPr>
            <w:r>
              <w:rPr>
                <w:color w:val="000000" w:themeColor="text1"/>
                <w14:textFill>
                  <w14:solidFill>
                    <w14:schemeClr w14:val="tx1"/>
                  </w14:solidFill>
                </w14:textFill>
              </w:rPr>
              <w:t>扣除非经常性损益后净利润</w:t>
            </w:r>
          </w:p>
        </w:tc>
        <w:tc>
          <w:tcPr>
            <w:tcW w:w="931" w:type="pct"/>
            <w:vAlign w:val="center"/>
          </w:tcPr>
          <w:p w14:paraId="26EFE3A4">
            <w:pPr>
              <w:jc w:val="right"/>
              <w:textAlignment w:val="center"/>
              <w:rPr>
                <w:rFonts w:cs="Times New Roman"/>
              </w:rPr>
            </w:pPr>
            <w:r>
              <w:rPr>
                <w:rFonts w:eastAsia="Arial Narrow" w:cs="Times New Roman"/>
                <w:color w:val="000000"/>
                <w:lang w:bidi="ar"/>
              </w:rPr>
              <w:t>-145,785,600.38</w:t>
            </w:r>
          </w:p>
        </w:tc>
        <w:tc>
          <w:tcPr>
            <w:tcW w:w="795" w:type="pct"/>
            <w:vAlign w:val="center"/>
          </w:tcPr>
          <w:p w14:paraId="23DAAE1A">
            <w:pPr>
              <w:jc w:val="right"/>
              <w:textAlignment w:val="center"/>
              <w:rPr>
                <w:rFonts w:cs="Times New Roman"/>
              </w:rPr>
            </w:pPr>
            <w:r>
              <w:rPr>
                <w:rFonts w:eastAsia="Arial Narrow" w:cs="Times New Roman"/>
                <w:color w:val="000000"/>
                <w:lang w:bidi="ar"/>
              </w:rPr>
              <w:t>-8,715,761.51</w:t>
            </w:r>
          </w:p>
        </w:tc>
        <w:tc>
          <w:tcPr>
            <w:tcW w:w="804" w:type="pct"/>
            <w:vAlign w:val="center"/>
          </w:tcPr>
          <w:p w14:paraId="77F4BBC2">
            <w:pPr>
              <w:jc w:val="right"/>
              <w:textAlignment w:val="center"/>
              <w:rPr>
                <w:rFonts w:cs="Times New Roman"/>
              </w:rPr>
            </w:pPr>
            <w:r>
              <w:rPr>
                <w:rFonts w:hint="eastAsia" w:asciiTheme="minorEastAsia" w:hAnsiTheme="minorEastAsia" w:eastAsiaTheme="minorEastAsia" w:cstheme="minorEastAsia"/>
                <w:color w:val="000000"/>
                <w:lang w:bidi="ar"/>
              </w:rPr>
              <w:t>不适用</w:t>
            </w:r>
          </w:p>
        </w:tc>
        <w:tc>
          <w:tcPr>
            <w:tcW w:w="1180" w:type="pct"/>
            <w:vAlign w:val="center"/>
          </w:tcPr>
          <w:p w14:paraId="3A14E452">
            <w:r>
              <w:rPr>
                <w:rFonts w:hint="eastAsia"/>
              </w:rPr>
              <w:t>营业收入同比下滑影响</w:t>
            </w:r>
          </w:p>
        </w:tc>
      </w:tr>
      <w:tr w14:paraId="1639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8" w:type="pct"/>
            <w:vAlign w:val="center"/>
          </w:tcPr>
          <w:p w14:paraId="48969E36">
            <w:pPr>
              <w:jc w:val="both"/>
              <w:rPr>
                <w:color w:val="000000" w:themeColor="text1"/>
                <w14:textFill>
                  <w14:solidFill>
                    <w14:schemeClr w14:val="tx1"/>
                  </w14:solidFill>
                </w14:textFill>
              </w:rPr>
            </w:pPr>
            <w:r>
              <w:rPr>
                <w:color w:val="000000" w:themeColor="text1"/>
                <w14:textFill>
                  <w14:solidFill>
                    <w14:schemeClr w14:val="tx1"/>
                  </w14:solidFill>
                </w14:textFill>
              </w:rPr>
              <w:t>EBITDA全部债务比</w:t>
            </w:r>
          </w:p>
        </w:tc>
        <w:tc>
          <w:tcPr>
            <w:tcW w:w="931" w:type="pct"/>
            <w:vAlign w:val="center"/>
          </w:tcPr>
          <w:p w14:paraId="1431A46B">
            <w:pPr>
              <w:jc w:val="right"/>
              <w:textAlignment w:val="center"/>
              <w:rPr>
                <w:rFonts w:cs="Times New Roman"/>
              </w:rPr>
            </w:pPr>
            <w:r>
              <w:rPr>
                <w:rFonts w:eastAsia="Arial Narrow" w:cs="Times New Roman"/>
                <w:color w:val="000000"/>
                <w:lang w:bidi="ar"/>
              </w:rPr>
              <w:t>0.04</w:t>
            </w:r>
          </w:p>
        </w:tc>
        <w:tc>
          <w:tcPr>
            <w:tcW w:w="795" w:type="pct"/>
            <w:vAlign w:val="center"/>
          </w:tcPr>
          <w:p w14:paraId="3274472E">
            <w:pPr>
              <w:jc w:val="right"/>
              <w:textAlignment w:val="center"/>
              <w:rPr>
                <w:rFonts w:cs="Times New Roman"/>
              </w:rPr>
            </w:pPr>
            <w:r>
              <w:rPr>
                <w:rFonts w:eastAsia="Arial Narrow" w:cs="Times New Roman"/>
                <w:color w:val="000000"/>
                <w:lang w:bidi="ar"/>
              </w:rPr>
              <w:t>0.11</w:t>
            </w:r>
          </w:p>
        </w:tc>
        <w:tc>
          <w:tcPr>
            <w:tcW w:w="804" w:type="pct"/>
            <w:vAlign w:val="center"/>
          </w:tcPr>
          <w:p w14:paraId="09E84A8F">
            <w:pPr>
              <w:jc w:val="right"/>
              <w:textAlignment w:val="center"/>
              <w:rPr>
                <w:rFonts w:cs="Times New Roman"/>
              </w:rPr>
            </w:pPr>
            <w:r>
              <w:rPr>
                <w:rFonts w:eastAsia="Arial Narrow" w:cs="Times New Roman"/>
                <w:color w:val="000000"/>
                <w:lang w:bidi="ar"/>
              </w:rPr>
              <w:t>-63.64</w:t>
            </w:r>
          </w:p>
        </w:tc>
        <w:tc>
          <w:tcPr>
            <w:tcW w:w="1180" w:type="pct"/>
            <w:vAlign w:val="center"/>
          </w:tcPr>
          <w:p w14:paraId="2190E3DE">
            <w:r>
              <w:rPr>
                <w:rFonts w:hint="eastAsia"/>
              </w:rPr>
              <w:t>公司息税折旧前利润同比降低</w:t>
            </w:r>
          </w:p>
        </w:tc>
      </w:tr>
      <w:tr w14:paraId="406C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288" w:type="pct"/>
            <w:vAlign w:val="center"/>
          </w:tcPr>
          <w:p w14:paraId="310F8C50">
            <w:pPr>
              <w:jc w:val="both"/>
              <w:rPr>
                <w:color w:val="000000" w:themeColor="text1"/>
                <w14:textFill>
                  <w14:solidFill>
                    <w14:schemeClr w14:val="tx1"/>
                  </w14:solidFill>
                </w14:textFill>
              </w:rPr>
            </w:pPr>
            <w:r>
              <w:rPr>
                <w:color w:val="000000" w:themeColor="text1"/>
                <w14:textFill>
                  <w14:solidFill>
                    <w14:schemeClr w14:val="tx1"/>
                  </w14:solidFill>
                </w14:textFill>
              </w:rPr>
              <w:t>利息保障倍数</w:t>
            </w:r>
          </w:p>
        </w:tc>
        <w:tc>
          <w:tcPr>
            <w:tcW w:w="931" w:type="pct"/>
            <w:vAlign w:val="center"/>
          </w:tcPr>
          <w:p w14:paraId="6CB9E9DE">
            <w:pPr>
              <w:jc w:val="right"/>
              <w:textAlignment w:val="center"/>
              <w:rPr>
                <w:rFonts w:cs="Times New Roman"/>
              </w:rPr>
            </w:pPr>
            <w:r>
              <w:rPr>
                <w:rFonts w:eastAsia="Arial Narrow" w:cs="Times New Roman"/>
                <w:color w:val="000000"/>
                <w:lang w:bidi="ar"/>
              </w:rPr>
              <w:t>-0.31</w:t>
            </w:r>
          </w:p>
        </w:tc>
        <w:tc>
          <w:tcPr>
            <w:tcW w:w="795" w:type="pct"/>
            <w:vAlign w:val="center"/>
          </w:tcPr>
          <w:p w14:paraId="4609BBD0">
            <w:pPr>
              <w:jc w:val="right"/>
              <w:textAlignment w:val="center"/>
              <w:rPr>
                <w:rFonts w:cs="Times New Roman"/>
              </w:rPr>
            </w:pPr>
            <w:r>
              <w:rPr>
                <w:rFonts w:eastAsia="Arial Narrow" w:cs="Times New Roman"/>
                <w:color w:val="000000"/>
                <w:lang w:bidi="ar"/>
              </w:rPr>
              <w:t>0.77</w:t>
            </w:r>
          </w:p>
        </w:tc>
        <w:tc>
          <w:tcPr>
            <w:tcW w:w="804" w:type="pct"/>
            <w:vAlign w:val="center"/>
          </w:tcPr>
          <w:p w14:paraId="54038273">
            <w:pPr>
              <w:jc w:val="right"/>
              <w:textAlignment w:val="center"/>
              <w:rPr>
                <w:rFonts w:cs="Times New Roman"/>
              </w:rPr>
            </w:pPr>
            <w:r>
              <w:rPr>
                <w:rFonts w:eastAsia="Arial Narrow" w:cs="Times New Roman"/>
                <w:color w:val="000000"/>
                <w:lang w:bidi="ar"/>
              </w:rPr>
              <w:t>-140.26</w:t>
            </w:r>
          </w:p>
        </w:tc>
        <w:tc>
          <w:tcPr>
            <w:tcW w:w="1180" w:type="pct"/>
            <w:vAlign w:val="center"/>
          </w:tcPr>
          <w:p w14:paraId="7A12AD6A">
            <w:r>
              <w:rPr>
                <w:rFonts w:hint="eastAsia"/>
              </w:rPr>
              <w:t>公司息税前利润同比降低</w:t>
            </w:r>
          </w:p>
        </w:tc>
      </w:tr>
      <w:tr w14:paraId="405B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288" w:type="pct"/>
            <w:vAlign w:val="center"/>
          </w:tcPr>
          <w:p w14:paraId="054F917A">
            <w:pPr>
              <w:jc w:val="both"/>
              <w:rPr>
                <w:color w:val="000000" w:themeColor="text1"/>
                <w14:textFill>
                  <w14:solidFill>
                    <w14:schemeClr w14:val="tx1"/>
                  </w14:solidFill>
                </w14:textFill>
              </w:rPr>
            </w:pPr>
            <w:r>
              <w:rPr>
                <w:color w:val="000000" w:themeColor="text1"/>
                <w14:textFill>
                  <w14:solidFill>
                    <w14:schemeClr w14:val="tx1"/>
                  </w14:solidFill>
                </w14:textFill>
              </w:rPr>
              <w:t>现金利息保障倍数</w:t>
            </w:r>
          </w:p>
        </w:tc>
        <w:tc>
          <w:tcPr>
            <w:tcW w:w="931" w:type="pct"/>
            <w:vAlign w:val="center"/>
          </w:tcPr>
          <w:p w14:paraId="164CE785">
            <w:pPr>
              <w:jc w:val="right"/>
              <w:textAlignment w:val="center"/>
              <w:rPr>
                <w:rFonts w:cs="Times New Roman"/>
              </w:rPr>
            </w:pPr>
            <w:r>
              <w:rPr>
                <w:rFonts w:eastAsia="Arial Narrow" w:cs="Times New Roman"/>
                <w:color w:val="000000"/>
                <w:lang w:bidi="ar"/>
              </w:rPr>
              <w:t>-18.05</w:t>
            </w:r>
          </w:p>
        </w:tc>
        <w:tc>
          <w:tcPr>
            <w:tcW w:w="795" w:type="pct"/>
            <w:vAlign w:val="center"/>
          </w:tcPr>
          <w:p w14:paraId="76EF9133">
            <w:pPr>
              <w:jc w:val="right"/>
              <w:textAlignment w:val="center"/>
              <w:rPr>
                <w:rFonts w:cs="Times New Roman"/>
              </w:rPr>
            </w:pPr>
            <w:r>
              <w:rPr>
                <w:rFonts w:eastAsia="Arial Narrow" w:cs="Times New Roman"/>
                <w:color w:val="000000"/>
                <w:lang w:bidi="ar"/>
              </w:rPr>
              <w:t>-41.43</w:t>
            </w:r>
          </w:p>
        </w:tc>
        <w:tc>
          <w:tcPr>
            <w:tcW w:w="804" w:type="pct"/>
            <w:vAlign w:val="center"/>
          </w:tcPr>
          <w:p w14:paraId="2D464516">
            <w:pPr>
              <w:jc w:val="right"/>
              <w:textAlignment w:val="center"/>
              <w:rPr>
                <w:rFonts w:cs="Times New Roman"/>
              </w:rPr>
            </w:pPr>
            <w:r>
              <w:rPr>
                <w:rFonts w:hint="eastAsia" w:asciiTheme="minorEastAsia" w:hAnsiTheme="minorEastAsia" w:eastAsiaTheme="minorEastAsia" w:cstheme="minorEastAsia"/>
                <w:color w:val="000000"/>
                <w:lang w:bidi="ar"/>
              </w:rPr>
              <w:t>不适用</w:t>
            </w:r>
          </w:p>
        </w:tc>
        <w:tc>
          <w:tcPr>
            <w:tcW w:w="1180" w:type="pct"/>
            <w:vAlign w:val="center"/>
          </w:tcPr>
          <w:p w14:paraId="74DA8D68"/>
        </w:tc>
      </w:tr>
      <w:tr w14:paraId="55330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288" w:type="pct"/>
            <w:vAlign w:val="center"/>
          </w:tcPr>
          <w:p w14:paraId="0A15869E">
            <w:pPr>
              <w:jc w:val="both"/>
              <w:rPr>
                <w:color w:val="000000" w:themeColor="text1"/>
                <w14:textFill>
                  <w14:solidFill>
                    <w14:schemeClr w14:val="tx1"/>
                  </w14:solidFill>
                </w14:textFill>
              </w:rPr>
            </w:pPr>
            <w:r>
              <w:rPr>
                <w:color w:val="000000" w:themeColor="text1"/>
                <w14:textFill>
                  <w14:solidFill>
                    <w14:schemeClr w14:val="tx1"/>
                  </w14:solidFill>
                </w14:textFill>
              </w:rPr>
              <w:t>EBITDA利息保障倍数</w:t>
            </w:r>
          </w:p>
        </w:tc>
        <w:tc>
          <w:tcPr>
            <w:tcW w:w="931" w:type="pct"/>
            <w:vAlign w:val="center"/>
          </w:tcPr>
          <w:p w14:paraId="043BD062">
            <w:pPr>
              <w:jc w:val="right"/>
              <w:textAlignment w:val="center"/>
              <w:rPr>
                <w:rFonts w:cs="Times New Roman"/>
              </w:rPr>
            </w:pPr>
            <w:r>
              <w:rPr>
                <w:rFonts w:eastAsia="Arial Narrow" w:cs="Times New Roman"/>
                <w:color w:val="000000"/>
                <w:lang w:bidi="ar"/>
              </w:rPr>
              <w:t>3.89</w:t>
            </w:r>
          </w:p>
        </w:tc>
        <w:tc>
          <w:tcPr>
            <w:tcW w:w="795" w:type="pct"/>
            <w:vAlign w:val="center"/>
          </w:tcPr>
          <w:p w14:paraId="2A164656">
            <w:pPr>
              <w:jc w:val="right"/>
              <w:textAlignment w:val="center"/>
              <w:rPr>
                <w:rFonts w:cs="Times New Roman"/>
              </w:rPr>
            </w:pPr>
            <w:r>
              <w:rPr>
                <w:rFonts w:eastAsia="Arial Narrow" w:cs="Times New Roman"/>
                <w:color w:val="000000"/>
                <w:lang w:bidi="ar"/>
              </w:rPr>
              <w:t>6.07</w:t>
            </w:r>
          </w:p>
        </w:tc>
        <w:tc>
          <w:tcPr>
            <w:tcW w:w="804" w:type="pct"/>
            <w:vAlign w:val="center"/>
          </w:tcPr>
          <w:p w14:paraId="25E838CE">
            <w:pPr>
              <w:jc w:val="right"/>
              <w:textAlignment w:val="center"/>
              <w:rPr>
                <w:rFonts w:cs="Times New Roman"/>
              </w:rPr>
            </w:pPr>
            <w:r>
              <w:rPr>
                <w:rFonts w:eastAsia="Arial Narrow" w:cs="Times New Roman"/>
                <w:color w:val="000000"/>
                <w:lang w:bidi="ar"/>
              </w:rPr>
              <w:t>-35.91</w:t>
            </w:r>
          </w:p>
        </w:tc>
        <w:tc>
          <w:tcPr>
            <w:tcW w:w="1180" w:type="pct"/>
            <w:vAlign w:val="center"/>
          </w:tcPr>
          <w:p w14:paraId="059115BD">
            <w:r>
              <w:rPr>
                <w:rFonts w:hint="eastAsia"/>
              </w:rPr>
              <w:t>公司息税折旧前利润同比降低</w:t>
            </w:r>
          </w:p>
        </w:tc>
      </w:tr>
      <w:tr w14:paraId="1DFA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8" w:type="pct"/>
            <w:vAlign w:val="center"/>
          </w:tcPr>
          <w:p w14:paraId="7D1D1B31">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贷款偿还率（%）</w:t>
            </w:r>
          </w:p>
        </w:tc>
        <w:tc>
          <w:tcPr>
            <w:tcW w:w="931" w:type="pct"/>
            <w:vAlign w:val="center"/>
          </w:tcPr>
          <w:p w14:paraId="494DD0D6">
            <w:pPr>
              <w:jc w:val="right"/>
              <w:textAlignment w:val="center"/>
              <w:rPr>
                <w:rFonts w:cs="Times New Roman"/>
              </w:rPr>
            </w:pPr>
            <w:r>
              <w:rPr>
                <w:rFonts w:eastAsia="Arial Narrow" w:cs="Times New Roman"/>
                <w:color w:val="000000"/>
                <w:lang w:bidi="ar"/>
              </w:rPr>
              <w:t>100.00</w:t>
            </w:r>
          </w:p>
        </w:tc>
        <w:tc>
          <w:tcPr>
            <w:tcW w:w="795" w:type="pct"/>
            <w:vAlign w:val="center"/>
          </w:tcPr>
          <w:p w14:paraId="190035F6">
            <w:pPr>
              <w:jc w:val="right"/>
              <w:textAlignment w:val="center"/>
              <w:rPr>
                <w:rFonts w:cs="Times New Roman"/>
              </w:rPr>
            </w:pPr>
            <w:r>
              <w:rPr>
                <w:rFonts w:eastAsia="Arial Narrow" w:cs="Times New Roman"/>
                <w:color w:val="000000"/>
                <w:lang w:bidi="ar"/>
              </w:rPr>
              <w:t>100.00</w:t>
            </w:r>
          </w:p>
        </w:tc>
        <w:tc>
          <w:tcPr>
            <w:tcW w:w="804" w:type="pct"/>
            <w:vAlign w:val="center"/>
          </w:tcPr>
          <w:p w14:paraId="07662375">
            <w:pPr>
              <w:jc w:val="right"/>
              <w:rPr>
                <w:rFonts w:cs="Times New Roman"/>
              </w:rPr>
            </w:pPr>
          </w:p>
        </w:tc>
        <w:tc>
          <w:tcPr>
            <w:tcW w:w="1180" w:type="pct"/>
            <w:vAlign w:val="center"/>
          </w:tcPr>
          <w:p w14:paraId="7A449953">
            <w:pPr>
              <w:jc w:val="center"/>
            </w:pPr>
          </w:p>
        </w:tc>
      </w:tr>
      <w:tr w14:paraId="600F6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8" w:type="pct"/>
            <w:vAlign w:val="center"/>
          </w:tcPr>
          <w:p w14:paraId="19DACD79">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利息偿付率（%）</w:t>
            </w:r>
          </w:p>
        </w:tc>
        <w:tc>
          <w:tcPr>
            <w:tcW w:w="931" w:type="pct"/>
            <w:vAlign w:val="center"/>
          </w:tcPr>
          <w:p w14:paraId="7F011450">
            <w:pPr>
              <w:jc w:val="right"/>
              <w:textAlignment w:val="center"/>
              <w:rPr>
                <w:rFonts w:cs="Times New Roman"/>
              </w:rPr>
            </w:pPr>
            <w:r>
              <w:rPr>
                <w:rFonts w:eastAsia="Arial Narrow" w:cs="Times New Roman"/>
                <w:color w:val="000000"/>
                <w:lang w:bidi="ar"/>
              </w:rPr>
              <w:t>100.00</w:t>
            </w:r>
          </w:p>
        </w:tc>
        <w:tc>
          <w:tcPr>
            <w:tcW w:w="795" w:type="pct"/>
            <w:vAlign w:val="center"/>
          </w:tcPr>
          <w:p w14:paraId="3857E25B">
            <w:pPr>
              <w:jc w:val="right"/>
              <w:textAlignment w:val="center"/>
              <w:rPr>
                <w:rFonts w:cs="Times New Roman"/>
              </w:rPr>
            </w:pPr>
            <w:r>
              <w:rPr>
                <w:rFonts w:eastAsia="Arial Narrow" w:cs="Times New Roman"/>
                <w:color w:val="000000"/>
                <w:lang w:bidi="ar"/>
              </w:rPr>
              <w:t>100.00</w:t>
            </w:r>
          </w:p>
        </w:tc>
        <w:tc>
          <w:tcPr>
            <w:tcW w:w="804" w:type="pct"/>
            <w:vAlign w:val="center"/>
          </w:tcPr>
          <w:p w14:paraId="774FDC83">
            <w:pPr>
              <w:jc w:val="right"/>
              <w:rPr>
                <w:rFonts w:cs="Times New Roman"/>
              </w:rPr>
            </w:pPr>
          </w:p>
        </w:tc>
        <w:tc>
          <w:tcPr>
            <w:tcW w:w="1180" w:type="pct"/>
          </w:tcPr>
          <w:p w14:paraId="73CB359F">
            <w:pPr>
              <w:jc w:val="center"/>
            </w:pPr>
          </w:p>
        </w:tc>
      </w:tr>
    </w:tbl>
    <w:p w14:paraId="774F3542">
      <w:pPr>
        <w:rPr>
          <w:color w:val="000000" w:themeColor="text1"/>
          <w14:textFill>
            <w14:solidFill>
              <w14:schemeClr w14:val="tx1"/>
            </w14:solidFill>
          </w14:textFill>
        </w:rPr>
      </w:pPr>
    </w:p>
    <w:p w14:paraId="199CDFBD">
      <w:pPr>
        <w:pStyle w:val="56"/>
        <w:numPr>
          <w:ilvl w:val="0"/>
          <w:numId w:val="3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可转换公司债券情况</w:t>
      </w:r>
    </w:p>
    <w:sdt>
      <w:sdtPr>
        <w:rPr>
          <w:color w:val="000000" w:themeColor="text1"/>
          <w14:textFill>
            <w14:solidFill>
              <w14:schemeClr w14:val="tx1"/>
            </w14:solidFill>
          </w14:textFill>
        </w:rPr>
        <w:alias w:val="是否适用：可转换公司债券情况[双击切换]"/>
        <w:tag w:val="_GBC_6a49e99841294af3b87ba6216b1997d9"/>
        <w:id w:val="147453817"/>
        <w:placeholder>
          <w:docPart w:val="GBC22222222222222222222222222222"/>
        </w:placeholder>
      </w:sdtPr>
      <w:sdtEndPr>
        <w:rPr>
          <w:color w:val="000000" w:themeColor="text1"/>
          <w14:textFill>
            <w14:solidFill>
              <w14:schemeClr w14:val="tx1"/>
            </w14:solidFill>
          </w14:textFill>
        </w:rPr>
      </w:sdtEndPr>
      <w:sdtContent>
        <w:p w14:paraId="6224BE7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A1CE55A">
      <w:pPr>
        <w:rPr>
          <w:color w:val="000000" w:themeColor="text1"/>
          <w14:textFill>
            <w14:solidFill>
              <w14:schemeClr w14:val="tx1"/>
            </w14:solidFill>
          </w14:textFill>
        </w:rPr>
      </w:pPr>
    </w:p>
    <w:p w14:paraId="32C195FF">
      <w:pPr>
        <w:rPr>
          <w:color w:val="000000" w:themeColor="text1"/>
          <w14:textFill>
            <w14:solidFill>
              <w14:schemeClr w14:val="tx1"/>
            </w14:solidFill>
          </w14:textFill>
        </w:rPr>
      </w:pPr>
    </w:p>
    <w:p w14:paraId="74C97440">
      <w:pPr>
        <w:rPr>
          <w:color w:val="000000" w:themeColor="text1"/>
          <w14:textFill>
            <w14:solidFill>
              <w14:schemeClr w14:val="tx1"/>
            </w14:solidFill>
          </w14:textFill>
        </w:rPr>
        <w:sectPr>
          <w:pgSz w:w="11906" w:h="16838"/>
          <w:pgMar w:top="1525" w:right="1276" w:bottom="1440" w:left="1797" w:header="851" w:footer="992" w:gutter="0"/>
          <w:cols w:space="425" w:num="1"/>
          <w:docGrid w:linePitch="312" w:charSpace="0"/>
        </w:sectPr>
      </w:pPr>
    </w:p>
    <w:p w14:paraId="28E72D21">
      <w:pPr>
        <w:pStyle w:val="2"/>
        <w:numPr>
          <w:ilvl w:val="0"/>
          <w:numId w:val="3"/>
        </w:numPr>
        <w:rPr>
          <w:rFonts w:ascii="黑体" w:hAnsi="黑体"/>
          <w:color w:val="000000" w:themeColor="text1"/>
          <w14:textFill>
            <w14:solidFill>
              <w14:schemeClr w14:val="tx1"/>
            </w14:solidFill>
          </w14:textFill>
        </w:rPr>
      </w:pPr>
      <w:bookmarkStart w:id="145" w:name="_Toc76114281"/>
      <w:bookmarkStart w:id="146" w:name="_Toc200030546"/>
      <w:r>
        <w:rPr>
          <w:rFonts w:hint="eastAsia" w:ascii="黑体" w:hAnsi="黑体"/>
          <w:color w:val="000000" w:themeColor="text1"/>
          <w14:textFill>
            <w14:solidFill>
              <w14:schemeClr w14:val="tx1"/>
            </w14:solidFill>
          </w14:textFill>
        </w:rPr>
        <w:t>财务报告</w:t>
      </w:r>
    </w:p>
    <w:bookmarkEnd w:id="145"/>
    <w:bookmarkEnd w:id="146"/>
    <w:p w14:paraId="7E144DD1">
      <w:pPr>
        <w:pStyle w:val="56"/>
        <w:numPr>
          <w:ilvl w:val="0"/>
          <w:numId w:val="43"/>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审计报告</w:t>
      </w:r>
    </w:p>
    <w:sdt>
      <w:sdtPr>
        <w:rPr>
          <w:color w:val="000000" w:themeColor="text1"/>
          <w14:textFill>
            <w14:solidFill>
              <w14:schemeClr w14:val="tx1"/>
            </w14:solidFill>
          </w14:textFill>
        </w:rPr>
        <w:alias w:val="是否适用：审计报告[双击切换]"/>
        <w:tag w:val="_GBC_33dac3baf6634fba91e3026ebaaad280"/>
        <w:id w:val="147458801"/>
        <w:placeholder>
          <w:docPart w:val="GBC22222222222222222222222222222"/>
        </w:placeholder>
      </w:sdtPr>
      <w:sdtEndPr>
        <w:rPr>
          <w:color w:val="000000" w:themeColor="text1"/>
          <w14:textFill>
            <w14:solidFill>
              <w14:schemeClr w14:val="tx1"/>
            </w14:solidFill>
          </w14:textFill>
        </w:rPr>
      </w:sdtEndPr>
      <w:sdtContent>
        <w:p w14:paraId="36F8A02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3B2C00E">
      <w:pPr>
        <w:rPr>
          <w:color w:val="000000" w:themeColor="text1"/>
          <w14:textFill>
            <w14:solidFill>
              <w14:schemeClr w14:val="tx1"/>
            </w14:solidFill>
          </w14:textFill>
        </w:rPr>
      </w:pPr>
    </w:p>
    <w:p w14:paraId="2AF36F85">
      <w:pPr>
        <w:pStyle w:val="56"/>
        <w:numPr>
          <w:ilvl w:val="0"/>
          <w:numId w:val="43"/>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财务报表</w:t>
      </w:r>
    </w:p>
    <w:p w14:paraId="2E8390EF">
      <w:pPr>
        <w:pStyle w:val="4"/>
        <w:jc w:val="center"/>
        <w:rPr>
          <w:rFonts w:ascii="宋体" w:hAnsi="宋体"/>
          <w:color w:val="000000" w:themeColor="text1"/>
          <w14:textFill>
            <w14:solidFill>
              <w14:schemeClr w14:val="tx1"/>
            </w14:solidFill>
          </w14:textFill>
        </w:rPr>
      </w:pPr>
      <w:bookmarkStart w:id="147" w:name="_Hlk10208794"/>
      <w:r>
        <w:rPr>
          <w:rFonts w:hint="eastAsia" w:ascii="宋体" w:hAnsi="宋体"/>
          <w:color w:val="000000" w:themeColor="text1"/>
          <w14:textFill>
            <w14:solidFill>
              <w14:schemeClr w14:val="tx1"/>
            </w14:solidFill>
          </w14:textFill>
        </w:rPr>
        <w:t>合并资产负债表</w:t>
      </w:r>
    </w:p>
    <w:p w14:paraId="1714FCE1">
      <w:pPr>
        <w:snapToGrid w:val="0"/>
        <w:spacing w:line="240" w:lineRule="atLeast"/>
        <w:jc w:val="center"/>
        <w:rPr>
          <w:b/>
          <w:color w:val="000000" w:themeColor="text1"/>
          <w14:textFill>
            <w14:solidFill>
              <w14:schemeClr w14:val="tx1"/>
            </w14:solidFill>
          </w14:textFill>
        </w:rPr>
      </w:pPr>
      <w:r>
        <w:rPr>
          <w:color w:val="000000" w:themeColor="text1"/>
          <w14:textFill>
            <w14:solidFill>
              <w14:schemeClr w14:val="tx1"/>
            </w14:solidFill>
          </w14:textFill>
        </w:rPr>
        <w:t>2025年6月30日</w:t>
      </w:r>
    </w:p>
    <w:p w14:paraId="0B6DBD83">
      <w:pPr>
        <w:rPr>
          <w:color w:val="000000" w:themeColor="text1"/>
          <w14:textFill>
            <w14:solidFill>
              <w14:schemeClr w14:val="tx1"/>
            </w14:solidFill>
          </w14:textFill>
        </w:rPr>
      </w:pPr>
      <w:r>
        <w:rPr>
          <w:color w:val="000000" w:themeColor="text1"/>
          <w14:textFill>
            <w14:solidFill>
              <w14:schemeClr w14:val="tx1"/>
            </w14:solidFill>
          </w14:textFill>
        </w:rPr>
        <w:t xml:space="preserve">编制单位： </w:t>
      </w:r>
      <w:sdt>
        <w:sdtPr>
          <w:rPr>
            <w:color w:val="000000" w:themeColor="text1"/>
            <w14:textFill>
              <w14:solidFill>
                <w14:schemeClr w14:val="tx1"/>
              </w14:solidFill>
            </w14:textFill>
          </w:rPr>
          <w:alias w:val="公司法定中文名称"/>
          <w:tag w:val="_GBC_76dae7aa62d842859c05c05e750163c2"/>
          <w:id w:val="147482702"/>
          <w:dataBinding w:prefixMappings="xmlns:clcid-cgi='clcid-cgi'" w:xpath="/*/clcid-cgi:GongSiFaDingZhongWenMingCheng[not(@periodRef)]" w:storeItemID="{89EBAB94-44A0-46A2-B712-30D997D04A6D}"/>
          <w:text/>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际华集团股份有限公司</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单位：</w:t>
      </w:r>
      <w:sdt>
        <w:sdtPr>
          <w:rPr>
            <w:color w:val="000000" w:themeColor="text1"/>
            <w14:textFill>
              <w14:solidFill>
                <w14:schemeClr w14:val="tx1"/>
              </w14:solidFill>
            </w14:textFill>
          </w:rPr>
          <w:alias w:val="单位：合并资产负债表"/>
          <w:tag w:val="_GBC_710dced47e5943589779e071c78c5512"/>
          <w:id w:val="147456412"/>
          <w:comboBox>
            <w:listItem w:displayText="元" w:value="1"/>
            <w:listItem w:displayText="千元" w:value="1000"/>
            <w:listItem w:displayText="万元" w:value="10000"/>
            <w:listItem w:displayText="百万元" w:value="1000000"/>
            <w:listItem w:displayText="亿元" w:value="100000000"/>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color w:val="000000" w:themeColor="text1"/>
          <w14:textFill>
            <w14:solidFill>
              <w14:schemeClr w14:val="tx1"/>
            </w14:solidFill>
          </w14:textFill>
        </w:rPr>
        <w:t xml:space="preserve">  币种：</w:t>
      </w:r>
      <w:sdt>
        <w:sdtPr>
          <w:rPr>
            <w:color w:val="000000" w:themeColor="text1"/>
            <w14:textFill>
              <w14:solidFill>
                <w14:schemeClr w14:val="tx1"/>
              </w14:solidFill>
            </w14:textFill>
          </w:rPr>
          <w:alias w:val="币种：合并资产负债表"/>
          <w:tag w:val="_GBC_7e2679155b104d33ba04158c7414bcff"/>
          <w:id w:val="14748142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人民币</w:t>
          </w:r>
        </w:sdtContent>
      </w:sdt>
    </w:p>
    <w:tbl>
      <w:tblPr>
        <w:tblStyle w:val="37"/>
        <w:tblW w:w="4992"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064"/>
        <w:gridCol w:w="875"/>
        <w:gridCol w:w="2036"/>
        <w:gridCol w:w="2060"/>
      </w:tblGrid>
      <w:tr w14:paraId="25863A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sdt>
          <w:sdtPr>
            <w:rPr>
              <w:rFonts w:cs="Times New Roman"/>
            </w:rPr>
            <w:tag w:val="_PLD_1d3f74748a444e6ea0d191e81e54edca"/>
            <w:id w:val="147468265"/>
          </w:sdtPr>
          <w:sdtEndPr>
            <w:rPr>
              <w:rFonts w:cs="Times New Roman"/>
            </w:rPr>
          </w:sdtEndPr>
          <w:sdtContent>
            <w:tc>
              <w:tcPr>
                <w:tcW w:w="2249" w:type="pct"/>
                <w:tcBorders>
                  <w:top w:val="outset" w:color="auto" w:sz="6" w:space="0"/>
                  <w:left w:val="outset" w:color="auto" w:sz="6" w:space="0"/>
                  <w:bottom w:val="outset" w:color="auto" w:sz="6" w:space="0"/>
                  <w:right w:val="outset" w:color="auto" w:sz="6" w:space="0"/>
                </w:tcBorders>
                <w:vAlign w:val="center"/>
              </w:tcPr>
              <w:p w14:paraId="16699505">
                <w:pPr>
                  <w:jc w:val="center"/>
                  <w:rPr>
                    <w:rFonts w:cs="Times New Roman"/>
                    <w:b/>
                    <w:color w:val="000000" w:themeColor="text1"/>
                    <w14:textFill>
                      <w14:solidFill>
                        <w14:schemeClr w14:val="tx1"/>
                      </w14:solidFill>
                    </w14:textFill>
                  </w:rPr>
                </w:pPr>
                <w:bookmarkStart w:id="148" w:name="_Hlk137046697"/>
                <w:r>
                  <w:rPr>
                    <w:rFonts w:cs="Times New Roman"/>
                    <w:b/>
                    <w:color w:val="000000" w:themeColor="text1"/>
                    <w14:textFill>
                      <w14:solidFill>
                        <w14:schemeClr w14:val="tx1"/>
                      </w14:solidFill>
                    </w14:textFill>
                  </w:rPr>
                  <w:t>项目</w:t>
                </w:r>
              </w:p>
            </w:tc>
          </w:sdtContent>
        </w:sdt>
        <w:sdt>
          <w:sdtPr>
            <w:rPr>
              <w:rFonts w:cs="Times New Roman"/>
            </w:rPr>
            <w:tag w:val="_PLD_da216b439a53487e85f12225916c5563"/>
            <w:id w:val="147473737"/>
          </w:sdtPr>
          <w:sdtEndPr>
            <w:rPr>
              <w:rFonts w:cs="Times New Roman"/>
            </w:rPr>
          </w:sdtEndPr>
          <w:sdtContent>
            <w:tc>
              <w:tcPr>
                <w:tcW w:w="484" w:type="pct"/>
                <w:tcBorders>
                  <w:top w:val="outset" w:color="auto" w:sz="6" w:space="0"/>
                  <w:left w:val="outset" w:color="auto" w:sz="6" w:space="0"/>
                  <w:bottom w:val="outset" w:color="auto" w:sz="6" w:space="0"/>
                  <w:right w:val="outset" w:color="auto" w:sz="6" w:space="0"/>
                </w:tcBorders>
                <w:vAlign w:val="center"/>
              </w:tcPr>
              <w:p w14:paraId="12DFC594">
                <w:pPr>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附注</w:t>
                </w:r>
              </w:p>
            </w:tc>
          </w:sdtContent>
        </w:sdt>
        <w:sdt>
          <w:sdtPr>
            <w:rPr>
              <w:rFonts w:cs="Times New Roman"/>
            </w:rPr>
            <w:tag w:val="_PLD_21df1d74f3114abf83688ef31bc4d9a7"/>
            <w:id w:val="147481279"/>
          </w:sdtPr>
          <w:sdtEndPr>
            <w:rPr>
              <w:rFonts w:cs="Times New Roman"/>
            </w:rPr>
          </w:sdtEndPr>
          <w:sdtContent>
            <w:tc>
              <w:tcPr>
                <w:tcW w:w="1127" w:type="pct"/>
                <w:tcBorders>
                  <w:top w:val="outset" w:color="auto" w:sz="6" w:space="0"/>
                  <w:left w:val="outset" w:color="auto" w:sz="6" w:space="0"/>
                  <w:bottom w:val="outset" w:color="auto" w:sz="6" w:space="0"/>
                  <w:right w:val="outset" w:color="auto" w:sz="6" w:space="0"/>
                </w:tcBorders>
                <w:vAlign w:val="center"/>
              </w:tcPr>
              <w:p w14:paraId="2C2925B1">
                <w:pPr>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2025年6月30日</w:t>
                </w:r>
              </w:p>
            </w:tc>
          </w:sdtContent>
        </w:sdt>
        <w:sdt>
          <w:sdtPr>
            <w:rPr>
              <w:rFonts w:cs="Times New Roman"/>
            </w:rPr>
            <w:tag w:val="_PLD_d92c936206d34a64b4b2139999e7311b"/>
            <w:id w:val="147473516"/>
          </w:sdtPr>
          <w:sdtEndPr>
            <w:rPr>
              <w:rFonts w:cs="Times New Roman"/>
            </w:rPr>
          </w:sdtEndPr>
          <w:sdtContent>
            <w:tc>
              <w:tcPr>
                <w:tcW w:w="1140" w:type="pct"/>
                <w:tcBorders>
                  <w:top w:val="outset" w:color="auto" w:sz="6" w:space="0"/>
                  <w:left w:val="outset" w:color="auto" w:sz="6" w:space="0"/>
                  <w:bottom w:val="outset" w:color="auto" w:sz="6" w:space="0"/>
                  <w:right w:val="outset" w:color="auto" w:sz="6" w:space="0"/>
                </w:tcBorders>
                <w:vAlign w:val="center"/>
              </w:tcPr>
              <w:p w14:paraId="3AE24F36">
                <w:pPr>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2024年12月31日</w:t>
                </w:r>
              </w:p>
            </w:tc>
          </w:sdtContent>
        </w:sdt>
      </w:tr>
      <w:tr w14:paraId="239B17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cs="Times New Roman"/>
            </w:rPr>
            <w:tag w:val="_PLD_c47a329e79ad491ca413bdaf35b1f19b"/>
            <w:id w:val="147470543"/>
          </w:sdtPr>
          <w:sdtEndPr>
            <w:rPr>
              <w:rFonts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0FC02D19">
                <w:pP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流动资产：</w:t>
                </w:r>
              </w:p>
            </w:tc>
          </w:sdtContent>
        </w:sdt>
      </w:tr>
      <w:tr w14:paraId="5733DF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1F54CCF1">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货币资金</w:t>
            </w:r>
          </w:p>
        </w:tc>
        <w:tc>
          <w:tcPr>
            <w:tcW w:w="484" w:type="pct"/>
            <w:tcBorders>
              <w:top w:val="outset" w:color="auto" w:sz="6" w:space="0"/>
              <w:left w:val="outset" w:color="auto" w:sz="6" w:space="0"/>
              <w:bottom w:val="outset" w:color="auto" w:sz="6" w:space="0"/>
              <w:right w:val="outset" w:color="auto" w:sz="6" w:space="0"/>
            </w:tcBorders>
            <w:vAlign w:val="center"/>
          </w:tcPr>
          <w:p w14:paraId="34D53B5C">
            <w:pPr>
              <w:jc w:val="center"/>
              <w:rPr>
                <w:rFonts w:cs="Times New Roman"/>
              </w:rPr>
            </w:pPr>
            <w:r>
              <w:rPr>
                <w:rFonts w:cs="Times New Roman"/>
              </w:rPr>
              <w:t>七、1</w:t>
            </w:r>
          </w:p>
        </w:tc>
        <w:tc>
          <w:tcPr>
            <w:tcW w:w="1127" w:type="pct"/>
            <w:tcBorders>
              <w:top w:val="outset" w:color="auto" w:sz="6" w:space="0"/>
              <w:left w:val="outset" w:color="auto" w:sz="6" w:space="0"/>
              <w:bottom w:val="outset" w:color="auto" w:sz="6" w:space="0"/>
              <w:right w:val="outset" w:color="auto" w:sz="6" w:space="0"/>
            </w:tcBorders>
            <w:vAlign w:val="bottom"/>
          </w:tcPr>
          <w:p w14:paraId="746B0ADB">
            <w:pPr>
              <w:jc w:val="right"/>
              <w:textAlignment w:val="bottom"/>
              <w:rPr>
                <w:rFonts w:cs="Times New Roman"/>
              </w:rPr>
            </w:pPr>
            <w:r>
              <w:rPr>
                <w:rFonts w:eastAsia="Arial Narrow" w:cs="Times New Roman"/>
                <w:color w:val="000000"/>
                <w:lang w:bidi="ar"/>
              </w:rPr>
              <w:t>6,027,121,072.12</w:t>
            </w:r>
          </w:p>
        </w:tc>
        <w:tc>
          <w:tcPr>
            <w:tcW w:w="1140" w:type="pct"/>
            <w:tcBorders>
              <w:top w:val="outset" w:color="auto" w:sz="6" w:space="0"/>
              <w:left w:val="outset" w:color="auto" w:sz="6" w:space="0"/>
              <w:bottom w:val="outset" w:color="auto" w:sz="6" w:space="0"/>
              <w:right w:val="outset" w:color="auto" w:sz="6" w:space="0"/>
            </w:tcBorders>
            <w:vAlign w:val="bottom"/>
          </w:tcPr>
          <w:p w14:paraId="3C034E7A">
            <w:pPr>
              <w:jc w:val="right"/>
              <w:textAlignment w:val="bottom"/>
              <w:rPr>
                <w:rFonts w:cs="Times New Roman"/>
              </w:rPr>
            </w:pPr>
            <w:r>
              <w:rPr>
                <w:rFonts w:eastAsia="Arial Narrow" w:cs="Times New Roman"/>
                <w:color w:val="000000"/>
                <w:lang w:bidi="ar"/>
              </w:rPr>
              <w:t>5,606,201,041.01</w:t>
            </w:r>
          </w:p>
        </w:tc>
      </w:tr>
      <w:tr w14:paraId="3396D6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234CD20B">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交易性金融资产</w:t>
            </w:r>
          </w:p>
        </w:tc>
        <w:tc>
          <w:tcPr>
            <w:tcW w:w="484" w:type="pct"/>
            <w:tcBorders>
              <w:top w:val="outset" w:color="auto" w:sz="6" w:space="0"/>
              <w:left w:val="outset" w:color="auto" w:sz="6" w:space="0"/>
              <w:bottom w:val="outset" w:color="auto" w:sz="6" w:space="0"/>
              <w:right w:val="outset" w:color="auto" w:sz="6" w:space="0"/>
            </w:tcBorders>
            <w:vAlign w:val="center"/>
          </w:tcPr>
          <w:p w14:paraId="08152072">
            <w:pPr>
              <w:jc w:val="center"/>
              <w:rPr>
                <w:rFonts w:cs="Times New Roman"/>
              </w:rPr>
            </w:pPr>
            <w:r>
              <w:rPr>
                <w:rFonts w:cs="Times New Roman"/>
              </w:rPr>
              <w:t>七、2</w:t>
            </w:r>
          </w:p>
        </w:tc>
        <w:tc>
          <w:tcPr>
            <w:tcW w:w="1127" w:type="pct"/>
            <w:tcBorders>
              <w:top w:val="outset" w:color="auto" w:sz="6" w:space="0"/>
              <w:left w:val="outset" w:color="auto" w:sz="6" w:space="0"/>
              <w:bottom w:val="outset" w:color="auto" w:sz="6" w:space="0"/>
              <w:right w:val="outset" w:color="auto" w:sz="6" w:space="0"/>
            </w:tcBorders>
            <w:vAlign w:val="bottom"/>
          </w:tcPr>
          <w:p w14:paraId="069FA4EF">
            <w:pPr>
              <w:jc w:val="right"/>
              <w:textAlignment w:val="bottom"/>
              <w:rPr>
                <w:rFonts w:cs="Times New Roman"/>
              </w:rPr>
            </w:pPr>
            <w:r>
              <w:rPr>
                <w:rFonts w:eastAsia="Arial Narrow" w:cs="Times New Roman"/>
                <w:color w:val="000000"/>
                <w:lang w:bidi="ar"/>
              </w:rPr>
              <w:t>630,009.80</w:t>
            </w:r>
          </w:p>
        </w:tc>
        <w:tc>
          <w:tcPr>
            <w:tcW w:w="1140" w:type="pct"/>
            <w:tcBorders>
              <w:top w:val="outset" w:color="auto" w:sz="6" w:space="0"/>
              <w:left w:val="outset" w:color="auto" w:sz="6" w:space="0"/>
              <w:bottom w:val="outset" w:color="auto" w:sz="6" w:space="0"/>
              <w:right w:val="outset" w:color="auto" w:sz="6" w:space="0"/>
            </w:tcBorders>
            <w:vAlign w:val="bottom"/>
          </w:tcPr>
          <w:p w14:paraId="78314703">
            <w:pPr>
              <w:jc w:val="right"/>
              <w:textAlignment w:val="bottom"/>
              <w:rPr>
                <w:rFonts w:cs="Times New Roman"/>
              </w:rPr>
            </w:pPr>
            <w:r>
              <w:rPr>
                <w:rFonts w:eastAsia="Arial Narrow" w:cs="Times New Roman"/>
                <w:color w:val="000000"/>
                <w:lang w:bidi="ar"/>
              </w:rPr>
              <w:t>630,009.80</w:t>
            </w:r>
          </w:p>
        </w:tc>
      </w:tr>
      <w:tr w14:paraId="0DF7D0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23F9EF87">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应收票据</w:t>
            </w:r>
          </w:p>
        </w:tc>
        <w:tc>
          <w:tcPr>
            <w:tcW w:w="484" w:type="pct"/>
            <w:tcBorders>
              <w:top w:val="outset" w:color="auto" w:sz="6" w:space="0"/>
              <w:left w:val="outset" w:color="auto" w:sz="6" w:space="0"/>
              <w:bottom w:val="outset" w:color="auto" w:sz="6" w:space="0"/>
              <w:right w:val="outset" w:color="auto" w:sz="6" w:space="0"/>
            </w:tcBorders>
            <w:vAlign w:val="center"/>
          </w:tcPr>
          <w:p w14:paraId="6A732524">
            <w:pPr>
              <w:jc w:val="center"/>
              <w:rPr>
                <w:rFonts w:cs="Times New Roman"/>
              </w:rPr>
            </w:pPr>
            <w:r>
              <w:rPr>
                <w:rFonts w:cs="Times New Roman"/>
              </w:rPr>
              <w:t>七、4</w:t>
            </w:r>
          </w:p>
        </w:tc>
        <w:tc>
          <w:tcPr>
            <w:tcW w:w="1127" w:type="pct"/>
            <w:tcBorders>
              <w:top w:val="outset" w:color="auto" w:sz="6" w:space="0"/>
              <w:left w:val="outset" w:color="auto" w:sz="6" w:space="0"/>
              <w:bottom w:val="outset" w:color="auto" w:sz="6" w:space="0"/>
              <w:right w:val="outset" w:color="auto" w:sz="6" w:space="0"/>
            </w:tcBorders>
            <w:vAlign w:val="bottom"/>
          </w:tcPr>
          <w:p w14:paraId="3469B467">
            <w:pPr>
              <w:jc w:val="right"/>
              <w:textAlignment w:val="bottom"/>
              <w:rPr>
                <w:rFonts w:cs="Times New Roman"/>
              </w:rPr>
            </w:pPr>
            <w:r>
              <w:rPr>
                <w:rFonts w:eastAsia="Arial Narrow" w:cs="Times New Roman"/>
                <w:color w:val="000000"/>
                <w:lang w:bidi="ar"/>
              </w:rPr>
              <w:t>49,330,453.03</w:t>
            </w:r>
          </w:p>
        </w:tc>
        <w:tc>
          <w:tcPr>
            <w:tcW w:w="1140" w:type="pct"/>
            <w:tcBorders>
              <w:top w:val="outset" w:color="auto" w:sz="6" w:space="0"/>
              <w:left w:val="outset" w:color="auto" w:sz="6" w:space="0"/>
              <w:bottom w:val="outset" w:color="auto" w:sz="6" w:space="0"/>
              <w:right w:val="outset" w:color="auto" w:sz="6" w:space="0"/>
            </w:tcBorders>
            <w:vAlign w:val="bottom"/>
          </w:tcPr>
          <w:p w14:paraId="533CF59C">
            <w:pPr>
              <w:jc w:val="right"/>
              <w:textAlignment w:val="bottom"/>
              <w:rPr>
                <w:rFonts w:cs="Times New Roman"/>
              </w:rPr>
            </w:pPr>
            <w:r>
              <w:rPr>
                <w:rFonts w:eastAsia="Arial Narrow" w:cs="Times New Roman"/>
                <w:color w:val="000000"/>
                <w:lang w:bidi="ar"/>
              </w:rPr>
              <w:t>64,988,181.85</w:t>
            </w:r>
          </w:p>
        </w:tc>
      </w:tr>
      <w:tr w14:paraId="5DAB87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0426190A">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应收账款</w:t>
            </w:r>
          </w:p>
        </w:tc>
        <w:tc>
          <w:tcPr>
            <w:tcW w:w="484" w:type="pct"/>
            <w:tcBorders>
              <w:top w:val="outset" w:color="auto" w:sz="6" w:space="0"/>
              <w:left w:val="outset" w:color="auto" w:sz="6" w:space="0"/>
              <w:bottom w:val="outset" w:color="auto" w:sz="6" w:space="0"/>
              <w:right w:val="outset" w:color="auto" w:sz="6" w:space="0"/>
            </w:tcBorders>
            <w:vAlign w:val="center"/>
          </w:tcPr>
          <w:p w14:paraId="081552B4">
            <w:pPr>
              <w:jc w:val="center"/>
              <w:rPr>
                <w:rFonts w:cs="Times New Roman"/>
              </w:rPr>
            </w:pPr>
            <w:r>
              <w:rPr>
                <w:rFonts w:cs="Times New Roman"/>
              </w:rPr>
              <w:t>七、5</w:t>
            </w:r>
          </w:p>
        </w:tc>
        <w:tc>
          <w:tcPr>
            <w:tcW w:w="1127" w:type="pct"/>
            <w:tcBorders>
              <w:top w:val="outset" w:color="auto" w:sz="6" w:space="0"/>
              <w:left w:val="outset" w:color="auto" w:sz="6" w:space="0"/>
              <w:bottom w:val="outset" w:color="auto" w:sz="6" w:space="0"/>
              <w:right w:val="outset" w:color="auto" w:sz="6" w:space="0"/>
            </w:tcBorders>
            <w:vAlign w:val="bottom"/>
          </w:tcPr>
          <w:p w14:paraId="4D112091">
            <w:pPr>
              <w:jc w:val="right"/>
              <w:textAlignment w:val="bottom"/>
              <w:rPr>
                <w:rFonts w:cs="Times New Roman"/>
              </w:rPr>
            </w:pPr>
            <w:r>
              <w:rPr>
                <w:rFonts w:eastAsia="Arial Narrow" w:cs="Times New Roman"/>
                <w:color w:val="000000"/>
                <w:lang w:bidi="ar"/>
              </w:rPr>
              <w:t>3,057,512,231.83</w:t>
            </w:r>
          </w:p>
        </w:tc>
        <w:tc>
          <w:tcPr>
            <w:tcW w:w="1140" w:type="pct"/>
            <w:tcBorders>
              <w:top w:val="outset" w:color="auto" w:sz="6" w:space="0"/>
              <w:left w:val="outset" w:color="auto" w:sz="6" w:space="0"/>
              <w:bottom w:val="outset" w:color="auto" w:sz="6" w:space="0"/>
              <w:right w:val="outset" w:color="auto" w:sz="6" w:space="0"/>
            </w:tcBorders>
            <w:vAlign w:val="bottom"/>
          </w:tcPr>
          <w:p w14:paraId="6F249D49">
            <w:pPr>
              <w:jc w:val="right"/>
              <w:textAlignment w:val="bottom"/>
              <w:rPr>
                <w:rFonts w:cs="Times New Roman"/>
              </w:rPr>
            </w:pPr>
            <w:r>
              <w:rPr>
                <w:rFonts w:eastAsia="Arial Narrow" w:cs="Times New Roman"/>
                <w:color w:val="000000"/>
                <w:lang w:bidi="ar"/>
              </w:rPr>
              <w:t>2,920,664,477.47</w:t>
            </w:r>
          </w:p>
        </w:tc>
      </w:tr>
      <w:tr w14:paraId="7AE3F7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11C1D0FC">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应收款项融资</w:t>
            </w:r>
          </w:p>
        </w:tc>
        <w:tc>
          <w:tcPr>
            <w:tcW w:w="484" w:type="pct"/>
            <w:tcBorders>
              <w:top w:val="outset" w:color="auto" w:sz="6" w:space="0"/>
              <w:left w:val="outset" w:color="auto" w:sz="6" w:space="0"/>
              <w:bottom w:val="outset" w:color="auto" w:sz="6" w:space="0"/>
              <w:right w:val="outset" w:color="auto" w:sz="6" w:space="0"/>
            </w:tcBorders>
            <w:vAlign w:val="center"/>
          </w:tcPr>
          <w:p w14:paraId="7B36E401">
            <w:pPr>
              <w:jc w:val="center"/>
              <w:rPr>
                <w:rFonts w:cs="Times New Roman"/>
              </w:rPr>
            </w:pPr>
            <w:r>
              <w:rPr>
                <w:rFonts w:cs="Times New Roman"/>
              </w:rPr>
              <w:t>七、7</w:t>
            </w:r>
          </w:p>
        </w:tc>
        <w:tc>
          <w:tcPr>
            <w:tcW w:w="1127" w:type="pct"/>
            <w:tcBorders>
              <w:top w:val="outset" w:color="auto" w:sz="6" w:space="0"/>
              <w:left w:val="outset" w:color="auto" w:sz="6" w:space="0"/>
              <w:bottom w:val="outset" w:color="auto" w:sz="6" w:space="0"/>
              <w:right w:val="outset" w:color="auto" w:sz="6" w:space="0"/>
            </w:tcBorders>
            <w:vAlign w:val="center"/>
          </w:tcPr>
          <w:p w14:paraId="684557B0">
            <w:pPr>
              <w:jc w:val="right"/>
              <w:textAlignment w:val="center"/>
              <w:rPr>
                <w:rFonts w:cs="Times New Roman"/>
              </w:rPr>
            </w:pPr>
            <w:r>
              <w:rPr>
                <w:rFonts w:eastAsia="Arial Narrow" w:cs="Times New Roman"/>
                <w:color w:val="000000"/>
                <w:lang w:bidi="ar"/>
              </w:rPr>
              <w:t>70,905,863.88</w:t>
            </w:r>
          </w:p>
        </w:tc>
        <w:tc>
          <w:tcPr>
            <w:tcW w:w="1140" w:type="pct"/>
            <w:tcBorders>
              <w:top w:val="outset" w:color="auto" w:sz="6" w:space="0"/>
              <w:left w:val="outset" w:color="auto" w:sz="6" w:space="0"/>
              <w:bottom w:val="outset" w:color="auto" w:sz="6" w:space="0"/>
              <w:right w:val="outset" w:color="auto" w:sz="6" w:space="0"/>
            </w:tcBorders>
            <w:vAlign w:val="center"/>
          </w:tcPr>
          <w:p w14:paraId="620A40BC">
            <w:pPr>
              <w:jc w:val="right"/>
              <w:textAlignment w:val="center"/>
              <w:rPr>
                <w:rFonts w:cs="Times New Roman"/>
              </w:rPr>
            </w:pPr>
            <w:r>
              <w:rPr>
                <w:rFonts w:eastAsia="Arial Narrow" w:cs="Times New Roman"/>
                <w:color w:val="000000"/>
                <w:lang w:bidi="ar"/>
              </w:rPr>
              <w:t>20,627,331.54</w:t>
            </w:r>
          </w:p>
        </w:tc>
      </w:tr>
      <w:tr w14:paraId="58E950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5B785CC1">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预付款项</w:t>
            </w:r>
          </w:p>
        </w:tc>
        <w:tc>
          <w:tcPr>
            <w:tcW w:w="484" w:type="pct"/>
            <w:tcBorders>
              <w:top w:val="outset" w:color="auto" w:sz="6" w:space="0"/>
              <w:left w:val="outset" w:color="auto" w:sz="6" w:space="0"/>
              <w:bottom w:val="outset" w:color="auto" w:sz="6" w:space="0"/>
              <w:right w:val="outset" w:color="auto" w:sz="6" w:space="0"/>
            </w:tcBorders>
            <w:vAlign w:val="center"/>
          </w:tcPr>
          <w:p w14:paraId="21BC7D6E">
            <w:pPr>
              <w:jc w:val="center"/>
              <w:rPr>
                <w:rFonts w:cs="Times New Roman"/>
              </w:rPr>
            </w:pPr>
            <w:r>
              <w:rPr>
                <w:rFonts w:cs="Times New Roman"/>
              </w:rPr>
              <w:t>七、8</w:t>
            </w:r>
          </w:p>
        </w:tc>
        <w:tc>
          <w:tcPr>
            <w:tcW w:w="1127" w:type="pct"/>
            <w:tcBorders>
              <w:top w:val="outset" w:color="auto" w:sz="6" w:space="0"/>
              <w:left w:val="outset" w:color="auto" w:sz="6" w:space="0"/>
              <w:bottom w:val="outset" w:color="auto" w:sz="6" w:space="0"/>
              <w:right w:val="outset" w:color="auto" w:sz="6" w:space="0"/>
            </w:tcBorders>
            <w:vAlign w:val="bottom"/>
          </w:tcPr>
          <w:p w14:paraId="0450B390">
            <w:pPr>
              <w:jc w:val="right"/>
              <w:textAlignment w:val="bottom"/>
              <w:rPr>
                <w:rFonts w:cs="Times New Roman"/>
              </w:rPr>
            </w:pPr>
            <w:r>
              <w:rPr>
                <w:rFonts w:eastAsia="Arial Narrow" w:cs="Times New Roman"/>
                <w:color w:val="000000"/>
                <w:lang w:bidi="ar"/>
              </w:rPr>
              <w:t>118,654,650.84</w:t>
            </w:r>
          </w:p>
        </w:tc>
        <w:tc>
          <w:tcPr>
            <w:tcW w:w="1140" w:type="pct"/>
            <w:tcBorders>
              <w:top w:val="outset" w:color="auto" w:sz="6" w:space="0"/>
              <w:left w:val="outset" w:color="auto" w:sz="6" w:space="0"/>
              <w:bottom w:val="outset" w:color="auto" w:sz="6" w:space="0"/>
              <w:right w:val="outset" w:color="auto" w:sz="6" w:space="0"/>
            </w:tcBorders>
            <w:vAlign w:val="bottom"/>
          </w:tcPr>
          <w:p w14:paraId="63E1E87F">
            <w:pPr>
              <w:jc w:val="right"/>
              <w:textAlignment w:val="bottom"/>
              <w:rPr>
                <w:rFonts w:cs="Times New Roman"/>
              </w:rPr>
            </w:pPr>
            <w:r>
              <w:rPr>
                <w:rFonts w:eastAsia="Arial Narrow" w:cs="Times New Roman"/>
                <w:color w:val="000000"/>
                <w:lang w:bidi="ar"/>
              </w:rPr>
              <w:t>146,724,980.87</w:t>
            </w:r>
          </w:p>
        </w:tc>
      </w:tr>
      <w:tr w14:paraId="3182C2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53D3DBE8">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其他应收款</w:t>
            </w:r>
          </w:p>
        </w:tc>
        <w:tc>
          <w:tcPr>
            <w:tcW w:w="484" w:type="pct"/>
            <w:tcBorders>
              <w:top w:val="outset" w:color="auto" w:sz="6" w:space="0"/>
              <w:left w:val="outset" w:color="auto" w:sz="6" w:space="0"/>
              <w:bottom w:val="outset" w:color="auto" w:sz="6" w:space="0"/>
              <w:right w:val="outset" w:color="auto" w:sz="6" w:space="0"/>
            </w:tcBorders>
            <w:vAlign w:val="center"/>
          </w:tcPr>
          <w:p w14:paraId="2933FA50">
            <w:pPr>
              <w:jc w:val="center"/>
              <w:rPr>
                <w:rFonts w:cs="Times New Roman"/>
              </w:rPr>
            </w:pPr>
            <w:r>
              <w:rPr>
                <w:rFonts w:cs="Times New Roman"/>
              </w:rPr>
              <w:t>七、9</w:t>
            </w:r>
          </w:p>
        </w:tc>
        <w:tc>
          <w:tcPr>
            <w:tcW w:w="1127" w:type="pct"/>
            <w:tcBorders>
              <w:top w:val="outset" w:color="auto" w:sz="6" w:space="0"/>
              <w:left w:val="outset" w:color="auto" w:sz="6" w:space="0"/>
              <w:bottom w:val="outset" w:color="auto" w:sz="6" w:space="0"/>
              <w:right w:val="outset" w:color="auto" w:sz="6" w:space="0"/>
            </w:tcBorders>
            <w:vAlign w:val="bottom"/>
          </w:tcPr>
          <w:p w14:paraId="25DE1EF9">
            <w:pPr>
              <w:jc w:val="right"/>
              <w:textAlignment w:val="bottom"/>
              <w:rPr>
                <w:rFonts w:cs="Times New Roman"/>
              </w:rPr>
            </w:pPr>
            <w:r>
              <w:rPr>
                <w:rFonts w:eastAsia="Arial Narrow" w:cs="Times New Roman"/>
                <w:color w:val="000000"/>
                <w:lang w:bidi="ar"/>
              </w:rPr>
              <w:t>672,234,897.43</w:t>
            </w:r>
          </w:p>
        </w:tc>
        <w:tc>
          <w:tcPr>
            <w:tcW w:w="1140" w:type="pct"/>
            <w:tcBorders>
              <w:top w:val="outset" w:color="auto" w:sz="6" w:space="0"/>
              <w:left w:val="outset" w:color="auto" w:sz="6" w:space="0"/>
              <w:bottom w:val="outset" w:color="auto" w:sz="6" w:space="0"/>
              <w:right w:val="outset" w:color="auto" w:sz="6" w:space="0"/>
            </w:tcBorders>
            <w:vAlign w:val="bottom"/>
          </w:tcPr>
          <w:p w14:paraId="213D64D4">
            <w:pPr>
              <w:jc w:val="right"/>
              <w:textAlignment w:val="bottom"/>
              <w:rPr>
                <w:rFonts w:cs="Times New Roman"/>
              </w:rPr>
            </w:pPr>
            <w:r>
              <w:rPr>
                <w:rFonts w:eastAsia="Arial Narrow" w:cs="Times New Roman"/>
                <w:color w:val="000000"/>
                <w:lang w:bidi="ar"/>
              </w:rPr>
              <w:t>644,572,849.98</w:t>
            </w:r>
          </w:p>
        </w:tc>
      </w:tr>
      <w:tr w14:paraId="6A1880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1B6A8C47">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其中：应收利息</w:t>
            </w:r>
          </w:p>
        </w:tc>
        <w:tc>
          <w:tcPr>
            <w:tcW w:w="484" w:type="pct"/>
            <w:tcBorders>
              <w:top w:val="outset" w:color="auto" w:sz="6" w:space="0"/>
              <w:left w:val="outset" w:color="auto" w:sz="6" w:space="0"/>
              <w:bottom w:val="outset" w:color="auto" w:sz="6" w:space="0"/>
              <w:right w:val="outset" w:color="auto" w:sz="6" w:space="0"/>
            </w:tcBorders>
            <w:vAlign w:val="center"/>
          </w:tcPr>
          <w:p w14:paraId="68370D7B">
            <w:pPr>
              <w:jc w:val="center"/>
              <w:rPr>
                <w:rFonts w:cs="Times New Roman"/>
              </w:rPr>
            </w:pPr>
            <w:r>
              <w:rPr>
                <w:rFonts w:cs="Times New Roman"/>
              </w:rPr>
              <w:t>七、9</w:t>
            </w:r>
          </w:p>
        </w:tc>
        <w:tc>
          <w:tcPr>
            <w:tcW w:w="1127" w:type="pct"/>
            <w:tcBorders>
              <w:top w:val="outset" w:color="auto" w:sz="6" w:space="0"/>
              <w:left w:val="outset" w:color="auto" w:sz="6" w:space="0"/>
              <w:bottom w:val="outset" w:color="auto" w:sz="6" w:space="0"/>
              <w:right w:val="outset" w:color="auto" w:sz="6" w:space="0"/>
            </w:tcBorders>
            <w:vAlign w:val="bottom"/>
          </w:tcPr>
          <w:p w14:paraId="7526AF6C">
            <w:pPr>
              <w:jc w:val="right"/>
              <w:rPr>
                <w:rFonts w:cs="Times New Roman"/>
              </w:rPr>
            </w:pPr>
          </w:p>
        </w:tc>
        <w:tc>
          <w:tcPr>
            <w:tcW w:w="1140" w:type="pct"/>
            <w:tcBorders>
              <w:top w:val="outset" w:color="auto" w:sz="6" w:space="0"/>
              <w:left w:val="outset" w:color="auto" w:sz="6" w:space="0"/>
              <w:bottom w:val="outset" w:color="auto" w:sz="6" w:space="0"/>
              <w:right w:val="outset" w:color="auto" w:sz="6" w:space="0"/>
            </w:tcBorders>
            <w:vAlign w:val="bottom"/>
          </w:tcPr>
          <w:p w14:paraId="466A6FD3">
            <w:pPr>
              <w:jc w:val="right"/>
              <w:rPr>
                <w:rFonts w:cs="Times New Roman"/>
              </w:rPr>
            </w:pPr>
          </w:p>
        </w:tc>
      </w:tr>
      <w:tr w14:paraId="02E4F9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5DB6652E">
            <w:pPr>
              <w:ind w:firstLine="840" w:firstLineChars="4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应收股利</w:t>
            </w:r>
          </w:p>
        </w:tc>
        <w:tc>
          <w:tcPr>
            <w:tcW w:w="484" w:type="pct"/>
            <w:tcBorders>
              <w:top w:val="outset" w:color="auto" w:sz="6" w:space="0"/>
              <w:left w:val="outset" w:color="auto" w:sz="6" w:space="0"/>
              <w:bottom w:val="outset" w:color="auto" w:sz="6" w:space="0"/>
              <w:right w:val="outset" w:color="auto" w:sz="6" w:space="0"/>
            </w:tcBorders>
            <w:vAlign w:val="center"/>
          </w:tcPr>
          <w:p w14:paraId="0C3BCE09">
            <w:pPr>
              <w:jc w:val="center"/>
              <w:rPr>
                <w:rFonts w:cs="Times New Roman"/>
              </w:rPr>
            </w:pPr>
            <w:r>
              <w:rPr>
                <w:rFonts w:cs="Times New Roman"/>
              </w:rPr>
              <w:t>七、9</w:t>
            </w:r>
          </w:p>
        </w:tc>
        <w:tc>
          <w:tcPr>
            <w:tcW w:w="1127" w:type="pct"/>
            <w:tcBorders>
              <w:top w:val="outset" w:color="auto" w:sz="6" w:space="0"/>
              <w:left w:val="outset" w:color="auto" w:sz="6" w:space="0"/>
              <w:bottom w:val="outset" w:color="auto" w:sz="6" w:space="0"/>
              <w:right w:val="outset" w:color="auto" w:sz="6" w:space="0"/>
            </w:tcBorders>
            <w:vAlign w:val="bottom"/>
          </w:tcPr>
          <w:p w14:paraId="0F4A8D30">
            <w:pPr>
              <w:jc w:val="right"/>
              <w:textAlignment w:val="bottom"/>
              <w:rPr>
                <w:rFonts w:cs="Times New Roman"/>
              </w:rPr>
            </w:pPr>
            <w:r>
              <w:rPr>
                <w:rFonts w:eastAsia="Arial Narrow" w:cs="Times New Roman"/>
                <w:color w:val="000000"/>
                <w:lang w:bidi="ar"/>
              </w:rPr>
              <w:t>52,107,547.75</w:t>
            </w:r>
          </w:p>
        </w:tc>
        <w:tc>
          <w:tcPr>
            <w:tcW w:w="1140" w:type="pct"/>
            <w:tcBorders>
              <w:top w:val="outset" w:color="auto" w:sz="6" w:space="0"/>
              <w:left w:val="outset" w:color="auto" w:sz="6" w:space="0"/>
              <w:bottom w:val="outset" w:color="auto" w:sz="6" w:space="0"/>
              <w:right w:val="outset" w:color="auto" w:sz="6" w:space="0"/>
            </w:tcBorders>
            <w:vAlign w:val="bottom"/>
          </w:tcPr>
          <w:p w14:paraId="4500B81E">
            <w:pPr>
              <w:jc w:val="right"/>
              <w:textAlignment w:val="bottom"/>
              <w:rPr>
                <w:rFonts w:cs="Times New Roman"/>
              </w:rPr>
            </w:pPr>
            <w:r>
              <w:rPr>
                <w:rFonts w:eastAsia="Arial Narrow" w:cs="Times New Roman"/>
                <w:color w:val="000000"/>
                <w:lang w:bidi="ar"/>
              </w:rPr>
              <w:t>52,107,547.75</w:t>
            </w:r>
          </w:p>
        </w:tc>
      </w:tr>
      <w:tr w14:paraId="2CF984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6C18B193">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存货</w:t>
            </w:r>
          </w:p>
        </w:tc>
        <w:tc>
          <w:tcPr>
            <w:tcW w:w="484" w:type="pct"/>
            <w:tcBorders>
              <w:top w:val="outset" w:color="auto" w:sz="6" w:space="0"/>
              <w:left w:val="outset" w:color="auto" w:sz="6" w:space="0"/>
              <w:bottom w:val="outset" w:color="auto" w:sz="6" w:space="0"/>
              <w:right w:val="outset" w:color="auto" w:sz="6" w:space="0"/>
            </w:tcBorders>
            <w:vAlign w:val="center"/>
          </w:tcPr>
          <w:p w14:paraId="356273A1">
            <w:pPr>
              <w:jc w:val="center"/>
              <w:rPr>
                <w:rFonts w:cs="Times New Roman"/>
              </w:rPr>
            </w:pPr>
            <w:r>
              <w:rPr>
                <w:rFonts w:cs="Times New Roman"/>
              </w:rPr>
              <w:t>七、10</w:t>
            </w:r>
          </w:p>
        </w:tc>
        <w:tc>
          <w:tcPr>
            <w:tcW w:w="1127" w:type="pct"/>
            <w:tcBorders>
              <w:top w:val="outset" w:color="auto" w:sz="6" w:space="0"/>
              <w:left w:val="outset" w:color="auto" w:sz="6" w:space="0"/>
              <w:bottom w:val="outset" w:color="auto" w:sz="6" w:space="0"/>
              <w:right w:val="outset" w:color="auto" w:sz="6" w:space="0"/>
            </w:tcBorders>
            <w:vAlign w:val="bottom"/>
          </w:tcPr>
          <w:p w14:paraId="637E5EB3">
            <w:pPr>
              <w:jc w:val="right"/>
              <w:textAlignment w:val="bottom"/>
              <w:rPr>
                <w:rFonts w:cs="Times New Roman"/>
              </w:rPr>
            </w:pPr>
            <w:r>
              <w:rPr>
                <w:rFonts w:eastAsia="Arial Narrow" w:cs="Times New Roman"/>
                <w:color w:val="000000"/>
                <w:lang w:bidi="ar"/>
              </w:rPr>
              <w:t>2,439,916,272.06</w:t>
            </w:r>
          </w:p>
        </w:tc>
        <w:tc>
          <w:tcPr>
            <w:tcW w:w="1140" w:type="pct"/>
            <w:tcBorders>
              <w:top w:val="outset" w:color="auto" w:sz="6" w:space="0"/>
              <w:left w:val="outset" w:color="auto" w:sz="6" w:space="0"/>
              <w:bottom w:val="outset" w:color="auto" w:sz="6" w:space="0"/>
              <w:right w:val="outset" w:color="auto" w:sz="6" w:space="0"/>
            </w:tcBorders>
            <w:vAlign w:val="bottom"/>
          </w:tcPr>
          <w:p w14:paraId="3348C9AE">
            <w:pPr>
              <w:jc w:val="right"/>
              <w:textAlignment w:val="bottom"/>
              <w:rPr>
                <w:rFonts w:cs="Times New Roman"/>
              </w:rPr>
            </w:pPr>
            <w:r>
              <w:rPr>
                <w:rFonts w:eastAsia="Arial Narrow" w:cs="Times New Roman"/>
                <w:color w:val="000000"/>
                <w:lang w:bidi="ar"/>
              </w:rPr>
              <w:t>2,623,357,182.30</w:t>
            </w:r>
          </w:p>
        </w:tc>
      </w:tr>
      <w:tr w14:paraId="79A9EA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5F19A8B9">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其他流动资产</w:t>
            </w:r>
          </w:p>
        </w:tc>
        <w:tc>
          <w:tcPr>
            <w:tcW w:w="484" w:type="pct"/>
            <w:tcBorders>
              <w:top w:val="outset" w:color="auto" w:sz="6" w:space="0"/>
              <w:left w:val="outset" w:color="auto" w:sz="6" w:space="0"/>
              <w:bottom w:val="outset" w:color="auto" w:sz="6" w:space="0"/>
              <w:right w:val="outset" w:color="auto" w:sz="6" w:space="0"/>
            </w:tcBorders>
            <w:vAlign w:val="center"/>
          </w:tcPr>
          <w:p w14:paraId="2FB0F696">
            <w:pPr>
              <w:jc w:val="center"/>
              <w:rPr>
                <w:rFonts w:cs="Times New Roman"/>
              </w:rPr>
            </w:pPr>
            <w:r>
              <w:rPr>
                <w:rFonts w:cs="Times New Roman"/>
              </w:rPr>
              <w:t>七、13</w:t>
            </w:r>
          </w:p>
        </w:tc>
        <w:tc>
          <w:tcPr>
            <w:tcW w:w="1127" w:type="pct"/>
            <w:tcBorders>
              <w:top w:val="outset" w:color="auto" w:sz="6" w:space="0"/>
              <w:left w:val="outset" w:color="auto" w:sz="6" w:space="0"/>
              <w:bottom w:val="outset" w:color="auto" w:sz="6" w:space="0"/>
              <w:right w:val="outset" w:color="auto" w:sz="6" w:space="0"/>
            </w:tcBorders>
            <w:vAlign w:val="bottom"/>
          </w:tcPr>
          <w:p w14:paraId="6CEB3693">
            <w:pPr>
              <w:jc w:val="right"/>
              <w:textAlignment w:val="bottom"/>
              <w:rPr>
                <w:rFonts w:cs="Times New Roman"/>
              </w:rPr>
            </w:pPr>
            <w:r>
              <w:rPr>
                <w:rFonts w:eastAsia="Arial Narrow" w:cs="Times New Roman"/>
                <w:color w:val="000000"/>
                <w:lang w:bidi="ar"/>
              </w:rPr>
              <w:t>316,880,088.19</w:t>
            </w:r>
          </w:p>
        </w:tc>
        <w:tc>
          <w:tcPr>
            <w:tcW w:w="1140" w:type="pct"/>
            <w:tcBorders>
              <w:top w:val="outset" w:color="auto" w:sz="6" w:space="0"/>
              <w:left w:val="outset" w:color="auto" w:sz="6" w:space="0"/>
              <w:bottom w:val="outset" w:color="auto" w:sz="6" w:space="0"/>
              <w:right w:val="outset" w:color="auto" w:sz="6" w:space="0"/>
            </w:tcBorders>
            <w:vAlign w:val="bottom"/>
          </w:tcPr>
          <w:p w14:paraId="27345552">
            <w:pPr>
              <w:jc w:val="right"/>
              <w:textAlignment w:val="bottom"/>
              <w:rPr>
                <w:rFonts w:cs="Times New Roman"/>
              </w:rPr>
            </w:pPr>
            <w:r>
              <w:rPr>
                <w:rFonts w:eastAsia="Arial Narrow" w:cs="Times New Roman"/>
                <w:color w:val="000000"/>
                <w:lang w:bidi="ar"/>
              </w:rPr>
              <w:t>294,835,546.41</w:t>
            </w:r>
          </w:p>
        </w:tc>
      </w:tr>
      <w:tr w14:paraId="4C5618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56158B06">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流动资产合计</w:t>
            </w:r>
          </w:p>
        </w:tc>
        <w:tc>
          <w:tcPr>
            <w:tcW w:w="484" w:type="pct"/>
            <w:tcBorders>
              <w:top w:val="outset" w:color="auto" w:sz="6" w:space="0"/>
              <w:left w:val="outset" w:color="auto" w:sz="6" w:space="0"/>
              <w:bottom w:val="outset" w:color="auto" w:sz="6" w:space="0"/>
              <w:right w:val="outset" w:color="auto" w:sz="6" w:space="0"/>
            </w:tcBorders>
            <w:vAlign w:val="center"/>
          </w:tcPr>
          <w:p w14:paraId="04ADEEC5">
            <w:pPr>
              <w:rPr>
                <w:rFonts w:cs="Times New Roman"/>
              </w:rPr>
            </w:pPr>
          </w:p>
        </w:tc>
        <w:tc>
          <w:tcPr>
            <w:tcW w:w="1127" w:type="pct"/>
            <w:tcBorders>
              <w:top w:val="outset" w:color="auto" w:sz="6" w:space="0"/>
              <w:left w:val="outset" w:color="auto" w:sz="6" w:space="0"/>
              <w:bottom w:val="outset" w:color="auto" w:sz="6" w:space="0"/>
              <w:right w:val="outset" w:color="auto" w:sz="6" w:space="0"/>
            </w:tcBorders>
            <w:vAlign w:val="bottom"/>
          </w:tcPr>
          <w:p w14:paraId="21FE965D">
            <w:pPr>
              <w:jc w:val="right"/>
              <w:textAlignment w:val="bottom"/>
              <w:rPr>
                <w:rFonts w:cs="Times New Roman"/>
              </w:rPr>
            </w:pPr>
            <w:r>
              <w:rPr>
                <w:rFonts w:eastAsia="Arial Narrow" w:cs="Times New Roman"/>
                <w:color w:val="000000"/>
                <w:lang w:bidi="ar"/>
              </w:rPr>
              <w:t>12,753,185,539.18</w:t>
            </w:r>
          </w:p>
        </w:tc>
        <w:tc>
          <w:tcPr>
            <w:tcW w:w="1140" w:type="pct"/>
            <w:tcBorders>
              <w:top w:val="outset" w:color="auto" w:sz="6" w:space="0"/>
              <w:left w:val="outset" w:color="auto" w:sz="6" w:space="0"/>
              <w:bottom w:val="outset" w:color="auto" w:sz="6" w:space="0"/>
              <w:right w:val="outset" w:color="auto" w:sz="6" w:space="0"/>
            </w:tcBorders>
            <w:vAlign w:val="bottom"/>
          </w:tcPr>
          <w:p w14:paraId="2574958C">
            <w:pPr>
              <w:jc w:val="right"/>
              <w:textAlignment w:val="bottom"/>
              <w:rPr>
                <w:rFonts w:cs="Times New Roman"/>
              </w:rPr>
            </w:pPr>
            <w:r>
              <w:rPr>
                <w:rFonts w:eastAsia="Arial Narrow" w:cs="Times New Roman"/>
                <w:color w:val="000000"/>
                <w:lang w:bidi="ar"/>
              </w:rPr>
              <w:t>12,322,601,601.23</w:t>
            </w:r>
          </w:p>
        </w:tc>
      </w:tr>
      <w:tr w14:paraId="771BE2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cs="Times New Roman"/>
            </w:rPr>
            <w:tag w:val="_PLD_66ac6acc14e74939b5cc43190a3afd2b"/>
            <w:id w:val="147482071"/>
          </w:sdtPr>
          <w:sdtEndPr>
            <w:rPr>
              <w:rFonts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5A57E3E7">
                <w:pPr>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非流动资产：</w:t>
                </w:r>
              </w:p>
            </w:tc>
          </w:sdtContent>
        </w:sdt>
      </w:tr>
      <w:tr w14:paraId="794135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7E8A346B">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长期应收款</w:t>
            </w:r>
          </w:p>
        </w:tc>
        <w:tc>
          <w:tcPr>
            <w:tcW w:w="484" w:type="pct"/>
            <w:tcBorders>
              <w:top w:val="outset" w:color="auto" w:sz="6" w:space="0"/>
              <w:left w:val="outset" w:color="auto" w:sz="6" w:space="0"/>
              <w:bottom w:val="outset" w:color="auto" w:sz="6" w:space="0"/>
              <w:right w:val="outset" w:color="auto" w:sz="6" w:space="0"/>
            </w:tcBorders>
            <w:vAlign w:val="center"/>
          </w:tcPr>
          <w:p w14:paraId="59F32B38">
            <w:pPr>
              <w:jc w:val="center"/>
              <w:rPr>
                <w:rFonts w:cs="Times New Roman"/>
              </w:rPr>
            </w:pPr>
            <w:r>
              <w:rPr>
                <w:rFonts w:cs="Times New Roman"/>
              </w:rPr>
              <w:t>七、16</w:t>
            </w:r>
          </w:p>
        </w:tc>
        <w:tc>
          <w:tcPr>
            <w:tcW w:w="1127" w:type="pct"/>
            <w:tcBorders>
              <w:top w:val="outset" w:color="auto" w:sz="6" w:space="0"/>
              <w:left w:val="outset" w:color="auto" w:sz="6" w:space="0"/>
              <w:bottom w:val="outset" w:color="auto" w:sz="6" w:space="0"/>
              <w:right w:val="outset" w:color="auto" w:sz="6" w:space="0"/>
            </w:tcBorders>
            <w:vAlign w:val="bottom"/>
          </w:tcPr>
          <w:p w14:paraId="090083A9">
            <w:pPr>
              <w:jc w:val="right"/>
              <w:textAlignment w:val="bottom"/>
              <w:rPr>
                <w:rFonts w:cs="Times New Roman"/>
              </w:rPr>
            </w:pPr>
            <w:r>
              <w:rPr>
                <w:rFonts w:eastAsia="Arial Narrow" w:cs="Times New Roman"/>
                <w:color w:val="000000"/>
                <w:lang w:bidi="ar"/>
              </w:rPr>
              <w:t>721,777,924.15</w:t>
            </w:r>
          </w:p>
        </w:tc>
        <w:tc>
          <w:tcPr>
            <w:tcW w:w="1140" w:type="pct"/>
            <w:tcBorders>
              <w:top w:val="outset" w:color="auto" w:sz="6" w:space="0"/>
              <w:left w:val="outset" w:color="auto" w:sz="6" w:space="0"/>
              <w:bottom w:val="outset" w:color="auto" w:sz="6" w:space="0"/>
              <w:right w:val="outset" w:color="auto" w:sz="6" w:space="0"/>
            </w:tcBorders>
            <w:vAlign w:val="bottom"/>
          </w:tcPr>
          <w:p w14:paraId="093F4521">
            <w:pPr>
              <w:jc w:val="right"/>
              <w:textAlignment w:val="bottom"/>
              <w:rPr>
                <w:rFonts w:cs="Times New Roman"/>
              </w:rPr>
            </w:pPr>
            <w:r>
              <w:rPr>
                <w:rFonts w:eastAsia="Arial Narrow" w:cs="Times New Roman"/>
                <w:color w:val="000000"/>
                <w:lang w:bidi="ar"/>
              </w:rPr>
              <w:t>744,009,760.14</w:t>
            </w:r>
          </w:p>
        </w:tc>
      </w:tr>
      <w:tr w14:paraId="7A14B1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626D64EE">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长期股权投资</w:t>
            </w:r>
          </w:p>
        </w:tc>
        <w:tc>
          <w:tcPr>
            <w:tcW w:w="484" w:type="pct"/>
            <w:tcBorders>
              <w:top w:val="outset" w:color="auto" w:sz="6" w:space="0"/>
              <w:left w:val="outset" w:color="auto" w:sz="6" w:space="0"/>
              <w:bottom w:val="outset" w:color="auto" w:sz="6" w:space="0"/>
              <w:right w:val="outset" w:color="auto" w:sz="6" w:space="0"/>
            </w:tcBorders>
            <w:vAlign w:val="center"/>
          </w:tcPr>
          <w:p w14:paraId="654271BB">
            <w:pPr>
              <w:jc w:val="center"/>
              <w:rPr>
                <w:rFonts w:cs="Times New Roman"/>
              </w:rPr>
            </w:pPr>
            <w:r>
              <w:rPr>
                <w:rFonts w:cs="Times New Roman"/>
              </w:rPr>
              <w:t>七、17</w:t>
            </w:r>
          </w:p>
        </w:tc>
        <w:tc>
          <w:tcPr>
            <w:tcW w:w="1127" w:type="pct"/>
            <w:tcBorders>
              <w:top w:val="outset" w:color="auto" w:sz="6" w:space="0"/>
              <w:left w:val="outset" w:color="auto" w:sz="6" w:space="0"/>
              <w:bottom w:val="outset" w:color="auto" w:sz="6" w:space="0"/>
              <w:right w:val="outset" w:color="auto" w:sz="6" w:space="0"/>
            </w:tcBorders>
            <w:vAlign w:val="bottom"/>
          </w:tcPr>
          <w:p w14:paraId="6F2C0AB9">
            <w:pPr>
              <w:jc w:val="right"/>
              <w:textAlignment w:val="bottom"/>
              <w:rPr>
                <w:rFonts w:cs="Times New Roman"/>
              </w:rPr>
            </w:pPr>
            <w:r>
              <w:rPr>
                <w:rFonts w:eastAsia="Arial Narrow" w:cs="Times New Roman"/>
                <w:color w:val="000000"/>
                <w:lang w:bidi="ar"/>
              </w:rPr>
              <w:t>44,734,921.14</w:t>
            </w:r>
          </w:p>
        </w:tc>
        <w:tc>
          <w:tcPr>
            <w:tcW w:w="1140" w:type="pct"/>
            <w:tcBorders>
              <w:top w:val="outset" w:color="auto" w:sz="6" w:space="0"/>
              <w:left w:val="outset" w:color="auto" w:sz="6" w:space="0"/>
              <w:bottom w:val="outset" w:color="auto" w:sz="6" w:space="0"/>
              <w:right w:val="outset" w:color="auto" w:sz="6" w:space="0"/>
            </w:tcBorders>
            <w:vAlign w:val="bottom"/>
          </w:tcPr>
          <w:p w14:paraId="415CA3EA">
            <w:pPr>
              <w:jc w:val="right"/>
              <w:textAlignment w:val="bottom"/>
              <w:rPr>
                <w:rFonts w:cs="Times New Roman"/>
              </w:rPr>
            </w:pPr>
            <w:r>
              <w:rPr>
                <w:rFonts w:eastAsia="Arial Narrow" w:cs="Times New Roman"/>
                <w:color w:val="000000"/>
                <w:lang w:bidi="ar"/>
              </w:rPr>
              <w:t>48,009,657.16</w:t>
            </w:r>
          </w:p>
        </w:tc>
      </w:tr>
      <w:tr w14:paraId="4A5363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4E70C4E6">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其他权益工具投资</w:t>
            </w:r>
          </w:p>
        </w:tc>
        <w:tc>
          <w:tcPr>
            <w:tcW w:w="484" w:type="pct"/>
            <w:tcBorders>
              <w:top w:val="outset" w:color="auto" w:sz="6" w:space="0"/>
              <w:left w:val="outset" w:color="auto" w:sz="6" w:space="0"/>
              <w:bottom w:val="outset" w:color="auto" w:sz="6" w:space="0"/>
              <w:right w:val="outset" w:color="auto" w:sz="6" w:space="0"/>
            </w:tcBorders>
            <w:vAlign w:val="center"/>
          </w:tcPr>
          <w:p w14:paraId="49465278">
            <w:pPr>
              <w:jc w:val="center"/>
              <w:rPr>
                <w:rFonts w:cs="Times New Roman"/>
              </w:rPr>
            </w:pPr>
            <w:r>
              <w:rPr>
                <w:rFonts w:cs="Times New Roman"/>
              </w:rPr>
              <w:t>七、18</w:t>
            </w:r>
          </w:p>
        </w:tc>
        <w:tc>
          <w:tcPr>
            <w:tcW w:w="1127" w:type="pct"/>
            <w:tcBorders>
              <w:top w:val="outset" w:color="auto" w:sz="6" w:space="0"/>
              <w:left w:val="outset" w:color="auto" w:sz="6" w:space="0"/>
              <w:bottom w:val="outset" w:color="auto" w:sz="6" w:space="0"/>
              <w:right w:val="outset" w:color="auto" w:sz="6" w:space="0"/>
            </w:tcBorders>
            <w:vAlign w:val="bottom"/>
          </w:tcPr>
          <w:p w14:paraId="23B74596">
            <w:pPr>
              <w:jc w:val="right"/>
              <w:textAlignment w:val="bottom"/>
              <w:rPr>
                <w:rFonts w:cs="Times New Roman"/>
              </w:rPr>
            </w:pPr>
            <w:r>
              <w:rPr>
                <w:rFonts w:eastAsia="Arial Narrow" w:cs="Times New Roman"/>
                <w:color w:val="000000"/>
                <w:lang w:bidi="ar"/>
              </w:rPr>
              <w:t>519,981,620.71</w:t>
            </w:r>
          </w:p>
        </w:tc>
        <w:tc>
          <w:tcPr>
            <w:tcW w:w="1140" w:type="pct"/>
            <w:tcBorders>
              <w:top w:val="outset" w:color="auto" w:sz="6" w:space="0"/>
              <w:left w:val="outset" w:color="auto" w:sz="6" w:space="0"/>
              <w:bottom w:val="outset" w:color="auto" w:sz="6" w:space="0"/>
              <w:right w:val="outset" w:color="auto" w:sz="6" w:space="0"/>
            </w:tcBorders>
            <w:vAlign w:val="bottom"/>
          </w:tcPr>
          <w:p w14:paraId="5EB21A6D">
            <w:pPr>
              <w:jc w:val="right"/>
              <w:textAlignment w:val="bottom"/>
              <w:rPr>
                <w:rFonts w:cs="Times New Roman"/>
              </w:rPr>
            </w:pPr>
            <w:r>
              <w:rPr>
                <w:rFonts w:eastAsia="Arial Narrow" w:cs="Times New Roman"/>
                <w:color w:val="000000"/>
                <w:lang w:bidi="ar"/>
              </w:rPr>
              <w:t>519,981,620.71</w:t>
            </w:r>
          </w:p>
        </w:tc>
      </w:tr>
      <w:tr w14:paraId="39CCCE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6B3A4E5A">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投资性房地产</w:t>
            </w:r>
          </w:p>
        </w:tc>
        <w:tc>
          <w:tcPr>
            <w:tcW w:w="484" w:type="pct"/>
            <w:tcBorders>
              <w:top w:val="outset" w:color="auto" w:sz="6" w:space="0"/>
              <w:left w:val="outset" w:color="auto" w:sz="6" w:space="0"/>
              <w:bottom w:val="outset" w:color="auto" w:sz="6" w:space="0"/>
              <w:right w:val="outset" w:color="auto" w:sz="6" w:space="0"/>
            </w:tcBorders>
            <w:vAlign w:val="center"/>
          </w:tcPr>
          <w:p w14:paraId="303EAB75">
            <w:pPr>
              <w:jc w:val="center"/>
              <w:rPr>
                <w:rFonts w:cs="Times New Roman"/>
              </w:rPr>
            </w:pPr>
            <w:r>
              <w:rPr>
                <w:rFonts w:cs="Times New Roman"/>
              </w:rPr>
              <w:t>七、20</w:t>
            </w:r>
          </w:p>
        </w:tc>
        <w:tc>
          <w:tcPr>
            <w:tcW w:w="1127" w:type="pct"/>
            <w:tcBorders>
              <w:top w:val="outset" w:color="auto" w:sz="6" w:space="0"/>
              <w:left w:val="outset" w:color="auto" w:sz="6" w:space="0"/>
              <w:bottom w:val="outset" w:color="auto" w:sz="6" w:space="0"/>
              <w:right w:val="outset" w:color="auto" w:sz="6" w:space="0"/>
            </w:tcBorders>
            <w:vAlign w:val="bottom"/>
          </w:tcPr>
          <w:p w14:paraId="68E49F9D">
            <w:pPr>
              <w:jc w:val="right"/>
              <w:textAlignment w:val="bottom"/>
              <w:rPr>
                <w:rFonts w:cs="Times New Roman"/>
              </w:rPr>
            </w:pPr>
            <w:r>
              <w:rPr>
                <w:rFonts w:eastAsia="Arial Narrow" w:cs="Times New Roman"/>
                <w:color w:val="000000"/>
                <w:lang w:bidi="ar"/>
              </w:rPr>
              <w:t>657,291,789.96</w:t>
            </w:r>
          </w:p>
        </w:tc>
        <w:tc>
          <w:tcPr>
            <w:tcW w:w="1140" w:type="pct"/>
            <w:tcBorders>
              <w:top w:val="outset" w:color="auto" w:sz="6" w:space="0"/>
              <w:left w:val="outset" w:color="auto" w:sz="6" w:space="0"/>
              <w:bottom w:val="outset" w:color="auto" w:sz="6" w:space="0"/>
              <w:right w:val="outset" w:color="auto" w:sz="6" w:space="0"/>
            </w:tcBorders>
            <w:vAlign w:val="bottom"/>
          </w:tcPr>
          <w:p w14:paraId="24D52F74">
            <w:pPr>
              <w:jc w:val="right"/>
              <w:textAlignment w:val="bottom"/>
              <w:rPr>
                <w:rFonts w:cs="Times New Roman"/>
              </w:rPr>
            </w:pPr>
            <w:r>
              <w:rPr>
                <w:rFonts w:eastAsia="Arial Narrow" w:cs="Times New Roman"/>
                <w:color w:val="000000"/>
                <w:lang w:bidi="ar"/>
              </w:rPr>
              <w:t>660,652,004.72</w:t>
            </w:r>
          </w:p>
        </w:tc>
      </w:tr>
      <w:tr w14:paraId="742536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01A104A5">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固定资产</w:t>
            </w:r>
          </w:p>
        </w:tc>
        <w:tc>
          <w:tcPr>
            <w:tcW w:w="484" w:type="pct"/>
            <w:tcBorders>
              <w:top w:val="outset" w:color="auto" w:sz="6" w:space="0"/>
              <w:left w:val="outset" w:color="auto" w:sz="6" w:space="0"/>
              <w:bottom w:val="outset" w:color="auto" w:sz="6" w:space="0"/>
              <w:right w:val="outset" w:color="auto" w:sz="6" w:space="0"/>
            </w:tcBorders>
            <w:vAlign w:val="center"/>
          </w:tcPr>
          <w:p w14:paraId="5F8F4440">
            <w:pPr>
              <w:jc w:val="center"/>
              <w:rPr>
                <w:rFonts w:cs="Times New Roman"/>
              </w:rPr>
            </w:pPr>
            <w:r>
              <w:rPr>
                <w:rFonts w:cs="Times New Roman"/>
              </w:rPr>
              <w:t>七、21</w:t>
            </w:r>
          </w:p>
        </w:tc>
        <w:tc>
          <w:tcPr>
            <w:tcW w:w="1127" w:type="pct"/>
            <w:tcBorders>
              <w:top w:val="outset" w:color="auto" w:sz="6" w:space="0"/>
              <w:left w:val="outset" w:color="auto" w:sz="6" w:space="0"/>
              <w:bottom w:val="outset" w:color="auto" w:sz="6" w:space="0"/>
              <w:right w:val="outset" w:color="auto" w:sz="6" w:space="0"/>
            </w:tcBorders>
            <w:vAlign w:val="bottom"/>
          </w:tcPr>
          <w:p w14:paraId="02B293EA">
            <w:pPr>
              <w:jc w:val="right"/>
              <w:textAlignment w:val="bottom"/>
              <w:rPr>
                <w:rFonts w:cs="Times New Roman"/>
              </w:rPr>
            </w:pPr>
            <w:r>
              <w:rPr>
                <w:rFonts w:eastAsia="Arial Narrow" w:cs="Times New Roman"/>
                <w:color w:val="000000"/>
                <w:lang w:bidi="ar"/>
              </w:rPr>
              <w:t>3,956,712,504.09</w:t>
            </w:r>
          </w:p>
        </w:tc>
        <w:tc>
          <w:tcPr>
            <w:tcW w:w="1140" w:type="pct"/>
            <w:tcBorders>
              <w:top w:val="outset" w:color="auto" w:sz="6" w:space="0"/>
              <w:left w:val="outset" w:color="auto" w:sz="6" w:space="0"/>
              <w:bottom w:val="outset" w:color="auto" w:sz="6" w:space="0"/>
              <w:right w:val="outset" w:color="auto" w:sz="6" w:space="0"/>
            </w:tcBorders>
            <w:vAlign w:val="bottom"/>
          </w:tcPr>
          <w:p w14:paraId="3940728B">
            <w:pPr>
              <w:jc w:val="right"/>
              <w:textAlignment w:val="bottom"/>
              <w:rPr>
                <w:rFonts w:cs="Times New Roman"/>
              </w:rPr>
            </w:pPr>
            <w:r>
              <w:rPr>
                <w:rFonts w:eastAsia="Arial Narrow" w:cs="Times New Roman"/>
                <w:color w:val="000000"/>
                <w:lang w:bidi="ar"/>
              </w:rPr>
              <w:t>4,015,619,946.00</w:t>
            </w:r>
          </w:p>
        </w:tc>
      </w:tr>
      <w:tr w14:paraId="38CD8F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00C932FA">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在建工程</w:t>
            </w:r>
          </w:p>
        </w:tc>
        <w:tc>
          <w:tcPr>
            <w:tcW w:w="484" w:type="pct"/>
            <w:tcBorders>
              <w:top w:val="outset" w:color="auto" w:sz="6" w:space="0"/>
              <w:left w:val="outset" w:color="auto" w:sz="6" w:space="0"/>
              <w:bottom w:val="outset" w:color="auto" w:sz="6" w:space="0"/>
              <w:right w:val="outset" w:color="auto" w:sz="6" w:space="0"/>
            </w:tcBorders>
            <w:vAlign w:val="center"/>
          </w:tcPr>
          <w:p w14:paraId="37672D20">
            <w:pPr>
              <w:jc w:val="center"/>
              <w:rPr>
                <w:rFonts w:cs="Times New Roman"/>
              </w:rPr>
            </w:pPr>
            <w:r>
              <w:rPr>
                <w:rFonts w:cs="Times New Roman"/>
              </w:rPr>
              <w:t>七、22</w:t>
            </w:r>
          </w:p>
        </w:tc>
        <w:tc>
          <w:tcPr>
            <w:tcW w:w="1127" w:type="pct"/>
            <w:tcBorders>
              <w:top w:val="outset" w:color="auto" w:sz="6" w:space="0"/>
              <w:left w:val="outset" w:color="auto" w:sz="6" w:space="0"/>
              <w:bottom w:val="outset" w:color="auto" w:sz="6" w:space="0"/>
              <w:right w:val="outset" w:color="auto" w:sz="6" w:space="0"/>
            </w:tcBorders>
            <w:vAlign w:val="bottom"/>
          </w:tcPr>
          <w:p w14:paraId="784BCAFC">
            <w:pPr>
              <w:jc w:val="right"/>
              <w:textAlignment w:val="bottom"/>
              <w:rPr>
                <w:rFonts w:cs="Times New Roman"/>
              </w:rPr>
            </w:pPr>
            <w:r>
              <w:rPr>
                <w:rFonts w:eastAsia="Arial Narrow" w:cs="Times New Roman"/>
                <w:color w:val="000000"/>
                <w:lang w:bidi="ar"/>
              </w:rPr>
              <w:t>399,635,284.93</w:t>
            </w:r>
          </w:p>
        </w:tc>
        <w:tc>
          <w:tcPr>
            <w:tcW w:w="1140" w:type="pct"/>
            <w:tcBorders>
              <w:top w:val="outset" w:color="auto" w:sz="6" w:space="0"/>
              <w:left w:val="outset" w:color="auto" w:sz="6" w:space="0"/>
              <w:bottom w:val="outset" w:color="auto" w:sz="6" w:space="0"/>
              <w:right w:val="outset" w:color="auto" w:sz="6" w:space="0"/>
            </w:tcBorders>
            <w:vAlign w:val="bottom"/>
          </w:tcPr>
          <w:p w14:paraId="0649D550">
            <w:pPr>
              <w:jc w:val="right"/>
              <w:textAlignment w:val="bottom"/>
              <w:rPr>
                <w:rFonts w:cs="Times New Roman"/>
              </w:rPr>
            </w:pPr>
            <w:r>
              <w:rPr>
                <w:rFonts w:eastAsia="Arial Narrow" w:cs="Times New Roman"/>
                <w:color w:val="000000"/>
                <w:lang w:bidi="ar"/>
              </w:rPr>
              <w:t>275,601,526.58</w:t>
            </w:r>
          </w:p>
        </w:tc>
      </w:tr>
      <w:tr w14:paraId="7AF6C0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4EC1058B">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使用权资产</w:t>
            </w:r>
          </w:p>
        </w:tc>
        <w:tc>
          <w:tcPr>
            <w:tcW w:w="484" w:type="pct"/>
            <w:tcBorders>
              <w:top w:val="outset" w:color="auto" w:sz="6" w:space="0"/>
              <w:left w:val="outset" w:color="auto" w:sz="6" w:space="0"/>
              <w:bottom w:val="outset" w:color="auto" w:sz="6" w:space="0"/>
              <w:right w:val="outset" w:color="auto" w:sz="6" w:space="0"/>
            </w:tcBorders>
            <w:vAlign w:val="center"/>
          </w:tcPr>
          <w:p w14:paraId="4F6948B3">
            <w:pPr>
              <w:jc w:val="center"/>
              <w:rPr>
                <w:rFonts w:cs="Times New Roman"/>
              </w:rPr>
            </w:pPr>
            <w:r>
              <w:rPr>
                <w:rFonts w:cs="Times New Roman"/>
              </w:rPr>
              <w:t>七、25</w:t>
            </w:r>
          </w:p>
        </w:tc>
        <w:tc>
          <w:tcPr>
            <w:tcW w:w="1127" w:type="pct"/>
            <w:tcBorders>
              <w:top w:val="outset" w:color="auto" w:sz="6" w:space="0"/>
              <w:left w:val="outset" w:color="auto" w:sz="6" w:space="0"/>
              <w:bottom w:val="outset" w:color="auto" w:sz="6" w:space="0"/>
              <w:right w:val="outset" w:color="auto" w:sz="6" w:space="0"/>
            </w:tcBorders>
            <w:vAlign w:val="bottom"/>
          </w:tcPr>
          <w:p w14:paraId="7F888C5A">
            <w:pPr>
              <w:jc w:val="right"/>
              <w:textAlignment w:val="bottom"/>
              <w:rPr>
                <w:rFonts w:cs="Times New Roman"/>
              </w:rPr>
            </w:pPr>
            <w:r>
              <w:rPr>
                <w:rFonts w:eastAsia="Arial Narrow" w:cs="Times New Roman"/>
                <w:color w:val="000000"/>
                <w:lang w:bidi="ar"/>
              </w:rPr>
              <w:t>9,960,965.74</w:t>
            </w:r>
          </w:p>
        </w:tc>
        <w:tc>
          <w:tcPr>
            <w:tcW w:w="1140" w:type="pct"/>
            <w:tcBorders>
              <w:top w:val="outset" w:color="auto" w:sz="6" w:space="0"/>
              <w:left w:val="outset" w:color="auto" w:sz="6" w:space="0"/>
              <w:bottom w:val="outset" w:color="auto" w:sz="6" w:space="0"/>
              <w:right w:val="outset" w:color="auto" w:sz="6" w:space="0"/>
            </w:tcBorders>
            <w:vAlign w:val="bottom"/>
          </w:tcPr>
          <w:p w14:paraId="6F9D9C99">
            <w:pPr>
              <w:jc w:val="right"/>
              <w:textAlignment w:val="bottom"/>
              <w:rPr>
                <w:rFonts w:cs="Times New Roman"/>
              </w:rPr>
            </w:pPr>
            <w:r>
              <w:rPr>
                <w:rFonts w:eastAsia="Arial Narrow" w:cs="Times New Roman"/>
                <w:color w:val="000000"/>
                <w:lang w:bidi="ar"/>
              </w:rPr>
              <w:t>10,670,711.29</w:t>
            </w:r>
          </w:p>
        </w:tc>
      </w:tr>
      <w:tr w14:paraId="2084CA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3C6272F1">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无形资产</w:t>
            </w:r>
          </w:p>
        </w:tc>
        <w:tc>
          <w:tcPr>
            <w:tcW w:w="484" w:type="pct"/>
            <w:tcBorders>
              <w:top w:val="outset" w:color="auto" w:sz="6" w:space="0"/>
              <w:left w:val="outset" w:color="auto" w:sz="6" w:space="0"/>
              <w:bottom w:val="outset" w:color="auto" w:sz="6" w:space="0"/>
              <w:right w:val="outset" w:color="auto" w:sz="6" w:space="0"/>
            </w:tcBorders>
            <w:vAlign w:val="center"/>
          </w:tcPr>
          <w:p w14:paraId="4F0FC4E7">
            <w:pPr>
              <w:jc w:val="center"/>
              <w:rPr>
                <w:rFonts w:cs="Times New Roman"/>
              </w:rPr>
            </w:pPr>
            <w:r>
              <w:rPr>
                <w:rFonts w:cs="Times New Roman"/>
              </w:rPr>
              <w:t>七、26</w:t>
            </w:r>
          </w:p>
        </w:tc>
        <w:tc>
          <w:tcPr>
            <w:tcW w:w="1127" w:type="pct"/>
            <w:tcBorders>
              <w:top w:val="outset" w:color="auto" w:sz="6" w:space="0"/>
              <w:left w:val="outset" w:color="auto" w:sz="6" w:space="0"/>
              <w:bottom w:val="outset" w:color="auto" w:sz="6" w:space="0"/>
              <w:right w:val="outset" w:color="auto" w:sz="6" w:space="0"/>
            </w:tcBorders>
            <w:vAlign w:val="bottom"/>
          </w:tcPr>
          <w:p w14:paraId="798678F9">
            <w:pPr>
              <w:jc w:val="right"/>
              <w:textAlignment w:val="bottom"/>
              <w:rPr>
                <w:rFonts w:cs="Times New Roman"/>
              </w:rPr>
            </w:pPr>
            <w:r>
              <w:rPr>
                <w:rFonts w:eastAsia="Arial Narrow" w:cs="Times New Roman"/>
                <w:color w:val="000000"/>
                <w:lang w:bidi="ar"/>
              </w:rPr>
              <w:t>1,428,443,879.04</w:t>
            </w:r>
          </w:p>
        </w:tc>
        <w:tc>
          <w:tcPr>
            <w:tcW w:w="1140" w:type="pct"/>
            <w:tcBorders>
              <w:top w:val="outset" w:color="auto" w:sz="6" w:space="0"/>
              <w:left w:val="outset" w:color="auto" w:sz="6" w:space="0"/>
              <w:bottom w:val="outset" w:color="auto" w:sz="6" w:space="0"/>
              <w:right w:val="outset" w:color="auto" w:sz="6" w:space="0"/>
            </w:tcBorders>
            <w:vAlign w:val="bottom"/>
          </w:tcPr>
          <w:p w14:paraId="2C77C106">
            <w:pPr>
              <w:jc w:val="right"/>
              <w:textAlignment w:val="bottom"/>
              <w:rPr>
                <w:rFonts w:cs="Times New Roman"/>
              </w:rPr>
            </w:pPr>
            <w:r>
              <w:rPr>
                <w:rFonts w:eastAsia="Arial Narrow" w:cs="Times New Roman"/>
                <w:color w:val="000000"/>
                <w:lang w:bidi="ar"/>
              </w:rPr>
              <w:t>1,438,023,671.02</w:t>
            </w:r>
          </w:p>
        </w:tc>
      </w:tr>
      <w:tr w14:paraId="629486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5076A2F9">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商誉</w:t>
            </w:r>
          </w:p>
        </w:tc>
        <w:tc>
          <w:tcPr>
            <w:tcW w:w="484" w:type="pct"/>
            <w:tcBorders>
              <w:top w:val="outset" w:color="auto" w:sz="6" w:space="0"/>
              <w:left w:val="outset" w:color="auto" w:sz="6" w:space="0"/>
              <w:bottom w:val="outset" w:color="auto" w:sz="6" w:space="0"/>
              <w:right w:val="outset" w:color="auto" w:sz="6" w:space="0"/>
            </w:tcBorders>
            <w:vAlign w:val="center"/>
          </w:tcPr>
          <w:p w14:paraId="3E3B2B8A">
            <w:pPr>
              <w:jc w:val="center"/>
              <w:rPr>
                <w:rFonts w:cs="Times New Roman"/>
              </w:rPr>
            </w:pPr>
            <w:r>
              <w:rPr>
                <w:rFonts w:cs="Times New Roman"/>
              </w:rPr>
              <w:t>七、27</w:t>
            </w:r>
          </w:p>
        </w:tc>
        <w:tc>
          <w:tcPr>
            <w:tcW w:w="1127" w:type="pct"/>
            <w:tcBorders>
              <w:top w:val="outset" w:color="auto" w:sz="6" w:space="0"/>
              <w:left w:val="outset" w:color="auto" w:sz="6" w:space="0"/>
              <w:bottom w:val="outset" w:color="auto" w:sz="6" w:space="0"/>
              <w:right w:val="outset" w:color="auto" w:sz="6" w:space="0"/>
            </w:tcBorders>
            <w:vAlign w:val="bottom"/>
          </w:tcPr>
          <w:p w14:paraId="6F3C2E2E">
            <w:pPr>
              <w:jc w:val="right"/>
              <w:rPr>
                <w:rFonts w:cs="Times New Roman"/>
              </w:rPr>
            </w:pPr>
          </w:p>
        </w:tc>
        <w:tc>
          <w:tcPr>
            <w:tcW w:w="1140" w:type="pct"/>
            <w:tcBorders>
              <w:top w:val="outset" w:color="auto" w:sz="6" w:space="0"/>
              <w:left w:val="outset" w:color="auto" w:sz="6" w:space="0"/>
              <w:bottom w:val="outset" w:color="auto" w:sz="6" w:space="0"/>
              <w:right w:val="outset" w:color="auto" w:sz="6" w:space="0"/>
            </w:tcBorders>
            <w:vAlign w:val="bottom"/>
          </w:tcPr>
          <w:p w14:paraId="27F736C7">
            <w:pPr>
              <w:jc w:val="right"/>
              <w:textAlignment w:val="bottom"/>
              <w:rPr>
                <w:rFonts w:cs="Times New Roman"/>
              </w:rPr>
            </w:pPr>
            <w:r>
              <w:rPr>
                <w:rFonts w:eastAsia="Arial Narrow" w:cs="Times New Roman"/>
                <w:color w:val="000000"/>
                <w:lang w:bidi="ar"/>
              </w:rPr>
              <w:t>3,019,865.76</w:t>
            </w:r>
          </w:p>
        </w:tc>
      </w:tr>
      <w:tr w14:paraId="377C13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345B134D">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长期待摊费用</w:t>
            </w:r>
          </w:p>
        </w:tc>
        <w:tc>
          <w:tcPr>
            <w:tcW w:w="484" w:type="pct"/>
            <w:tcBorders>
              <w:top w:val="outset" w:color="auto" w:sz="6" w:space="0"/>
              <w:left w:val="outset" w:color="auto" w:sz="6" w:space="0"/>
              <w:bottom w:val="outset" w:color="auto" w:sz="6" w:space="0"/>
              <w:right w:val="outset" w:color="auto" w:sz="6" w:space="0"/>
            </w:tcBorders>
            <w:vAlign w:val="center"/>
          </w:tcPr>
          <w:p w14:paraId="492F4FDF">
            <w:pPr>
              <w:jc w:val="center"/>
              <w:rPr>
                <w:rFonts w:cs="Times New Roman"/>
              </w:rPr>
            </w:pPr>
            <w:r>
              <w:rPr>
                <w:rFonts w:cs="Times New Roman"/>
              </w:rPr>
              <w:t>七、28</w:t>
            </w:r>
          </w:p>
        </w:tc>
        <w:tc>
          <w:tcPr>
            <w:tcW w:w="1127" w:type="pct"/>
            <w:tcBorders>
              <w:top w:val="outset" w:color="auto" w:sz="6" w:space="0"/>
              <w:left w:val="outset" w:color="auto" w:sz="6" w:space="0"/>
              <w:bottom w:val="outset" w:color="auto" w:sz="6" w:space="0"/>
              <w:right w:val="outset" w:color="auto" w:sz="6" w:space="0"/>
            </w:tcBorders>
            <w:vAlign w:val="bottom"/>
          </w:tcPr>
          <w:p w14:paraId="345E9048">
            <w:pPr>
              <w:jc w:val="right"/>
              <w:textAlignment w:val="bottom"/>
              <w:rPr>
                <w:rFonts w:cs="Times New Roman"/>
              </w:rPr>
            </w:pPr>
            <w:r>
              <w:rPr>
                <w:rFonts w:eastAsia="Arial Narrow" w:cs="Times New Roman"/>
                <w:color w:val="000000"/>
                <w:lang w:bidi="ar"/>
              </w:rPr>
              <w:t>32,039,331.96</w:t>
            </w:r>
          </w:p>
        </w:tc>
        <w:tc>
          <w:tcPr>
            <w:tcW w:w="1140" w:type="pct"/>
            <w:tcBorders>
              <w:top w:val="outset" w:color="auto" w:sz="6" w:space="0"/>
              <w:left w:val="outset" w:color="auto" w:sz="6" w:space="0"/>
              <w:bottom w:val="outset" w:color="auto" w:sz="6" w:space="0"/>
              <w:right w:val="outset" w:color="auto" w:sz="6" w:space="0"/>
            </w:tcBorders>
            <w:vAlign w:val="bottom"/>
          </w:tcPr>
          <w:p w14:paraId="0B880528">
            <w:pPr>
              <w:jc w:val="right"/>
              <w:textAlignment w:val="bottom"/>
              <w:rPr>
                <w:rFonts w:cs="Times New Roman"/>
              </w:rPr>
            </w:pPr>
            <w:r>
              <w:rPr>
                <w:rFonts w:eastAsia="Arial Narrow" w:cs="Times New Roman"/>
                <w:color w:val="000000"/>
                <w:lang w:bidi="ar"/>
              </w:rPr>
              <w:t>35,256,774.83</w:t>
            </w:r>
          </w:p>
        </w:tc>
      </w:tr>
      <w:tr w14:paraId="709048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758FB204">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递延所得税资产</w:t>
            </w:r>
          </w:p>
        </w:tc>
        <w:tc>
          <w:tcPr>
            <w:tcW w:w="484" w:type="pct"/>
            <w:tcBorders>
              <w:top w:val="outset" w:color="auto" w:sz="6" w:space="0"/>
              <w:left w:val="outset" w:color="auto" w:sz="6" w:space="0"/>
              <w:bottom w:val="outset" w:color="auto" w:sz="6" w:space="0"/>
              <w:right w:val="outset" w:color="auto" w:sz="6" w:space="0"/>
            </w:tcBorders>
            <w:vAlign w:val="center"/>
          </w:tcPr>
          <w:p w14:paraId="5C7DC8F1">
            <w:pPr>
              <w:jc w:val="center"/>
              <w:rPr>
                <w:rFonts w:cs="Times New Roman"/>
              </w:rPr>
            </w:pPr>
            <w:r>
              <w:rPr>
                <w:rFonts w:cs="Times New Roman"/>
              </w:rPr>
              <w:t>七、29</w:t>
            </w:r>
          </w:p>
        </w:tc>
        <w:tc>
          <w:tcPr>
            <w:tcW w:w="1127" w:type="pct"/>
            <w:tcBorders>
              <w:top w:val="outset" w:color="auto" w:sz="6" w:space="0"/>
              <w:left w:val="outset" w:color="auto" w:sz="6" w:space="0"/>
              <w:bottom w:val="outset" w:color="auto" w:sz="6" w:space="0"/>
              <w:right w:val="outset" w:color="auto" w:sz="6" w:space="0"/>
            </w:tcBorders>
            <w:vAlign w:val="bottom"/>
          </w:tcPr>
          <w:p w14:paraId="11EEB863">
            <w:pPr>
              <w:jc w:val="right"/>
              <w:textAlignment w:val="bottom"/>
              <w:rPr>
                <w:rFonts w:cs="Times New Roman"/>
              </w:rPr>
            </w:pPr>
            <w:r>
              <w:rPr>
                <w:rFonts w:eastAsia="Arial Narrow" w:cs="Times New Roman"/>
                <w:color w:val="000000"/>
                <w:lang w:bidi="ar"/>
              </w:rPr>
              <w:t>294,974,492.52</w:t>
            </w:r>
          </w:p>
        </w:tc>
        <w:tc>
          <w:tcPr>
            <w:tcW w:w="1140" w:type="pct"/>
            <w:tcBorders>
              <w:top w:val="outset" w:color="auto" w:sz="6" w:space="0"/>
              <w:left w:val="outset" w:color="auto" w:sz="6" w:space="0"/>
              <w:bottom w:val="outset" w:color="auto" w:sz="6" w:space="0"/>
              <w:right w:val="outset" w:color="auto" w:sz="6" w:space="0"/>
            </w:tcBorders>
            <w:vAlign w:val="bottom"/>
          </w:tcPr>
          <w:p w14:paraId="40BCB915">
            <w:pPr>
              <w:jc w:val="right"/>
              <w:textAlignment w:val="bottom"/>
              <w:rPr>
                <w:rFonts w:cs="Times New Roman"/>
              </w:rPr>
            </w:pPr>
            <w:r>
              <w:rPr>
                <w:rFonts w:eastAsia="Arial Narrow" w:cs="Times New Roman"/>
                <w:color w:val="000000"/>
                <w:lang w:bidi="ar"/>
              </w:rPr>
              <w:t>301,467,777.49</w:t>
            </w:r>
          </w:p>
        </w:tc>
      </w:tr>
      <w:tr w14:paraId="66CE46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452A6A4C">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其他非流动资产</w:t>
            </w:r>
          </w:p>
        </w:tc>
        <w:tc>
          <w:tcPr>
            <w:tcW w:w="484" w:type="pct"/>
            <w:tcBorders>
              <w:top w:val="outset" w:color="auto" w:sz="6" w:space="0"/>
              <w:left w:val="outset" w:color="auto" w:sz="6" w:space="0"/>
              <w:bottom w:val="outset" w:color="auto" w:sz="6" w:space="0"/>
              <w:right w:val="outset" w:color="auto" w:sz="6" w:space="0"/>
            </w:tcBorders>
            <w:vAlign w:val="center"/>
          </w:tcPr>
          <w:p w14:paraId="52E3BBA0">
            <w:pPr>
              <w:jc w:val="center"/>
              <w:rPr>
                <w:rFonts w:cs="Times New Roman"/>
              </w:rPr>
            </w:pPr>
            <w:r>
              <w:rPr>
                <w:rFonts w:cs="Times New Roman"/>
              </w:rPr>
              <w:t>七、30</w:t>
            </w:r>
          </w:p>
        </w:tc>
        <w:tc>
          <w:tcPr>
            <w:tcW w:w="1127" w:type="pct"/>
            <w:tcBorders>
              <w:top w:val="outset" w:color="auto" w:sz="6" w:space="0"/>
              <w:left w:val="outset" w:color="auto" w:sz="6" w:space="0"/>
              <w:bottom w:val="outset" w:color="auto" w:sz="6" w:space="0"/>
              <w:right w:val="outset" w:color="auto" w:sz="6" w:space="0"/>
            </w:tcBorders>
            <w:vAlign w:val="bottom"/>
          </w:tcPr>
          <w:p w14:paraId="3D6A5759">
            <w:pPr>
              <w:jc w:val="right"/>
              <w:textAlignment w:val="bottom"/>
              <w:rPr>
                <w:rFonts w:cs="Times New Roman"/>
              </w:rPr>
            </w:pPr>
            <w:r>
              <w:rPr>
                <w:rFonts w:eastAsia="Arial Narrow" w:cs="Times New Roman"/>
                <w:color w:val="000000"/>
                <w:lang w:bidi="ar"/>
              </w:rPr>
              <w:t>845,128,563.51</w:t>
            </w:r>
          </w:p>
        </w:tc>
        <w:tc>
          <w:tcPr>
            <w:tcW w:w="1140" w:type="pct"/>
            <w:tcBorders>
              <w:top w:val="outset" w:color="auto" w:sz="6" w:space="0"/>
              <w:left w:val="outset" w:color="auto" w:sz="6" w:space="0"/>
              <w:bottom w:val="outset" w:color="auto" w:sz="6" w:space="0"/>
              <w:right w:val="outset" w:color="auto" w:sz="6" w:space="0"/>
            </w:tcBorders>
            <w:vAlign w:val="bottom"/>
          </w:tcPr>
          <w:p w14:paraId="036E43CC">
            <w:pPr>
              <w:jc w:val="right"/>
              <w:textAlignment w:val="bottom"/>
              <w:rPr>
                <w:rFonts w:cs="Times New Roman"/>
              </w:rPr>
            </w:pPr>
            <w:r>
              <w:rPr>
                <w:rFonts w:eastAsia="Arial Narrow" w:cs="Times New Roman"/>
                <w:color w:val="000000"/>
                <w:lang w:bidi="ar"/>
              </w:rPr>
              <w:t>797,950,177.14</w:t>
            </w:r>
          </w:p>
        </w:tc>
      </w:tr>
      <w:tr w14:paraId="3314EF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442206CB">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非流动资产合计</w:t>
            </w:r>
          </w:p>
        </w:tc>
        <w:tc>
          <w:tcPr>
            <w:tcW w:w="484" w:type="pct"/>
            <w:tcBorders>
              <w:top w:val="outset" w:color="auto" w:sz="6" w:space="0"/>
              <w:left w:val="outset" w:color="auto" w:sz="6" w:space="0"/>
              <w:bottom w:val="outset" w:color="auto" w:sz="6" w:space="0"/>
              <w:right w:val="outset" w:color="auto" w:sz="6" w:space="0"/>
            </w:tcBorders>
            <w:vAlign w:val="center"/>
          </w:tcPr>
          <w:p w14:paraId="4877C596">
            <w:pPr>
              <w:rPr>
                <w:rFonts w:cs="Times New Roman"/>
              </w:rPr>
            </w:pPr>
          </w:p>
        </w:tc>
        <w:tc>
          <w:tcPr>
            <w:tcW w:w="1127" w:type="pct"/>
            <w:tcBorders>
              <w:top w:val="outset" w:color="auto" w:sz="6" w:space="0"/>
              <w:left w:val="outset" w:color="auto" w:sz="6" w:space="0"/>
              <w:bottom w:val="outset" w:color="auto" w:sz="6" w:space="0"/>
              <w:right w:val="outset" w:color="auto" w:sz="6" w:space="0"/>
            </w:tcBorders>
            <w:vAlign w:val="bottom"/>
          </w:tcPr>
          <w:p w14:paraId="27021FC3">
            <w:pPr>
              <w:jc w:val="right"/>
              <w:textAlignment w:val="bottom"/>
              <w:rPr>
                <w:rFonts w:cs="Times New Roman"/>
              </w:rPr>
            </w:pPr>
            <w:r>
              <w:rPr>
                <w:rFonts w:eastAsia="Arial Narrow" w:cs="Times New Roman"/>
                <w:color w:val="000000"/>
                <w:lang w:bidi="ar"/>
              </w:rPr>
              <w:t>8,910,681,277.75</w:t>
            </w:r>
          </w:p>
        </w:tc>
        <w:tc>
          <w:tcPr>
            <w:tcW w:w="1140" w:type="pct"/>
            <w:tcBorders>
              <w:top w:val="outset" w:color="auto" w:sz="6" w:space="0"/>
              <w:left w:val="outset" w:color="auto" w:sz="6" w:space="0"/>
              <w:bottom w:val="outset" w:color="auto" w:sz="6" w:space="0"/>
              <w:right w:val="outset" w:color="auto" w:sz="6" w:space="0"/>
            </w:tcBorders>
            <w:vAlign w:val="bottom"/>
          </w:tcPr>
          <w:p w14:paraId="0214577F">
            <w:pPr>
              <w:jc w:val="right"/>
              <w:textAlignment w:val="bottom"/>
              <w:rPr>
                <w:rFonts w:cs="Times New Roman"/>
              </w:rPr>
            </w:pPr>
            <w:r>
              <w:rPr>
                <w:rFonts w:eastAsia="Arial Narrow" w:cs="Times New Roman"/>
                <w:color w:val="000000"/>
                <w:lang w:bidi="ar"/>
              </w:rPr>
              <w:t>8,850,263,492.84</w:t>
            </w:r>
          </w:p>
        </w:tc>
      </w:tr>
      <w:tr w14:paraId="698DED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6287D667">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资产总计</w:t>
            </w:r>
          </w:p>
        </w:tc>
        <w:tc>
          <w:tcPr>
            <w:tcW w:w="484" w:type="pct"/>
            <w:tcBorders>
              <w:top w:val="outset" w:color="auto" w:sz="6" w:space="0"/>
              <w:left w:val="outset" w:color="auto" w:sz="6" w:space="0"/>
              <w:bottom w:val="outset" w:color="auto" w:sz="6" w:space="0"/>
              <w:right w:val="outset" w:color="auto" w:sz="6" w:space="0"/>
            </w:tcBorders>
            <w:vAlign w:val="center"/>
          </w:tcPr>
          <w:p w14:paraId="4224312D">
            <w:pPr>
              <w:rPr>
                <w:rFonts w:cs="Times New Roman"/>
              </w:rPr>
            </w:pPr>
          </w:p>
        </w:tc>
        <w:tc>
          <w:tcPr>
            <w:tcW w:w="1127" w:type="pct"/>
            <w:tcBorders>
              <w:top w:val="outset" w:color="auto" w:sz="6" w:space="0"/>
              <w:left w:val="outset" w:color="auto" w:sz="6" w:space="0"/>
              <w:bottom w:val="outset" w:color="auto" w:sz="6" w:space="0"/>
              <w:right w:val="outset" w:color="auto" w:sz="6" w:space="0"/>
            </w:tcBorders>
            <w:vAlign w:val="bottom"/>
          </w:tcPr>
          <w:p w14:paraId="4FF487AC">
            <w:pPr>
              <w:jc w:val="right"/>
              <w:textAlignment w:val="bottom"/>
              <w:rPr>
                <w:rFonts w:cs="Times New Roman"/>
              </w:rPr>
            </w:pPr>
            <w:r>
              <w:rPr>
                <w:rFonts w:eastAsia="Arial Narrow" w:cs="Times New Roman"/>
                <w:color w:val="000000"/>
                <w:lang w:bidi="ar"/>
              </w:rPr>
              <w:t>21,663,866,816.93</w:t>
            </w:r>
          </w:p>
        </w:tc>
        <w:tc>
          <w:tcPr>
            <w:tcW w:w="1140" w:type="pct"/>
            <w:tcBorders>
              <w:top w:val="outset" w:color="auto" w:sz="6" w:space="0"/>
              <w:left w:val="outset" w:color="auto" w:sz="6" w:space="0"/>
              <w:bottom w:val="outset" w:color="auto" w:sz="6" w:space="0"/>
              <w:right w:val="outset" w:color="auto" w:sz="6" w:space="0"/>
            </w:tcBorders>
            <w:vAlign w:val="bottom"/>
          </w:tcPr>
          <w:p w14:paraId="2C769A42">
            <w:pPr>
              <w:jc w:val="right"/>
              <w:textAlignment w:val="bottom"/>
              <w:rPr>
                <w:rFonts w:cs="Times New Roman"/>
              </w:rPr>
            </w:pPr>
            <w:r>
              <w:rPr>
                <w:rFonts w:eastAsia="Arial Narrow" w:cs="Times New Roman"/>
                <w:color w:val="000000"/>
                <w:lang w:bidi="ar"/>
              </w:rPr>
              <w:t>21,172,865,094.07</w:t>
            </w:r>
          </w:p>
        </w:tc>
      </w:tr>
      <w:tr w14:paraId="3273F3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cs="Times New Roman"/>
            </w:rPr>
            <w:tag w:val="_PLD_9375d0f637964c329fb26d2b4f648745"/>
            <w:id w:val="147475384"/>
          </w:sdtPr>
          <w:sdtEndPr>
            <w:rPr>
              <w:rFonts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664F39A4">
                <w:pPr>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流动负债：</w:t>
                </w:r>
              </w:p>
            </w:tc>
          </w:sdtContent>
        </w:sdt>
      </w:tr>
      <w:tr w14:paraId="6B0DB0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4D8E4D73">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短期借款</w:t>
            </w:r>
          </w:p>
        </w:tc>
        <w:tc>
          <w:tcPr>
            <w:tcW w:w="484" w:type="pct"/>
            <w:tcBorders>
              <w:top w:val="outset" w:color="auto" w:sz="6" w:space="0"/>
              <w:left w:val="outset" w:color="auto" w:sz="6" w:space="0"/>
              <w:bottom w:val="outset" w:color="auto" w:sz="6" w:space="0"/>
              <w:right w:val="outset" w:color="auto" w:sz="6" w:space="0"/>
            </w:tcBorders>
            <w:vAlign w:val="center"/>
          </w:tcPr>
          <w:p w14:paraId="63530BD8">
            <w:pPr>
              <w:jc w:val="center"/>
              <w:rPr>
                <w:rFonts w:cs="Times New Roman"/>
              </w:rPr>
            </w:pPr>
            <w:r>
              <w:rPr>
                <w:rFonts w:cs="Times New Roman"/>
              </w:rPr>
              <w:t>七、32</w:t>
            </w:r>
          </w:p>
        </w:tc>
        <w:tc>
          <w:tcPr>
            <w:tcW w:w="1127" w:type="pct"/>
            <w:tcBorders>
              <w:top w:val="outset" w:color="auto" w:sz="6" w:space="0"/>
              <w:left w:val="outset" w:color="auto" w:sz="6" w:space="0"/>
              <w:bottom w:val="outset" w:color="auto" w:sz="6" w:space="0"/>
              <w:right w:val="outset" w:color="auto" w:sz="6" w:space="0"/>
            </w:tcBorders>
            <w:vAlign w:val="bottom"/>
          </w:tcPr>
          <w:p w14:paraId="3A573E85">
            <w:pPr>
              <w:jc w:val="right"/>
              <w:textAlignment w:val="bottom"/>
              <w:rPr>
                <w:rFonts w:cs="Times New Roman"/>
              </w:rPr>
            </w:pPr>
            <w:r>
              <w:rPr>
                <w:rFonts w:eastAsia="Arial Narrow" w:cs="Times New Roman"/>
                <w:color w:val="000000"/>
                <w:lang w:bidi="ar"/>
              </w:rPr>
              <w:t>289,520,293.40</w:t>
            </w:r>
          </w:p>
        </w:tc>
        <w:tc>
          <w:tcPr>
            <w:tcW w:w="1140" w:type="pct"/>
            <w:tcBorders>
              <w:top w:val="outset" w:color="auto" w:sz="6" w:space="0"/>
              <w:left w:val="outset" w:color="auto" w:sz="6" w:space="0"/>
              <w:bottom w:val="outset" w:color="auto" w:sz="6" w:space="0"/>
              <w:right w:val="outset" w:color="auto" w:sz="6" w:space="0"/>
            </w:tcBorders>
            <w:vAlign w:val="bottom"/>
          </w:tcPr>
          <w:p w14:paraId="7FB1B8AA">
            <w:pPr>
              <w:jc w:val="right"/>
              <w:textAlignment w:val="bottom"/>
              <w:rPr>
                <w:rFonts w:cs="Times New Roman"/>
              </w:rPr>
            </w:pPr>
            <w:r>
              <w:rPr>
                <w:rFonts w:eastAsia="Arial Narrow" w:cs="Times New Roman"/>
                <w:color w:val="000000"/>
                <w:lang w:bidi="ar"/>
              </w:rPr>
              <w:t>440,186,330.50</w:t>
            </w:r>
          </w:p>
        </w:tc>
      </w:tr>
      <w:tr w14:paraId="47A586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3F48A54D">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应付票据</w:t>
            </w:r>
          </w:p>
        </w:tc>
        <w:tc>
          <w:tcPr>
            <w:tcW w:w="484" w:type="pct"/>
            <w:tcBorders>
              <w:top w:val="outset" w:color="auto" w:sz="6" w:space="0"/>
              <w:left w:val="outset" w:color="auto" w:sz="6" w:space="0"/>
              <w:bottom w:val="outset" w:color="auto" w:sz="6" w:space="0"/>
              <w:right w:val="outset" w:color="auto" w:sz="6" w:space="0"/>
            </w:tcBorders>
            <w:vAlign w:val="center"/>
          </w:tcPr>
          <w:p w14:paraId="0DA8B761">
            <w:pPr>
              <w:jc w:val="center"/>
              <w:rPr>
                <w:rFonts w:cs="Times New Roman"/>
              </w:rPr>
            </w:pPr>
            <w:r>
              <w:rPr>
                <w:rFonts w:cs="Times New Roman"/>
              </w:rPr>
              <w:t>七、35</w:t>
            </w:r>
          </w:p>
        </w:tc>
        <w:tc>
          <w:tcPr>
            <w:tcW w:w="1127" w:type="pct"/>
            <w:tcBorders>
              <w:top w:val="outset" w:color="auto" w:sz="6" w:space="0"/>
              <w:left w:val="outset" w:color="auto" w:sz="6" w:space="0"/>
              <w:bottom w:val="outset" w:color="auto" w:sz="6" w:space="0"/>
              <w:right w:val="outset" w:color="auto" w:sz="6" w:space="0"/>
            </w:tcBorders>
            <w:vAlign w:val="bottom"/>
          </w:tcPr>
          <w:p w14:paraId="06CF7DD8">
            <w:pPr>
              <w:jc w:val="right"/>
              <w:textAlignment w:val="bottom"/>
              <w:rPr>
                <w:rFonts w:cs="Times New Roman"/>
              </w:rPr>
            </w:pPr>
            <w:r>
              <w:rPr>
                <w:rFonts w:eastAsia="Arial Narrow" w:cs="Times New Roman"/>
                <w:color w:val="000000"/>
                <w:lang w:bidi="ar"/>
              </w:rPr>
              <w:t>365,918,903.78</w:t>
            </w:r>
          </w:p>
        </w:tc>
        <w:tc>
          <w:tcPr>
            <w:tcW w:w="1140" w:type="pct"/>
            <w:tcBorders>
              <w:top w:val="outset" w:color="auto" w:sz="6" w:space="0"/>
              <w:left w:val="outset" w:color="auto" w:sz="6" w:space="0"/>
              <w:bottom w:val="outset" w:color="auto" w:sz="6" w:space="0"/>
              <w:right w:val="outset" w:color="auto" w:sz="6" w:space="0"/>
            </w:tcBorders>
            <w:vAlign w:val="bottom"/>
          </w:tcPr>
          <w:p w14:paraId="4A1CE22A">
            <w:pPr>
              <w:jc w:val="right"/>
              <w:textAlignment w:val="bottom"/>
              <w:rPr>
                <w:rFonts w:cs="Times New Roman"/>
              </w:rPr>
            </w:pPr>
            <w:r>
              <w:rPr>
                <w:rFonts w:eastAsia="Arial Narrow" w:cs="Times New Roman"/>
                <w:color w:val="000000"/>
                <w:lang w:bidi="ar"/>
              </w:rPr>
              <w:t>557,291,516.18</w:t>
            </w:r>
          </w:p>
        </w:tc>
      </w:tr>
      <w:tr w14:paraId="4931FD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203D61E7">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应付账款</w:t>
            </w:r>
          </w:p>
        </w:tc>
        <w:tc>
          <w:tcPr>
            <w:tcW w:w="484" w:type="pct"/>
            <w:tcBorders>
              <w:top w:val="outset" w:color="auto" w:sz="6" w:space="0"/>
              <w:left w:val="outset" w:color="auto" w:sz="6" w:space="0"/>
              <w:bottom w:val="outset" w:color="auto" w:sz="6" w:space="0"/>
              <w:right w:val="outset" w:color="auto" w:sz="6" w:space="0"/>
            </w:tcBorders>
            <w:vAlign w:val="center"/>
          </w:tcPr>
          <w:p w14:paraId="7F6360A1">
            <w:pPr>
              <w:jc w:val="center"/>
              <w:rPr>
                <w:rFonts w:cs="Times New Roman"/>
              </w:rPr>
            </w:pPr>
            <w:r>
              <w:rPr>
                <w:rFonts w:cs="Times New Roman"/>
              </w:rPr>
              <w:t>七、36</w:t>
            </w:r>
          </w:p>
        </w:tc>
        <w:tc>
          <w:tcPr>
            <w:tcW w:w="1127" w:type="pct"/>
            <w:tcBorders>
              <w:top w:val="outset" w:color="auto" w:sz="6" w:space="0"/>
              <w:left w:val="outset" w:color="auto" w:sz="6" w:space="0"/>
              <w:bottom w:val="outset" w:color="auto" w:sz="6" w:space="0"/>
              <w:right w:val="outset" w:color="auto" w:sz="6" w:space="0"/>
            </w:tcBorders>
            <w:vAlign w:val="bottom"/>
          </w:tcPr>
          <w:p w14:paraId="4989C321">
            <w:pPr>
              <w:jc w:val="right"/>
              <w:textAlignment w:val="bottom"/>
              <w:rPr>
                <w:rFonts w:cs="Times New Roman"/>
              </w:rPr>
            </w:pPr>
            <w:r>
              <w:rPr>
                <w:rFonts w:eastAsia="Arial Narrow" w:cs="Times New Roman"/>
                <w:color w:val="000000"/>
                <w:lang w:bidi="ar"/>
              </w:rPr>
              <w:t>2,461,080,100.16</w:t>
            </w:r>
          </w:p>
        </w:tc>
        <w:tc>
          <w:tcPr>
            <w:tcW w:w="1140" w:type="pct"/>
            <w:tcBorders>
              <w:top w:val="outset" w:color="auto" w:sz="6" w:space="0"/>
              <w:left w:val="outset" w:color="auto" w:sz="6" w:space="0"/>
              <w:bottom w:val="outset" w:color="auto" w:sz="6" w:space="0"/>
              <w:right w:val="outset" w:color="auto" w:sz="6" w:space="0"/>
            </w:tcBorders>
            <w:vAlign w:val="bottom"/>
          </w:tcPr>
          <w:p w14:paraId="2871925C">
            <w:pPr>
              <w:jc w:val="right"/>
              <w:textAlignment w:val="bottom"/>
              <w:rPr>
                <w:rFonts w:cs="Times New Roman"/>
              </w:rPr>
            </w:pPr>
            <w:r>
              <w:rPr>
                <w:rFonts w:eastAsia="Arial Narrow" w:cs="Times New Roman"/>
                <w:color w:val="000000"/>
                <w:lang w:bidi="ar"/>
              </w:rPr>
              <w:t>3,253,056,965.76</w:t>
            </w:r>
          </w:p>
        </w:tc>
      </w:tr>
      <w:tr w14:paraId="52EC33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18BEEB9E">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预收款项</w:t>
            </w:r>
          </w:p>
        </w:tc>
        <w:tc>
          <w:tcPr>
            <w:tcW w:w="484" w:type="pct"/>
            <w:tcBorders>
              <w:top w:val="outset" w:color="auto" w:sz="6" w:space="0"/>
              <w:left w:val="outset" w:color="auto" w:sz="6" w:space="0"/>
              <w:bottom w:val="outset" w:color="auto" w:sz="6" w:space="0"/>
              <w:right w:val="outset" w:color="auto" w:sz="6" w:space="0"/>
            </w:tcBorders>
            <w:vAlign w:val="center"/>
          </w:tcPr>
          <w:p w14:paraId="54C3ADB0">
            <w:pPr>
              <w:jc w:val="center"/>
              <w:rPr>
                <w:rFonts w:cs="Times New Roman"/>
              </w:rPr>
            </w:pPr>
            <w:r>
              <w:rPr>
                <w:rFonts w:cs="Times New Roman"/>
              </w:rPr>
              <w:t>七、37</w:t>
            </w:r>
          </w:p>
        </w:tc>
        <w:tc>
          <w:tcPr>
            <w:tcW w:w="1127" w:type="pct"/>
            <w:tcBorders>
              <w:top w:val="outset" w:color="auto" w:sz="6" w:space="0"/>
              <w:left w:val="outset" w:color="auto" w:sz="6" w:space="0"/>
              <w:bottom w:val="outset" w:color="auto" w:sz="6" w:space="0"/>
              <w:right w:val="outset" w:color="auto" w:sz="6" w:space="0"/>
            </w:tcBorders>
            <w:vAlign w:val="bottom"/>
          </w:tcPr>
          <w:p w14:paraId="5F025A0F">
            <w:pPr>
              <w:jc w:val="right"/>
              <w:textAlignment w:val="bottom"/>
              <w:rPr>
                <w:rFonts w:cs="Times New Roman"/>
              </w:rPr>
            </w:pPr>
            <w:r>
              <w:rPr>
                <w:rFonts w:eastAsia="Arial Narrow" w:cs="Times New Roman"/>
                <w:color w:val="000000"/>
                <w:lang w:bidi="ar"/>
              </w:rPr>
              <w:t>19,861,549.47</w:t>
            </w:r>
          </w:p>
        </w:tc>
        <w:tc>
          <w:tcPr>
            <w:tcW w:w="1140" w:type="pct"/>
            <w:tcBorders>
              <w:top w:val="outset" w:color="auto" w:sz="6" w:space="0"/>
              <w:left w:val="outset" w:color="auto" w:sz="6" w:space="0"/>
              <w:bottom w:val="outset" w:color="auto" w:sz="6" w:space="0"/>
              <w:right w:val="outset" w:color="auto" w:sz="6" w:space="0"/>
            </w:tcBorders>
            <w:vAlign w:val="bottom"/>
          </w:tcPr>
          <w:p w14:paraId="0BC3F6B4">
            <w:pPr>
              <w:jc w:val="right"/>
              <w:textAlignment w:val="bottom"/>
              <w:rPr>
                <w:rFonts w:cs="Times New Roman"/>
              </w:rPr>
            </w:pPr>
            <w:r>
              <w:rPr>
                <w:rFonts w:eastAsia="Arial Narrow" w:cs="Times New Roman"/>
                <w:color w:val="000000"/>
                <w:lang w:bidi="ar"/>
              </w:rPr>
              <w:t>30,609,636.04</w:t>
            </w:r>
          </w:p>
        </w:tc>
      </w:tr>
      <w:tr w14:paraId="1FCB7E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7DCAF12A">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合同负债</w:t>
            </w:r>
          </w:p>
        </w:tc>
        <w:tc>
          <w:tcPr>
            <w:tcW w:w="484" w:type="pct"/>
            <w:tcBorders>
              <w:top w:val="outset" w:color="auto" w:sz="6" w:space="0"/>
              <w:left w:val="outset" w:color="auto" w:sz="6" w:space="0"/>
              <w:bottom w:val="outset" w:color="auto" w:sz="6" w:space="0"/>
              <w:right w:val="outset" w:color="auto" w:sz="6" w:space="0"/>
            </w:tcBorders>
            <w:vAlign w:val="center"/>
          </w:tcPr>
          <w:p w14:paraId="3AA531B5">
            <w:pPr>
              <w:jc w:val="center"/>
              <w:rPr>
                <w:rFonts w:cs="Times New Roman"/>
              </w:rPr>
            </w:pPr>
            <w:r>
              <w:rPr>
                <w:rFonts w:cs="Times New Roman"/>
              </w:rPr>
              <w:t>七、38</w:t>
            </w:r>
          </w:p>
        </w:tc>
        <w:tc>
          <w:tcPr>
            <w:tcW w:w="1127" w:type="pct"/>
            <w:tcBorders>
              <w:top w:val="outset" w:color="auto" w:sz="6" w:space="0"/>
              <w:left w:val="outset" w:color="auto" w:sz="6" w:space="0"/>
              <w:bottom w:val="outset" w:color="auto" w:sz="6" w:space="0"/>
              <w:right w:val="outset" w:color="auto" w:sz="6" w:space="0"/>
            </w:tcBorders>
            <w:vAlign w:val="bottom"/>
          </w:tcPr>
          <w:p w14:paraId="6FF7591C">
            <w:pPr>
              <w:jc w:val="right"/>
              <w:textAlignment w:val="bottom"/>
              <w:rPr>
                <w:rFonts w:cs="Times New Roman"/>
              </w:rPr>
            </w:pPr>
            <w:r>
              <w:rPr>
                <w:rFonts w:eastAsia="Arial Narrow" w:cs="Times New Roman"/>
                <w:color w:val="000000"/>
                <w:lang w:bidi="ar"/>
              </w:rPr>
              <w:t>935,927,353.59</w:t>
            </w:r>
          </w:p>
        </w:tc>
        <w:tc>
          <w:tcPr>
            <w:tcW w:w="1140" w:type="pct"/>
            <w:tcBorders>
              <w:top w:val="outset" w:color="auto" w:sz="6" w:space="0"/>
              <w:left w:val="outset" w:color="auto" w:sz="6" w:space="0"/>
              <w:bottom w:val="outset" w:color="auto" w:sz="6" w:space="0"/>
              <w:right w:val="outset" w:color="auto" w:sz="6" w:space="0"/>
            </w:tcBorders>
            <w:vAlign w:val="bottom"/>
          </w:tcPr>
          <w:p w14:paraId="4147A88B">
            <w:pPr>
              <w:jc w:val="right"/>
              <w:textAlignment w:val="bottom"/>
              <w:rPr>
                <w:rFonts w:cs="Times New Roman"/>
              </w:rPr>
            </w:pPr>
            <w:r>
              <w:rPr>
                <w:rFonts w:eastAsia="Arial Narrow" w:cs="Times New Roman"/>
                <w:color w:val="000000"/>
                <w:lang w:bidi="ar"/>
              </w:rPr>
              <w:t>942,396,950.28</w:t>
            </w:r>
          </w:p>
        </w:tc>
      </w:tr>
      <w:tr w14:paraId="0982A1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06C2685C">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应付职工薪酬</w:t>
            </w:r>
          </w:p>
        </w:tc>
        <w:tc>
          <w:tcPr>
            <w:tcW w:w="484" w:type="pct"/>
            <w:tcBorders>
              <w:top w:val="outset" w:color="auto" w:sz="6" w:space="0"/>
              <w:left w:val="outset" w:color="auto" w:sz="6" w:space="0"/>
              <w:bottom w:val="outset" w:color="auto" w:sz="6" w:space="0"/>
              <w:right w:val="outset" w:color="auto" w:sz="6" w:space="0"/>
            </w:tcBorders>
            <w:vAlign w:val="center"/>
          </w:tcPr>
          <w:p w14:paraId="7C70E4A3">
            <w:pPr>
              <w:jc w:val="center"/>
              <w:rPr>
                <w:rFonts w:cs="Times New Roman"/>
              </w:rPr>
            </w:pPr>
            <w:r>
              <w:rPr>
                <w:rFonts w:cs="Times New Roman"/>
              </w:rPr>
              <w:t>七、39</w:t>
            </w:r>
          </w:p>
        </w:tc>
        <w:tc>
          <w:tcPr>
            <w:tcW w:w="1127" w:type="pct"/>
            <w:tcBorders>
              <w:top w:val="outset" w:color="auto" w:sz="6" w:space="0"/>
              <w:left w:val="outset" w:color="auto" w:sz="6" w:space="0"/>
              <w:bottom w:val="outset" w:color="auto" w:sz="6" w:space="0"/>
              <w:right w:val="outset" w:color="auto" w:sz="6" w:space="0"/>
            </w:tcBorders>
            <w:vAlign w:val="bottom"/>
          </w:tcPr>
          <w:p w14:paraId="4C20E2A9">
            <w:pPr>
              <w:jc w:val="right"/>
              <w:textAlignment w:val="bottom"/>
              <w:rPr>
                <w:rFonts w:cs="Times New Roman"/>
              </w:rPr>
            </w:pPr>
            <w:r>
              <w:rPr>
                <w:rFonts w:eastAsia="Arial Narrow" w:cs="Times New Roman"/>
                <w:color w:val="000000"/>
                <w:lang w:bidi="ar"/>
              </w:rPr>
              <w:t>160,504,276.21</w:t>
            </w:r>
          </w:p>
        </w:tc>
        <w:tc>
          <w:tcPr>
            <w:tcW w:w="1140" w:type="pct"/>
            <w:tcBorders>
              <w:top w:val="outset" w:color="auto" w:sz="6" w:space="0"/>
              <w:left w:val="outset" w:color="auto" w:sz="6" w:space="0"/>
              <w:bottom w:val="outset" w:color="auto" w:sz="6" w:space="0"/>
              <w:right w:val="outset" w:color="auto" w:sz="6" w:space="0"/>
            </w:tcBorders>
            <w:vAlign w:val="bottom"/>
          </w:tcPr>
          <w:p w14:paraId="3A0D230B">
            <w:pPr>
              <w:jc w:val="right"/>
              <w:textAlignment w:val="bottom"/>
              <w:rPr>
                <w:rFonts w:cs="Times New Roman"/>
              </w:rPr>
            </w:pPr>
            <w:r>
              <w:rPr>
                <w:rFonts w:eastAsia="Arial Narrow" w:cs="Times New Roman"/>
                <w:color w:val="000000"/>
                <w:lang w:bidi="ar"/>
              </w:rPr>
              <w:t>296,149,933.94</w:t>
            </w:r>
          </w:p>
        </w:tc>
      </w:tr>
      <w:tr w14:paraId="076D9D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06EF69E7">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应交税费</w:t>
            </w:r>
          </w:p>
        </w:tc>
        <w:tc>
          <w:tcPr>
            <w:tcW w:w="484" w:type="pct"/>
            <w:tcBorders>
              <w:top w:val="outset" w:color="auto" w:sz="6" w:space="0"/>
              <w:left w:val="outset" w:color="auto" w:sz="6" w:space="0"/>
              <w:bottom w:val="outset" w:color="auto" w:sz="6" w:space="0"/>
              <w:right w:val="outset" w:color="auto" w:sz="6" w:space="0"/>
            </w:tcBorders>
            <w:vAlign w:val="center"/>
          </w:tcPr>
          <w:p w14:paraId="1C6AA3A5">
            <w:pPr>
              <w:jc w:val="center"/>
              <w:rPr>
                <w:rFonts w:cs="Times New Roman"/>
              </w:rPr>
            </w:pPr>
            <w:r>
              <w:rPr>
                <w:rFonts w:cs="Times New Roman"/>
              </w:rPr>
              <w:t>七、40</w:t>
            </w:r>
          </w:p>
        </w:tc>
        <w:tc>
          <w:tcPr>
            <w:tcW w:w="1127" w:type="pct"/>
            <w:tcBorders>
              <w:top w:val="outset" w:color="auto" w:sz="6" w:space="0"/>
              <w:left w:val="outset" w:color="auto" w:sz="6" w:space="0"/>
              <w:bottom w:val="outset" w:color="auto" w:sz="6" w:space="0"/>
              <w:right w:val="outset" w:color="auto" w:sz="6" w:space="0"/>
            </w:tcBorders>
            <w:vAlign w:val="bottom"/>
          </w:tcPr>
          <w:p w14:paraId="33AEF192">
            <w:pPr>
              <w:jc w:val="right"/>
              <w:textAlignment w:val="bottom"/>
              <w:rPr>
                <w:rFonts w:cs="Times New Roman"/>
              </w:rPr>
            </w:pPr>
            <w:r>
              <w:rPr>
                <w:rFonts w:eastAsia="Arial Narrow" w:cs="Times New Roman"/>
                <w:color w:val="000000"/>
                <w:lang w:bidi="ar"/>
              </w:rPr>
              <w:t>109,264,675.17</w:t>
            </w:r>
          </w:p>
        </w:tc>
        <w:tc>
          <w:tcPr>
            <w:tcW w:w="1140" w:type="pct"/>
            <w:tcBorders>
              <w:top w:val="outset" w:color="auto" w:sz="6" w:space="0"/>
              <w:left w:val="outset" w:color="auto" w:sz="6" w:space="0"/>
              <w:bottom w:val="outset" w:color="auto" w:sz="6" w:space="0"/>
              <w:right w:val="outset" w:color="auto" w:sz="6" w:space="0"/>
            </w:tcBorders>
            <w:vAlign w:val="bottom"/>
          </w:tcPr>
          <w:p w14:paraId="2E55DF47">
            <w:pPr>
              <w:jc w:val="right"/>
              <w:textAlignment w:val="bottom"/>
              <w:rPr>
                <w:rFonts w:cs="Times New Roman"/>
              </w:rPr>
            </w:pPr>
            <w:r>
              <w:rPr>
                <w:rFonts w:eastAsia="Arial Narrow" w:cs="Times New Roman"/>
                <w:color w:val="000000"/>
                <w:lang w:bidi="ar"/>
              </w:rPr>
              <w:t>138,968,721.20</w:t>
            </w:r>
          </w:p>
        </w:tc>
      </w:tr>
      <w:tr w14:paraId="0E9561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1CCCBABD">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其他应付款</w:t>
            </w:r>
          </w:p>
        </w:tc>
        <w:tc>
          <w:tcPr>
            <w:tcW w:w="484" w:type="pct"/>
            <w:tcBorders>
              <w:top w:val="outset" w:color="auto" w:sz="6" w:space="0"/>
              <w:left w:val="outset" w:color="auto" w:sz="6" w:space="0"/>
              <w:bottom w:val="outset" w:color="auto" w:sz="6" w:space="0"/>
              <w:right w:val="outset" w:color="auto" w:sz="6" w:space="0"/>
            </w:tcBorders>
            <w:vAlign w:val="center"/>
          </w:tcPr>
          <w:p w14:paraId="785FCBBC">
            <w:pPr>
              <w:jc w:val="center"/>
              <w:rPr>
                <w:rFonts w:cs="Times New Roman"/>
              </w:rPr>
            </w:pPr>
            <w:r>
              <w:rPr>
                <w:rFonts w:cs="Times New Roman"/>
              </w:rPr>
              <w:t>七、41</w:t>
            </w:r>
          </w:p>
        </w:tc>
        <w:tc>
          <w:tcPr>
            <w:tcW w:w="1127" w:type="pct"/>
            <w:tcBorders>
              <w:top w:val="outset" w:color="auto" w:sz="6" w:space="0"/>
              <w:left w:val="outset" w:color="auto" w:sz="6" w:space="0"/>
              <w:bottom w:val="outset" w:color="auto" w:sz="6" w:space="0"/>
              <w:right w:val="outset" w:color="auto" w:sz="6" w:space="0"/>
            </w:tcBorders>
            <w:vAlign w:val="bottom"/>
          </w:tcPr>
          <w:p w14:paraId="06ADDCB8">
            <w:pPr>
              <w:jc w:val="right"/>
              <w:textAlignment w:val="bottom"/>
              <w:rPr>
                <w:rFonts w:cs="Times New Roman"/>
              </w:rPr>
            </w:pPr>
            <w:r>
              <w:rPr>
                <w:rFonts w:eastAsia="Arial Narrow" w:cs="Times New Roman"/>
                <w:color w:val="000000"/>
                <w:lang w:bidi="ar"/>
              </w:rPr>
              <w:t>944,679,877.34</w:t>
            </w:r>
          </w:p>
        </w:tc>
        <w:tc>
          <w:tcPr>
            <w:tcW w:w="1140" w:type="pct"/>
            <w:tcBorders>
              <w:top w:val="outset" w:color="auto" w:sz="6" w:space="0"/>
              <w:left w:val="outset" w:color="auto" w:sz="6" w:space="0"/>
              <w:bottom w:val="outset" w:color="auto" w:sz="6" w:space="0"/>
              <w:right w:val="outset" w:color="auto" w:sz="6" w:space="0"/>
            </w:tcBorders>
            <w:vAlign w:val="bottom"/>
          </w:tcPr>
          <w:p w14:paraId="6A1D604B">
            <w:pPr>
              <w:jc w:val="right"/>
              <w:textAlignment w:val="bottom"/>
              <w:rPr>
                <w:rFonts w:cs="Times New Roman"/>
              </w:rPr>
            </w:pPr>
            <w:r>
              <w:rPr>
                <w:rFonts w:eastAsia="Arial Narrow" w:cs="Times New Roman"/>
                <w:color w:val="000000"/>
                <w:lang w:bidi="ar"/>
              </w:rPr>
              <w:t>958,381,409.24</w:t>
            </w:r>
          </w:p>
        </w:tc>
      </w:tr>
      <w:tr w14:paraId="589B4F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32853E5D">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其中：应付利息</w:t>
            </w:r>
          </w:p>
        </w:tc>
        <w:tc>
          <w:tcPr>
            <w:tcW w:w="484" w:type="pct"/>
            <w:tcBorders>
              <w:top w:val="outset" w:color="auto" w:sz="6" w:space="0"/>
              <w:left w:val="outset" w:color="auto" w:sz="6" w:space="0"/>
              <w:bottom w:val="outset" w:color="auto" w:sz="6" w:space="0"/>
              <w:right w:val="outset" w:color="auto" w:sz="6" w:space="0"/>
            </w:tcBorders>
            <w:vAlign w:val="center"/>
          </w:tcPr>
          <w:p w14:paraId="7B807814">
            <w:pPr>
              <w:jc w:val="center"/>
              <w:rPr>
                <w:rFonts w:cs="Times New Roman"/>
              </w:rPr>
            </w:pPr>
            <w:r>
              <w:rPr>
                <w:rFonts w:cs="Times New Roman"/>
              </w:rPr>
              <w:t>七、41</w:t>
            </w:r>
          </w:p>
        </w:tc>
        <w:tc>
          <w:tcPr>
            <w:tcW w:w="1127" w:type="pct"/>
            <w:tcBorders>
              <w:top w:val="outset" w:color="auto" w:sz="6" w:space="0"/>
              <w:left w:val="outset" w:color="auto" w:sz="6" w:space="0"/>
              <w:bottom w:val="outset" w:color="auto" w:sz="6" w:space="0"/>
              <w:right w:val="outset" w:color="auto" w:sz="6" w:space="0"/>
            </w:tcBorders>
            <w:vAlign w:val="bottom"/>
          </w:tcPr>
          <w:p w14:paraId="35ECF04B">
            <w:pPr>
              <w:jc w:val="right"/>
              <w:rPr>
                <w:rFonts w:cs="Times New Roman"/>
              </w:rPr>
            </w:pPr>
          </w:p>
        </w:tc>
        <w:tc>
          <w:tcPr>
            <w:tcW w:w="1140" w:type="pct"/>
            <w:tcBorders>
              <w:top w:val="outset" w:color="auto" w:sz="6" w:space="0"/>
              <w:left w:val="outset" w:color="auto" w:sz="6" w:space="0"/>
              <w:bottom w:val="outset" w:color="auto" w:sz="6" w:space="0"/>
              <w:right w:val="outset" w:color="auto" w:sz="6" w:space="0"/>
            </w:tcBorders>
            <w:vAlign w:val="bottom"/>
          </w:tcPr>
          <w:p w14:paraId="5F4D4BF8">
            <w:pPr>
              <w:jc w:val="right"/>
              <w:rPr>
                <w:rFonts w:cs="Times New Roman"/>
              </w:rPr>
            </w:pPr>
          </w:p>
        </w:tc>
      </w:tr>
      <w:tr w14:paraId="2FF7FF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2B12406B">
            <w:pPr>
              <w:ind w:firstLine="840" w:firstLineChars="4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应付股利</w:t>
            </w:r>
          </w:p>
        </w:tc>
        <w:tc>
          <w:tcPr>
            <w:tcW w:w="484" w:type="pct"/>
            <w:tcBorders>
              <w:top w:val="outset" w:color="auto" w:sz="6" w:space="0"/>
              <w:left w:val="outset" w:color="auto" w:sz="6" w:space="0"/>
              <w:bottom w:val="outset" w:color="auto" w:sz="6" w:space="0"/>
              <w:right w:val="outset" w:color="auto" w:sz="6" w:space="0"/>
            </w:tcBorders>
            <w:vAlign w:val="center"/>
          </w:tcPr>
          <w:p w14:paraId="469060A1">
            <w:pPr>
              <w:jc w:val="center"/>
              <w:rPr>
                <w:rFonts w:cs="Times New Roman"/>
              </w:rPr>
            </w:pPr>
            <w:r>
              <w:rPr>
                <w:rFonts w:cs="Times New Roman"/>
              </w:rPr>
              <w:t>七、41</w:t>
            </w:r>
          </w:p>
        </w:tc>
        <w:tc>
          <w:tcPr>
            <w:tcW w:w="1127" w:type="pct"/>
            <w:tcBorders>
              <w:top w:val="outset" w:color="auto" w:sz="6" w:space="0"/>
              <w:left w:val="outset" w:color="auto" w:sz="6" w:space="0"/>
              <w:bottom w:val="outset" w:color="auto" w:sz="6" w:space="0"/>
              <w:right w:val="outset" w:color="auto" w:sz="6" w:space="0"/>
            </w:tcBorders>
            <w:vAlign w:val="bottom"/>
          </w:tcPr>
          <w:p w14:paraId="647C571E">
            <w:pPr>
              <w:jc w:val="right"/>
              <w:rPr>
                <w:rFonts w:cs="Times New Roman"/>
              </w:rPr>
            </w:pPr>
          </w:p>
        </w:tc>
        <w:tc>
          <w:tcPr>
            <w:tcW w:w="1140" w:type="pct"/>
            <w:tcBorders>
              <w:top w:val="outset" w:color="auto" w:sz="6" w:space="0"/>
              <w:left w:val="outset" w:color="auto" w:sz="6" w:space="0"/>
              <w:bottom w:val="outset" w:color="auto" w:sz="6" w:space="0"/>
              <w:right w:val="outset" w:color="auto" w:sz="6" w:space="0"/>
            </w:tcBorders>
            <w:vAlign w:val="bottom"/>
          </w:tcPr>
          <w:p w14:paraId="3AEB4B75">
            <w:pPr>
              <w:jc w:val="right"/>
              <w:rPr>
                <w:rFonts w:cs="Times New Roman"/>
              </w:rPr>
            </w:pPr>
          </w:p>
        </w:tc>
      </w:tr>
      <w:tr w14:paraId="1DB165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7E31FC21">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一年内到期的非流动负债</w:t>
            </w:r>
          </w:p>
        </w:tc>
        <w:tc>
          <w:tcPr>
            <w:tcW w:w="484" w:type="pct"/>
            <w:tcBorders>
              <w:top w:val="outset" w:color="auto" w:sz="6" w:space="0"/>
              <w:left w:val="outset" w:color="auto" w:sz="6" w:space="0"/>
              <w:bottom w:val="outset" w:color="auto" w:sz="6" w:space="0"/>
              <w:right w:val="outset" w:color="auto" w:sz="6" w:space="0"/>
            </w:tcBorders>
            <w:vAlign w:val="center"/>
          </w:tcPr>
          <w:p w14:paraId="71732CBE">
            <w:pPr>
              <w:jc w:val="center"/>
              <w:rPr>
                <w:rFonts w:cs="Times New Roman"/>
              </w:rPr>
            </w:pPr>
            <w:r>
              <w:rPr>
                <w:rFonts w:cs="Times New Roman"/>
              </w:rPr>
              <w:t>七、43</w:t>
            </w:r>
          </w:p>
        </w:tc>
        <w:tc>
          <w:tcPr>
            <w:tcW w:w="1127" w:type="pct"/>
            <w:tcBorders>
              <w:top w:val="outset" w:color="auto" w:sz="6" w:space="0"/>
              <w:left w:val="outset" w:color="auto" w:sz="6" w:space="0"/>
              <w:bottom w:val="outset" w:color="auto" w:sz="6" w:space="0"/>
              <w:right w:val="outset" w:color="auto" w:sz="6" w:space="0"/>
            </w:tcBorders>
            <w:vAlign w:val="bottom"/>
          </w:tcPr>
          <w:p w14:paraId="441BB569">
            <w:pPr>
              <w:jc w:val="right"/>
              <w:textAlignment w:val="bottom"/>
              <w:rPr>
                <w:rFonts w:cs="Times New Roman"/>
              </w:rPr>
            </w:pPr>
            <w:r>
              <w:rPr>
                <w:rFonts w:eastAsia="Arial Narrow" w:cs="Times New Roman"/>
                <w:color w:val="000000"/>
                <w:lang w:bidi="ar"/>
              </w:rPr>
              <w:t>516,473,572.61</w:t>
            </w:r>
          </w:p>
        </w:tc>
        <w:tc>
          <w:tcPr>
            <w:tcW w:w="1140" w:type="pct"/>
            <w:tcBorders>
              <w:top w:val="outset" w:color="auto" w:sz="6" w:space="0"/>
              <w:left w:val="outset" w:color="auto" w:sz="6" w:space="0"/>
              <w:bottom w:val="outset" w:color="auto" w:sz="6" w:space="0"/>
              <w:right w:val="outset" w:color="auto" w:sz="6" w:space="0"/>
            </w:tcBorders>
            <w:vAlign w:val="bottom"/>
          </w:tcPr>
          <w:p w14:paraId="003E27E7">
            <w:pPr>
              <w:jc w:val="right"/>
              <w:textAlignment w:val="bottom"/>
              <w:rPr>
                <w:rFonts w:cs="Times New Roman"/>
              </w:rPr>
            </w:pPr>
            <w:r>
              <w:rPr>
                <w:rFonts w:eastAsia="Arial Narrow" w:cs="Times New Roman"/>
                <w:color w:val="000000"/>
                <w:lang w:bidi="ar"/>
              </w:rPr>
              <w:t>54,024,318.29</w:t>
            </w:r>
          </w:p>
        </w:tc>
      </w:tr>
      <w:tr w14:paraId="6D472F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154C66CE">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其他流动负债</w:t>
            </w:r>
          </w:p>
        </w:tc>
        <w:tc>
          <w:tcPr>
            <w:tcW w:w="484" w:type="pct"/>
            <w:tcBorders>
              <w:top w:val="outset" w:color="auto" w:sz="6" w:space="0"/>
              <w:left w:val="outset" w:color="auto" w:sz="6" w:space="0"/>
              <w:bottom w:val="outset" w:color="auto" w:sz="6" w:space="0"/>
              <w:right w:val="outset" w:color="auto" w:sz="6" w:space="0"/>
            </w:tcBorders>
            <w:vAlign w:val="center"/>
          </w:tcPr>
          <w:p w14:paraId="556806D4">
            <w:pPr>
              <w:jc w:val="center"/>
              <w:rPr>
                <w:rFonts w:cs="Times New Roman"/>
              </w:rPr>
            </w:pPr>
            <w:r>
              <w:rPr>
                <w:rFonts w:cs="Times New Roman"/>
              </w:rPr>
              <w:t>七、44</w:t>
            </w:r>
          </w:p>
        </w:tc>
        <w:tc>
          <w:tcPr>
            <w:tcW w:w="1127" w:type="pct"/>
            <w:tcBorders>
              <w:top w:val="outset" w:color="auto" w:sz="6" w:space="0"/>
              <w:left w:val="outset" w:color="auto" w:sz="6" w:space="0"/>
              <w:bottom w:val="outset" w:color="auto" w:sz="6" w:space="0"/>
              <w:right w:val="outset" w:color="auto" w:sz="6" w:space="0"/>
            </w:tcBorders>
            <w:vAlign w:val="bottom"/>
          </w:tcPr>
          <w:p w14:paraId="233A4445">
            <w:pPr>
              <w:jc w:val="right"/>
              <w:textAlignment w:val="bottom"/>
              <w:rPr>
                <w:rFonts w:cs="Times New Roman"/>
              </w:rPr>
            </w:pPr>
            <w:r>
              <w:rPr>
                <w:rFonts w:eastAsia="Arial Narrow" w:cs="Times New Roman"/>
                <w:color w:val="000000"/>
                <w:lang w:bidi="ar"/>
              </w:rPr>
              <w:t>281,448,804.58</w:t>
            </w:r>
          </w:p>
        </w:tc>
        <w:tc>
          <w:tcPr>
            <w:tcW w:w="1140" w:type="pct"/>
            <w:tcBorders>
              <w:top w:val="outset" w:color="auto" w:sz="6" w:space="0"/>
              <w:left w:val="outset" w:color="auto" w:sz="6" w:space="0"/>
              <w:bottom w:val="outset" w:color="auto" w:sz="6" w:space="0"/>
              <w:right w:val="outset" w:color="auto" w:sz="6" w:space="0"/>
            </w:tcBorders>
            <w:vAlign w:val="bottom"/>
          </w:tcPr>
          <w:p w14:paraId="749A9505">
            <w:pPr>
              <w:jc w:val="right"/>
              <w:textAlignment w:val="bottom"/>
              <w:rPr>
                <w:rFonts w:cs="Times New Roman"/>
              </w:rPr>
            </w:pPr>
            <w:r>
              <w:rPr>
                <w:rFonts w:eastAsia="Arial Narrow" w:cs="Times New Roman"/>
                <w:color w:val="000000"/>
                <w:lang w:bidi="ar"/>
              </w:rPr>
              <w:t>306,873,185.28</w:t>
            </w:r>
          </w:p>
        </w:tc>
      </w:tr>
      <w:tr w14:paraId="4211FF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645791C7">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流动负债合计</w:t>
            </w:r>
          </w:p>
        </w:tc>
        <w:tc>
          <w:tcPr>
            <w:tcW w:w="484" w:type="pct"/>
            <w:tcBorders>
              <w:top w:val="outset" w:color="auto" w:sz="6" w:space="0"/>
              <w:left w:val="outset" w:color="auto" w:sz="6" w:space="0"/>
              <w:bottom w:val="outset" w:color="auto" w:sz="6" w:space="0"/>
              <w:right w:val="outset" w:color="auto" w:sz="6" w:space="0"/>
            </w:tcBorders>
            <w:vAlign w:val="center"/>
          </w:tcPr>
          <w:p w14:paraId="3A400993">
            <w:pPr>
              <w:rPr>
                <w:rFonts w:cs="Times New Roman"/>
              </w:rPr>
            </w:pPr>
          </w:p>
        </w:tc>
        <w:tc>
          <w:tcPr>
            <w:tcW w:w="1127" w:type="pct"/>
            <w:tcBorders>
              <w:top w:val="outset" w:color="auto" w:sz="6" w:space="0"/>
              <w:left w:val="outset" w:color="auto" w:sz="6" w:space="0"/>
              <w:bottom w:val="outset" w:color="auto" w:sz="6" w:space="0"/>
              <w:right w:val="outset" w:color="auto" w:sz="6" w:space="0"/>
            </w:tcBorders>
            <w:vAlign w:val="bottom"/>
          </w:tcPr>
          <w:p w14:paraId="1CAC9A88">
            <w:pPr>
              <w:jc w:val="right"/>
              <w:textAlignment w:val="bottom"/>
              <w:rPr>
                <w:rFonts w:cs="Times New Roman"/>
              </w:rPr>
            </w:pPr>
            <w:r>
              <w:rPr>
                <w:rFonts w:eastAsia="Arial Narrow" w:cs="Times New Roman"/>
                <w:color w:val="000000"/>
                <w:lang w:bidi="ar"/>
              </w:rPr>
              <w:t>6,084,679,406.31</w:t>
            </w:r>
          </w:p>
        </w:tc>
        <w:tc>
          <w:tcPr>
            <w:tcW w:w="1140" w:type="pct"/>
            <w:tcBorders>
              <w:top w:val="outset" w:color="auto" w:sz="6" w:space="0"/>
              <w:left w:val="outset" w:color="auto" w:sz="6" w:space="0"/>
              <w:bottom w:val="outset" w:color="auto" w:sz="6" w:space="0"/>
              <w:right w:val="outset" w:color="auto" w:sz="6" w:space="0"/>
            </w:tcBorders>
            <w:vAlign w:val="bottom"/>
          </w:tcPr>
          <w:p w14:paraId="14FA5771">
            <w:pPr>
              <w:jc w:val="right"/>
              <w:textAlignment w:val="bottom"/>
              <w:rPr>
                <w:rFonts w:cs="Times New Roman"/>
              </w:rPr>
            </w:pPr>
            <w:r>
              <w:rPr>
                <w:rFonts w:eastAsia="Arial Narrow" w:cs="Times New Roman"/>
                <w:color w:val="000000"/>
                <w:lang w:bidi="ar"/>
              </w:rPr>
              <w:t>6,977,938,966.71</w:t>
            </w:r>
          </w:p>
        </w:tc>
      </w:tr>
      <w:tr w14:paraId="641915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cs="Times New Roman"/>
            </w:rPr>
            <w:tag w:val="_PLD_e92d79badc1945afbed8782cdacf599f"/>
            <w:id w:val="147470055"/>
          </w:sdtPr>
          <w:sdtEndPr>
            <w:rPr>
              <w:rFonts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03E248DC">
                <w:pPr>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非流动负债：</w:t>
                </w:r>
              </w:p>
            </w:tc>
          </w:sdtContent>
        </w:sdt>
      </w:tr>
      <w:tr w14:paraId="5AC14A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5F572846">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长期借款</w:t>
            </w:r>
          </w:p>
        </w:tc>
        <w:tc>
          <w:tcPr>
            <w:tcW w:w="484" w:type="pct"/>
            <w:tcBorders>
              <w:top w:val="outset" w:color="auto" w:sz="6" w:space="0"/>
              <w:left w:val="outset" w:color="auto" w:sz="6" w:space="0"/>
              <w:bottom w:val="outset" w:color="auto" w:sz="6" w:space="0"/>
              <w:right w:val="outset" w:color="auto" w:sz="6" w:space="0"/>
            </w:tcBorders>
            <w:vAlign w:val="center"/>
          </w:tcPr>
          <w:p w14:paraId="7B1ED08A">
            <w:pPr>
              <w:jc w:val="center"/>
              <w:rPr>
                <w:rFonts w:cs="Times New Roman"/>
              </w:rPr>
            </w:pPr>
            <w:r>
              <w:rPr>
                <w:rFonts w:cs="Times New Roman"/>
              </w:rPr>
              <w:t>七、45</w:t>
            </w:r>
          </w:p>
        </w:tc>
        <w:tc>
          <w:tcPr>
            <w:tcW w:w="1127" w:type="pct"/>
            <w:tcBorders>
              <w:top w:val="outset" w:color="auto" w:sz="6" w:space="0"/>
              <w:left w:val="outset" w:color="auto" w:sz="6" w:space="0"/>
              <w:bottom w:val="outset" w:color="auto" w:sz="6" w:space="0"/>
              <w:right w:val="outset" w:color="auto" w:sz="6" w:space="0"/>
            </w:tcBorders>
            <w:vAlign w:val="bottom"/>
          </w:tcPr>
          <w:p w14:paraId="18CDDD7A">
            <w:pPr>
              <w:jc w:val="right"/>
              <w:textAlignment w:val="bottom"/>
              <w:rPr>
                <w:rFonts w:cs="Times New Roman"/>
              </w:rPr>
            </w:pPr>
            <w:r>
              <w:rPr>
                <w:rFonts w:eastAsia="Arial Narrow" w:cs="Times New Roman"/>
                <w:color w:val="000000"/>
                <w:lang w:bidi="ar"/>
              </w:rPr>
              <w:t>2,514,768,990.10</w:t>
            </w:r>
          </w:p>
        </w:tc>
        <w:tc>
          <w:tcPr>
            <w:tcW w:w="1140" w:type="pct"/>
            <w:tcBorders>
              <w:top w:val="outset" w:color="auto" w:sz="6" w:space="0"/>
              <w:left w:val="outset" w:color="auto" w:sz="6" w:space="0"/>
              <w:bottom w:val="outset" w:color="auto" w:sz="6" w:space="0"/>
              <w:right w:val="outset" w:color="auto" w:sz="6" w:space="0"/>
            </w:tcBorders>
            <w:vAlign w:val="bottom"/>
          </w:tcPr>
          <w:p w14:paraId="609A1A47">
            <w:pPr>
              <w:jc w:val="right"/>
              <w:textAlignment w:val="bottom"/>
              <w:rPr>
                <w:rFonts w:cs="Times New Roman"/>
              </w:rPr>
            </w:pPr>
            <w:r>
              <w:rPr>
                <w:rFonts w:eastAsia="Arial Narrow" w:cs="Times New Roman"/>
                <w:color w:val="000000"/>
                <w:lang w:bidi="ar"/>
              </w:rPr>
              <w:t>497,317,783.34</w:t>
            </w:r>
          </w:p>
        </w:tc>
      </w:tr>
      <w:tr w14:paraId="65BEA6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220A37C8">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应付债券</w:t>
            </w:r>
          </w:p>
        </w:tc>
        <w:tc>
          <w:tcPr>
            <w:tcW w:w="484" w:type="pct"/>
            <w:tcBorders>
              <w:top w:val="outset" w:color="auto" w:sz="6" w:space="0"/>
              <w:left w:val="outset" w:color="auto" w:sz="6" w:space="0"/>
              <w:bottom w:val="outset" w:color="auto" w:sz="6" w:space="0"/>
              <w:right w:val="outset" w:color="auto" w:sz="6" w:space="0"/>
            </w:tcBorders>
            <w:vAlign w:val="center"/>
          </w:tcPr>
          <w:p w14:paraId="549D446C">
            <w:pPr>
              <w:jc w:val="center"/>
              <w:rPr>
                <w:rFonts w:cs="Times New Roman"/>
              </w:rPr>
            </w:pPr>
            <w:r>
              <w:rPr>
                <w:rFonts w:cs="Times New Roman"/>
              </w:rPr>
              <w:t>七、46</w:t>
            </w:r>
          </w:p>
        </w:tc>
        <w:tc>
          <w:tcPr>
            <w:tcW w:w="1127" w:type="pct"/>
            <w:tcBorders>
              <w:top w:val="outset" w:color="auto" w:sz="6" w:space="0"/>
              <w:left w:val="outset" w:color="auto" w:sz="6" w:space="0"/>
              <w:bottom w:val="outset" w:color="auto" w:sz="6" w:space="0"/>
              <w:right w:val="outset" w:color="auto" w:sz="6" w:space="0"/>
            </w:tcBorders>
            <w:vAlign w:val="bottom"/>
          </w:tcPr>
          <w:p w14:paraId="49406B59">
            <w:pPr>
              <w:jc w:val="right"/>
              <w:rPr>
                <w:rFonts w:cs="Times New Roman"/>
              </w:rPr>
            </w:pPr>
          </w:p>
        </w:tc>
        <w:tc>
          <w:tcPr>
            <w:tcW w:w="1140" w:type="pct"/>
            <w:tcBorders>
              <w:top w:val="outset" w:color="auto" w:sz="6" w:space="0"/>
              <w:left w:val="outset" w:color="auto" w:sz="6" w:space="0"/>
              <w:bottom w:val="outset" w:color="auto" w:sz="6" w:space="0"/>
              <w:right w:val="outset" w:color="auto" w:sz="6" w:space="0"/>
            </w:tcBorders>
            <w:vAlign w:val="bottom"/>
          </w:tcPr>
          <w:p w14:paraId="555BE6F6">
            <w:pPr>
              <w:jc w:val="right"/>
              <w:textAlignment w:val="bottom"/>
              <w:rPr>
                <w:rFonts w:cs="Times New Roman"/>
              </w:rPr>
            </w:pPr>
            <w:r>
              <w:rPr>
                <w:rFonts w:eastAsia="Arial Narrow" w:cs="Times New Roman"/>
                <w:color w:val="000000"/>
                <w:lang w:bidi="ar"/>
              </w:rPr>
              <w:t>508,560,210.28</w:t>
            </w:r>
          </w:p>
        </w:tc>
      </w:tr>
      <w:tr w14:paraId="71F2BF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30B74F9A">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租赁负债</w:t>
            </w:r>
          </w:p>
        </w:tc>
        <w:tc>
          <w:tcPr>
            <w:tcW w:w="484" w:type="pct"/>
            <w:tcBorders>
              <w:top w:val="outset" w:color="auto" w:sz="6" w:space="0"/>
              <w:left w:val="outset" w:color="auto" w:sz="6" w:space="0"/>
              <w:bottom w:val="outset" w:color="auto" w:sz="6" w:space="0"/>
              <w:right w:val="outset" w:color="auto" w:sz="6" w:space="0"/>
            </w:tcBorders>
            <w:vAlign w:val="center"/>
          </w:tcPr>
          <w:p w14:paraId="5EC91262">
            <w:pPr>
              <w:jc w:val="center"/>
              <w:rPr>
                <w:rFonts w:cs="Times New Roman"/>
              </w:rPr>
            </w:pPr>
            <w:r>
              <w:rPr>
                <w:rFonts w:cs="Times New Roman"/>
              </w:rPr>
              <w:t>七、47</w:t>
            </w:r>
          </w:p>
        </w:tc>
        <w:tc>
          <w:tcPr>
            <w:tcW w:w="1127" w:type="pct"/>
            <w:tcBorders>
              <w:top w:val="outset" w:color="auto" w:sz="6" w:space="0"/>
              <w:left w:val="outset" w:color="auto" w:sz="6" w:space="0"/>
              <w:bottom w:val="outset" w:color="auto" w:sz="6" w:space="0"/>
              <w:right w:val="outset" w:color="auto" w:sz="6" w:space="0"/>
            </w:tcBorders>
            <w:vAlign w:val="bottom"/>
          </w:tcPr>
          <w:p w14:paraId="546894BE">
            <w:pPr>
              <w:jc w:val="right"/>
              <w:textAlignment w:val="bottom"/>
              <w:rPr>
                <w:rFonts w:cs="Times New Roman"/>
              </w:rPr>
            </w:pPr>
            <w:r>
              <w:rPr>
                <w:rFonts w:eastAsia="Arial Narrow" w:cs="Times New Roman"/>
                <w:color w:val="000000"/>
                <w:lang w:bidi="ar"/>
              </w:rPr>
              <w:t>9,264,381.82</w:t>
            </w:r>
          </w:p>
        </w:tc>
        <w:tc>
          <w:tcPr>
            <w:tcW w:w="1140" w:type="pct"/>
            <w:tcBorders>
              <w:top w:val="outset" w:color="auto" w:sz="6" w:space="0"/>
              <w:left w:val="outset" w:color="auto" w:sz="6" w:space="0"/>
              <w:bottom w:val="outset" w:color="auto" w:sz="6" w:space="0"/>
              <w:right w:val="outset" w:color="auto" w:sz="6" w:space="0"/>
            </w:tcBorders>
            <w:vAlign w:val="bottom"/>
          </w:tcPr>
          <w:p w14:paraId="5BD9530A">
            <w:pPr>
              <w:jc w:val="right"/>
              <w:textAlignment w:val="bottom"/>
              <w:rPr>
                <w:rFonts w:cs="Times New Roman"/>
              </w:rPr>
            </w:pPr>
            <w:r>
              <w:rPr>
                <w:rFonts w:eastAsia="Arial Narrow" w:cs="Times New Roman"/>
                <w:color w:val="000000"/>
                <w:lang w:bidi="ar"/>
              </w:rPr>
              <w:t>10,297,800.31</w:t>
            </w:r>
          </w:p>
        </w:tc>
      </w:tr>
      <w:tr w14:paraId="5B7876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0BA8DD91">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长期应付款</w:t>
            </w:r>
          </w:p>
        </w:tc>
        <w:tc>
          <w:tcPr>
            <w:tcW w:w="484" w:type="pct"/>
            <w:tcBorders>
              <w:top w:val="outset" w:color="auto" w:sz="6" w:space="0"/>
              <w:left w:val="outset" w:color="auto" w:sz="6" w:space="0"/>
              <w:bottom w:val="outset" w:color="auto" w:sz="6" w:space="0"/>
              <w:right w:val="outset" w:color="auto" w:sz="6" w:space="0"/>
            </w:tcBorders>
            <w:vAlign w:val="center"/>
          </w:tcPr>
          <w:p w14:paraId="7F9C3190">
            <w:pPr>
              <w:jc w:val="center"/>
              <w:rPr>
                <w:rFonts w:cs="Times New Roman"/>
              </w:rPr>
            </w:pPr>
            <w:r>
              <w:rPr>
                <w:rFonts w:cs="Times New Roman"/>
              </w:rPr>
              <w:t>七、48</w:t>
            </w:r>
          </w:p>
        </w:tc>
        <w:tc>
          <w:tcPr>
            <w:tcW w:w="1127" w:type="pct"/>
            <w:tcBorders>
              <w:top w:val="outset" w:color="auto" w:sz="6" w:space="0"/>
              <w:left w:val="outset" w:color="auto" w:sz="6" w:space="0"/>
              <w:bottom w:val="outset" w:color="auto" w:sz="6" w:space="0"/>
              <w:right w:val="outset" w:color="auto" w:sz="6" w:space="0"/>
            </w:tcBorders>
            <w:vAlign w:val="bottom"/>
          </w:tcPr>
          <w:p w14:paraId="7EB9489A">
            <w:pPr>
              <w:jc w:val="right"/>
              <w:textAlignment w:val="bottom"/>
              <w:rPr>
                <w:rFonts w:cs="Times New Roman"/>
              </w:rPr>
            </w:pPr>
            <w:r>
              <w:rPr>
                <w:rFonts w:eastAsia="Arial Narrow" w:cs="Times New Roman"/>
                <w:color w:val="000000"/>
                <w:lang w:bidi="ar"/>
              </w:rPr>
              <w:t>41,904,211.82</w:t>
            </w:r>
          </w:p>
        </w:tc>
        <w:tc>
          <w:tcPr>
            <w:tcW w:w="1140" w:type="pct"/>
            <w:tcBorders>
              <w:top w:val="outset" w:color="auto" w:sz="6" w:space="0"/>
              <w:left w:val="outset" w:color="auto" w:sz="6" w:space="0"/>
              <w:bottom w:val="outset" w:color="auto" w:sz="6" w:space="0"/>
              <w:right w:val="outset" w:color="auto" w:sz="6" w:space="0"/>
            </w:tcBorders>
            <w:vAlign w:val="bottom"/>
          </w:tcPr>
          <w:p w14:paraId="0DA0839C">
            <w:pPr>
              <w:jc w:val="right"/>
              <w:textAlignment w:val="bottom"/>
              <w:rPr>
                <w:rFonts w:cs="Times New Roman"/>
              </w:rPr>
            </w:pPr>
            <w:r>
              <w:rPr>
                <w:rFonts w:eastAsia="Arial Narrow" w:cs="Times New Roman"/>
                <w:color w:val="000000"/>
                <w:lang w:bidi="ar"/>
              </w:rPr>
              <w:t>42,002,615.37</w:t>
            </w:r>
          </w:p>
        </w:tc>
      </w:tr>
      <w:tr w14:paraId="490467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3D7094BF">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长期应付职工薪酬</w:t>
            </w:r>
          </w:p>
        </w:tc>
        <w:tc>
          <w:tcPr>
            <w:tcW w:w="484" w:type="pct"/>
            <w:tcBorders>
              <w:top w:val="outset" w:color="auto" w:sz="6" w:space="0"/>
              <w:left w:val="outset" w:color="auto" w:sz="6" w:space="0"/>
              <w:bottom w:val="outset" w:color="auto" w:sz="6" w:space="0"/>
              <w:right w:val="outset" w:color="auto" w:sz="6" w:space="0"/>
            </w:tcBorders>
            <w:vAlign w:val="center"/>
          </w:tcPr>
          <w:p w14:paraId="22E7F17E">
            <w:pPr>
              <w:jc w:val="center"/>
              <w:rPr>
                <w:rFonts w:cs="Times New Roman"/>
              </w:rPr>
            </w:pPr>
            <w:r>
              <w:rPr>
                <w:rFonts w:cs="Times New Roman"/>
              </w:rPr>
              <w:t>七、49</w:t>
            </w:r>
          </w:p>
        </w:tc>
        <w:tc>
          <w:tcPr>
            <w:tcW w:w="1127" w:type="pct"/>
            <w:tcBorders>
              <w:top w:val="outset" w:color="auto" w:sz="6" w:space="0"/>
              <w:left w:val="outset" w:color="auto" w:sz="6" w:space="0"/>
              <w:bottom w:val="outset" w:color="auto" w:sz="6" w:space="0"/>
              <w:right w:val="outset" w:color="auto" w:sz="6" w:space="0"/>
            </w:tcBorders>
            <w:vAlign w:val="bottom"/>
          </w:tcPr>
          <w:p w14:paraId="28687384">
            <w:pPr>
              <w:jc w:val="right"/>
              <w:textAlignment w:val="bottom"/>
              <w:rPr>
                <w:rFonts w:cs="Times New Roman"/>
              </w:rPr>
            </w:pPr>
            <w:r>
              <w:rPr>
                <w:rFonts w:eastAsia="Arial Narrow" w:cs="Times New Roman"/>
                <w:color w:val="000000"/>
                <w:lang w:bidi="ar"/>
              </w:rPr>
              <w:t>322,611,892.74</w:t>
            </w:r>
          </w:p>
        </w:tc>
        <w:tc>
          <w:tcPr>
            <w:tcW w:w="1140" w:type="pct"/>
            <w:tcBorders>
              <w:top w:val="outset" w:color="auto" w:sz="6" w:space="0"/>
              <w:left w:val="outset" w:color="auto" w:sz="6" w:space="0"/>
              <w:bottom w:val="outset" w:color="auto" w:sz="6" w:space="0"/>
              <w:right w:val="outset" w:color="auto" w:sz="6" w:space="0"/>
            </w:tcBorders>
            <w:vAlign w:val="bottom"/>
          </w:tcPr>
          <w:p w14:paraId="5E5CCA7B">
            <w:pPr>
              <w:jc w:val="right"/>
              <w:textAlignment w:val="bottom"/>
              <w:rPr>
                <w:rFonts w:cs="Times New Roman"/>
              </w:rPr>
            </w:pPr>
            <w:r>
              <w:rPr>
                <w:rFonts w:eastAsia="Arial Narrow" w:cs="Times New Roman"/>
                <w:color w:val="000000"/>
                <w:lang w:bidi="ar"/>
              </w:rPr>
              <w:t>320,048,047.00</w:t>
            </w:r>
          </w:p>
        </w:tc>
      </w:tr>
      <w:tr w14:paraId="4547A5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270D92F2">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预计负债</w:t>
            </w:r>
          </w:p>
        </w:tc>
        <w:tc>
          <w:tcPr>
            <w:tcW w:w="484" w:type="pct"/>
            <w:tcBorders>
              <w:top w:val="outset" w:color="auto" w:sz="6" w:space="0"/>
              <w:left w:val="outset" w:color="auto" w:sz="6" w:space="0"/>
              <w:bottom w:val="outset" w:color="auto" w:sz="6" w:space="0"/>
              <w:right w:val="outset" w:color="auto" w:sz="6" w:space="0"/>
            </w:tcBorders>
            <w:vAlign w:val="center"/>
          </w:tcPr>
          <w:p w14:paraId="4F5FD4DB">
            <w:pPr>
              <w:jc w:val="center"/>
              <w:rPr>
                <w:rFonts w:cs="Times New Roman"/>
              </w:rPr>
            </w:pPr>
            <w:r>
              <w:rPr>
                <w:rFonts w:cs="Times New Roman"/>
              </w:rPr>
              <w:t>七、50</w:t>
            </w:r>
          </w:p>
        </w:tc>
        <w:tc>
          <w:tcPr>
            <w:tcW w:w="1127" w:type="pct"/>
            <w:tcBorders>
              <w:top w:val="outset" w:color="auto" w:sz="6" w:space="0"/>
              <w:left w:val="outset" w:color="auto" w:sz="6" w:space="0"/>
              <w:bottom w:val="outset" w:color="auto" w:sz="6" w:space="0"/>
              <w:right w:val="outset" w:color="auto" w:sz="6" w:space="0"/>
            </w:tcBorders>
            <w:vAlign w:val="bottom"/>
          </w:tcPr>
          <w:p w14:paraId="034E471E">
            <w:pPr>
              <w:jc w:val="right"/>
              <w:textAlignment w:val="bottom"/>
              <w:rPr>
                <w:rFonts w:cs="Times New Roman"/>
              </w:rPr>
            </w:pPr>
            <w:r>
              <w:rPr>
                <w:rFonts w:eastAsia="Arial Narrow" w:cs="Times New Roman"/>
                <w:color w:val="000000"/>
                <w:lang w:bidi="ar"/>
              </w:rPr>
              <w:t>200,000,000.00</w:t>
            </w:r>
          </w:p>
        </w:tc>
        <w:tc>
          <w:tcPr>
            <w:tcW w:w="1140" w:type="pct"/>
            <w:tcBorders>
              <w:top w:val="outset" w:color="auto" w:sz="6" w:space="0"/>
              <w:left w:val="outset" w:color="auto" w:sz="6" w:space="0"/>
              <w:bottom w:val="outset" w:color="auto" w:sz="6" w:space="0"/>
              <w:right w:val="outset" w:color="auto" w:sz="6" w:space="0"/>
            </w:tcBorders>
            <w:vAlign w:val="bottom"/>
          </w:tcPr>
          <w:p w14:paraId="667FBC74">
            <w:pPr>
              <w:jc w:val="right"/>
              <w:textAlignment w:val="bottom"/>
              <w:rPr>
                <w:rFonts w:cs="Times New Roman"/>
              </w:rPr>
            </w:pPr>
            <w:r>
              <w:rPr>
                <w:rFonts w:eastAsia="Arial Narrow" w:cs="Times New Roman"/>
                <w:color w:val="000000"/>
                <w:lang w:bidi="ar"/>
              </w:rPr>
              <w:t>200,000,000.00</w:t>
            </w:r>
          </w:p>
        </w:tc>
      </w:tr>
      <w:tr w14:paraId="611FF8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4E28AE31">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递延收益</w:t>
            </w:r>
          </w:p>
        </w:tc>
        <w:tc>
          <w:tcPr>
            <w:tcW w:w="484" w:type="pct"/>
            <w:tcBorders>
              <w:top w:val="outset" w:color="auto" w:sz="6" w:space="0"/>
              <w:left w:val="outset" w:color="auto" w:sz="6" w:space="0"/>
              <w:bottom w:val="outset" w:color="auto" w:sz="6" w:space="0"/>
              <w:right w:val="outset" w:color="auto" w:sz="6" w:space="0"/>
            </w:tcBorders>
            <w:vAlign w:val="center"/>
          </w:tcPr>
          <w:p w14:paraId="0E9B000F">
            <w:pPr>
              <w:jc w:val="center"/>
              <w:rPr>
                <w:rFonts w:cs="Times New Roman"/>
              </w:rPr>
            </w:pPr>
            <w:r>
              <w:rPr>
                <w:rFonts w:cs="Times New Roman"/>
              </w:rPr>
              <w:t>七、51</w:t>
            </w:r>
          </w:p>
        </w:tc>
        <w:tc>
          <w:tcPr>
            <w:tcW w:w="1127" w:type="pct"/>
            <w:tcBorders>
              <w:top w:val="outset" w:color="auto" w:sz="6" w:space="0"/>
              <w:left w:val="outset" w:color="auto" w:sz="6" w:space="0"/>
              <w:bottom w:val="outset" w:color="auto" w:sz="6" w:space="0"/>
              <w:right w:val="outset" w:color="auto" w:sz="6" w:space="0"/>
            </w:tcBorders>
            <w:vAlign w:val="bottom"/>
          </w:tcPr>
          <w:p w14:paraId="14AFA504">
            <w:pPr>
              <w:jc w:val="right"/>
              <w:textAlignment w:val="bottom"/>
              <w:rPr>
                <w:rFonts w:cs="Times New Roman"/>
              </w:rPr>
            </w:pPr>
            <w:r>
              <w:rPr>
                <w:rFonts w:eastAsia="Arial Narrow" w:cs="Times New Roman"/>
                <w:color w:val="000000"/>
                <w:lang w:bidi="ar"/>
              </w:rPr>
              <w:t>86,602,963.80</w:t>
            </w:r>
          </w:p>
        </w:tc>
        <w:tc>
          <w:tcPr>
            <w:tcW w:w="1140" w:type="pct"/>
            <w:tcBorders>
              <w:top w:val="outset" w:color="auto" w:sz="6" w:space="0"/>
              <w:left w:val="outset" w:color="auto" w:sz="6" w:space="0"/>
              <w:bottom w:val="outset" w:color="auto" w:sz="6" w:space="0"/>
              <w:right w:val="outset" w:color="auto" w:sz="6" w:space="0"/>
            </w:tcBorders>
            <w:vAlign w:val="bottom"/>
          </w:tcPr>
          <w:p w14:paraId="7DD02BCF">
            <w:pPr>
              <w:jc w:val="right"/>
              <w:textAlignment w:val="bottom"/>
              <w:rPr>
                <w:rFonts w:cs="Times New Roman"/>
              </w:rPr>
            </w:pPr>
            <w:r>
              <w:rPr>
                <w:rFonts w:eastAsia="Arial Narrow" w:cs="Times New Roman"/>
                <w:color w:val="000000"/>
                <w:lang w:bidi="ar"/>
              </w:rPr>
              <w:t>89,442,952.48</w:t>
            </w:r>
          </w:p>
        </w:tc>
      </w:tr>
      <w:tr w14:paraId="05C5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59E82557">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递延所得税负债</w:t>
            </w:r>
          </w:p>
        </w:tc>
        <w:tc>
          <w:tcPr>
            <w:tcW w:w="484" w:type="pct"/>
            <w:tcBorders>
              <w:top w:val="outset" w:color="auto" w:sz="6" w:space="0"/>
              <w:left w:val="outset" w:color="auto" w:sz="6" w:space="0"/>
              <w:bottom w:val="outset" w:color="auto" w:sz="6" w:space="0"/>
              <w:right w:val="outset" w:color="auto" w:sz="6" w:space="0"/>
            </w:tcBorders>
            <w:vAlign w:val="center"/>
          </w:tcPr>
          <w:p w14:paraId="56EEBEC1">
            <w:pPr>
              <w:jc w:val="center"/>
              <w:rPr>
                <w:rFonts w:cs="Times New Roman"/>
              </w:rPr>
            </w:pPr>
            <w:r>
              <w:rPr>
                <w:rFonts w:cs="Times New Roman"/>
              </w:rPr>
              <w:t>七、29</w:t>
            </w:r>
          </w:p>
        </w:tc>
        <w:tc>
          <w:tcPr>
            <w:tcW w:w="1127" w:type="pct"/>
            <w:tcBorders>
              <w:top w:val="outset" w:color="auto" w:sz="6" w:space="0"/>
              <w:left w:val="outset" w:color="auto" w:sz="6" w:space="0"/>
              <w:bottom w:val="outset" w:color="auto" w:sz="6" w:space="0"/>
              <w:right w:val="outset" w:color="auto" w:sz="6" w:space="0"/>
            </w:tcBorders>
            <w:vAlign w:val="bottom"/>
          </w:tcPr>
          <w:p w14:paraId="6454342F">
            <w:pPr>
              <w:jc w:val="right"/>
              <w:textAlignment w:val="bottom"/>
              <w:rPr>
                <w:rFonts w:cs="Times New Roman"/>
              </w:rPr>
            </w:pPr>
            <w:r>
              <w:rPr>
                <w:rFonts w:eastAsia="Arial Narrow" w:cs="Times New Roman"/>
                <w:color w:val="000000"/>
                <w:lang w:bidi="ar"/>
              </w:rPr>
              <w:t>9,322,243.01</w:t>
            </w:r>
          </w:p>
        </w:tc>
        <w:tc>
          <w:tcPr>
            <w:tcW w:w="1140" w:type="pct"/>
            <w:tcBorders>
              <w:top w:val="outset" w:color="auto" w:sz="6" w:space="0"/>
              <w:left w:val="outset" w:color="auto" w:sz="6" w:space="0"/>
              <w:bottom w:val="outset" w:color="auto" w:sz="6" w:space="0"/>
              <w:right w:val="outset" w:color="auto" w:sz="6" w:space="0"/>
            </w:tcBorders>
            <w:vAlign w:val="bottom"/>
          </w:tcPr>
          <w:p w14:paraId="33492A8F">
            <w:pPr>
              <w:jc w:val="right"/>
              <w:textAlignment w:val="bottom"/>
              <w:rPr>
                <w:rFonts w:cs="Times New Roman"/>
              </w:rPr>
            </w:pPr>
            <w:r>
              <w:rPr>
                <w:rFonts w:eastAsia="Arial Narrow" w:cs="Times New Roman"/>
                <w:color w:val="000000"/>
                <w:lang w:bidi="ar"/>
              </w:rPr>
              <w:t>9,428,704.86</w:t>
            </w:r>
          </w:p>
        </w:tc>
      </w:tr>
      <w:tr w14:paraId="39FB35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75434A07">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其他非流动负债</w:t>
            </w:r>
          </w:p>
        </w:tc>
        <w:tc>
          <w:tcPr>
            <w:tcW w:w="484" w:type="pct"/>
            <w:tcBorders>
              <w:top w:val="outset" w:color="auto" w:sz="6" w:space="0"/>
              <w:left w:val="outset" w:color="auto" w:sz="6" w:space="0"/>
              <w:bottom w:val="outset" w:color="auto" w:sz="6" w:space="0"/>
              <w:right w:val="outset" w:color="auto" w:sz="6" w:space="0"/>
            </w:tcBorders>
            <w:vAlign w:val="center"/>
          </w:tcPr>
          <w:p w14:paraId="3D0DDF88">
            <w:pPr>
              <w:jc w:val="center"/>
              <w:rPr>
                <w:rFonts w:cs="Times New Roman"/>
              </w:rPr>
            </w:pPr>
            <w:r>
              <w:rPr>
                <w:rFonts w:cs="Times New Roman"/>
              </w:rPr>
              <w:t>七、52</w:t>
            </w:r>
          </w:p>
        </w:tc>
        <w:tc>
          <w:tcPr>
            <w:tcW w:w="1127" w:type="pct"/>
            <w:tcBorders>
              <w:top w:val="outset" w:color="auto" w:sz="6" w:space="0"/>
              <w:left w:val="outset" w:color="auto" w:sz="6" w:space="0"/>
              <w:bottom w:val="outset" w:color="auto" w:sz="6" w:space="0"/>
              <w:right w:val="outset" w:color="auto" w:sz="6" w:space="0"/>
            </w:tcBorders>
            <w:vAlign w:val="bottom"/>
          </w:tcPr>
          <w:p w14:paraId="5DA2D176">
            <w:pPr>
              <w:jc w:val="right"/>
              <w:rPr>
                <w:rFonts w:cs="Times New Roman"/>
              </w:rPr>
            </w:pPr>
          </w:p>
        </w:tc>
        <w:tc>
          <w:tcPr>
            <w:tcW w:w="1140" w:type="pct"/>
            <w:tcBorders>
              <w:top w:val="outset" w:color="auto" w:sz="6" w:space="0"/>
              <w:left w:val="outset" w:color="auto" w:sz="6" w:space="0"/>
              <w:bottom w:val="outset" w:color="auto" w:sz="6" w:space="0"/>
              <w:right w:val="outset" w:color="auto" w:sz="6" w:space="0"/>
            </w:tcBorders>
            <w:vAlign w:val="bottom"/>
          </w:tcPr>
          <w:p w14:paraId="1BD835F5">
            <w:pPr>
              <w:jc w:val="right"/>
              <w:textAlignment w:val="bottom"/>
              <w:rPr>
                <w:rFonts w:cs="Times New Roman"/>
              </w:rPr>
            </w:pPr>
            <w:r>
              <w:rPr>
                <w:rFonts w:eastAsia="Arial Narrow" w:cs="Times New Roman"/>
                <w:color w:val="000000"/>
                <w:lang w:bidi="ar"/>
              </w:rPr>
              <w:t>2,880,000.00</w:t>
            </w:r>
          </w:p>
        </w:tc>
      </w:tr>
      <w:tr w14:paraId="58C32B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4A544B84">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非流动负债合计</w:t>
            </w:r>
          </w:p>
        </w:tc>
        <w:tc>
          <w:tcPr>
            <w:tcW w:w="484" w:type="pct"/>
            <w:tcBorders>
              <w:top w:val="outset" w:color="auto" w:sz="6" w:space="0"/>
              <w:left w:val="outset" w:color="auto" w:sz="6" w:space="0"/>
              <w:bottom w:val="outset" w:color="auto" w:sz="6" w:space="0"/>
              <w:right w:val="outset" w:color="auto" w:sz="6" w:space="0"/>
            </w:tcBorders>
            <w:vAlign w:val="center"/>
          </w:tcPr>
          <w:p w14:paraId="71BEAE69">
            <w:pPr>
              <w:rPr>
                <w:rFonts w:cs="Times New Roman"/>
              </w:rPr>
            </w:pPr>
          </w:p>
        </w:tc>
        <w:tc>
          <w:tcPr>
            <w:tcW w:w="1127" w:type="pct"/>
            <w:tcBorders>
              <w:top w:val="outset" w:color="auto" w:sz="6" w:space="0"/>
              <w:left w:val="outset" w:color="auto" w:sz="6" w:space="0"/>
              <w:bottom w:val="outset" w:color="auto" w:sz="6" w:space="0"/>
              <w:right w:val="outset" w:color="auto" w:sz="6" w:space="0"/>
            </w:tcBorders>
            <w:vAlign w:val="bottom"/>
          </w:tcPr>
          <w:p w14:paraId="1361CA1C">
            <w:pPr>
              <w:jc w:val="right"/>
              <w:textAlignment w:val="bottom"/>
              <w:rPr>
                <w:rFonts w:cs="Times New Roman"/>
              </w:rPr>
            </w:pPr>
            <w:r>
              <w:rPr>
                <w:rFonts w:eastAsia="Arial Narrow" w:cs="Times New Roman"/>
                <w:color w:val="000000"/>
                <w:lang w:bidi="ar"/>
              </w:rPr>
              <w:t>3,184,474,683.29</w:t>
            </w:r>
          </w:p>
        </w:tc>
        <w:tc>
          <w:tcPr>
            <w:tcW w:w="1140" w:type="pct"/>
            <w:tcBorders>
              <w:top w:val="outset" w:color="auto" w:sz="6" w:space="0"/>
              <w:left w:val="outset" w:color="auto" w:sz="6" w:space="0"/>
              <w:bottom w:val="outset" w:color="auto" w:sz="6" w:space="0"/>
              <w:right w:val="outset" w:color="auto" w:sz="6" w:space="0"/>
            </w:tcBorders>
            <w:vAlign w:val="bottom"/>
          </w:tcPr>
          <w:p w14:paraId="391F2FC9">
            <w:pPr>
              <w:jc w:val="right"/>
              <w:textAlignment w:val="bottom"/>
              <w:rPr>
                <w:rFonts w:cs="Times New Roman"/>
              </w:rPr>
            </w:pPr>
            <w:r>
              <w:rPr>
                <w:rFonts w:eastAsia="Arial Narrow" w:cs="Times New Roman"/>
                <w:color w:val="000000"/>
                <w:lang w:bidi="ar"/>
              </w:rPr>
              <w:t>1,679,978,113.64</w:t>
            </w:r>
          </w:p>
        </w:tc>
      </w:tr>
      <w:tr w14:paraId="19D51C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4C3BA56A">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负债合计</w:t>
            </w:r>
          </w:p>
        </w:tc>
        <w:tc>
          <w:tcPr>
            <w:tcW w:w="484" w:type="pct"/>
            <w:tcBorders>
              <w:top w:val="outset" w:color="auto" w:sz="6" w:space="0"/>
              <w:left w:val="outset" w:color="auto" w:sz="6" w:space="0"/>
              <w:bottom w:val="outset" w:color="auto" w:sz="6" w:space="0"/>
              <w:right w:val="outset" w:color="auto" w:sz="6" w:space="0"/>
            </w:tcBorders>
            <w:vAlign w:val="center"/>
          </w:tcPr>
          <w:p w14:paraId="16545911">
            <w:pPr>
              <w:rPr>
                <w:rFonts w:cs="Times New Roman"/>
              </w:rPr>
            </w:pPr>
          </w:p>
        </w:tc>
        <w:tc>
          <w:tcPr>
            <w:tcW w:w="1127" w:type="pct"/>
            <w:tcBorders>
              <w:top w:val="outset" w:color="auto" w:sz="6" w:space="0"/>
              <w:left w:val="outset" w:color="auto" w:sz="6" w:space="0"/>
              <w:bottom w:val="outset" w:color="auto" w:sz="6" w:space="0"/>
              <w:right w:val="outset" w:color="auto" w:sz="6" w:space="0"/>
            </w:tcBorders>
            <w:vAlign w:val="bottom"/>
          </w:tcPr>
          <w:p w14:paraId="5F705050">
            <w:pPr>
              <w:jc w:val="right"/>
              <w:textAlignment w:val="bottom"/>
              <w:rPr>
                <w:rFonts w:cs="Times New Roman"/>
              </w:rPr>
            </w:pPr>
            <w:r>
              <w:rPr>
                <w:rFonts w:eastAsia="Arial Narrow" w:cs="Times New Roman"/>
                <w:color w:val="000000"/>
                <w:lang w:bidi="ar"/>
              </w:rPr>
              <w:t>9,269,154,089.60</w:t>
            </w:r>
          </w:p>
        </w:tc>
        <w:tc>
          <w:tcPr>
            <w:tcW w:w="1140" w:type="pct"/>
            <w:tcBorders>
              <w:top w:val="outset" w:color="auto" w:sz="6" w:space="0"/>
              <w:left w:val="outset" w:color="auto" w:sz="6" w:space="0"/>
              <w:bottom w:val="outset" w:color="auto" w:sz="6" w:space="0"/>
              <w:right w:val="outset" w:color="auto" w:sz="6" w:space="0"/>
            </w:tcBorders>
            <w:vAlign w:val="bottom"/>
          </w:tcPr>
          <w:p w14:paraId="54497EDE">
            <w:pPr>
              <w:jc w:val="right"/>
              <w:textAlignment w:val="bottom"/>
              <w:rPr>
                <w:rFonts w:cs="Times New Roman"/>
              </w:rPr>
            </w:pPr>
            <w:r>
              <w:rPr>
                <w:rFonts w:eastAsia="Arial Narrow" w:cs="Times New Roman"/>
                <w:color w:val="000000"/>
                <w:lang w:bidi="ar"/>
              </w:rPr>
              <w:t>8,657,917,080.35</w:t>
            </w:r>
          </w:p>
        </w:tc>
      </w:tr>
      <w:tr w14:paraId="5CC43D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cs="Times New Roman"/>
            </w:rPr>
            <w:tag w:val="_PLD_4fe68479676b4c8c840de2211f0c67b8"/>
            <w:id w:val="147452215"/>
          </w:sdtPr>
          <w:sdtEndPr>
            <w:rPr>
              <w:rFonts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7DBD268F">
                <w:pPr>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所有者权益（或股东权益）：</w:t>
                </w:r>
              </w:p>
            </w:tc>
          </w:sdtContent>
        </w:sdt>
      </w:tr>
      <w:tr w14:paraId="558CAE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2B990D71">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实收资本（或股本）</w:t>
            </w:r>
          </w:p>
        </w:tc>
        <w:tc>
          <w:tcPr>
            <w:tcW w:w="484" w:type="pct"/>
            <w:tcBorders>
              <w:top w:val="outset" w:color="auto" w:sz="6" w:space="0"/>
              <w:left w:val="outset" w:color="auto" w:sz="6" w:space="0"/>
              <w:bottom w:val="outset" w:color="auto" w:sz="6" w:space="0"/>
              <w:right w:val="outset" w:color="auto" w:sz="6" w:space="0"/>
            </w:tcBorders>
            <w:vAlign w:val="center"/>
          </w:tcPr>
          <w:p w14:paraId="447EF8D7">
            <w:pPr>
              <w:jc w:val="center"/>
              <w:rPr>
                <w:rFonts w:cs="Times New Roman"/>
              </w:rPr>
            </w:pPr>
            <w:r>
              <w:rPr>
                <w:rFonts w:cs="Times New Roman"/>
              </w:rPr>
              <w:t>七、53</w:t>
            </w:r>
          </w:p>
        </w:tc>
        <w:tc>
          <w:tcPr>
            <w:tcW w:w="1127" w:type="pct"/>
            <w:tcBorders>
              <w:top w:val="outset" w:color="auto" w:sz="6" w:space="0"/>
              <w:left w:val="outset" w:color="auto" w:sz="6" w:space="0"/>
              <w:bottom w:val="outset" w:color="auto" w:sz="6" w:space="0"/>
              <w:right w:val="outset" w:color="auto" w:sz="6" w:space="0"/>
            </w:tcBorders>
            <w:vAlign w:val="bottom"/>
          </w:tcPr>
          <w:p w14:paraId="28AD3B1C">
            <w:pPr>
              <w:jc w:val="right"/>
              <w:textAlignment w:val="bottom"/>
              <w:rPr>
                <w:rFonts w:cs="Times New Roman"/>
              </w:rPr>
            </w:pPr>
            <w:r>
              <w:rPr>
                <w:rFonts w:eastAsia="Arial Narrow" w:cs="Times New Roman"/>
                <w:color w:val="000000"/>
                <w:lang w:bidi="ar"/>
              </w:rPr>
              <w:t>4,391,629,404.00</w:t>
            </w:r>
          </w:p>
        </w:tc>
        <w:tc>
          <w:tcPr>
            <w:tcW w:w="1140" w:type="pct"/>
            <w:tcBorders>
              <w:top w:val="outset" w:color="auto" w:sz="6" w:space="0"/>
              <w:left w:val="outset" w:color="auto" w:sz="6" w:space="0"/>
              <w:bottom w:val="outset" w:color="auto" w:sz="6" w:space="0"/>
              <w:right w:val="outset" w:color="auto" w:sz="6" w:space="0"/>
            </w:tcBorders>
            <w:vAlign w:val="bottom"/>
          </w:tcPr>
          <w:p w14:paraId="1BDD5840">
            <w:pPr>
              <w:jc w:val="right"/>
              <w:textAlignment w:val="bottom"/>
              <w:rPr>
                <w:rFonts w:cs="Times New Roman"/>
              </w:rPr>
            </w:pPr>
            <w:r>
              <w:rPr>
                <w:rFonts w:eastAsia="Arial Narrow" w:cs="Times New Roman"/>
                <w:color w:val="000000"/>
                <w:lang w:bidi="ar"/>
              </w:rPr>
              <w:t>4,391,629,404.00</w:t>
            </w:r>
          </w:p>
        </w:tc>
      </w:tr>
      <w:tr w14:paraId="139F2B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2AD2D4F5">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资本公积</w:t>
            </w:r>
          </w:p>
        </w:tc>
        <w:tc>
          <w:tcPr>
            <w:tcW w:w="484" w:type="pct"/>
            <w:tcBorders>
              <w:top w:val="outset" w:color="auto" w:sz="6" w:space="0"/>
              <w:left w:val="outset" w:color="auto" w:sz="6" w:space="0"/>
              <w:bottom w:val="outset" w:color="auto" w:sz="6" w:space="0"/>
              <w:right w:val="outset" w:color="auto" w:sz="6" w:space="0"/>
            </w:tcBorders>
            <w:vAlign w:val="center"/>
          </w:tcPr>
          <w:p w14:paraId="72996323">
            <w:pPr>
              <w:jc w:val="center"/>
              <w:rPr>
                <w:rFonts w:cs="Times New Roman"/>
              </w:rPr>
            </w:pPr>
            <w:r>
              <w:rPr>
                <w:rFonts w:cs="Times New Roman"/>
              </w:rPr>
              <w:t>七、55</w:t>
            </w:r>
          </w:p>
        </w:tc>
        <w:tc>
          <w:tcPr>
            <w:tcW w:w="1127" w:type="pct"/>
            <w:tcBorders>
              <w:top w:val="outset" w:color="auto" w:sz="6" w:space="0"/>
              <w:left w:val="outset" w:color="auto" w:sz="6" w:space="0"/>
              <w:bottom w:val="outset" w:color="auto" w:sz="6" w:space="0"/>
              <w:right w:val="outset" w:color="auto" w:sz="6" w:space="0"/>
            </w:tcBorders>
            <w:vAlign w:val="bottom"/>
          </w:tcPr>
          <w:p w14:paraId="79FDBA10">
            <w:pPr>
              <w:jc w:val="right"/>
              <w:textAlignment w:val="bottom"/>
              <w:rPr>
                <w:rFonts w:cs="Times New Roman"/>
              </w:rPr>
            </w:pPr>
            <w:r>
              <w:rPr>
                <w:rFonts w:eastAsia="Arial Narrow" w:cs="Times New Roman"/>
                <w:color w:val="000000"/>
                <w:lang w:bidi="ar"/>
              </w:rPr>
              <w:t>8,067,766,137.08</w:t>
            </w:r>
          </w:p>
        </w:tc>
        <w:tc>
          <w:tcPr>
            <w:tcW w:w="1140" w:type="pct"/>
            <w:tcBorders>
              <w:top w:val="outset" w:color="auto" w:sz="6" w:space="0"/>
              <w:left w:val="outset" w:color="auto" w:sz="6" w:space="0"/>
              <w:bottom w:val="outset" w:color="auto" w:sz="6" w:space="0"/>
              <w:right w:val="outset" w:color="auto" w:sz="6" w:space="0"/>
            </w:tcBorders>
            <w:vAlign w:val="bottom"/>
          </w:tcPr>
          <w:p w14:paraId="2FB7E985">
            <w:pPr>
              <w:jc w:val="right"/>
              <w:textAlignment w:val="bottom"/>
              <w:rPr>
                <w:rFonts w:cs="Times New Roman"/>
              </w:rPr>
            </w:pPr>
            <w:r>
              <w:rPr>
                <w:rFonts w:eastAsia="Arial Narrow" w:cs="Times New Roman"/>
                <w:color w:val="000000"/>
                <w:lang w:bidi="ar"/>
              </w:rPr>
              <w:t>8,067,766,137.08</w:t>
            </w:r>
          </w:p>
        </w:tc>
      </w:tr>
      <w:tr w14:paraId="422118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6A7F896B">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减：库存股</w:t>
            </w:r>
          </w:p>
        </w:tc>
        <w:tc>
          <w:tcPr>
            <w:tcW w:w="484" w:type="pct"/>
            <w:tcBorders>
              <w:top w:val="outset" w:color="auto" w:sz="6" w:space="0"/>
              <w:left w:val="outset" w:color="auto" w:sz="6" w:space="0"/>
              <w:bottom w:val="outset" w:color="auto" w:sz="6" w:space="0"/>
              <w:right w:val="outset" w:color="auto" w:sz="6" w:space="0"/>
            </w:tcBorders>
            <w:vAlign w:val="center"/>
          </w:tcPr>
          <w:p w14:paraId="76F83156">
            <w:pPr>
              <w:jc w:val="center"/>
              <w:rPr>
                <w:rFonts w:cs="Times New Roman"/>
              </w:rPr>
            </w:pPr>
            <w:r>
              <w:rPr>
                <w:rFonts w:cs="Times New Roman"/>
              </w:rPr>
              <w:t>七、56</w:t>
            </w:r>
          </w:p>
        </w:tc>
        <w:tc>
          <w:tcPr>
            <w:tcW w:w="1127" w:type="pct"/>
            <w:tcBorders>
              <w:top w:val="outset" w:color="auto" w:sz="6" w:space="0"/>
              <w:left w:val="outset" w:color="auto" w:sz="6" w:space="0"/>
              <w:bottom w:val="outset" w:color="auto" w:sz="6" w:space="0"/>
              <w:right w:val="outset" w:color="auto" w:sz="6" w:space="0"/>
            </w:tcBorders>
            <w:vAlign w:val="bottom"/>
          </w:tcPr>
          <w:p w14:paraId="13DF71CA">
            <w:pPr>
              <w:jc w:val="right"/>
              <w:textAlignment w:val="bottom"/>
              <w:rPr>
                <w:rFonts w:cs="Times New Roman"/>
              </w:rPr>
            </w:pPr>
            <w:r>
              <w:rPr>
                <w:rFonts w:eastAsia="Arial Narrow" w:cs="Times New Roman"/>
                <w:color w:val="000000"/>
                <w:lang w:bidi="ar"/>
              </w:rPr>
              <w:t>39,938,040.72</w:t>
            </w:r>
          </w:p>
        </w:tc>
        <w:tc>
          <w:tcPr>
            <w:tcW w:w="1140" w:type="pct"/>
            <w:tcBorders>
              <w:top w:val="outset" w:color="auto" w:sz="6" w:space="0"/>
              <w:left w:val="outset" w:color="auto" w:sz="6" w:space="0"/>
              <w:bottom w:val="outset" w:color="auto" w:sz="6" w:space="0"/>
              <w:right w:val="outset" w:color="auto" w:sz="6" w:space="0"/>
            </w:tcBorders>
            <w:vAlign w:val="bottom"/>
          </w:tcPr>
          <w:p w14:paraId="16843AEA">
            <w:pPr>
              <w:jc w:val="right"/>
              <w:rPr>
                <w:rFonts w:cs="Times New Roman"/>
              </w:rPr>
            </w:pPr>
          </w:p>
        </w:tc>
      </w:tr>
      <w:tr w14:paraId="1DBC3F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2F60756E">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其他综合收益</w:t>
            </w:r>
          </w:p>
        </w:tc>
        <w:tc>
          <w:tcPr>
            <w:tcW w:w="484" w:type="pct"/>
            <w:tcBorders>
              <w:top w:val="outset" w:color="auto" w:sz="6" w:space="0"/>
              <w:left w:val="outset" w:color="auto" w:sz="6" w:space="0"/>
              <w:bottom w:val="outset" w:color="auto" w:sz="6" w:space="0"/>
              <w:right w:val="outset" w:color="auto" w:sz="6" w:space="0"/>
            </w:tcBorders>
            <w:vAlign w:val="center"/>
          </w:tcPr>
          <w:p w14:paraId="44EEDFE9">
            <w:pPr>
              <w:jc w:val="center"/>
              <w:rPr>
                <w:rFonts w:cs="Times New Roman"/>
              </w:rPr>
            </w:pPr>
            <w:r>
              <w:rPr>
                <w:rFonts w:cs="Times New Roman"/>
              </w:rPr>
              <w:t>七、57</w:t>
            </w:r>
          </w:p>
        </w:tc>
        <w:tc>
          <w:tcPr>
            <w:tcW w:w="1127" w:type="pct"/>
            <w:tcBorders>
              <w:top w:val="outset" w:color="auto" w:sz="6" w:space="0"/>
              <w:left w:val="outset" w:color="auto" w:sz="6" w:space="0"/>
              <w:bottom w:val="outset" w:color="auto" w:sz="6" w:space="0"/>
              <w:right w:val="outset" w:color="auto" w:sz="6" w:space="0"/>
            </w:tcBorders>
            <w:vAlign w:val="bottom"/>
          </w:tcPr>
          <w:p w14:paraId="7ED8C849">
            <w:pPr>
              <w:jc w:val="right"/>
              <w:textAlignment w:val="bottom"/>
              <w:rPr>
                <w:rFonts w:cs="Times New Roman"/>
              </w:rPr>
            </w:pPr>
            <w:r>
              <w:rPr>
                <w:rFonts w:eastAsia="Arial Narrow" w:cs="Times New Roman"/>
                <w:color w:val="000000"/>
                <w:lang w:bidi="ar"/>
              </w:rPr>
              <w:t>-319,263,338.48</w:t>
            </w:r>
          </w:p>
        </w:tc>
        <w:tc>
          <w:tcPr>
            <w:tcW w:w="1140" w:type="pct"/>
            <w:tcBorders>
              <w:top w:val="outset" w:color="auto" w:sz="6" w:space="0"/>
              <w:left w:val="outset" w:color="auto" w:sz="6" w:space="0"/>
              <w:bottom w:val="outset" w:color="auto" w:sz="6" w:space="0"/>
              <w:right w:val="outset" w:color="auto" w:sz="6" w:space="0"/>
            </w:tcBorders>
            <w:vAlign w:val="bottom"/>
          </w:tcPr>
          <w:p w14:paraId="3AB1C0C7">
            <w:pPr>
              <w:jc w:val="right"/>
              <w:textAlignment w:val="bottom"/>
              <w:rPr>
                <w:rFonts w:cs="Times New Roman"/>
              </w:rPr>
            </w:pPr>
            <w:r>
              <w:rPr>
                <w:rFonts w:eastAsia="Arial Narrow" w:cs="Times New Roman"/>
                <w:color w:val="000000"/>
                <w:lang w:bidi="ar"/>
              </w:rPr>
              <w:t>-318,634,689.43</w:t>
            </w:r>
          </w:p>
        </w:tc>
      </w:tr>
      <w:tr w14:paraId="27D9EB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12DB1B48">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盈余公积</w:t>
            </w:r>
          </w:p>
        </w:tc>
        <w:tc>
          <w:tcPr>
            <w:tcW w:w="484" w:type="pct"/>
            <w:tcBorders>
              <w:top w:val="outset" w:color="auto" w:sz="6" w:space="0"/>
              <w:left w:val="outset" w:color="auto" w:sz="6" w:space="0"/>
              <w:bottom w:val="outset" w:color="auto" w:sz="6" w:space="0"/>
              <w:right w:val="outset" w:color="auto" w:sz="6" w:space="0"/>
            </w:tcBorders>
            <w:vAlign w:val="center"/>
          </w:tcPr>
          <w:p w14:paraId="0B174648">
            <w:pPr>
              <w:jc w:val="center"/>
              <w:rPr>
                <w:rFonts w:cs="Times New Roman"/>
              </w:rPr>
            </w:pPr>
            <w:r>
              <w:rPr>
                <w:rFonts w:cs="Times New Roman"/>
              </w:rPr>
              <w:t>七、59</w:t>
            </w:r>
          </w:p>
        </w:tc>
        <w:tc>
          <w:tcPr>
            <w:tcW w:w="1127" w:type="pct"/>
            <w:tcBorders>
              <w:top w:val="outset" w:color="auto" w:sz="6" w:space="0"/>
              <w:left w:val="outset" w:color="auto" w:sz="6" w:space="0"/>
              <w:bottom w:val="outset" w:color="auto" w:sz="6" w:space="0"/>
              <w:right w:val="outset" w:color="auto" w:sz="6" w:space="0"/>
            </w:tcBorders>
            <w:vAlign w:val="bottom"/>
          </w:tcPr>
          <w:p w14:paraId="31FCB6ED">
            <w:pPr>
              <w:jc w:val="right"/>
              <w:textAlignment w:val="bottom"/>
              <w:rPr>
                <w:rFonts w:cs="Times New Roman"/>
              </w:rPr>
            </w:pPr>
            <w:r>
              <w:rPr>
                <w:rFonts w:eastAsia="Arial Narrow" w:cs="Times New Roman"/>
                <w:color w:val="000000"/>
                <w:lang w:bidi="ar"/>
              </w:rPr>
              <w:t>369,677,423.82</w:t>
            </w:r>
          </w:p>
        </w:tc>
        <w:tc>
          <w:tcPr>
            <w:tcW w:w="1140" w:type="pct"/>
            <w:tcBorders>
              <w:top w:val="outset" w:color="auto" w:sz="6" w:space="0"/>
              <w:left w:val="outset" w:color="auto" w:sz="6" w:space="0"/>
              <w:bottom w:val="outset" w:color="auto" w:sz="6" w:space="0"/>
              <w:right w:val="outset" w:color="auto" w:sz="6" w:space="0"/>
            </w:tcBorders>
            <w:vAlign w:val="bottom"/>
          </w:tcPr>
          <w:p w14:paraId="5C453627">
            <w:pPr>
              <w:jc w:val="right"/>
              <w:textAlignment w:val="bottom"/>
              <w:rPr>
                <w:rFonts w:cs="Times New Roman"/>
              </w:rPr>
            </w:pPr>
            <w:r>
              <w:rPr>
                <w:rFonts w:eastAsia="Arial Narrow" w:cs="Times New Roman"/>
                <w:color w:val="000000"/>
                <w:lang w:bidi="ar"/>
              </w:rPr>
              <w:t>369,677,423.82</w:t>
            </w:r>
          </w:p>
        </w:tc>
      </w:tr>
      <w:tr w14:paraId="454246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67315714">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未分配利润</w:t>
            </w:r>
          </w:p>
        </w:tc>
        <w:tc>
          <w:tcPr>
            <w:tcW w:w="484" w:type="pct"/>
            <w:tcBorders>
              <w:top w:val="outset" w:color="auto" w:sz="6" w:space="0"/>
              <w:left w:val="outset" w:color="auto" w:sz="6" w:space="0"/>
              <w:bottom w:val="outset" w:color="auto" w:sz="6" w:space="0"/>
              <w:right w:val="outset" w:color="auto" w:sz="6" w:space="0"/>
            </w:tcBorders>
            <w:vAlign w:val="center"/>
          </w:tcPr>
          <w:p w14:paraId="1C603492">
            <w:pPr>
              <w:jc w:val="center"/>
              <w:rPr>
                <w:rFonts w:cs="Times New Roman"/>
              </w:rPr>
            </w:pPr>
            <w:r>
              <w:rPr>
                <w:rFonts w:cs="Times New Roman"/>
              </w:rPr>
              <w:t>七、60</w:t>
            </w:r>
          </w:p>
        </w:tc>
        <w:tc>
          <w:tcPr>
            <w:tcW w:w="1127" w:type="pct"/>
            <w:tcBorders>
              <w:top w:val="outset" w:color="auto" w:sz="6" w:space="0"/>
              <w:left w:val="outset" w:color="auto" w:sz="6" w:space="0"/>
              <w:bottom w:val="outset" w:color="auto" w:sz="6" w:space="0"/>
              <w:right w:val="outset" w:color="auto" w:sz="6" w:space="0"/>
            </w:tcBorders>
            <w:vAlign w:val="bottom"/>
          </w:tcPr>
          <w:p w14:paraId="75AA6253">
            <w:pPr>
              <w:jc w:val="right"/>
              <w:textAlignment w:val="bottom"/>
              <w:rPr>
                <w:rFonts w:cs="Times New Roman"/>
              </w:rPr>
            </w:pPr>
            <w:r>
              <w:rPr>
                <w:rFonts w:eastAsia="Arial Narrow" w:cs="Times New Roman"/>
                <w:color w:val="000000"/>
                <w:lang w:bidi="ar"/>
              </w:rPr>
              <w:t>24,218,486.35</w:t>
            </w:r>
          </w:p>
        </w:tc>
        <w:tc>
          <w:tcPr>
            <w:tcW w:w="1140" w:type="pct"/>
            <w:tcBorders>
              <w:top w:val="outset" w:color="auto" w:sz="6" w:space="0"/>
              <w:left w:val="outset" w:color="auto" w:sz="6" w:space="0"/>
              <w:bottom w:val="outset" w:color="auto" w:sz="6" w:space="0"/>
              <w:right w:val="outset" w:color="auto" w:sz="6" w:space="0"/>
            </w:tcBorders>
            <w:vAlign w:val="bottom"/>
          </w:tcPr>
          <w:p w14:paraId="52EF9F7A">
            <w:pPr>
              <w:jc w:val="right"/>
              <w:textAlignment w:val="bottom"/>
              <w:rPr>
                <w:rFonts w:cs="Times New Roman"/>
              </w:rPr>
            </w:pPr>
            <w:r>
              <w:rPr>
                <w:rFonts w:eastAsia="Arial Narrow" w:cs="Times New Roman"/>
                <w:color w:val="000000"/>
                <w:lang w:bidi="ar"/>
              </w:rPr>
              <w:t>103,250,332.59</w:t>
            </w:r>
          </w:p>
        </w:tc>
      </w:tr>
      <w:tr w14:paraId="370F95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37CABB0B">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归属于母公司所有者权益（或股东权益）合计</w:t>
            </w:r>
          </w:p>
        </w:tc>
        <w:tc>
          <w:tcPr>
            <w:tcW w:w="484" w:type="pct"/>
            <w:tcBorders>
              <w:top w:val="outset" w:color="auto" w:sz="6" w:space="0"/>
              <w:left w:val="outset" w:color="auto" w:sz="6" w:space="0"/>
              <w:bottom w:val="outset" w:color="auto" w:sz="6" w:space="0"/>
              <w:right w:val="outset" w:color="auto" w:sz="6" w:space="0"/>
            </w:tcBorders>
            <w:vAlign w:val="center"/>
          </w:tcPr>
          <w:p w14:paraId="7AE4CA4C">
            <w:pPr>
              <w:rPr>
                <w:rFonts w:cs="Times New Roman"/>
              </w:rPr>
            </w:pPr>
          </w:p>
        </w:tc>
        <w:tc>
          <w:tcPr>
            <w:tcW w:w="1127" w:type="pct"/>
            <w:tcBorders>
              <w:top w:val="outset" w:color="auto" w:sz="6" w:space="0"/>
              <w:left w:val="outset" w:color="auto" w:sz="6" w:space="0"/>
              <w:bottom w:val="outset" w:color="auto" w:sz="6" w:space="0"/>
              <w:right w:val="outset" w:color="auto" w:sz="6" w:space="0"/>
            </w:tcBorders>
            <w:vAlign w:val="center"/>
          </w:tcPr>
          <w:p w14:paraId="357F4F83">
            <w:pPr>
              <w:jc w:val="center"/>
              <w:textAlignment w:val="bottom"/>
              <w:rPr>
                <w:rFonts w:cs="Times New Roman"/>
              </w:rPr>
            </w:pPr>
            <w:r>
              <w:rPr>
                <w:rFonts w:eastAsia="Arial Narrow" w:cs="Times New Roman"/>
                <w:color w:val="000000"/>
                <w:lang w:bidi="ar"/>
              </w:rPr>
              <w:t>12,494,090,072.05</w:t>
            </w:r>
          </w:p>
        </w:tc>
        <w:tc>
          <w:tcPr>
            <w:tcW w:w="1140" w:type="pct"/>
            <w:tcBorders>
              <w:top w:val="outset" w:color="auto" w:sz="6" w:space="0"/>
              <w:left w:val="outset" w:color="auto" w:sz="6" w:space="0"/>
              <w:bottom w:val="outset" w:color="auto" w:sz="6" w:space="0"/>
              <w:right w:val="outset" w:color="auto" w:sz="6" w:space="0"/>
            </w:tcBorders>
            <w:vAlign w:val="center"/>
          </w:tcPr>
          <w:p w14:paraId="41B0E7C8">
            <w:pPr>
              <w:jc w:val="center"/>
              <w:textAlignment w:val="bottom"/>
              <w:rPr>
                <w:rFonts w:cs="Times New Roman"/>
              </w:rPr>
            </w:pPr>
            <w:r>
              <w:rPr>
                <w:rFonts w:eastAsia="Arial Narrow" w:cs="Times New Roman"/>
                <w:color w:val="000000"/>
                <w:lang w:bidi="ar"/>
              </w:rPr>
              <w:t>12,613,688,608.06</w:t>
            </w:r>
          </w:p>
        </w:tc>
      </w:tr>
      <w:tr w14:paraId="405DF3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78BADF7E">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少数股东权益</w:t>
            </w:r>
          </w:p>
        </w:tc>
        <w:tc>
          <w:tcPr>
            <w:tcW w:w="484" w:type="pct"/>
            <w:tcBorders>
              <w:top w:val="outset" w:color="auto" w:sz="6" w:space="0"/>
              <w:left w:val="outset" w:color="auto" w:sz="6" w:space="0"/>
              <w:bottom w:val="outset" w:color="auto" w:sz="6" w:space="0"/>
              <w:right w:val="outset" w:color="auto" w:sz="6" w:space="0"/>
            </w:tcBorders>
            <w:vAlign w:val="center"/>
          </w:tcPr>
          <w:p w14:paraId="5C6B90DD">
            <w:pPr>
              <w:rPr>
                <w:rFonts w:cs="Times New Roman"/>
              </w:rPr>
            </w:pPr>
          </w:p>
        </w:tc>
        <w:tc>
          <w:tcPr>
            <w:tcW w:w="1127" w:type="pct"/>
            <w:tcBorders>
              <w:top w:val="outset" w:color="auto" w:sz="6" w:space="0"/>
              <w:left w:val="outset" w:color="auto" w:sz="6" w:space="0"/>
              <w:bottom w:val="outset" w:color="auto" w:sz="6" w:space="0"/>
              <w:right w:val="outset" w:color="auto" w:sz="6" w:space="0"/>
            </w:tcBorders>
            <w:vAlign w:val="bottom"/>
          </w:tcPr>
          <w:p w14:paraId="5B9F58F7">
            <w:pPr>
              <w:jc w:val="right"/>
              <w:textAlignment w:val="bottom"/>
              <w:rPr>
                <w:rFonts w:cs="Times New Roman"/>
              </w:rPr>
            </w:pPr>
            <w:r>
              <w:rPr>
                <w:rFonts w:eastAsia="Arial Narrow" w:cs="Times New Roman"/>
                <w:color w:val="000000"/>
                <w:lang w:bidi="ar"/>
              </w:rPr>
              <w:t>-99,377,344.72</w:t>
            </w:r>
          </w:p>
        </w:tc>
        <w:tc>
          <w:tcPr>
            <w:tcW w:w="1140" w:type="pct"/>
            <w:tcBorders>
              <w:top w:val="outset" w:color="auto" w:sz="6" w:space="0"/>
              <w:left w:val="outset" w:color="auto" w:sz="6" w:space="0"/>
              <w:bottom w:val="outset" w:color="auto" w:sz="6" w:space="0"/>
              <w:right w:val="outset" w:color="auto" w:sz="6" w:space="0"/>
            </w:tcBorders>
            <w:vAlign w:val="bottom"/>
          </w:tcPr>
          <w:p w14:paraId="6A51FC62">
            <w:pPr>
              <w:jc w:val="right"/>
              <w:textAlignment w:val="bottom"/>
              <w:rPr>
                <w:rFonts w:cs="Times New Roman"/>
              </w:rPr>
            </w:pPr>
            <w:r>
              <w:rPr>
                <w:rFonts w:eastAsia="Arial Narrow" w:cs="Times New Roman"/>
                <w:color w:val="000000"/>
                <w:lang w:bidi="ar"/>
              </w:rPr>
              <w:t>-98,740,594.34</w:t>
            </w:r>
          </w:p>
        </w:tc>
      </w:tr>
      <w:tr w14:paraId="6607CA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60F95E6B">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所有者权益（或股东权益）合计</w:t>
            </w:r>
          </w:p>
        </w:tc>
        <w:tc>
          <w:tcPr>
            <w:tcW w:w="484" w:type="pct"/>
            <w:tcBorders>
              <w:top w:val="outset" w:color="auto" w:sz="6" w:space="0"/>
              <w:left w:val="outset" w:color="auto" w:sz="6" w:space="0"/>
              <w:bottom w:val="outset" w:color="auto" w:sz="6" w:space="0"/>
              <w:right w:val="outset" w:color="auto" w:sz="6" w:space="0"/>
            </w:tcBorders>
            <w:vAlign w:val="center"/>
          </w:tcPr>
          <w:p w14:paraId="60F570C8">
            <w:pPr>
              <w:rPr>
                <w:rFonts w:cs="Times New Roman"/>
              </w:rPr>
            </w:pPr>
          </w:p>
        </w:tc>
        <w:tc>
          <w:tcPr>
            <w:tcW w:w="1127" w:type="pct"/>
            <w:tcBorders>
              <w:top w:val="outset" w:color="auto" w:sz="6" w:space="0"/>
              <w:left w:val="outset" w:color="auto" w:sz="6" w:space="0"/>
              <w:bottom w:val="outset" w:color="auto" w:sz="6" w:space="0"/>
              <w:right w:val="outset" w:color="auto" w:sz="6" w:space="0"/>
            </w:tcBorders>
            <w:vAlign w:val="bottom"/>
          </w:tcPr>
          <w:p w14:paraId="31631339">
            <w:pPr>
              <w:jc w:val="right"/>
              <w:textAlignment w:val="bottom"/>
              <w:rPr>
                <w:rFonts w:cs="Times New Roman"/>
              </w:rPr>
            </w:pPr>
            <w:r>
              <w:rPr>
                <w:rFonts w:eastAsia="Arial Narrow" w:cs="Times New Roman"/>
                <w:color w:val="000000"/>
                <w:lang w:bidi="ar"/>
              </w:rPr>
              <w:t>12,394,712,727.33</w:t>
            </w:r>
          </w:p>
        </w:tc>
        <w:tc>
          <w:tcPr>
            <w:tcW w:w="1140" w:type="pct"/>
            <w:tcBorders>
              <w:top w:val="outset" w:color="auto" w:sz="6" w:space="0"/>
              <w:left w:val="outset" w:color="auto" w:sz="6" w:space="0"/>
              <w:bottom w:val="outset" w:color="auto" w:sz="6" w:space="0"/>
              <w:right w:val="outset" w:color="auto" w:sz="6" w:space="0"/>
            </w:tcBorders>
            <w:vAlign w:val="bottom"/>
          </w:tcPr>
          <w:p w14:paraId="0C676BEC">
            <w:pPr>
              <w:jc w:val="right"/>
              <w:textAlignment w:val="bottom"/>
              <w:rPr>
                <w:rFonts w:cs="Times New Roman"/>
              </w:rPr>
            </w:pPr>
            <w:r>
              <w:rPr>
                <w:rFonts w:eastAsia="Arial Narrow" w:cs="Times New Roman"/>
                <w:color w:val="000000"/>
                <w:lang w:bidi="ar"/>
              </w:rPr>
              <w:t>12,514,948,013.72</w:t>
            </w:r>
          </w:p>
        </w:tc>
      </w:tr>
      <w:tr w14:paraId="311654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49" w:type="pct"/>
            <w:tcBorders>
              <w:top w:val="outset" w:color="auto" w:sz="6" w:space="0"/>
              <w:left w:val="outset" w:color="auto" w:sz="6" w:space="0"/>
              <w:bottom w:val="outset" w:color="auto" w:sz="6" w:space="0"/>
              <w:right w:val="outset" w:color="auto" w:sz="6" w:space="0"/>
            </w:tcBorders>
            <w:vAlign w:val="center"/>
          </w:tcPr>
          <w:p w14:paraId="08A4D030">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负债和所有者权益（或股东权益）总计</w:t>
            </w:r>
          </w:p>
        </w:tc>
        <w:tc>
          <w:tcPr>
            <w:tcW w:w="484" w:type="pct"/>
            <w:tcBorders>
              <w:top w:val="outset" w:color="auto" w:sz="6" w:space="0"/>
              <w:left w:val="outset" w:color="auto" w:sz="6" w:space="0"/>
              <w:bottom w:val="outset" w:color="auto" w:sz="6" w:space="0"/>
              <w:right w:val="outset" w:color="auto" w:sz="6" w:space="0"/>
            </w:tcBorders>
            <w:vAlign w:val="center"/>
          </w:tcPr>
          <w:p w14:paraId="72282835">
            <w:pPr>
              <w:rPr>
                <w:rFonts w:cs="Times New Roman"/>
              </w:rPr>
            </w:pPr>
          </w:p>
        </w:tc>
        <w:tc>
          <w:tcPr>
            <w:tcW w:w="1127" w:type="pct"/>
            <w:tcBorders>
              <w:top w:val="outset" w:color="auto" w:sz="6" w:space="0"/>
              <w:left w:val="outset" w:color="auto" w:sz="6" w:space="0"/>
              <w:bottom w:val="outset" w:color="auto" w:sz="6" w:space="0"/>
              <w:right w:val="outset" w:color="auto" w:sz="6" w:space="0"/>
            </w:tcBorders>
            <w:vAlign w:val="bottom"/>
          </w:tcPr>
          <w:p w14:paraId="31BC589B">
            <w:pPr>
              <w:jc w:val="right"/>
              <w:textAlignment w:val="bottom"/>
              <w:rPr>
                <w:rFonts w:cs="Times New Roman"/>
              </w:rPr>
            </w:pPr>
            <w:r>
              <w:rPr>
                <w:rFonts w:eastAsia="Arial Narrow" w:cs="Times New Roman"/>
                <w:color w:val="000000"/>
                <w:lang w:bidi="ar"/>
              </w:rPr>
              <w:t>21,663,866,816.93</w:t>
            </w:r>
          </w:p>
        </w:tc>
        <w:tc>
          <w:tcPr>
            <w:tcW w:w="1140" w:type="pct"/>
            <w:tcBorders>
              <w:top w:val="outset" w:color="auto" w:sz="6" w:space="0"/>
              <w:left w:val="outset" w:color="auto" w:sz="6" w:space="0"/>
              <w:bottom w:val="outset" w:color="auto" w:sz="6" w:space="0"/>
              <w:right w:val="outset" w:color="auto" w:sz="6" w:space="0"/>
            </w:tcBorders>
            <w:vAlign w:val="bottom"/>
          </w:tcPr>
          <w:p w14:paraId="380AF1D0">
            <w:pPr>
              <w:jc w:val="right"/>
              <w:textAlignment w:val="bottom"/>
              <w:rPr>
                <w:rFonts w:cs="Times New Roman"/>
              </w:rPr>
            </w:pPr>
            <w:r>
              <w:rPr>
                <w:rFonts w:eastAsia="Arial Narrow" w:cs="Times New Roman"/>
                <w:color w:val="000000"/>
                <w:lang w:bidi="ar"/>
              </w:rPr>
              <w:t>21,172,865,094.07</w:t>
            </w:r>
          </w:p>
        </w:tc>
      </w:tr>
      <w:bookmarkEnd w:id="148"/>
    </w:tbl>
    <w:p w14:paraId="258623DA">
      <w:pPr>
        <w:ind w:right="-153" w:rightChars="-73"/>
        <w:rPr>
          <w:color w:val="000000" w:themeColor="text1"/>
          <w14:textFill>
            <w14:solidFill>
              <w14:schemeClr w14:val="tx1"/>
            </w14:solidFill>
          </w14:textFill>
        </w:rPr>
      </w:pPr>
    </w:p>
    <w:p w14:paraId="75F56CD2">
      <w:pPr>
        <w:ind w:right="-153" w:rightChars="-73"/>
        <w:rPr>
          <w:color w:val="000000" w:themeColor="text1"/>
          <w:u w:val="single"/>
          <w14:textFill>
            <w14:solidFill>
              <w14:schemeClr w14:val="tx1"/>
            </w14:solidFill>
          </w14:textFill>
        </w:rPr>
      </w:pPr>
      <w:r>
        <w:rPr>
          <w:color w:val="000000" w:themeColor="text1"/>
          <w14:textFill>
            <w14:solidFill>
              <w14:schemeClr w14:val="tx1"/>
            </w14:solidFill>
          </w14:textFill>
        </w:rPr>
        <w:t>公司负责人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公司负责人"/>
          <w:tag w:val="_GBC_82350876809b4479afe9f3c55db147dd"/>
          <w:id w:val="147462075"/>
          <w:dataBinding w:prefixMappings="xmlns:clcid-mr='clcid-mr'" w:xpath="/*/clcid-mr:GongSi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夏前军</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主管会计工作负责人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主管会计工作负责人姓名"/>
          <w:tag w:val="_GBC_9caf2fff268b41a7b3fe74fc4a3d6533"/>
          <w:id w:val="147458215"/>
          <w:dataBinding w:prefixMappings="xmlns:clcid-mr='clcid-mr'" w:xpath="/*/clcid-mr:ZhuGuanKuaiJiGongZuo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刘改平</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会计机构负责人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会计机构负责人姓名"/>
          <w:tag w:val="_GBC_8cacbe4a6fcc41699e67ce809516ec50"/>
          <w:id w:val="147462670"/>
          <w:dataBinding w:prefixMappings="xmlns:clcid-mr='clcid-mr'" w:xpath="/*/clcid-mr:KuaiJiJiGou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冯晓</w:t>
          </w:r>
        </w:sdtContent>
      </w:sdt>
    </w:p>
    <w:p w14:paraId="6AE39FA3">
      <w:pPr>
        <w:snapToGrid w:val="0"/>
        <w:spacing w:line="240" w:lineRule="atLeast"/>
        <w:ind w:right="-1594" w:rightChars="-759"/>
        <w:rPr>
          <w:color w:val="000000" w:themeColor="text1"/>
          <w14:textFill>
            <w14:solidFill>
              <w14:schemeClr w14:val="tx1"/>
            </w14:solidFill>
          </w14:textFill>
        </w:rPr>
      </w:pPr>
    </w:p>
    <w:p w14:paraId="674513FA">
      <w:pPr>
        <w:pStyle w:val="4"/>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母公司</w:t>
      </w:r>
      <w:r>
        <w:rPr>
          <w:rFonts w:ascii="宋体" w:hAnsi="宋体"/>
          <w:color w:val="000000" w:themeColor="text1"/>
          <w14:textFill>
            <w14:solidFill>
              <w14:schemeClr w14:val="tx1"/>
            </w14:solidFill>
          </w14:textFill>
        </w:rPr>
        <w:t>资产负债表</w:t>
      </w:r>
    </w:p>
    <w:p w14:paraId="5BB98784">
      <w:pPr>
        <w:snapToGrid w:val="0"/>
        <w:spacing w:line="240" w:lineRule="atLeast"/>
        <w:jc w:val="center"/>
        <w:rPr>
          <w:b/>
          <w:color w:val="000000" w:themeColor="text1"/>
          <w14:textFill>
            <w14:solidFill>
              <w14:schemeClr w14:val="tx1"/>
            </w14:solidFill>
          </w14:textFill>
        </w:rPr>
      </w:pPr>
      <w:r>
        <w:rPr>
          <w:color w:val="000000" w:themeColor="text1"/>
          <w14:textFill>
            <w14:solidFill>
              <w14:schemeClr w14:val="tx1"/>
            </w14:solidFill>
          </w14:textFill>
        </w:rPr>
        <w:t>2025年6月30日</w:t>
      </w:r>
    </w:p>
    <w:p w14:paraId="54DA8B55">
      <w:pPr>
        <w:rPr>
          <w:color w:val="000000" w:themeColor="text1"/>
          <w14:textFill>
            <w14:solidFill>
              <w14:schemeClr w14:val="tx1"/>
            </w14:solidFill>
          </w14:textFill>
        </w:rPr>
      </w:pPr>
      <w:r>
        <w:rPr>
          <w:color w:val="000000" w:themeColor="text1"/>
          <w14:textFill>
            <w14:solidFill>
              <w14:schemeClr w14:val="tx1"/>
            </w14:solidFill>
          </w14:textFill>
        </w:rPr>
        <w:t>编制单位：</w:t>
      </w:r>
      <w:sdt>
        <w:sdtPr>
          <w:rPr>
            <w:color w:val="000000" w:themeColor="text1"/>
            <w14:textFill>
              <w14:solidFill>
                <w14:schemeClr w14:val="tx1"/>
              </w14:solidFill>
            </w14:textFill>
          </w:rPr>
          <w:alias w:val="公司法定中文名称"/>
          <w:tag w:val="_GBC_824a3e7402834e78aa66a9ee77d287bc"/>
          <w:id w:val="147473576"/>
          <w:dataBinding w:prefixMappings="xmlns:clcid-cgi='clcid-cgi'" w:xpath="/*/clcid-cgi:GongSiFaDingZhongWenMingCheng[not(@periodRef)]" w:storeItemID="{89EBAB94-44A0-46A2-B712-30D997D04A6D}"/>
          <w:text/>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际华集团股份有限公司</w:t>
          </w:r>
        </w:sdtContent>
      </w:sdt>
      <w:r>
        <w:rPr>
          <w:color w:val="000000" w:themeColor="text1"/>
          <w14:textFill>
            <w14:solidFill>
              <w14:schemeClr w14:val="tx1"/>
            </w14:solidFill>
          </w14:textFill>
        </w:rPr>
        <w:t>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单位：</w:t>
      </w:r>
      <w:sdt>
        <w:sdtPr>
          <w:rPr>
            <w:color w:val="000000" w:themeColor="text1"/>
            <w14:textFill>
              <w14:solidFill>
                <w14:schemeClr w14:val="tx1"/>
              </w14:solidFill>
            </w14:textFill>
          </w:rPr>
          <w:alias w:val="单位：母公司资产负债表"/>
          <w:tag w:val="_GBC_7be010b1a07f4048a3805d40208ccda4"/>
          <w:id w:val="147474041"/>
          <w:comboBox>
            <w:listItem w:displayText="元" w:value="1"/>
            <w:listItem w:displayText="千元" w:value="1000"/>
            <w:listItem w:displayText="万元" w:value="10000"/>
            <w:listItem w:displayText="百万元" w:value="1000000"/>
            <w:listItem w:displayText="亿元" w:value="100000000"/>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color w:val="000000" w:themeColor="text1"/>
          <w14:textFill>
            <w14:solidFill>
              <w14:schemeClr w14:val="tx1"/>
            </w14:solidFill>
          </w14:textFill>
        </w:rPr>
        <w:t xml:space="preserve">  币种：</w:t>
      </w:r>
      <w:sdt>
        <w:sdtPr>
          <w:rPr>
            <w:color w:val="000000" w:themeColor="text1"/>
            <w14:textFill>
              <w14:solidFill>
                <w14:schemeClr w14:val="tx1"/>
              </w14:solidFill>
            </w14:textFill>
          </w:rPr>
          <w:alias w:val="币种：母公司资产负债表"/>
          <w:tag w:val="_GBC_ecd35f8ce6f84d6f8ad30e1e244c15ff"/>
          <w:id w:val="14746469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人民币</w:t>
          </w:r>
        </w:sdtContent>
      </w:sdt>
    </w:p>
    <w:tbl>
      <w:tblPr>
        <w:tblStyle w:val="37"/>
        <w:tblW w:w="4992"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030"/>
        <w:gridCol w:w="1053"/>
        <w:gridCol w:w="1924"/>
        <w:gridCol w:w="2028"/>
      </w:tblGrid>
      <w:tr w14:paraId="7836B9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sdt>
          <w:sdtPr>
            <w:rPr>
              <w:rFonts w:cs="Times New Roman"/>
            </w:rPr>
            <w:tag w:val="_PLD_7b231a79acb54050b640bf23dd34ab8c"/>
            <w:id w:val="147454766"/>
          </w:sdtPr>
          <w:sdtEndPr>
            <w:rPr>
              <w:rFonts w:cs="Times New Roman"/>
            </w:rPr>
          </w:sdtEndPr>
          <w:sdtContent>
            <w:tc>
              <w:tcPr>
                <w:tcW w:w="2230" w:type="pct"/>
                <w:tcBorders>
                  <w:top w:val="outset" w:color="auto" w:sz="6" w:space="0"/>
                  <w:left w:val="outset" w:color="auto" w:sz="6" w:space="0"/>
                  <w:bottom w:val="outset" w:color="auto" w:sz="6" w:space="0"/>
                  <w:right w:val="outset" w:color="auto" w:sz="6" w:space="0"/>
                </w:tcBorders>
                <w:vAlign w:val="center"/>
              </w:tcPr>
              <w:p w14:paraId="7D73CC6F">
                <w:pPr>
                  <w:jc w:val="center"/>
                  <w:rPr>
                    <w:rFonts w:cs="Times New Roman"/>
                    <w:b/>
                    <w:bCs w:val="0"/>
                    <w:color w:val="000000" w:themeColor="text1"/>
                    <w14:textFill>
                      <w14:solidFill>
                        <w14:schemeClr w14:val="tx1"/>
                      </w14:solidFill>
                    </w14:textFill>
                  </w:rPr>
                </w:pPr>
                <w:bookmarkStart w:id="149" w:name="_Hlk105686791"/>
                <w:r>
                  <w:rPr>
                    <w:rFonts w:cs="Times New Roman"/>
                    <w:b/>
                    <w:bCs w:val="0"/>
                    <w:color w:val="000000" w:themeColor="text1"/>
                    <w14:textFill>
                      <w14:solidFill>
                        <w14:schemeClr w14:val="tx1"/>
                      </w14:solidFill>
                    </w14:textFill>
                  </w:rPr>
                  <w:t>项目</w:t>
                </w:r>
              </w:p>
            </w:tc>
          </w:sdtContent>
        </w:sdt>
        <w:sdt>
          <w:sdtPr>
            <w:rPr>
              <w:rFonts w:cs="Times New Roman"/>
            </w:rPr>
            <w:tag w:val="_PLD_5e370aa08a144a709185abd9b2f11c20"/>
            <w:id w:val="147472569"/>
          </w:sdtPr>
          <w:sdtEndPr>
            <w:rPr>
              <w:rFonts w:cs="Times New Roman"/>
            </w:rPr>
          </w:sdtEndPr>
          <w:sdtContent>
            <w:tc>
              <w:tcPr>
                <w:tcW w:w="583" w:type="pct"/>
                <w:tcBorders>
                  <w:top w:val="outset" w:color="auto" w:sz="6" w:space="0"/>
                  <w:left w:val="outset" w:color="auto" w:sz="6" w:space="0"/>
                  <w:bottom w:val="outset" w:color="auto" w:sz="6" w:space="0"/>
                  <w:right w:val="outset" w:color="auto" w:sz="6" w:space="0"/>
                </w:tcBorders>
                <w:vAlign w:val="center"/>
              </w:tcPr>
              <w:p w14:paraId="292E8A26">
                <w:pPr>
                  <w:jc w:val="center"/>
                  <w:rPr>
                    <w:rFonts w:cs="Times New Roman"/>
                    <w:b/>
                    <w:bCs w:val="0"/>
                    <w:color w:val="000000" w:themeColor="text1"/>
                    <w14:textFill>
                      <w14:solidFill>
                        <w14:schemeClr w14:val="tx1"/>
                      </w14:solidFill>
                    </w14:textFill>
                  </w:rPr>
                </w:pPr>
                <w:r>
                  <w:rPr>
                    <w:rFonts w:cs="Times New Roman"/>
                    <w:b/>
                    <w:bCs w:val="0"/>
                    <w:color w:val="000000" w:themeColor="text1"/>
                    <w14:textFill>
                      <w14:solidFill>
                        <w14:schemeClr w14:val="tx1"/>
                      </w14:solidFill>
                    </w14:textFill>
                  </w:rPr>
                  <w:t>附注</w:t>
                </w:r>
              </w:p>
            </w:tc>
          </w:sdtContent>
        </w:sdt>
        <w:sdt>
          <w:sdtPr>
            <w:rPr>
              <w:rFonts w:cs="Times New Roman"/>
            </w:rPr>
            <w:tag w:val="_PLD_0aa0a7a0cd4c45afa7cfb1bcfbba36c3"/>
            <w:id w:val="147455926"/>
          </w:sdtPr>
          <w:sdtEndPr>
            <w:rPr>
              <w:rFonts w:cs="Times New Roman"/>
            </w:rPr>
          </w:sdtEndPr>
          <w:sdtContent>
            <w:tc>
              <w:tcPr>
                <w:tcW w:w="1065" w:type="pct"/>
                <w:tcBorders>
                  <w:top w:val="outset" w:color="auto" w:sz="6" w:space="0"/>
                  <w:left w:val="outset" w:color="auto" w:sz="6" w:space="0"/>
                  <w:bottom w:val="outset" w:color="auto" w:sz="6" w:space="0"/>
                  <w:right w:val="outset" w:color="auto" w:sz="6" w:space="0"/>
                </w:tcBorders>
                <w:vAlign w:val="center"/>
              </w:tcPr>
              <w:p w14:paraId="479597EB">
                <w:pPr>
                  <w:jc w:val="center"/>
                  <w:rPr>
                    <w:rFonts w:cs="Times New Roman"/>
                    <w:b/>
                    <w:bCs w:val="0"/>
                    <w:color w:val="000000" w:themeColor="text1"/>
                    <w14:textFill>
                      <w14:solidFill>
                        <w14:schemeClr w14:val="tx1"/>
                      </w14:solidFill>
                    </w14:textFill>
                  </w:rPr>
                </w:pPr>
                <w:r>
                  <w:rPr>
                    <w:rFonts w:cs="Times New Roman"/>
                    <w:b/>
                    <w:bCs w:val="0"/>
                    <w:color w:val="000000" w:themeColor="text1"/>
                    <w14:textFill>
                      <w14:solidFill>
                        <w14:schemeClr w14:val="tx1"/>
                      </w14:solidFill>
                    </w14:textFill>
                  </w:rPr>
                  <w:t>2025年6月30日</w:t>
                </w:r>
              </w:p>
            </w:tc>
          </w:sdtContent>
        </w:sdt>
        <w:sdt>
          <w:sdtPr>
            <w:rPr>
              <w:rFonts w:cs="Times New Roman"/>
            </w:rPr>
            <w:tag w:val="_PLD_e986dda0dbc74346a9296e5a4646b696"/>
            <w:id w:val="147475120"/>
          </w:sdtPr>
          <w:sdtEndPr>
            <w:rPr>
              <w:rFonts w:cs="Times New Roman"/>
            </w:rPr>
          </w:sdtEndPr>
          <w:sdtContent>
            <w:tc>
              <w:tcPr>
                <w:tcW w:w="1121" w:type="pct"/>
                <w:tcBorders>
                  <w:top w:val="outset" w:color="auto" w:sz="6" w:space="0"/>
                  <w:left w:val="outset" w:color="auto" w:sz="6" w:space="0"/>
                  <w:bottom w:val="outset" w:color="auto" w:sz="6" w:space="0"/>
                  <w:right w:val="outset" w:color="auto" w:sz="6" w:space="0"/>
                </w:tcBorders>
                <w:vAlign w:val="center"/>
              </w:tcPr>
              <w:p w14:paraId="540EDA67">
                <w:pPr>
                  <w:jc w:val="center"/>
                  <w:rPr>
                    <w:rFonts w:cs="Times New Roman"/>
                    <w:b/>
                    <w:bCs w:val="0"/>
                    <w:color w:val="000000" w:themeColor="text1"/>
                    <w14:textFill>
                      <w14:solidFill>
                        <w14:schemeClr w14:val="tx1"/>
                      </w14:solidFill>
                    </w14:textFill>
                  </w:rPr>
                </w:pPr>
                <w:r>
                  <w:rPr>
                    <w:rFonts w:cs="Times New Roman"/>
                    <w:b/>
                    <w:bCs w:val="0"/>
                    <w:color w:val="000000" w:themeColor="text1"/>
                    <w14:textFill>
                      <w14:solidFill>
                        <w14:schemeClr w14:val="tx1"/>
                      </w14:solidFill>
                    </w14:textFill>
                  </w:rPr>
                  <w:t>2024年12月31日</w:t>
                </w:r>
              </w:p>
            </w:tc>
          </w:sdtContent>
        </w:sdt>
      </w:tr>
      <w:tr w14:paraId="102262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cs="Times New Roman"/>
            </w:rPr>
            <w:tag w:val="_PLD_64ae72669eea4837a1a220d585585bdf"/>
            <w:id w:val="147451263"/>
          </w:sdtPr>
          <w:sdtEndPr>
            <w:rPr>
              <w:rFonts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31D8685F">
                <w:pP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流动资产：</w:t>
                </w:r>
              </w:p>
            </w:tc>
          </w:sdtContent>
        </w:sdt>
      </w:tr>
      <w:tr w14:paraId="3A550D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524948BA">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货币资金</w:t>
            </w:r>
          </w:p>
        </w:tc>
        <w:tc>
          <w:tcPr>
            <w:tcW w:w="583" w:type="pct"/>
            <w:tcBorders>
              <w:top w:val="outset" w:color="auto" w:sz="6" w:space="0"/>
              <w:left w:val="outset" w:color="auto" w:sz="6" w:space="0"/>
              <w:bottom w:val="outset" w:color="auto" w:sz="6" w:space="0"/>
              <w:right w:val="outset" w:color="auto" w:sz="6" w:space="0"/>
            </w:tcBorders>
            <w:vAlign w:val="center"/>
          </w:tcPr>
          <w:p w14:paraId="77A0F4B8">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11AA4863">
            <w:pPr>
              <w:jc w:val="right"/>
              <w:textAlignment w:val="bottom"/>
              <w:rPr>
                <w:rFonts w:cs="Times New Roman"/>
              </w:rPr>
            </w:pPr>
            <w:r>
              <w:rPr>
                <w:rFonts w:eastAsia="Arial Narrow" w:cs="Times New Roman"/>
                <w:color w:val="000000"/>
                <w:lang w:bidi="ar"/>
              </w:rPr>
              <w:t>3,298,320,139.92</w:t>
            </w:r>
          </w:p>
        </w:tc>
        <w:tc>
          <w:tcPr>
            <w:tcW w:w="1121" w:type="pct"/>
            <w:tcBorders>
              <w:top w:val="outset" w:color="auto" w:sz="6" w:space="0"/>
              <w:left w:val="outset" w:color="auto" w:sz="6" w:space="0"/>
              <w:bottom w:val="outset" w:color="auto" w:sz="6" w:space="0"/>
              <w:right w:val="outset" w:color="auto" w:sz="6" w:space="0"/>
            </w:tcBorders>
            <w:vAlign w:val="bottom"/>
          </w:tcPr>
          <w:p w14:paraId="76CE553F">
            <w:pPr>
              <w:jc w:val="right"/>
              <w:textAlignment w:val="bottom"/>
              <w:rPr>
                <w:rFonts w:cs="Times New Roman"/>
              </w:rPr>
            </w:pPr>
            <w:r>
              <w:rPr>
                <w:rFonts w:eastAsia="Arial Narrow" w:cs="Times New Roman"/>
                <w:color w:val="000000"/>
                <w:lang w:bidi="ar"/>
              </w:rPr>
              <w:t>1,994,742,011.78</w:t>
            </w:r>
          </w:p>
        </w:tc>
      </w:tr>
      <w:tr w14:paraId="125D8A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5BD1AFF1">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应收票据</w:t>
            </w:r>
          </w:p>
        </w:tc>
        <w:tc>
          <w:tcPr>
            <w:tcW w:w="583" w:type="pct"/>
            <w:tcBorders>
              <w:top w:val="outset" w:color="auto" w:sz="6" w:space="0"/>
              <w:left w:val="outset" w:color="auto" w:sz="6" w:space="0"/>
              <w:bottom w:val="outset" w:color="auto" w:sz="6" w:space="0"/>
              <w:right w:val="outset" w:color="auto" w:sz="6" w:space="0"/>
            </w:tcBorders>
            <w:vAlign w:val="center"/>
          </w:tcPr>
          <w:p w14:paraId="7425E717">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66542B33">
            <w:pPr>
              <w:jc w:val="right"/>
              <w:rPr>
                <w:rFonts w:cs="Times New Roman"/>
              </w:rPr>
            </w:pPr>
          </w:p>
        </w:tc>
        <w:tc>
          <w:tcPr>
            <w:tcW w:w="1121" w:type="pct"/>
            <w:tcBorders>
              <w:top w:val="outset" w:color="auto" w:sz="6" w:space="0"/>
              <w:left w:val="outset" w:color="auto" w:sz="6" w:space="0"/>
              <w:bottom w:val="outset" w:color="auto" w:sz="6" w:space="0"/>
              <w:right w:val="outset" w:color="auto" w:sz="6" w:space="0"/>
            </w:tcBorders>
            <w:vAlign w:val="bottom"/>
          </w:tcPr>
          <w:p w14:paraId="25308D55">
            <w:pPr>
              <w:jc w:val="right"/>
              <w:rPr>
                <w:rFonts w:cs="Times New Roman"/>
              </w:rPr>
            </w:pPr>
          </w:p>
        </w:tc>
      </w:tr>
      <w:tr w14:paraId="1CA0FD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63E46134">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应收账款</w:t>
            </w:r>
          </w:p>
        </w:tc>
        <w:tc>
          <w:tcPr>
            <w:tcW w:w="583" w:type="pct"/>
            <w:tcBorders>
              <w:top w:val="outset" w:color="auto" w:sz="6" w:space="0"/>
              <w:left w:val="outset" w:color="auto" w:sz="6" w:space="0"/>
              <w:bottom w:val="outset" w:color="auto" w:sz="6" w:space="0"/>
              <w:right w:val="outset" w:color="auto" w:sz="6" w:space="0"/>
            </w:tcBorders>
            <w:vAlign w:val="center"/>
          </w:tcPr>
          <w:p w14:paraId="67FB9A3F">
            <w:pPr>
              <w:rPr>
                <w:rFonts w:cs="Times New Roman"/>
              </w:rPr>
            </w:pPr>
            <w:r>
              <w:rPr>
                <w:rFonts w:cs="Times New Roman"/>
              </w:rPr>
              <w:t>十九、1</w:t>
            </w:r>
          </w:p>
        </w:tc>
        <w:tc>
          <w:tcPr>
            <w:tcW w:w="1065" w:type="pct"/>
            <w:tcBorders>
              <w:top w:val="outset" w:color="auto" w:sz="6" w:space="0"/>
              <w:left w:val="outset" w:color="auto" w:sz="6" w:space="0"/>
              <w:bottom w:val="outset" w:color="auto" w:sz="6" w:space="0"/>
              <w:right w:val="outset" w:color="auto" w:sz="6" w:space="0"/>
            </w:tcBorders>
            <w:vAlign w:val="bottom"/>
          </w:tcPr>
          <w:p w14:paraId="45DAAA6C">
            <w:pPr>
              <w:jc w:val="right"/>
              <w:textAlignment w:val="bottom"/>
              <w:rPr>
                <w:rFonts w:cs="Times New Roman"/>
              </w:rPr>
            </w:pPr>
            <w:r>
              <w:rPr>
                <w:rFonts w:eastAsia="Arial Narrow" w:cs="Times New Roman"/>
                <w:color w:val="000000"/>
                <w:lang w:bidi="ar"/>
              </w:rPr>
              <w:t>34,272,569.47</w:t>
            </w:r>
          </w:p>
        </w:tc>
        <w:tc>
          <w:tcPr>
            <w:tcW w:w="1121" w:type="pct"/>
            <w:tcBorders>
              <w:top w:val="outset" w:color="auto" w:sz="6" w:space="0"/>
              <w:left w:val="outset" w:color="auto" w:sz="6" w:space="0"/>
              <w:bottom w:val="outset" w:color="auto" w:sz="6" w:space="0"/>
              <w:right w:val="outset" w:color="auto" w:sz="6" w:space="0"/>
            </w:tcBorders>
            <w:vAlign w:val="bottom"/>
          </w:tcPr>
          <w:p w14:paraId="52CAFAD2">
            <w:pPr>
              <w:jc w:val="right"/>
              <w:textAlignment w:val="bottom"/>
              <w:rPr>
                <w:rFonts w:cs="Times New Roman"/>
              </w:rPr>
            </w:pPr>
            <w:r>
              <w:rPr>
                <w:rFonts w:eastAsia="Arial Narrow" w:cs="Times New Roman"/>
                <w:color w:val="000000"/>
                <w:lang w:bidi="ar"/>
              </w:rPr>
              <w:t>34,678,415.33</w:t>
            </w:r>
          </w:p>
        </w:tc>
      </w:tr>
      <w:tr w14:paraId="259AAC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008C532A">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预付款项</w:t>
            </w:r>
          </w:p>
        </w:tc>
        <w:tc>
          <w:tcPr>
            <w:tcW w:w="583" w:type="pct"/>
            <w:tcBorders>
              <w:top w:val="outset" w:color="auto" w:sz="6" w:space="0"/>
              <w:left w:val="outset" w:color="auto" w:sz="6" w:space="0"/>
              <w:bottom w:val="outset" w:color="auto" w:sz="6" w:space="0"/>
              <w:right w:val="outset" w:color="auto" w:sz="6" w:space="0"/>
            </w:tcBorders>
            <w:vAlign w:val="center"/>
          </w:tcPr>
          <w:p w14:paraId="7D822352">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49B070B3">
            <w:pPr>
              <w:jc w:val="right"/>
              <w:textAlignment w:val="bottom"/>
              <w:rPr>
                <w:rFonts w:cs="Times New Roman"/>
              </w:rPr>
            </w:pPr>
            <w:r>
              <w:rPr>
                <w:rFonts w:eastAsia="Arial Narrow" w:cs="Times New Roman"/>
                <w:color w:val="000000"/>
                <w:lang w:bidi="ar"/>
              </w:rPr>
              <w:t>1,797,801.35</w:t>
            </w:r>
          </w:p>
        </w:tc>
        <w:tc>
          <w:tcPr>
            <w:tcW w:w="1121" w:type="pct"/>
            <w:tcBorders>
              <w:top w:val="outset" w:color="auto" w:sz="6" w:space="0"/>
              <w:left w:val="outset" w:color="auto" w:sz="6" w:space="0"/>
              <w:bottom w:val="outset" w:color="auto" w:sz="6" w:space="0"/>
              <w:right w:val="outset" w:color="auto" w:sz="6" w:space="0"/>
            </w:tcBorders>
            <w:vAlign w:val="bottom"/>
          </w:tcPr>
          <w:p w14:paraId="09655DA8">
            <w:pPr>
              <w:jc w:val="right"/>
              <w:textAlignment w:val="bottom"/>
              <w:rPr>
                <w:rFonts w:cs="Times New Roman"/>
              </w:rPr>
            </w:pPr>
            <w:r>
              <w:rPr>
                <w:rFonts w:eastAsia="Arial Narrow" w:cs="Times New Roman"/>
                <w:color w:val="000000"/>
                <w:lang w:bidi="ar"/>
              </w:rPr>
              <w:t>1,799,493.35</w:t>
            </w:r>
          </w:p>
        </w:tc>
      </w:tr>
      <w:tr w14:paraId="5CDF8C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0F9B4D3E">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其他应收款</w:t>
            </w:r>
          </w:p>
        </w:tc>
        <w:tc>
          <w:tcPr>
            <w:tcW w:w="583" w:type="pct"/>
            <w:tcBorders>
              <w:top w:val="outset" w:color="auto" w:sz="6" w:space="0"/>
              <w:left w:val="outset" w:color="auto" w:sz="6" w:space="0"/>
              <w:bottom w:val="outset" w:color="auto" w:sz="6" w:space="0"/>
              <w:right w:val="outset" w:color="auto" w:sz="6" w:space="0"/>
            </w:tcBorders>
            <w:vAlign w:val="center"/>
          </w:tcPr>
          <w:p w14:paraId="6C0A3417">
            <w:pPr>
              <w:rPr>
                <w:rFonts w:cs="Times New Roman"/>
              </w:rPr>
            </w:pPr>
            <w:r>
              <w:rPr>
                <w:rFonts w:cs="Times New Roman"/>
              </w:rPr>
              <w:t>十九、2</w:t>
            </w:r>
          </w:p>
        </w:tc>
        <w:tc>
          <w:tcPr>
            <w:tcW w:w="1065" w:type="pct"/>
            <w:tcBorders>
              <w:top w:val="outset" w:color="auto" w:sz="6" w:space="0"/>
              <w:left w:val="outset" w:color="auto" w:sz="6" w:space="0"/>
              <w:bottom w:val="outset" w:color="auto" w:sz="6" w:space="0"/>
              <w:right w:val="outset" w:color="auto" w:sz="6" w:space="0"/>
            </w:tcBorders>
            <w:vAlign w:val="bottom"/>
          </w:tcPr>
          <w:p w14:paraId="317A99B8">
            <w:pPr>
              <w:jc w:val="right"/>
              <w:textAlignment w:val="bottom"/>
              <w:rPr>
                <w:rFonts w:cs="Times New Roman"/>
              </w:rPr>
            </w:pPr>
            <w:r>
              <w:rPr>
                <w:rFonts w:eastAsia="Arial Narrow" w:cs="Times New Roman"/>
                <w:color w:val="000000"/>
                <w:lang w:bidi="ar"/>
              </w:rPr>
              <w:t>7,176,635,000.03</w:t>
            </w:r>
          </w:p>
        </w:tc>
        <w:tc>
          <w:tcPr>
            <w:tcW w:w="1121" w:type="pct"/>
            <w:tcBorders>
              <w:top w:val="outset" w:color="auto" w:sz="6" w:space="0"/>
              <w:left w:val="outset" w:color="auto" w:sz="6" w:space="0"/>
              <w:bottom w:val="outset" w:color="auto" w:sz="6" w:space="0"/>
              <w:right w:val="outset" w:color="auto" w:sz="6" w:space="0"/>
            </w:tcBorders>
            <w:vAlign w:val="bottom"/>
          </w:tcPr>
          <w:p w14:paraId="4F25516F">
            <w:pPr>
              <w:jc w:val="right"/>
              <w:textAlignment w:val="bottom"/>
              <w:rPr>
                <w:rFonts w:cs="Times New Roman"/>
              </w:rPr>
            </w:pPr>
            <w:r>
              <w:rPr>
                <w:rFonts w:eastAsia="Arial Narrow" w:cs="Times New Roman"/>
                <w:color w:val="000000"/>
                <w:lang w:bidi="ar"/>
              </w:rPr>
              <w:t>6,735,847,816.17</w:t>
            </w:r>
          </w:p>
        </w:tc>
      </w:tr>
      <w:tr w14:paraId="6D54FB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7B09E1D8">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其中：应收利息</w:t>
            </w:r>
          </w:p>
        </w:tc>
        <w:tc>
          <w:tcPr>
            <w:tcW w:w="583" w:type="pct"/>
            <w:tcBorders>
              <w:top w:val="outset" w:color="auto" w:sz="6" w:space="0"/>
              <w:left w:val="outset" w:color="auto" w:sz="6" w:space="0"/>
              <w:bottom w:val="outset" w:color="auto" w:sz="6" w:space="0"/>
              <w:right w:val="outset" w:color="auto" w:sz="6" w:space="0"/>
            </w:tcBorders>
            <w:vAlign w:val="center"/>
          </w:tcPr>
          <w:p w14:paraId="6E0177C7">
            <w:pPr>
              <w:rPr>
                <w:rFonts w:cs="Times New Roman"/>
              </w:rPr>
            </w:pPr>
            <w:r>
              <w:rPr>
                <w:rFonts w:cs="Times New Roman"/>
              </w:rPr>
              <w:t>十九、2</w:t>
            </w:r>
          </w:p>
        </w:tc>
        <w:tc>
          <w:tcPr>
            <w:tcW w:w="1065" w:type="pct"/>
            <w:tcBorders>
              <w:top w:val="outset" w:color="auto" w:sz="6" w:space="0"/>
              <w:left w:val="outset" w:color="auto" w:sz="6" w:space="0"/>
              <w:bottom w:val="outset" w:color="auto" w:sz="6" w:space="0"/>
              <w:right w:val="outset" w:color="auto" w:sz="6" w:space="0"/>
            </w:tcBorders>
            <w:vAlign w:val="bottom"/>
          </w:tcPr>
          <w:p w14:paraId="7A149870">
            <w:pPr>
              <w:jc w:val="right"/>
              <w:rPr>
                <w:rFonts w:cs="Times New Roman"/>
              </w:rPr>
            </w:pPr>
          </w:p>
        </w:tc>
        <w:tc>
          <w:tcPr>
            <w:tcW w:w="1121" w:type="pct"/>
            <w:tcBorders>
              <w:top w:val="outset" w:color="auto" w:sz="6" w:space="0"/>
              <w:left w:val="outset" w:color="auto" w:sz="6" w:space="0"/>
              <w:bottom w:val="outset" w:color="auto" w:sz="6" w:space="0"/>
              <w:right w:val="outset" w:color="auto" w:sz="6" w:space="0"/>
            </w:tcBorders>
            <w:vAlign w:val="bottom"/>
          </w:tcPr>
          <w:p w14:paraId="4212E095">
            <w:pPr>
              <w:jc w:val="right"/>
              <w:rPr>
                <w:rFonts w:cs="Times New Roman"/>
              </w:rPr>
            </w:pPr>
          </w:p>
        </w:tc>
      </w:tr>
      <w:tr w14:paraId="715B5E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473F562D">
            <w:pPr>
              <w:ind w:firstLine="840" w:firstLineChars="4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应收股利</w:t>
            </w:r>
          </w:p>
        </w:tc>
        <w:tc>
          <w:tcPr>
            <w:tcW w:w="583" w:type="pct"/>
            <w:tcBorders>
              <w:top w:val="outset" w:color="auto" w:sz="6" w:space="0"/>
              <w:left w:val="outset" w:color="auto" w:sz="6" w:space="0"/>
              <w:bottom w:val="outset" w:color="auto" w:sz="6" w:space="0"/>
              <w:right w:val="outset" w:color="auto" w:sz="6" w:space="0"/>
            </w:tcBorders>
            <w:vAlign w:val="center"/>
          </w:tcPr>
          <w:p w14:paraId="440CD998">
            <w:pPr>
              <w:rPr>
                <w:rFonts w:cs="Times New Roman"/>
              </w:rPr>
            </w:pPr>
            <w:r>
              <w:rPr>
                <w:rFonts w:cs="Times New Roman"/>
              </w:rPr>
              <w:t>十九、2</w:t>
            </w:r>
          </w:p>
        </w:tc>
        <w:tc>
          <w:tcPr>
            <w:tcW w:w="1065" w:type="pct"/>
            <w:tcBorders>
              <w:top w:val="outset" w:color="auto" w:sz="6" w:space="0"/>
              <w:left w:val="outset" w:color="auto" w:sz="6" w:space="0"/>
              <w:bottom w:val="outset" w:color="auto" w:sz="6" w:space="0"/>
              <w:right w:val="outset" w:color="auto" w:sz="6" w:space="0"/>
            </w:tcBorders>
            <w:vAlign w:val="bottom"/>
          </w:tcPr>
          <w:p w14:paraId="742B03A1">
            <w:pPr>
              <w:jc w:val="right"/>
              <w:textAlignment w:val="bottom"/>
              <w:rPr>
                <w:rFonts w:cs="Times New Roman"/>
              </w:rPr>
            </w:pPr>
            <w:r>
              <w:rPr>
                <w:rFonts w:eastAsia="Arial Narrow" w:cs="Times New Roman"/>
                <w:color w:val="000000"/>
                <w:lang w:bidi="ar"/>
              </w:rPr>
              <w:t>521,931,182.43</w:t>
            </w:r>
          </w:p>
        </w:tc>
        <w:tc>
          <w:tcPr>
            <w:tcW w:w="1121" w:type="pct"/>
            <w:tcBorders>
              <w:top w:val="outset" w:color="auto" w:sz="6" w:space="0"/>
              <w:left w:val="outset" w:color="auto" w:sz="6" w:space="0"/>
              <w:bottom w:val="outset" w:color="auto" w:sz="6" w:space="0"/>
              <w:right w:val="outset" w:color="auto" w:sz="6" w:space="0"/>
            </w:tcBorders>
            <w:vAlign w:val="bottom"/>
          </w:tcPr>
          <w:p w14:paraId="732A2F45">
            <w:pPr>
              <w:jc w:val="right"/>
              <w:textAlignment w:val="bottom"/>
              <w:rPr>
                <w:rFonts w:cs="Times New Roman"/>
              </w:rPr>
            </w:pPr>
            <w:r>
              <w:rPr>
                <w:rFonts w:eastAsia="Arial Narrow" w:cs="Times New Roman"/>
                <w:color w:val="000000"/>
                <w:lang w:bidi="ar"/>
              </w:rPr>
              <w:t>371,931,182.43</w:t>
            </w:r>
          </w:p>
        </w:tc>
      </w:tr>
      <w:tr w14:paraId="27C176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2CD3BBA6">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存货</w:t>
            </w:r>
          </w:p>
        </w:tc>
        <w:tc>
          <w:tcPr>
            <w:tcW w:w="583" w:type="pct"/>
            <w:tcBorders>
              <w:top w:val="outset" w:color="auto" w:sz="6" w:space="0"/>
              <w:left w:val="outset" w:color="auto" w:sz="6" w:space="0"/>
              <w:bottom w:val="outset" w:color="auto" w:sz="6" w:space="0"/>
              <w:right w:val="outset" w:color="auto" w:sz="6" w:space="0"/>
            </w:tcBorders>
            <w:vAlign w:val="center"/>
          </w:tcPr>
          <w:p w14:paraId="1E187EA3">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2660D48B">
            <w:pPr>
              <w:jc w:val="right"/>
              <w:textAlignment w:val="bottom"/>
              <w:rPr>
                <w:rFonts w:cs="Times New Roman"/>
              </w:rPr>
            </w:pPr>
            <w:r>
              <w:rPr>
                <w:rFonts w:eastAsia="Arial Narrow" w:cs="Times New Roman"/>
                <w:color w:val="000000"/>
                <w:lang w:bidi="ar"/>
              </w:rPr>
              <w:t>8,709.03</w:t>
            </w:r>
          </w:p>
        </w:tc>
        <w:tc>
          <w:tcPr>
            <w:tcW w:w="1121" w:type="pct"/>
            <w:tcBorders>
              <w:top w:val="outset" w:color="auto" w:sz="6" w:space="0"/>
              <w:left w:val="outset" w:color="auto" w:sz="6" w:space="0"/>
              <w:bottom w:val="outset" w:color="auto" w:sz="6" w:space="0"/>
              <w:right w:val="outset" w:color="auto" w:sz="6" w:space="0"/>
            </w:tcBorders>
            <w:vAlign w:val="bottom"/>
          </w:tcPr>
          <w:p w14:paraId="01A5C607">
            <w:pPr>
              <w:jc w:val="right"/>
              <w:rPr>
                <w:rFonts w:cs="Times New Roman"/>
              </w:rPr>
            </w:pPr>
          </w:p>
        </w:tc>
      </w:tr>
      <w:tr w14:paraId="03375A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240FB9C0">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其他流动资产</w:t>
            </w:r>
          </w:p>
        </w:tc>
        <w:tc>
          <w:tcPr>
            <w:tcW w:w="583" w:type="pct"/>
            <w:tcBorders>
              <w:top w:val="outset" w:color="auto" w:sz="6" w:space="0"/>
              <w:left w:val="outset" w:color="auto" w:sz="6" w:space="0"/>
              <w:bottom w:val="outset" w:color="auto" w:sz="6" w:space="0"/>
              <w:right w:val="outset" w:color="auto" w:sz="6" w:space="0"/>
            </w:tcBorders>
            <w:vAlign w:val="center"/>
          </w:tcPr>
          <w:p w14:paraId="7E81CB91">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559B22E7">
            <w:pPr>
              <w:jc w:val="right"/>
              <w:textAlignment w:val="bottom"/>
              <w:rPr>
                <w:rFonts w:cs="Times New Roman"/>
              </w:rPr>
            </w:pPr>
            <w:r>
              <w:rPr>
                <w:rFonts w:eastAsia="Arial Narrow" w:cs="Times New Roman"/>
                <w:color w:val="000000"/>
                <w:lang w:bidi="ar"/>
              </w:rPr>
              <w:t>29,937,129.22</w:t>
            </w:r>
          </w:p>
        </w:tc>
        <w:tc>
          <w:tcPr>
            <w:tcW w:w="1121" w:type="pct"/>
            <w:tcBorders>
              <w:top w:val="outset" w:color="auto" w:sz="6" w:space="0"/>
              <w:left w:val="outset" w:color="auto" w:sz="6" w:space="0"/>
              <w:bottom w:val="outset" w:color="auto" w:sz="6" w:space="0"/>
              <w:right w:val="outset" w:color="auto" w:sz="6" w:space="0"/>
            </w:tcBorders>
            <w:vAlign w:val="bottom"/>
          </w:tcPr>
          <w:p w14:paraId="57A8407C">
            <w:pPr>
              <w:jc w:val="right"/>
              <w:textAlignment w:val="bottom"/>
              <w:rPr>
                <w:rFonts w:cs="Times New Roman"/>
              </w:rPr>
            </w:pPr>
            <w:r>
              <w:rPr>
                <w:rFonts w:eastAsia="Arial Narrow" w:cs="Times New Roman"/>
                <w:color w:val="000000"/>
                <w:lang w:bidi="ar"/>
              </w:rPr>
              <w:t>29,829,084.94</w:t>
            </w:r>
          </w:p>
        </w:tc>
      </w:tr>
      <w:tr w14:paraId="0208E2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1AD37086">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流动资产合计</w:t>
            </w:r>
          </w:p>
        </w:tc>
        <w:tc>
          <w:tcPr>
            <w:tcW w:w="583" w:type="pct"/>
            <w:tcBorders>
              <w:top w:val="outset" w:color="auto" w:sz="6" w:space="0"/>
              <w:left w:val="outset" w:color="auto" w:sz="6" w:space="0"/>
              <w:bottom w:val="outset" w:color="auto" w:sz="6" w:space="0"/>
              <w:right w:val="outset" w:color="auto" w:sz="6" w:space="0"/>
            </w:tcBorders>
            <w:vAlign w:val="center"/>
          </w:tcPr>
          <w:p w14:paraId="4AF48720">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34594141">
            <w:pPr>
              <w:jc w:val="right"/>
              <w:textAlignment w:val="bottom"/>
              <w:rPr>
                <w:rFonts w:cs="Times New Roman"/>
              </w:rPr>
            </w:pPr>
            <w:r>
              <w:rPr>
                <w:rFonts w:eastAsia="Arial Narrow" w:cs="Times New Roman"/>
                <w:color w:val="000000"/>
                <w:lang w:bidi="ar"/>
              </w:rPr>
              <w:t>10,540,971,349.02</w:t>
            </w:r>
          </w:p>
        </w:tc>
        <w:tc>
          <w:tcPr>
            <w:tcW w:w="1121" w:type="pct"/>
            <w:tcBorders>
              <w:top w:val="outset" w:color="auto" w:sz="6" w:space="0"/>
              <w:left w:val="outset" w:color="auto" w:sz="6" w:space="0"/>
              <w:bottom w:val="outset" w:color="auto" w:sz="6" w:space="0"/>
              <w:right w:val="outset" w:color="auto" w:sz="6" w:space="0"/>
            </w:tcBorders>
            <w:vAlign w:val="bottom"/>
          </w:tcPr>
          <w:p w14:paraId="0C0E3865">
            <w:pPr>
              <w:jc w:val="right"/>
              <w:textAlignment w:val="bottom"/>
              <w:rPr>
                <w:rFonts w:cs="Times New Roman"/>
              </w:rPr>
            </w:pPr>
            <w:r>
              <w:rPr>
                <w:rFonts w:eastAsia="Arial Narrow" w:cs="Times New Roman"/>
                <w:color w:val="000000"/>
                <w:lang w:bidi="ar"/>
              </w:rPr>
              <w:t>8,796,896,821.57</w:t>
            </w:r>
          </w:p>
        </w:tc>
      </w:tr>
      <w:tr w14:paraId="0FF26C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cs="Times New Roman"/>
            </w:rPr>
            <w:tag w:val="_PLD_71f45ac7535d4ffeaa6273d6527bae0d"/>
            <w:id w:val="147482417"/>
          </w:sdtPr>
          <w:sdtEndPr>
            <w:rPr>
              <w:rFonts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49F2F714">
                <w:pPr>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非流动资产：</w:t>
                </w:r>
              </w:p>
            </w:tc>
          </w:sdtContent>
        </w:sdt>
      </w:tr>
      <w:tr w14:paraId="3B70E0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6540599D">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长期股权投资</w:t>
            </w:r>
          </w:p>
        </w:tc>
        <w:tc>
          <w:tcPr>
            <w:tcW w:w="583" w:type="pct"/>
            <w:tcBorders>
              <w:top w:val="outset" w:color="auto" w:sz="6" w:space="0"/>
              <w:left w:val="outset" w:color="auto" w:sz="6" w:space="0"/>
              <w:bottom w:val="outset" w:color="auto" w:sz="6" w:space="0"/>
              <w:right w:val="outset" w:color="auto" w:sz="6" w:space="0"/>
            </w:tcBorders>
            <w:vAlign w:val="center"/>
          </w:tcPr>
          <w:p w14:paraId="34F7902B">
            <w:pPr>
              <w:rPr>
                <w:rFonts w:cs="Times New Roman"/>
              </w:rPr>
            </w:pPr>
            <w:r>
              <w:rPr>
                <w:rFonts w:cs="Times New Roman"/>
              </w:rPr>
              <w:t>十九、3</w:t>
            </w:r>
          </w:p>
        </w:tc>
        <w:tc>
          <w:tcPr>
            <w:tcW w:w="1065" w:type="pct"/>
            <w:tcBorders>
              <w:top w:val="outset" w:color="auto" w:sz="6" w:space="0"/>
              <w:left w:val="outset" w:color="auto" w:sz="6" w:space="0"/>
              <w:bottom w:val="outset" w:color="auto" w:sz="6" w:space="0"/>
              <w:right w:val="outset" w:color="auto" w:sz="6" w:space="0"/>
            </w:tcBorders>
            <w:vAlign w:val="bottom"/>
          </w:tcPr>
          <w:p w14:paraId="74C940D7">
            <w:pPr>
              <w:jc w:val="right"/>
              <w:textAlignment w:val="bottom"/>
              <w:rPr>
                <w:rFonts w:cs="Times New Roman"/>
              </w:rPr>
            </w:pPr>
            <w:r>
              <w:rPr>
                <w:rFonts w:eastAsia="Arial Narrow" w:cs="Times New Roman"/>
                <w:color w:val="000000"/>
                <w:lang w:bidi="ar"/>
              </w:rPr>
              <w:t>6,627,628,995.72</w:t>
            </w:r>
          </w:p>
        </w:tc>
        <w:tc>
          <w:tcPr>
            <w:tcW w:w="1121" w:type="pct"/>
            <w:tcBorders>
              <w:top w:val="outset" w:color="auto" w:sz="6" w:space="0"/>
              <w:left w:val="outset" w:color="auto" w:sz="6" w:space="0"/>
              <w:bottom w:val="outset" w:color="auto" w:sz="6" w:space="0"/>
              <w:right w:val="outset" w:color="auto" w:sz="6" w:space="0"/>
            </w:tcBorders>
            <w:vAlign w:val="bottom"/>
          </w:tcPr>
          <w:p w14:paraId="6CCB947C">
            <w:pPr>
              <w:jc w:val="right"/>
              <w:textAlignment w:val="bottom"/>
              <w:rPr>
                <w:rFonts w:cs="Times New Roman"/>
              </w:rPr>
            </w:pPr>
            <w:r>
              <w:rPr>
                <w:rFonts w:eastAsia="Arial Narrow" w:cs="Times New Roman"/>
                <w:color w:val="000000"/>
                <w:lang w:bidi="ar"/>
              </w:rPr>
              <w:t>6,612,369,772.14</w:t>
            </w:r>
          </w:p>
        </w:tc>
      </w:tr>
      <w:tr w14:paraId="4B0BB9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3BA5DC3B">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其他权益工具投资</w:t>
            </w:r>
          </w:p>
        </w:tc>
        <w:tc>
          <w:tcPr>
            <w:tcW w:w="583" w:type="pct"/>
            <w:tcBorders>
              <w:top w:val="outset" w:color="auto" w:sz="6" w:space="0"/>
              <w:left w:val="outset" w:color="auto" w:sz="6" w:space="0"/>
              <w:bottom w:val="outset" w:color="auto" w:sz="6" w:space="0"/>
              <w:right w:val="outset" w:color="auto" w:sz="6" w:space="0"/>
            </w:tcBorders>
            <w:vAlign w:val="center"/>
          </w:tcPr>
          <w:p w14:paraId="47386E39">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62939D0C">
            <w:pPr>
              <w:jc w:val="right"/>
              <w:textAlignment w:val="bottom"/>
              <w:rPr>
                <w:rFonts w:cs="Times New Roman"/>
              </w:rPr>
            </w:pPr>
            <w:r>
              <w:rPr>
                <w:rFonts w:eastAsia="Arial Narrow" w:cs="Times New Roman"/>
                <w:color w:val="000000"/>
                <w:lang w:bidi="ar"/>
              </w:rPr>
              <w:t>519,386,412.00</w:t>
            </w:r>
          </w:p>
        </w:tc>
        <w:tc>
          <w:tcPr>
            <w:tcW w:w="1121" w:type="pct"/>
            <w:tcBorders>
              <w:top w:val="outset" w:color="auto" w:sz="6" w:space="0"/>
              <w:left w:val="outset" w:color="auto" w:sz="6" w:space="0"/>
              <w:bottom w:val="outset" w:color="auto" w:sz="6" w:space="0"/>
              <w:right w:val="outset" w:color="auto" w:sz="6" w:space="0"/>
            </w:tcBorders>
            <w:vAlign w:val="bottom"/>
          </w:tcPr>
          <w:p w14:paraId="38779423">
            <w:pPr>
              <w:jc w:val="right"/>
              <w:textAlignment w:val="bottom"/>
              <w:rPr>
                <w:rFonts w:cs="Times New Roman"/>
              </w:rPr>
            </w:pPr>
            <w:r>
              <w:rPr>
                <w:rFonts w:eastAsia="Arial Narrow" w:cs="Times New Roman"/>
                <w:color w:val="000000"/>
                <w:lang w:bidi="ar"/>
              </w:rPr>
              <w:t>519,386,412.00</w:t>
            </w:r>
          </w:p>
        </w:tc>
      </w:tr>
      <w:tr w14:paraId="1F56BB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0F85E276">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投资性房地产</w:t>
            </w:r>
          </w:p>
        </w:tc>
        <w:tc>
          <w:tcPr>
            <w:tcW w:w="583" w:type="pct"/>
            <w:tcBorders>
              <w:top w:val="outset" w:color="auto" w:sz="6" w:space="0"/>
              <w:left w:val="outset" w:color="auto" w:sz="6" w:space="0"/>
              <w:bottom w:val="outset" w:color="auto" w:sz="6" w:space="0"/>
              <w:right w:val="outset" w:color="auto" w:sz="6" w:space="0"/>
            </w:tcBorders>
            <w:vAlign w:val="center"/>
          </w:tcPr>
          <w:p w14:paraId="6D1DFEB7">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0529F35B">
            <w:pPr>
              <w:jc w:val="right"/>
              <w:textAlignment w:val="bottom"/>
              <w:rPr>
                <w:rFonts w:cs="Times New Roman"/>
              </w:rPr>
            </w:pPr>
            <w:r>
              <w:rPr>
                <w:rFonts w:eastAsia="Arial Narrow" w:cs="Times New Roman"/>
                <w:color w:val="000000"/>
                <w:lang w:bidi="ar"/>
              </w:rPr>
              <w:t>12,339,026.16</w:t>
            </w:r>
          </w:p>
        </w:tc>
        <w:tc>
          <w:tcPr>
            <w:tcW w:w="1121" w:type="pct"/>
            <w:tcBorders>
              <w:top w:val="outset" w:color="auto" w:sz="6" w:space="0"/>
              <w:left w:val="outset" w:color="auto" w:sz="6" w:space="0"/>
              <w:bottom w:val="outset" w:color="auto" w:sz="6" w:space="0"/>
              <w:right w:val="outset" w:color="auto" w:sz="6" w:space="0"/>
            </w:tcBorders>
            <w:vAlign w:val="bottom"/>
          </w:tcPr>
          <w:p w14:paraId="6BECE394">
            <w:pPr>
              <w:jc w:val="right"/>
              <w:textAlignment w:val="bottom"/>
              <w:rPr>
                <w:rFonts w:cs="Times New Roman"/>
              </w:rPr>
            </w:pPr>
            <w:r>
              <w:rPr>
                <w:rFonts w:eastAsia="Arial Narrow" w:cs="Times New Roman"/>
                <w:color w:val="000000"/>
                <w:lang w:bidi="ar"/>
              </w:rPr>
              <w:t>12,657,770.64</w:t>
            </w:r>
          </w:p>
        </w:tc>
      </w:tr>
      <w:tr w14:paraId="71E073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47FD95A6">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固定资产</w:t>
            </w:r>
          </w:p>
        </w:tc>
        <w:tc>
          <w:tcPr>
            <w:tcW w:w="583" w:type="pct"/>
            <w:tcBorders>
              <w:top w:val="outset" w:color="auto" w:sz="6" w:space="0"/>
              <w:left w:val="outset" w:color="auto" w:sz="6" w:space="0"/>
              <w:bottom w:val="outset" w:color="auto" w:sz="6" w:space="0"/>
              <w:right w:val="outset" w:color="auto" w:sz="6" w:space="0"/>
            </w:tcBorders>
            <w:vAlign w:val="center"/>
          </w:tcPr>
          <w:p w14:paraId="75DE50A9">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2C7223FE">
            <w:pPr>
              <w:jc w:val="right"/>
              <w:textAlignment w:val="bottom"/>
              <w:rPr>
                <w:rFonts w:cs="Times New Roman"/>
              </w:rPr>
            </w:pPr>
            <w:r>
              <w:rPr>
                <w:rFonts w:eastAsia="Arial Narrow" w:cs="Times New Roman"/>
                <w:color w:val="000000"/>
                <w:lang w:bidi="ar"/>
              </w:rPr>
              <w:t>330,539,994.10</w:t>
            </w:r>
          </w:p>
        </w:tc>
        <w:tc>
          <w:tcPr>
            <w:tcW w:w="1121" w:type="pct"/>
            <w:tcBorders>
              <w:top w:val="outset" w:color="auto" w:sz="6" w:space="0"/>
              <w:left w:val="outset" w:color="auto" w:sz="6" w:space="0"/>
              <w:bottom w:val="outset" w:color="auto" w:sz="6" w:space="0"/>
              <w:right w:val="outset" w:color="auto" w:sz="6" w:space="0"/>
            </w:tcBorders>
            <w:vAlign w:val="bottom"/>
          </w:tcPr>
          <w:p w14:paraId="625F806B">
            <w:pPr>
              <w:jc w:val="right"/>
              <w:textAlignment w:val="bottom"/>
              <w:rPr>
                <w:rFonts w:cs="Times New Roman"/>
              </w:rPr>
            </w:pPr>
            <w:r>
              <w:rPr>
                <w:rFonts w:eastAsia="Arial Narrow" w:cs="Times New Roman"/>
                <w:color w:val="000000"/>
                <w:lang w:bidi="ar"/>
              </w:rPr>
              <w:t>333,468,047.80</w:t>
            </w:r>
          </w:p>
        </w:tc>
      </w:tr>
      <w:tr w14:paraId="3E0987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395F0696">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无形资产</w:t>
            </w:r>
          </w:p>
        </w:tc>
        <w:tc>
          <w:tcPr>
            <w:tcW w:w="583" w:type="pct"/>
            <w:tcBorders>
              <w:top w:val="outset" w:color="auto" w:sz="6" w:space="0"/>
              <w:left w:val="outset" w:color="auto" w:sz="6" w:space="0"/>
              <w:bottom w:val="outset" w:color="auto" w:sz="6" w:space="0"/>
              <w:right w:val="outset" w:color="auto" w:sz="6" w:space="0"/>
            </w:tcBorders>
            <w:vAlign w:val="center"/>
          </w:tcPr>
          <w:p w14:paraId="68E884E6">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15838690">
            <w:pPr>
              <w:jc w:val="right"/>
              <w:textAlignment w:val="bottom"/>
              <w:rPr>
                <w:rFonts w:cs="Times New Roman"/>
              </w:rPr>
            </w:pPr>
            <w:r>
              <w:rPr>
                <w:rFonts w:eastAsia="Arial Narrow" w:cs="Times New Roman"/>
                <w:color w:val="000000"/>
                <w:lang w:bidi="ar"/>
              </w:rPr>
              <w:t>2,151,828.65</w:t>
            </w:r>
          </w:p>
        </w:tc>
        <w:tc>
          <w:tcPr>
            <w:tcW w:w="1121" w:type="pct"/>
            <w:tcBorders>
              <w:top w:val="outset" w:color="auto" w:sz="6" w:space="0"/>
              <w:left w:val="outset" w:color="auto" w:sz="6" w:space="0"/>
              <w:bottom w:val="outset" w:color="auto" w:sz="6" w:space="0"/>
              <w:right w:val="outset" w:color="auto" w:sz="6" w:space="0"/>
            </w:tcBorders>
            <w:vAlign w:val="bottom"/>
          </w:tcPr>
          <w:p w14:paraId="5F00D2AA">
            <w:pPr>
              <w:jc w:val="right"/>
              <w:textAlignment w:val="bottom"/>
              <w:rPr>
                <w:rFonts w:cs="Times New Roman"/>
              </w:rPr>
            </w:pPr>
            <w:r>
              <w:rPr>
                <w:rFonts w:eastAsia="Arial Narrow" w:cs="Times New Roman"/>
                <w:color w:val="000000"/>
                <w:lang w:bidi="ar"/>
              </w:rPr>
              <w:t>2,401,496.33</w:t>
            </w:r>
          </w:p>
        </w:tc>
      </w:tr>
      <w:tr w14:paraId="7BE2C6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21EA1253">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长期待摊费用</w:t>
            </w:r>
          </w:p>
        </w:tc>
        <w:tc>
          <w:tcPr>
            <w:tcW w:w="583" w:type="pct"/>
            <w:tcBorders>
              <w:top w:val="outset" w:color="auto" w:sz="6" w:space="0"/>
              <w:left w:val="outset" w:color="auto" w:sz="6" w:space="0"/>
              <w:bottom w:val="outset" w:color="auto" w:sz="6" w:space="0"/>
              <w:right w:val="outset" w:color="auto" w:sz="6" w:space="0"/>
            </w:tcBorders>
            <w:vAlign w:val="center"/>
          </w:tcPr>
          <w:p w14:paraId="0558A103">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0F2046B3">
            <w:pPr>
              <w:jc w:val="right"/>
              <w:textAlignment w:val="bottom"/>
              <w:rPr>
                <w:rFonts w:cs="Times New Roman"/>
              </w:rPr>
            </w:pPr>
            <w:r>
              <w:rPr>
                <w:rFonts w:eastAsia="Arial Narrow" w:cs="Times New Roman"/>
                <w:color w:val="000000"/>
                <w:lang w:bidi="ar"/>
              </w:rPr>
              <w:t>141,181.88</w:t>
            </w:r>
          </w:p>
        </w:tc>
        <w:tc>
          <w:tcPr>
            <w:tcW w:w="1121" w:type="pct"/>
            <w:tcBorders>
              <w:top w:val="outset" w:color="auto" w:sz="6" w:space="0"/>
              <w:left w:val="outset" w:color="auto" w:sz="6" w:space="0"/>
              <w:bottom w:val="outset" w:color="auto" w:sz="6" w:space="0"/>
              <w:right w:val="outset" w:color="auto" w:sz="6" w:space="0"/>
            </w:tcBorders>
            <w:vAlign w:val="bottom"/>
          </w:tcPr>
          <w:p w14:paraId="34F26451">
            <w:pPr>
              <w:jc w:val="right"/>
              <w:textAlignment w:val="bottom"/>
              <w:rPr>
                <w:rFonts w:cs="Times New Roman"/>
              </w:rPr>
            </w:pPr>
            <w:r>
              <w:rPr>
                <w:rFonts w:eastAsia="Arial Narrow" w:cs="Times New Roman"/>
                <w:color w:val="000000"/>
                <w:lang w:bidi="ar"/>
              </w:rPr>
              <w:t>174,989.06</w:t>
            </w:r>
          </w:p>
        </w:tc>
      </w:tr>
      <w:tr w14:paraId="3CE65A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473F8C62">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其他非流动资产</w:t>
            </w:r>
          </w:p>
        </w:tc>
        <w:tc>
          <w:tcPr>
            <w:tcW w:w="583" w:type="pct"/>
            <w:tcBorders>
              <w:top w:val="outset" w:color="auto" w:sz="6" w:space="0"/>
              <w:left w:val="outset" w:color="auto" w:sz="6" w:space="0"/>
              <w:bottom w:val="outset" w:color="auto" w:sz="6" w:space="0"/>
              <w:right w:val="outset" w:color="auto" w:sz="6" w:space="0"/>
            </w:tcBorders>
            <w:vAlign w:val="center"/>
          </w:tcPr>
          <w:p w14:paraId="579A3601">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66A19FC4">
            <w:pPr>
              <w:jc w:val="right"/>
              <w:textAlignment w:val="bottom"/>
              <w:rPr>
                <w:rFonts w:cs="Times New Roman"/>
              </w:rPr>
            </w:pPr>
            <w:r>
              <w:rPr>
                <w:rFonts w:eastAsia="Arial Narrow" w:cs="Times New Roman"/>
                <w:color w:val="000000"/>
                <w:lang w:bidi="ar"/>
              </w:rPr>
              <w:t>26,880,326.17</w:t>
            </w:r>
          </w:p>
        </w:tc>
        <w:tc>
          <w:tcPr>
            <w:tcW w:w="1121" w:type="pct"/>
            <w:tcBorders>
              <w:top w:val="outset" w:color="auto" w:sz="6" w:space="0"/>
              <w:left w:val="outset" w:color="auto" w:sz="6" w:space="0"/>
              <w:bottom w:val="outset" w:color="auto" w:sz="6" w:space="0"/>
              <w:right w:val="outset" w:color="auto" w:sz="6" w:space="0"/>
            </w:tcBorders>
            <w:vAlign w:val="bottom"/>
          </w:tcPr>
          <w:p w14:paraId="7FF3D08E">
            <w:pPr>
              <w:jc w:val="right"/>
              <w:textAlignment w:val="bottom"/>
              <w:rPr>
                <w:rFonts w:cs="Times New Roman"/>
              </w:rPr>
            </w:pPr>
            <w:r>
              <w:rPr>
                <w:rFonts w:eastAsia="Arial Narrow" w:cs="Times New Roman"/>
                <w:color w:val="000000"/>
                <w:lang w:bidi="ar"/>
              </w:rPr>
              <w:t>30,317,440.63</w:t>
            </w:r>
          </w:p>
        </w:tc>
      </w:tr>
      <w:tr w14:paraId="7537A4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35072B6F">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非流动资产合计</w:t>
            </w:r>
          </w:p>
        </w:tc>
        <w:tc>
          <w:tcPr>
            <w:tcW w:w="583" w:type="pct"/>
            <w:tcBorders>
              <w:top w:val="outset" w:color="auto" w:sz="6" w:space="0"/>
              <w:left w:val="outset" w:color="auto" w:sz="6" w:space="0"/>
              <w:bottom w:val="outset" w:color="auto" w:sz="6" w:space="0"/>
              <w:right w:val="outset" w:color="auto" w:sz="6" w:space="0"/>
            </w:tcBorders>
            <w:vAlign w:val="center"/>
          </w:tcPr>
          <w:p w14:paraId="36F4F37A">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18073EFD">
            <w:pPr>
              <w:jc w:val="right"/>
              <w:textAlignment w:val="bottom"/>
              <w:rPr>
                <w:rFonts w:cs="Times New Roman"/>
              </w:rPr>
            </w:pPr>
            <w:r>
              <w:rPr>
                <w:rFonts w:eastAsia="Arial Narrow" w:cs="Times New Roman"/>
                <w:color w:val="000000"/>
                <w:lang w:bidi="ar"/>
              </w:rPr>
              <w:t>7,519,067,764.68</w:t>
            </w:r>
          </w:p>
        </w:tc>
        <w:tc>
          <w:tcPr>
            <w:tcW w:w="1121" w:type="pct"/>
            <w:tcBorders>
              <w:top w:val="outset" w:color="auto" w:sz="6" w:space="0"/>
              <w:left w:val="outset" w:color="auto" w:sz="6" w:space="0"/>
              <w:bottom w:val="outset" w:color="auto" w:sz="6" w:space="0"/>
              <w:right w:val="outset" w:color="auto" w:sz="6" w:space="0"/>
            </w:tcBorders>
            <w:vAlign w:val="bottom"/>
          </w:tcPr>
          <w:p w14:paraId="626A8666">
            <w:pPr>
              <w:jc w:val="right"/>
              <w:textAlignment w:val="bottom"/>
              <w:rPr>
                <w:rFonts w:cs="Times New Roman"/>
              </w:rPr>
            </w:pPr>
            <w:r>
              <w:rPr>
                <w:rFonts w:eastAsia="Arial Narrow" w:cs="Times New Roman"/>
                <w:color w:val="000000"/>
                <w:lang w:bidi="ar"/>
              </w:rPr>
              <w:t>7,510,775,928.60</w:t>
            </w:r>
          </w:p>
        </w:tc>
      </w:tr>
      <w:tr w14:paraId="3BDCCA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5960C7BB">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资产总计</w:t>
            </w:r>
          </w:p>
        </w:tc>
        <w:tc>
          <w:tcPr>
            <w:tcW w:w="583" w:type="pct"/>
            <w:tcBorders>
              <w:top w:val="outset" w:color="auto" w:sz="6" w:space="0"/>
              <w:left w:val="outset" w:color="auto" w:sz="6" w:space="0"/>
              <w:bottom w:val="outset" w:color="auto" w:sz="6" w:space="0"/>
              <w:right w:val="outset" w:color="auto" w:sz="6" w:space="0"/>
            </w:tcBorders>
            <w:vAlign w:val="center"/>
          </w:tcPr>
          <w:p w14:paraId="2EA7A699">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105801DB">
            <w:pPr>
              <w:jc w:val="right"/>
              <w:textAlignment w:val="bottom"/>
              <w:rPr>
                <w:rFonts w:cs="Times New Roman"/>
              </w:rPr>
            </w:pPr>
            <w:r>
              <w:rPr>
                <w:rFonts w:eastAsia="Arial Narrow" w:cs="Times New Roman"/>
                <w:color w:val="000000"/>
                <w:lang w:bidi="ar"/>
              </w:rPr>
              <w:t>18,060,039,113.70</w:t>
            </w:r>
          </w:p>
        </w:tc>
        <w:tc>
          <w:tcPr>
            <w:tcW w:w="1121" w:type="pct"/>
            <w:tcBorders>
              <w:top w:val="outset" w:color="auto" w:sz="6" w:space="0"/>
              <w:left w:val="outset" w:color="auto" w:sz="6" w:space="0"/>
              <w:bottom w:val="outset" w:color="auto" w:sz="6" w:space="0"/>
              <w:right w:val="outset" w:color="auto" w:sz="6" w:space="0"/>
            </w:tcBorders>
            <w:vAlign w:val="bottom"/>
          </w:tcPr>
          <w:p w14:paraId="644505C5">
            <w:pPr>
              <w:jc w:val="right"/>
              <w:textAlignment w:val="bottom"/>
              <w:rPr>
                <w:rFonts w:cs="Times New Roman"/>
              </w:rPr>
            </w:pPr>
            <w:r>
              <w:rPr>
                <w:rFonts w:eastAsia="Arial Narrow" w:cs="Times New Roman"/>
                <w:color w:val="000000"/>
                <w:lang w:bidi="ar"/>
              </w:rPr>
              <w:t>16,307,672,750.17</w:t>
            </w:r>
          </w:p>
        </w:tc>
      </w:tr>
      <w:tr w14:paraId="69CD97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cs="Times New Roman"/>
            </w:rPr>
            <w:tag w:val="_PLD_380943e088034c15ad8af33927d58d1b"/>
            <w:id w:val="147475406"/>
          </w:sdtPr>
          <w:sdtEndPr>
            <w:rPr>
              <w:rFonts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60328485">
                <w:pPr>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流动负债：</w:t>
                </w:r>
              </w:p>
            </w:tc>
          </w:sdtContent>
        </w:sdt>
      </w:tr>
      <w:tr w14:paraId="02EF31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7A0ACF98">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短期借款</w:t>
            </w:r>
          </w:p>
        </w:tc>
        <w:tc>
          <w:tcPr>
            <w:tcW w:w="583" w:type="pct"/>
            <w:tcBorders>
              <w:top w:val="outset" w:color="auto" w:sz="6" w:space="0"/>
              <w:left w:val="outset" w:color="auto" w:sz="6" w:space="0"/>
              <w:bottom w:val="outset" w:color="auto" w:sz="6" w:space="0"/>
              <w:right w:val="outset" w:color="auto" w:sz="6" w:space="0"/>
            </w:tcBorders>
            <w:vAlign w:val="center"/>
          </w:tcPr>
          <w:p w14:paraId="6F140CC3">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center"/>
          </w:tcPr>
          <w:p w14:paraId="3C1A3B5C">
            <w:pPr>
              <w:jc w:val="right"/>
              <w:rPr>
                <w:rFonts w:cs="Times New Roman"/>
              </w:rPr>
            </w:pPr>
          </w:p>
        </w:tc>
        <w:tc>
          <w:tcPr>
            <w:tcW w:w="1121" w:type="pct"/>
            <w:tcBorders>
              <w:top w:val="outset" w:color="auto" w:sz="6" w:space="0"/>
              <w:left w:val="outset" w:color="auto" w:sz="6" w:space="0"/>
              <w:bottom w:val="outset" w:color="auto" w:sz="6" w:space="0"/>
              <w:right w:val="outset" w:color="auto" w:sz="6" w:space="0"/>
            </w:tcBorders>
            <w:vAlign w:val="center"/>
          </w:tcPr>
          <w:p w14:paraId="5059F8A6">
            <w:pPr>
              <w:jc w:val="right"/>
              <w:rPr>
                <w:rFonts w:cs="Times New Roman"/>
              </w:rPr>
            </w:pPr>
          </w:p>
        </w:tc>
      </w:tr>
      <w:tr w14:paraId="6890C7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23CF5AF7">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应付账款</w:t>
            </w:r>
          </w:p>
        </w:tc>
        <w:tc>
          <w:tcPr>
            <w:tcW w:w="583" w:type="pct"/>
            <w:tcBorders>
              <w:top w:val="outset" w:color="auto" w:sz="6" w:space="0"/>
              <w:left w:val="outset" w:color="auto" w:sz="6" w:space="0"/>
              <w:bottom w:val="outset" w:color="auto" w:sz="6" w:space="0"/>
              <w:right w:val="outset" w:color="auto" w:sz="6" w:space="0"/>
            </w:tcBorders>
            <w:vAlign w:val="center"/>
          </w:tcPr>
          <w:p w14:paraId="4DF649A2">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41B80919">
            <w:pPr>
              <w:jc w:val="right"/>
              <w:textAlignment w:val="bottom"/>
              <w:rPr>
                <w:rFonts w:cs="Times New Roman"/>
              </w:rPr>
            </w:pPr>
            <w:r>
              <w:rPr>
                <w:rFonts w:eastAsia="Arial Narrow" w:cs="Times New Roman"/>
                <w:color w:val="000000"/>
                <w:lang w:bidi="ar"/>
              </w:rPr>
              <w:t>39,479,648.53</w:t>
            </w:r>
          </w:p>
        </w:tc>
        <w:tc>
          <w:tcPr>
            <w:tcW w:w="1121" w:type="pct"/>
            <w:tcBorders>
              <w:top w:val="outset" w:color="auto" w:sz="6" w:space="0"/>
              <w:left w:val="outset" w:color="auto" w:sz="6" w:space="0"/>
              <w:bottom w:val="outset" w:color="auto" w:sz="6" w:space="0"/>
              <w:right w:val="outset" w:color="auto" w:sz="6" w:space="0"/>
            </w:tcBorders>
            <w:vAlign w:val="bottom"/>
          </w:tcPr>
          <w:p w14:paraId="4F17B7DF">
            <w:pPr>
              <w:jc w:val="right"/>
              <w:textAlignment w:val="bottom"/>
              <w:rPr>
                <w:rFonts w:cs="Times New Roman"/>
              </w:rPr>
            </w:pPr>
            <w:r>
              <w:rPr>
                <w:rFonts w:eastAsia="Arial Narrow" w:cs="Times New Roman"/>
                <w:color w:val="000000"/>
                <w:lang w:bidi="ar"/>
              </w:rPr>
              <w:t>39,562,648.53</w:t>
            </w:r>
          </w:p>
        </w:tc>
      </w:tr>
      <w:tr w14:paraId="3A7290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4DB51917">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合同负债</w:t>
            </w:r>
          </w:p>
        </w:tc>
        <w:tc>
          <w:tcPr>
            <w:tcW w:w="583" w:type="pct"/>
            <w:tcBorders>
              <w:top w:val="outset" w:color="auto" w:sz="6" w:space="0"/>
              <w:left w:val="outset" w:color="auto" w:sz="6" w:space="0"/>
              <w:bottom w:val="outset" w:color="auto" w:sz="6" w:space="0"/>
              <w:right w:val="outset" w:color="auto" w:sz="6" w:space="0"/>
            </w:tcBorders>
            <w:vAlign w:val="center"/>
          </w:tcPr>
          <w:p w14:paraId="779CC00B">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44885C3D">
            <w:pPr>
              <w:jc w:val="right"/>
              <w:textAlignment w:val="bottom"/>
              <w:rPr>
                <w:rFonts w:cs="Times New Roman"/>
              </w:rPr>
            </w:pPr>
            <w:r>
              <w:rPr>
                <w:rFonts w:eastAsia="Arial Narrow" w:cs="Times New Roman"/>
                <w:color w:val="000000"/>
                <w:lang w:bidi="ar"/>
              </w:rPr>
              <w:t>1,138,247.38</w:t>
            </w:r>
          </w:p>
        </w:tc>
        <w:tc>
          <w:tcPr>
            <w:tcW w:w="1121" w:type="pct"/>
            <w:tcBorders>
              <w:top w:val="outset" w:color="auto" w:sz="6" w:space="0"/>
              <w:left w:val="outset" w:color="auto" w:sz="6" w:space="0"/>
              <w:bottom w:val="outset" w:color="auto" w:sz="6" w:space="0"/>
              <w:right w:val="outset" w:color="auto" w:sz="6" w:space="0"/>
            </w:tcBorders>
            <w:vAlign w:val="bottom"/>
          </w:tcPr>
          <w:p w14:paraId="37C821E4">
            <w:pPr>
              <w:jc w:val="right"/>
              <w:textAlignment w:val="bottom"/>
              <w:rPr>
                <w:rFonts w:cs="Times New Roman"/>
              </w:rPr>
            </w:pPr>
            <w:r>
              <w:rPr>
                <w:rFonts w:eastAsia="Arial Narrow" w:cs="Times New Roman"/>
                <w:color w:val="000000"/>
                <w:lang w:bidi="ar"/>
              </w:rPr>
              <w:t>1,060,237.70</w:t>
            </w:r>
          </w:p>
        </w:tc>
      </w:tr>
      <w:tr w14:paraId="0362B4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17F453AC">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应付职工薪酬</w:t>
            </w:r>
          </w:p>
        </w:tc>
        <w:tc>
          <w:tcPr>
            <w:tcW w:w="583" w:type="pct"/>
            <w:tcBorders>
              <w:top w:val="outset" w:color="auto" w:sz="6" w:space="0"/>
              <w:left w:val="outset" w:color="auto" w:sz="6" w:space="0"/>
              <w:bottom w:val="outset" w:color="auto" w:sz="6" w:space="0"/>
              <w:right w:val="outset" w:color="auto" w:sz="6" w:space="0"/>
            </w:tcBorders>
            <w:vAlign w:val="center"/>
          </w:tcPr>
          <w:p w14:paraId="4ABCB720">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6B2E0EA8">
            <w:pPr>
              <w:jc w:val="right"/>
              <w:textAlignment w:val="bottom"/>
              <w:rPr>
                <w:rFonts w:cs="Times New Roman"/>
              </w:rPr>
            </w:pPr>
            <w:r>
              <w:rPr>
                <w:rFonts w:eastAsia="Arial Narrow" w:cs="Times New Roman"/>
                <w:color w:val="000000"/>
                <w:lang w:bidi="ar"/>
              </w:rPr>
              <w:t>10,381,157.77</w:t>
            </w:r>
          </w:p>
        </w:tc>
        <w:tc>
          <w:tcPr>
            <w:tcW w:w="1121" w:type="pct"/>
            <w:tcBorders>
              <w:top w:val="outset" w:color="auto" w:sz="6" w:space="0"/>
              <w:left w:val="outset" w:color="auto" w:sz="6" w:space="0"/>
              <w:bottom w:val="outset" w:color="auto" w:sz="6" w:space="0"/>
              <w:right w:val="outset" w:color="auto" w:sz="6" w:space="0"/>
            </w:tcBorders>
            <w:vAlign w:val="bottom"/>
          </w:tcPr>
          <w:p w14:paraId="6F797792">
            <w:pPr>
              <w:jc w:val="right"/>
              <w:textAlignment w:val="bottom"/>
              <w:rPr>
                <w:rFonts w:cs="Times New Roman"/>
              </w:rPr>
            </w:pPr>
            <w:r>
              <w:rPr>
                <w:rFonts w:eastAsia="Arial Narrow" w:cs="Times New Roman"/>
                <w:color w:val="000000"/>
                <w:lang w:bidi="ar"/>
              </w:rPr>
              <w:t>25,351,140.75</w:t>
            </w:r>
          </w:p>
        </w:tc>
      </w:tr>
      <w:tr w14:paraId="141E8F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53EE079B">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应交税费</w:t>
            </w:r>
          </w:p>
        </w:tc>
        <w:tc>
          <w:tcPr>
            <w:tcW w:w="583" w:type="pct"/>
            <w:tcBorders>
              <w:top w:val="outset" w:color="auto" w:sz="6" w:space="0"/>
              <w:left w:val="outset" w:color="auto" w:sz="6" w:space="0"/>
              <w:bottom w:val="outset" w:color="auto" w:sz="6" w:space="0"/>
              <w:right w:val="outset" w:color="auto" w:sz="6" w:space="0"/>
            </w:tcBorders>
            <w:vAlign w:val="center"/>
          </w:tcPr>
          <w:p w14:paraId="7CC3F196">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390C0068">
            <w:pPr>
              <w:jc w:val="right"/>
              <w:textAlignment w:val="bottom"/>
              <w:rPr>
                <w:rFonts w:cs="Times New Roman"/>
              </w:rPr>
            </w:pPr>
            <w:r>
              <w:rPr>
                <w:rFonts w:eastAsia="Arial Narrow" w:cs="Times New Roman"/>
                <w:color w:val="000000"/>
                <w:lang w:bidi="ar"/>
              </w:rPr>
              <w:t>6,115,864.77</w:t>
            </w:r>
          </w:p>
        </w:tc>
        <w:tc>
          <w:tcPr>
            <w:tcW w:w="1121" w:type="pct"/>
            <w:tcBorders>
              <w:top w:val="outset" w:color="auto" w:sz="6" w:space="0"/>
              <w:left w:val="outset" w:color="auto" w:sz="6" w:space="0"/>
              <w:bottom w:val="outset" w:color="auto" w:sz="6" w:space="0"/>
              <w:right w:val="outset" w:color="auto" w:sz="6" w:space="0"/>
            </w:tcBorders>
            <w:vAlign w:val="bottom"/>
          </w:tcPr>
          <w:p w14:paraId="6B3837AF">
            <w:pPr>
              <w:jc w:val="right"/>
              <w:textAlignment w:val="bottom"/>
              <w:rPr>
                <w:rFonts w:cs="Times New Roman"/>
              </w:rPr>
            </w:pPr>
            <w:r>
              <w:rPr>
                <w:rFonts w:eastAsia="Arial Narrow" w:cs="Times New Roman"/>
                <w:color w:val="000000"/>
                <w:lang w:bidi="ar"/>
              </w:rPr>
              <w:t>6,721,701.55</w:t>
            </w:r>
          </w:p>
        </w:tc>
      </w:tr>
      <w:tr w14:paraId="7E1992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04A21BB7">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其他应付款</w:t>
            </w:r>
          </w:p>
        </w:tc>
        <w:tc>
          <w:tcPr>
            <w:tcW w:w="583" w:type="pct"/>
            <w:tcBorders>
              <w:top w:val="outset" w:color="auto" w:sz="6" w:space="0"/>
              <w:left w:val="outset" w:color="auto" w:sz="6" w:space="0"/>
              <w:bottom w:val="outset" w:color="auto" w:sz="6" w:space="0"/>
              <w:right w:val="outset" w:color="auto" w:sz="6" w:space="0"/>
            </w:tcBorders>
            <w:vAlign w:val="center"/>
          </w:tcPr>
          <w:p w14:paraId="63A478F2">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001468AC">
            <w:pPr>
              <w:jc w:val="right"/>
              <w:textAlignment w:val="bottom"/>
              <w:rPr>
                <w:rFonts w:cs="Times New Roman"/>
              </w:rPr>
            </w:pPr>
            <w:r>
              <w:rPr>
                <w:rFonts w:eastAsia="Arial Narrow" w:cs="Times New Roman"/>
                <w:color w:val="000000"/>
                <w:lang w:bidi="ar"/>
              </w:rPr>
              <w:t>2,319,180,683.42</w:t>
            </w:r>
          </w:p>
        </w:tc>
        <w:tc>
          <w:tcPr>
            <w:tcW w:w="1121" w:type="pct"/>
            <w:tcBorders>
              <w:top w:val="outset" w:color="auto" w:sz="6" w:space="0"/>
              <w:left w:val="outset" w:color="auto" w:sz="6" w:space="0"/>
              <w:bottom w:val="outset" w:color="auto" w:sz="6" w:space="0"/>
              <w:right w:val="outset" w:color="auto" w:sz="6" w:space="0"/>
            </w:tcBorders>
            <w:vAlign w:val="bottom"/>
          </w:tcPr>
          <w:p w14:paraId="7A8768DF">
            <w:pPr>
              <w:jc w:val="right"/>
              <w:textAlignment w:val="bottom"/>
              <w:rPr>
                <w:rFonts w:cs="Times New Roman"/>
              </w:rPr>
            </w:pPr>
            <w:r>
              <w:rPr>
                <w:rFonts w:eastAsia="Arial Narrow" w:cs="Times New Roman"/>
                <w:color w:val="000000"/>
                <w:lang w:bidi="ar"/>
              </w:rPr>
              <w:t>2,542,137,408.69</w:t>
            </w:r>
          </w:p>
        </w:tc>
      </w:tr>
      <w:tr w14:paraId="5CCA66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593C557F">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其中：应付利息</w:t>
            </w:r>
          </w:p>
        </w:tc>
        <w:tc>
          <w:tcPr>
            <w:tcW w:w="583" w:type="pct"/>
            <w:tcBorders>
              <w:top w:val="outset" w:color="auto" w:sz="6" w:space="0"/>
              <w:left w:val="outset" w:color="auto" w:sz="6" w:space="0"/>
              <w:bottom w:val="outset" w:color="auto" w:sz="6" w:space="0"/>
              <w:right w:val="outset" w:color="auto" w:sz="6" w:space="0"/>
            </w:tcBorders>
            <w:vAlign w:val="center"/>
          </w:tcPr>
          <w:p w14:paraId="3141EC3A">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74B66CBB">
            <w:pPr>
              <w:jc w:val="right"/>
              <w:rPr>
                <w:rFonts w:cs="Times New Roman"/>
              </w:rPr>
            </w:pPr>
          </w:p>
        </w:tc>
        <w:tc>
          <w:tcPr>
            <w:tcW w:w="1121" w:type="pct"/>
            <w:tcBorders>
              <w:top w:val="outset" w:color="auto" w:sz="6" w:space="0"/>
              <w:left w:val="outset" w:color="auto" w:sz="6" w:space="0"/>
              <w:bottom w:val="outset" w:color="auto" w:sz="6" w:space="0"/>
              <w:right w:val="outset" w:color="auto" w:sz="6" w:space="0"/>
            </w:tcBorders>
            <w:vAlign w:val="bottom"/>
          </w:tcPr>
          <w:p w14:paraId="5D6F1197">
            <w:pPr>
              <w:jc w:val="right"/>
              <w:rPr>
                <w:rFonts w:cs="Times New Roman"/>
              </w:rPr>
            </w:pPr>
          </w:p>
        </w:tc>
      </w:tr>
      <w:tr w14:paraId="56BF0F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78AE85A7">
            <w:pPr>
              <w:ind w:firstLine="840" w:firstLineChars="4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应付股利</w:t>
            </w:r>
          </w:p>
        </w:tc>
        <w:tc>
          <w:tcPr>
            <w:tcW w:w="583" w:type="pct"/>
            <w:tcBorders>
              <w:top w:val="outset" w:color="auto" w:sz="6" w:space="0"/>
              <w:left w:val="outset" w:color="auto" w:sz="6" w:space="0"/>
              <w:bottom w:val="outset" w:color="auto" w:sz="6" w:space="0"/>
              <w:right w:val="outset" w:color="auto" w:sz="6" w:space="0"/>
            </w:tcBorders>
            <w:vAlign w:val="center"/>
          </w:tcPr>
          <w:p w14:paraId="65CD65F1">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64CFFB8B">
            <w:pPr>
              <w:jc w:val="right"/>
              <w:rPr>
                <w:rFonts w:cs="Times New Roman"/>
              </w:rPr>
            </w:pPr>
          </w:p>
        </w:tc>
        <w:tc>
          <w:tcPr>
            <w:tcW w:w="1121" w:type="pct"/>
            <w:tcBorders>
              <w:top w:val="outset" w:color="auto" w:sz="6" w:space="0"/>
              <w:left w:val="outset" w:color="auto" w:sz="6" w:space="0"/>
              <w:bottom w:val="outset" w:color="auto" w:sz="6" w:space="0"/>
              <w:right w:val="outset" w:color="auto" w:sz="6" w:space="0"/>
            </w:tcBorders>
            <w:vAlign w:val="bottom"/>
          </w:tcPr>
          <w:p w14:paraId="17B0A5F3">
            <w:pPr>
              <w:jc w:val="right"/>
              <w:rPr>
                <w:rFonts w:cs="Times New Roman"/>
              </w:rPr>
            </w:pPr>
          </w:p>
        </w:tc>
      </w:tr>
      <w:tr w14:paraId="5B9779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14AD68E9">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一年内到期的非流动负债</w:t>
            </w:r>
          </w:p>
        </w:tc>
        <w:tc>
          <w:tcPr>
            <w:tcW w:w="583" w:type="pct"/>
            <w:tcBorders>
              <w:top w:val="outset" w:color="auto" w:sz="6" w:space="0"/>
              <w:left w:val="outset" w:color="auto" w:sz="6" w:space="0"/>
              <w:bottom w:val="outset" w:color="auto" w:sz="6" w:space="0"/>
              <w:right w:val="outset" w:color="auto" w:sz="6" w:space="0"/>
            </w:tcBorders>
            <w:vAlign w:val="center"/>
          </w:tcPr>
          <w:p w14:paraId="34FA3CEA">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44B0C93D">
            <w:pPr>
              <w:jc w:val="right"/>
              <w:textAlignment w:val="bottom"/>
              <w:rPr>
                <w:rFonts w:cs="Times New Roman"/>
              </w:rPr>
            </w:pPr>
            <w:r>
              <w:rPr>
                <w:rFonts w:eastAsia="Arial Narrow" w:cs="Times New Roman"/>
                <w:color w:val="000000"/>
                <w:lang w:bidi="ar"/>
              </w:rPr>
              <w:t>506,003,453.61</w:t>
            </w:r>
          </w:p>
        </w:tc>
        <w:tc>
          <w:tcPr>
            <w:tcW w:w="1121" w:type="pct"/>
            <w:tcBorders>
              <w:top w:val="outset" w:color="auto" w:sz="6" w:space="0"/>
              <w:left w:val="outset" w:color="auto" w:sz="6" w:space="0"/>
              <w:bottom w:val="outset" w:color="auto" w:sz="6" w:space="0"/>
              <w:right w:val="outset" w:color="auto" w:sz="6" w:space="0"/>
            </w:tcBorders>
            <w:vAlign w:val="bottom"/>
          </w:tcPr>
          <w:p w14:paraId="4895E044">
            <w:pPr>
              <w:jc w:val="right"/>
              <w:textAlignment w:val="bottom"/>
              <w:rPr>
                <w:rFonts w:cs="Times New Roman"/>
              </w:rPr>
            </w:pPr>
            <w:r>
              <w:rPr>
                <w:rFonts w:eastAsia="Arial Narrow" w:cs="Times New Roman"/>
                <w:color w:val="000000"/>
                <w:lang w:bidi="ar"/>
              </w:rPr>
              <w:t>22,277,303.59</w:t>
            </w:r>
          </w:p>
        </w:tc>
      </w:tr>
      <w:tr w14:paraId="65922F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4198A0C7">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其他流动负债</w:t>
            </w:r>
          </w:p>
        </w:tc>
        <w:tc>
          <w:tcPr>
            <w:tcW w:w="583" w:type="pct"/>
            <w:tcBorders>
              <w:top w:val="outset" w:color="auto" w:sz="6" w:space="0"/>
              <w:left w:val="outset" w:color="auto" w:sz="6" w:space="0"/>
              <w:bottom w:val="outset" w:color="auto" w:sz="6" w:space="0"/>
              <w:right w:val="outset" w:color="auto" w:sz="6" w:space="0"/>
            </w:tcBorders>
            <w:vAlign w:val="center"/>
          </w:tcPr>
          <w:p w14:paraId="3DA2208D">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78A0BE22">
            <w:pPr>
              <w:jc w:val="right"/>
              <w:textAlignment w:val="bottom"/>
              <w:rPr>
                <w:rFonts w:cs="Times New Roman"/>
              </w:rPr>
            </w:pPr>
            <w:r>
              <w:rPr>
                <w:rFonts w:eastAsia="Arial Narrow" w:cs="Times New Roman"/>
                <w:color w:val="000000"/>
                <w:lang w:bidi="ar"/>
              </w:rPr>
              <w:t>234,458,160.28</w:t>
            </w:r>
          </w:p>
        </w:tc>
        <w:tc>
          <w:tcPr>
            <w:tcW w:w="1121" w:type="pct"/>
            <w:tcBorders>
              <w:top w:val="outset" w:color="auto" w:sz="6" w:space="0"/>
              <w:left w:val="outset" w:color="auto" w:sz="6" w:space="0"/>
              <w:bottom w:val="outset" w:color="auto" w:sz="6" w:space="0"/>
              <w:right w:val="outset" w:color="auto" w:sz="6" w:space="0"/>
            </w:tcBorders>
            <w:vAlign w:val="bottom"/>
          </w:tcPr>
          <w:p w14:paraId="2A72122A">
            <w:pPr>
              <w:jc w:val="right"/>
              <w:textAlignment w:val="bottom"/>
              <w:rPr>
                <w:rFonts w:cs="Times New Roman"/>
              </w:rPr>
            </w:pPr>
            <w:r>
              <w:rPr>
                <w:rFonts w:eastAsia="Arial Narrow" w:cs="Times New Roman"/>
                <w:color w:val="000000"/>
                <w:lang w:bidi="ar"/>
              </w:rPr>
              <w:t>234,592,286.74</w:t>
            </w:r>
          </w:p>
        </w:tc>
      </w:tr>
      <w:tr w14:paraId="12836C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049096AB">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流动负债合计</w:t>
            </w:r>
          </w:p>
        </w:tc>
        <w:tc>
          <w:tcPr>
            <w:tcW w:w="583" w:type="pct"/>
            <w:tcBorders>
              <w:top w:val="outset" w:color="auto" w:sz="6" w:space="0"/>
              <w:left w:val="outset" w:color="auto" w:sz="6" w:space="0"/>
              <w:bottom w:val="outset" w:color="auto" w:sz="6" w:space="0"/>
              <w:right w:val="outset" w:color="auto" w:sz="6" w:space="0"/>
            </w:tcBorders>
            <w:vAlign w:val="center"/>
          </w:tcPr>
          <w:p w14:paraId="53627AA6">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1B9F0E0C">
            <w:pPr>
              <w:jc w:val="right"/>
              <w:textAlignment w:val="bottom"/>
              <w:rPr>
                <w:rFonts w:cs="Times New Roman"/>
              </w:rPr>
            </w:pPr>
            <w:r>
              <w:rPr>
                <w:rFonts w:eastAsia="Arial Narrow" w:cs="Times New Roman"/>
                <w:color w:val="000000"/>
                <w:lang w:bidi="ar"/>
              </w:rPr>
              <w:t>3,116,757,215.76</w:t>
            </w:r>
          </w:p>
        </w:tc>
        <w:tc>
          <w:tcPr>
            <w:tcW w:w="1121" w:type="pct"/>
            <w:tcBorders>
              <w:top w:val="outset" w:color="auto" w:sz="6" w:space="0"/>
              <w:left w:val="outset" w:color="auto" w:sz="6" w:space="0"/>
              <w:bottom w:val="outset" w:color="auto" w:sz="6" w:space="0"/>
              <w:right w:val="outset" w:color="auto" w:sz="6" w:space="0"/>
            </w:tcBorders>
            <w:vAlign w:val="bottom"/>
          </w:tcPr>
          <w:p w14:paraId="229F850A">
            <w:pPr>
              <w:jc w:val="right"/>
              <w:textAlignment w:val="bottom"/>
              <w:rPr>
                <w:rFonts w:cs="Times New Roman"/>
              </w:rPr>
            </w:pPr>
            <w:r>
              <w:rPr>
                <w:rFonts w:eastAsia="Arial Narrow" w:cs="Times New Roman"/>
                <w:color w:val="000000"/>
                <w:lang w:bidi="ar"/>
              </w:rPr>
              <w:t>2,871,702,727.55</w:t>
            </w:r>
          </w:p>
        </w:tc>
      </w:tr>
      <w:tr w14:paraId="08E050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cs="Times New Roman"/>
            </w:rPr>
            <w:tag w:val="_PLD_e62929b21cd4456494013c9cb0dc5b16"/>
            <w:id w:val="147456172"/>
          </w:sdtPr>
          <w:sdtEndPr>
            <w:rPr>
              <w:rFonts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52AFC26F">
                <w:pPr>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非流动负债：</w:t>
                </w:r>
              </w:p>
            </w:tc>
          </w:sdtContent>
        </w:sdt>
      </w:tr>
      <w:tr w14:paraId="069DAB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0DA9086A">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长期借款</w:t>
            </w:r>
          </w:p>
        </w:tc>
        <w:tc>
          <w:tcPr>
            <w:tcW w:w="583" w:type="pct"/>
            <w:tcBorders>
              <w:top w:val="outset" w:color="auto" w:sz="6" w:space="0"/>
              <w:left w:val="outset" w:color="auto" w:sz="6" w:space="0"/>
              <w:bottom w:val="outset" w:color="auto" w:sz="6" w:space="0"/>
              <w:right w:val="outset" w:color="auto" w:sz="6" w:space="0"/>
            </w:tcBorders>
            <w:vAlign w:val="center"/>
          </w:tcPr>
          <w:p w14:paraId="39B4DCF7">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778DB25C">
            <w:pPr>
              <w:jc w:val="right"/>
              <w:textAlignment w:val="bottom"/>
              <w:rPr>
                <w:rFonts w:cs="Times New Roman"/>
              </w:rPr>
            </w:pPr>
            <w:r>
              <w:rPr>
                <w:rFonts w:eastAsia="Arial Narrow" w:cs="Times New Roman"/>
                <w:color w:val="000000"/>
                <w:lang w:bidi="ar"/>
              </w:rPr>
              <w:t>2,483,869,690.10</w:t>
            </w:r>
          </w:p>
        </w:tc>
        <w:tc>
          <w:tcPr>
            <w:tcW w:w="1121" w:type="pct"/>
            <w:tcBorders>
              <w:top w:val="outset" w:color="auto" w:sz="6" w:space="0"/>
              <w:left w:val="outset" w:color="auto" w:sz="6" w:space="0"/>
              <w:bottom w:val="outset" w:color="auto" w:sz="6" w:space="0"/>
              <w:right w:val="outset" w:color="auto" w:sz="6" w:space="0"/>
            </w:tcBorders>
            <w:vAlign w:val="bottom"/>
          </w:tcPr>
          <w:p w14:paraId="2B2E4C16">
            <w:pPr>
              <w:jc w:val="right"/>
              <w:textAlignment w:val="bottom"/>
              <w:rPr>
                <w:rFonts w:cs="Times New Roman"/>
              </w:rPr>
            </w:pPr>
            <w:r>
              <w:rPr>
                <w:rFonts w:eastAsia="Arial Narrow" w:cs="Times New Roman"/>
                <w:color w:val="000000"/>
                <w:lang w:bidi="ar"/>
              </w:rPr>
              <w:t>497,317,783.34</w:t>
            </w:r>
          </w:p>
        </w:tc>
      </w:tr>
      <w:tr w14:paraId="520F58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6292D761">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应付债券</w:t>
            </w:r>
          </w:p>
        </w:tc>
        <w:tc>
          <w:tcPr>
            <w:tcW w:w="583" w:type="pct"/>
            <w:tcBorders>
              <w:top w:val="outset" w:color="auto" w:sz="6" w:space="0"/>
              <w:left w:val="outset" w:color="auto" w:sz="6" w:space="0"/>
              <w:bottom w:val="outset" w:color="auto" w:sz="6" w:space="0"/>
              <w:right w:val="outset" w:color="auto" w:sz="6" w:space="0"/>
            </w:tcBorders>
            <w:vAlign w:val="center"/>
          </w:tcPr>
          <w:p w14:paraId="30A1BC20">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1C90A69F">
            <w:pPr>
              <w:jc w:val="right"/>
              <w:rPr>
                <w:rFonts w:cs="Times New Roman"/>
              </w:rPr>
            </w:pPr>
          </w:p>
        </w:tc>
        <w:tc>
          <w:tcPr>
            <w:tcW w:w="1121" w:type="pct"/>
            <w:tcBorders>
              <w:top w:val="outset" w:color="auto" w:sz="6" w:space="0"/>
              <w:left w:val="outset" w:color="auto" w:sz="6" w:space="0"/>
              <w:bottom w:val="outset" w:color="auto" w:sz="6" w:space="0"/>
              <w:right w:val="outset" w:color="auto" w:sz="6" w:space="0"/>
            </w:tcBorders>
            <w:vAlign w:val="bottom"/>
          </w:tcPr>
          <w:p w14:paraId="56923D33">
            <w:pPr>
              <w:jc w:val="right"/>
              <w:textAlignment w:val="bottom"/>
              <w:rPr>
                <w:rFonts w:cs="Times New Roman"/>
              </w:rPr>
            </w:pPr>
            <w:r>
              <w:rPr>
                <w:rFonts w:eastAsia="Arial Narrow" w:cs="Times New Roman"/>
                <w:color w:val="000000"/>
                <w:lang w:bidi="ar"/>
              </w:rPr>
              <w:t>508,560,210.28</w:t>
            </w:r>
          </w:p>
        </w:tc>
      </w:tr>
      <w:tr w14:paraId="683FBB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118C2779">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长期应付款</w:t>
            </w:r>
          </w:p>
        </w:tc>
        <w:tc>
          <w:tcPr>
            <w:tcW w:w="583" w:type="pct"/>
            <w:tcBorders>
              <w:top w:val="outset" w:color="auto" w:sz="6" w:space="0"/>
              <w:left w:val="outset" w:color="auto" w:sz="6" w:space="0"/>
              <w:bottom w:val="outset" w:color="auto" w:sz="6" w:space="0"/>
              <w:right w:val="outset" w:color="auto" w:sz="6" w:space="0"/>
            </w:tcBorders>
            <w:vAlign w:val="center"/>
          </w:tcPr>
          <w:p w14:paraId="408E20AC">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573D3CDB">
            <w:pPr>
              <w:jc w:val="right"/>
              <w:rPr>
                <w:rFonts w:cs="Times New Roman"/>
              </w:rPr>
            </w:pPr>
          </w:p>
        </w:tc>
        <w:tc>
          <w:tcPr>
            <w:tcW w:w="1121" w:type="pct"/>
            <w:tcBorders>
              <w:top w:val="outset" w:color="auto" w:sz="6" w:space="0"/>
              <w:left w:val="outset" w:color="auto" w:sz="6" w:space="0"/>
              <w:bottom w:val="outset" w:color="auto" w:sz="6" w:space="0"/>
              <w:right w:val="outset" w:color="auto" w:sz="6" w:space="0"/>
            </w:tcBorders>
            <w:vAlign w:val="bottom"/>
          </w:tcPr>
          <w:p w14:paraId="1278C939">
            <w:pPr>
              <w:jc w:val="right"/>
              <w:textAlignment w:val="bottom"/>
              <w:rPr>
                <w:rFonts w:cs="Times New Roman"/>
              </w:rPr>
            </w:pPr>
            <w:r>
              <w:rPr>
                <w:rFonts w:eastAsia="Arial Narrow" w:cs="Times New Roman"/>
                <w:color w:val="000000"/>
                <w:lang w:bidi="ar"/>
              </w:rPr>
              <w:t>5,200,000.00</w:t>
            </w:r>
          </w:p>
        </w:tc>
      </w:tr>
      <w:tr w14:paraId="7B7506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5B8C1E14">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递延收益</w:t>
            </w:r>
          </w:p>
        </w:tc>
        <w:tc>
          <w:tcPr>
            <w:tcW w:w="583" w:type="pct"/>
            <w:tcBorders>
              <w:top w:val="outset" w:color="auto" w:sz="6" w:space="0"/>
              <w:left w:val="outset" w:color="auto" w:sz="6" w:space="0"/>
              <w:bottom w:val="outset" w:color="auto" w:sz="6" w:space="0"/>
              <w:right w:val="outset" w:color="auto" w:sz="6" w:space="0"/>
            </w:tcBorders>
            <w:vAlign w:val="center"/>
          </w:tcPr>
          <w:p w14:paraId="73B4023E">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0C240B21">
            <w:pPr>
              <w:jc w:val="right"/>
              <w:textAlignment w:val="bottom"/>
              <w:rPr>
                <w:rFonts w:cs="Times New Roman"/>
              </w:rPr>
            </w:pPr>
            <w:r>
              <w:rPr>
                <w:rFonts w:eastAsia="Arial Narrow" w:cs="Times New Roman"/>
                <w:color w:val="000000"/>
                <w:lang w:bidi="ar"/>
              </w:rPr>
              <w:t>1,549,819.78</w:t>
            </w:r>
          </w:p>
        </w:tc>
        <w:tc>
          <w:tcPr>
            <w:tcW w:w="1121" w:type="pct"/>
            <w:tcBorders>
              <w:top w:val="outset" w:color="auto" w:sz="6" w:space="0"/>
              <w:left w:val="outset" w:color="auto" w:sz="6" w:space="0"/>
              <w:bottom w:val="outset" w:color="auto" w:sz="6" w:space="0"/>
              <w:right w:val="outset" w:color="auto" w:sz="6" w:space="0"/>
            </w:tcBorders>
            <w:vAlign w:val="bottom"/>
          </w:tcPr>
          <w:p w14:paraId="7815EBE9">
            <w:pPr>
              <w:jc w:val="right"/>
              <w:textAlignment w:val="bottom"/>
              <w:rPr>
                <w:rFonts w:cs="Times New Roman"/>
              </w:rPr>
            </w:pPr>
            <w:r>
              <w:rPr>
                <w:rFonts w:eastAsia="Arial Narrow" w:cs="Times New Roman"/>
                <w:color w:val="000000"/>
                <w:lang w:bidi="ar"/>
              </w:rPr>
              <w:t>467,467.98</w:t>
            </w:r>
          </w:p>
        </w:tc>
      </w:tr>
      <w:tr w14:paraId="2CB52E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3809A5E4">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非流动负债合计</w:t>
            </w:r>
          </w:p>
        </w:tc>
        <w:tc>
          <w:tcPr>
            <w:tcW w:w="583" w:type="pct"/>
            <w:tcBorders>
              <w:top w:val="outset" w:color="auto" w:sz="6" w:space="0"/>
              <w:left w:val="outset" w:color="auto" w:sz="6" w:space="0"/>
              <w:bottom w:val="outset" w:color="auto" w:sz="6" w:space="0"/>
              <w:right w:val="outset" w:color="auto" w:sz="6" w:space="0"/>
            </w:tcBorders>
            <w:vAlign w:val="center"/>
          </w:tcPr>
          <w:p w14:paraId="0F44749A">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2838924B">
            <w:pPr>
              <w:jc w:val="right"/>
              <w:textAlignment w:val="bottom"/>
              <w:rPr>
                <w:rFonts w:cs="Times New Roman"/>
              </w:rPr>
            </w:pPr>
            <w:r>
              <w:rPr>
                <w:rFonts w:eastAsia="Arial Narrow" w:cs="Times New Roman"/>
                <w:color w:val="000000"/>
                <w:lang w:bidi="ar"/>
              </w:rPr>
              <w:t>2,485,419,509.88</w:t>
            </w:r>
          </w:p>
        </w:tc>
        <w:tc>
          <w:tcPr>
            <w:tcW w:w="1121" w:type="pct"/>
            <w:tcBorders>
              <w:top w:val="outset" w:color="auto" w:sz="6" w:space="0"/>
              <w:left w:val="outset" w:color="auto" w:sz="6" w:space="0"/>
              <w:bottom w:val="outset" w:color="auto" w:sz="6" w:space="0"/>
              <w:right w:val="outset" w:color="auto" w:sz="6" w:space="0"/>
            </w:tcBorders>
            <w:vAlign w:val="bottom"/>
          </w:tcPr>
          <w:p w14:paraId="6C7543FC">
            <w:pPr>
              <w:jc w:val="right"/>
              <w:textAlignment w:val="bottom"/>
              <w:rPr>
                <w:rFonts w:cs="Times New Roman"/>
              </w:rPr>
            </w:pPr>
            <w:r>
              <w:rPr>
                <w:rFonts w:eastAsia="Arial Narrow" w:cs="Times New Roman"/>
                <w:color w:val="000000"/>
                <w:lang w:bidi="ar"/>
              </w:rPr>
              <w:t>1,011,545,461.60</w:t>
            </w:r>
          </w:p>
        </w:tc>
      </w:tr>
      <w:tr w14:paraId="113DAA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4BE43656">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负债合计</w:t>
            </w:r>
          </w:p>
        </w:tc>
        <w:tc>
          <w:tcPr>
            <w:tcW w:w="583" w:type="pct"/>
            <w:tcBorders>
              <w:top w:val="outset" w:color="auto" w:sz="6" w:space="0"/>
              <w:left w:val="outset" w:color="auto" w:sz="6" w:space="0"/>
              <w:bottom w:val="outset" w:color="auto" w:sz="6" w:space="0"/>
              <w:right w:val="outset" w:color="auto" w:sz="6" w:space="0"/>
            </w:tcBorders>
            <w:vAlign w:val="center"/>
          </w:tcPr>
          <w:p w14:paraId="5350C257">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18592147">
            <w:pPr>
              <w:jc w:val="right"/>
              <w:textAlignment w:val="bottom"/>
              <w:rPr>
                <w:rFonts w:cs="Times New Roman"/>
              </w:rPr>
            </w:pPr>
            <w:r>
              <w:rPr>
                <w:rFonts w:eastAsia="Arial Narrow" w:cs="Times New Roman"/>
                <w:color w:val="000000"/>
                <w:lang w:bidi="ar"/>
              </w:rPr>
              <w:t>5,602,176,725.64</w:t>
            </w:r>
          </w:p>
        </w:tc>
        <w:tc>
          <w:tcPr>
            <w:tcW w:w="1121" w:type="pct"/>
            <w:tcBorders>
              <w:top w:val="outset" w:color="auto" w:sz="6" w:space="0"/>
              <w:left w:val="outset" w:color="auto" w:sz="6" w:space="0"/>
              <w:bottom w:val="outset" w:color="auto" w:sz="6" w:space="0"/>
              <w:right w:val="outset" w:color="auto" w:sz="6" w:space="0"/>
            </w:tcBorders>
            <w:vAlign w:val="bottom"/>
          </w:tcPr>
          <w:p w14:paraId="32E64C6D">
            <w:pPr>
              <w:jc w:val="right"/>
              <w:textAlignment w:val="bottom"/>
              <w:rPr>
                <w:rFonts w:cs="Times New Roman"/>
              </w:rPr>
            </w:pPr>
            <w:r>
              <w:rPr>
                <w:rFonts w:eastAsia="Arial Narrow" w:cs="Times New Roman"/>
                <w:color w:val="000000"/>
                <w:lang w:bidi="ar"/>
              </w:rPr>
              <w:t>3,883,248,189.15</w:t>
            </w:r>
          </w:p>
        </w:tc>
      </w:tr>
      <w:tr w14:paraId="506E9A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cs="Times New Roman"/>
            </w:rPr>
            <w:tag w:val="_PLD_b3c95ee428314f8b8091bd15dff2a83d"/>
            <w:id w:val="147452546"/>
          </w:sdtPr>
          <w:sdtEndPr>
            <w:rPr>
              <w:rFonts w:cs="Times New Roman"/>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3458AEF4">
                <w:pPr>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所有者权益（或股东权益）：</w:t>
                </w:r>
              </w:p>
            </w:tc>
          </w:sdtContent>
        </w:sdt>
      </w:tr>
      <w:tr w14:paraId="6B2367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2A48E595">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实收资本（或股本）</w:t>
            </w:r>
          </w:p>
        </w:tc>
        <w:tc>
          <w:tcPr>
            <w:tcW w:w="583" w:type="pct"/>
            <w:tcBorders>
              <w:top w:val="outset" w:color="auto" w:sz="6" w:space="0"/>
              <w:left w:val="outset" w:color="auto" w:sz="6" w:space="0"/>
              <w:bottom w:val="outset" w:color="auto" w:sz="6" w:space="0"/>
              <w:right w:val="outset" w:color="auto" w:sz="6" w:space="0"/>
            </w:tcBorders>
            <w:vAlign w:val="center"/>
          </w:tcPr>
          <w:p w14:paraId="4B3F7E8A">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10CBECCE">
            <w:pPr>
              <w:jc w:val="right"/>
              <w:textAlignment w:val="bottom"/>
              <w:rPr>
                <w:rFonts w:cs="Times New Roman"/>
              </w:rPr>
            </w:pPr>
            <w:r>
              <w:rPr>
                <w:rFonts w:eastAsia="Arial Narrow" w:cs="Times New Roman"/>
                <w:color w:val="000000"/>
                <w:lang w:bidi="ar"/>
              </w:rPr>
              <w:t>4,391,629,404.00</w:t>
            </w:r>
          </w:p>
        </w:tc>
        <w:tc>
          <w:tcPr>
            <w:tcW w:w="1121" w:type="pct"/>
            <w:tcBorders>
              <w:top w:val="outset" w:color="auto" w:sz="6" w:space="0"/>
              <w:left w:val="outset" w:color="auto" w:sz="6" w:space="0"/>
              <w:bottom w:val="outset" w:color="auto" w:sz="6" w:space="0"/>
              <w:right w:val="outset" w:color="auto" w:sz="6" w:space="0"/>
            </w:tcBorders>
            <w:vAlign w:val="bottom"/>
          </w:tcPr>
          <w:p w14:paraId="2C1959AC">
            <w:pPr>
              <w:jc w:val="right"/>
              <w:textAlignment w:val="bottom"/>
              <w:rPr>
                <w:rFonts w:cs="Times New Roman"/>
              </w:rPr>
            </w:pPr>
            <w:r>
              <w:rPr>
                <w:rFonts w:eastAsia="Arial Narrow" w:cs="Times New Roman"/>
                <w:color w:val="000000"/>
                <w:lang w:bidi="ar"/>
              </w:rPr>
              <w:t>4,391,629,404.00</w:t>
            </w:r>
          </w:p>
        </w:tc>
      </w:tr>
      <w:tr w14:paraId="39265B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0FD33B72">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资本公积</w:t>
            </w:r>
          </w:p>
        </w:tc>
        <w:tc>
          <w:tcPr>
            <w:tcW w:w="583" w:type="pct"/>
            <w:tcBorders>
              <w:top w:val="outset" w:color="auto" w:sz="6" w:space="0"/>
              <w:left w:val="outset" w:color="auto" w:sz="6" w:space="0"/>
              <w:bottom w:val="outset" w:color="auto" w:sz="6" w:space="0"/>
              <w:right w:val="outset" w:color="auto" w:sz="6" w:space="0"/>
            </w:tcBorders>
            <w:vAlign w:val="center"/>
          </w:tcPr>
          <w:p w14:paraId="19508CC7">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7EA15A5F">
            <w:pPr>
              <w:jc w:val="right"/>
              <w:textAlignment w:val="bottom"/>
              <w:rPr>
                <w:rFonts w:cs="Times New Roman"/>
              </w:rPr>
            </w:pPr>
            <w:r>
              <w:rPr>
                <w:rFonts w:eastAsia="Arial Narrow" w:cs="Times New Roman"/>
                <w:color w:val="000000"/>
                <w:lang w:bidi="ar"/>
              </w:rPr>
              <w:t>7,852,925,237.95</w:t>
            </w:r>
          </w:p>
        </w:tc>
        <w:tc>
          <w:tcPr>
            <w:tcW w:w="1121" w:type="pct"/>
            <w:tcBorders>
              <w:top w:val="outset" w:color="auto" w:sz="6" w:space="0"/>
              <w:left w:val="outset" w:color="auto" w:sz="6" w:space="0"/>
              <w:bottom w:val="outset" w:color="auto" w:sz="6" w:space="0"/>
              <w:right w:val="outset" w:color="auto" w:sz="6" w:space="0"/>
            </w:tcBorders>
            <w:vAlign w:val="bottom"/>
          </w:tcPr>
          <w:p w14:paraId="3EB2F5FF">
            <w:pPr>
              <w:jc w:val="right"/>
              <w:textAlignment w:val="bottom"/>
              <w:rPr>
                <w:rFonts w:cs="Times New Roman"/>
              </w:rPr>
            </w:pPr>
            <w:r>
              <w:rPr>
                <w:rFonts w:eastAsia="Arial Narrow" w:cs="Times New Roman"/>
                <w:color w:val="000000"/>
                <w:lang w:bidi="ar"/>
              </w:rPr>
              <w:t>7,852,925,237.95</w:t>
            </w:r>
          </w:p>
        </w:tc>
      </w:tr>
      <w:tr w14:paraId="7F8454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5F8CCC4D">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减：库存股</w:t>
            </w:r>
          </w:p>
        </w:tc>
        <w:tc>
          <w:tcPr>
            <w:tcW w:w="583" w:type="pct"/>
            <w:tcBorders>
              <w:top w:val="outset" w:color="auto" w:sz="6" w:space="0"/>
              <w:left w:val="outset" w:color="auto" w:sz="6" w:space="0"/>
              <w:bottom w:val="outset" w:color="auto" w:sz="6" w:space="0"/>
              <w:right w:val="outset" w:color="auto" w:sz="6" w:space="0"/>
            </w:tcBorders>
            <w:vAlign w:val="center"/>
          </w:tcPr>
          <w:p w14:paraId="6F94E891">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1B121549">
            <w:pPr>
              <w:jc w:val="right"/>
              <w:textAlignment w:val="bottom"/>
              <w:rPr>
                <w:rFonts w:cs="Times New Roman"/>
              </w:rPr>
            </w:pPr>
            <w:r>
              <w:rPr>
                <w:rFonts w:eastAsia="Arial Narrow" w:cs="Times New Roman"/>
                <w:color w:val="000000"/>
                <w:lang w:bidi="ar"/>
              </w:rPr>
              <w:t>39,938,040.72</w:t>
            </w:r>
          </w:p>
        </w:tc>
        <w:tc>
          <w:tcPr>
            <w:tcW w:w="1121" w:type="pct"/>
            <w:tcBorders>
              <w:top w:val="outset" w:color="auto" w:sz="6" w:space="0"/>
              <w:left w:val="outset" w:color="auto" w:sz="6" w:space="0"/>
              <w:bottom w:val="outset" w:color="auto" w:sz="6" w:space="0"/>
              <w:right w:val="outset" w:color="auto" w:sz="6" w:space="0"/>
            </w:tcBorders>
            <w:vAlign w:val="bottom"/>
          </w:tcPr>
          <w:p w14:paraId="3825C52E">
            <w:pPr>
              <w:jc w:val="right"/>
              <w:rPr>
                <w:rFonts w:cs="Times New Roman"/>
              </w:rPr>
            </w:pPr>
          </w:p>
        </w:tc>
      </w:tr>
      <w:tr w14:paraId="1AAF95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4536E806">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其他综合收益</w:t>
            </w:r>
          </w:p>
        </w:tc>
        <w:tc>
          <w:tcPr>
            <w:tcW w:w="583" w:type="pct"/>
            <w:tcBorders>
              <w:top w:val="outset" w:color="auto" w:sz="6" w:space="0"/>
              <w:left w:val="outset" w:color="auto" w:sz="6" w:space="0"/>
              <w:bottom w:val="outset" w:color="auto" w:sz="6" w:space="0"/>
              <w:right w:val="outset" w:color="auto" w:sz="6" w:space="0"/>
            </w:tcBorders>
            <w:vAlign w:val="center"/>
          </w:tcPr>
          <w:p w14:paraId="0DE05EFC">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21DD34DF">
            <w:pPr>
              <w:jc w:val="right"/>
              <w:textAlignment w:val="bottom"/>
              <w:rPr>
                <w:rFonts w:cs="Times New Roman"/>
              </w:rPr>
            </w:pPr>
            <w:r>
              <w:rPr>
                <w:rFonts w:eastAsia="Arial Narrow" w:cs="Times New Roman"/>
                <w:color w:val="000000"/>
                <w:lang w:bidi="ar"/>
              </w:rPr>
              <w:t>-225,999,968.83</w:t>
            </w:r>
          </w:p>
        </w:tc>
        <w:tc>
          <w:tcPr>
            <w:tcW w:w="1121" w:type="pct"/>
            <w:tcBorders>
              <w:top w:val="outset" w:color="auto" w:sz="6" w:space="0"/>
              <w:left w:val="outset" w:color="auto" w:sz="6" w:space="0"/>
              <w:bottom w:val="outset" w:color="auto" w:sz="6" w:space="0"/>
              <w:right w:val="outset" w:color="auto" w:sz="6" w:space="0"/>
            </w:tcBorders>
            <w:vAlign w:val="bottom"/>
          </w:tcPr>
          <w:p w14:paraId="55814F3B">
            <w:pPr>
              <w:jc w:val="right"/>
              <w:textAlignment w:val="bottom"/>
              <w:rPr>
                <w:rFonts w:cs="Times New Roman"/>
              </w:rPr>
            </w:pPr>
            <w:r>
              <w:rPr>
                <w:rFonts w:eastAsia="Arial Narrow" w:cs="Times New Roman"/>
                <w:color w:val="000000"/>
                <w:lang w:bidi="ar"/>
              </w:rPr>
              <w:t>-225,999,968.83</w:t>
            </w:r>
          </w:p>
        </w:tc>
      </w:tr>
      <w:tr w14:paraId="5861E9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570D809B">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盈余公积</w:t>
            </w:r>
          </w:p>
        </w:tc>
        <w:tc>
          <w:tcPr>
            <w:tcW w:w="583" w:type="pct"/>
            <w:tcBorders>
              <w:top w:val="outset" w:color="auto" w:sz="6" w:space="0"/>
              <w:left w:val="outset" w:color="auto" w:sz="6" w:space="0"/>
              <w:bottom w:val="outset" w:color="auto" w:sz="6" w:space="0"/>
              <w:right w:val="outset" w:color="auto" w:sz="6" w:space="0"/>
            </w:tcBorders>
            <w:vAlign w:val="center"/>
          </w:tcPr>
          <w:p w14:paraId="4C29E494">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371FD210">
            <w:pPr>
              <w:jc w:val="right"/>
              <w:textAlignment w:val="bottom"/>
              <w:rPr>
                <w:rFonts w:cs="Times New Roman"/>
              </w:rPr>
            </w:pPr>
            <w:r>
              <w:rPr>
                <w:rFonts w:eastAsia="Arial Narrow" w:cs="Times New Roman"/>
                <w:color w:val="000000"/>
                <w:lang w:bidi="ar"/>
              </w:rPr>
              <w:t>369,677,423.82</w:t>
            </w:r>
          </w:p>
        </w:tc>
        <w:tc>
          <w:tcPr>
            <w:tcW w:w="1121" w:type="pct"/>
            <w:tcBorders>
              <w:top w:val="outset" w:color="auto" w:sz="6" w:space="0"/>
              <w:left w:val="outset" w:color="auto" w:sz="6" w:space="0"/>
              <w:bottom w:val="outset" w:color="auto" w:sz="6" w:space="0"/>
              <w:right w:val="outset" w:color="auto" w:sz="6" w:space="0"/>
            </w:tcBorders>
            <w:vAlign w:val="bottom"/>
          </w:tcPr>
          <w:p w14:paraId="0A39E61D">
            <w:pPr>
              <w:jc w:val="right"/>
              <w:textAlignment w:val="bottom"/>
              <w:rPr>
                <w:rFonts w:cs="Times New Roman"/>
              </w:rPr>
            </w:pPr>
            <w:r>
              <w:rPr>
                <w:rFonts w:eastAsia="Arial Narrow" w:cs="Times New Roman"/>
                <w:color w:val="000000"/>
                <w:lang w:bidi="ar"/>
              </w:rPr>
              <w:t>369,677,423.82</w:t>
            </w:r>
          </w:p>
        </w:tc>
      </w:tr>
      <w:tr w14:paraId="3B51DD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21699C47">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未分配利润</w:t>
            </w:r>
          </w:p>
        </w:tc>
        <w:tc>
          <w:tcPr>
            <w:tcW w:w="583" w:type="pct"/>
            <w:tcBorders>
              <w:top w:val="outset" w:color="auto" w:sz="6" w:space="0"/>
              <w:left w:val="outset" w:color="auto" w:sz="6" w:space="0"/>
              <w:bottom w:val="outset" w:color="auto" w:sz="6" w:space="0"/>
              <w:right w:val="outset" w:color="auto" w:sz="6" w:space="0"/>
            </w:tcBorders>
            <w:vAlign w:val="center"/>
          </w:tcPr>
          <w:p w14:paraId="76496D02">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64CADB38">
            <w:pPr>
              <w:jc w:val="right"/>
              <w:textAlignment w:val="bottom"/>
              <w:rPr>
                <w:rFonts w:cs="Times New Roman"/>
              </w:rPr>
            </w:pPr>
            <w:r>
              <w:rPr>
                <w:rFonts w:eastAsia="Arial Narrow" w:cs="Times New Roman"/>
                <w:color w:val="000000"/>
                <w:lang w:bidi="ar"/>
              </w:rPr>
              <w:t>109,568,331.84</w:t>
            </w:r>
          </w:p>
        </w:tc>
        <w:tc>
          <w:tcPr>
            <w:tcW w:w="1121" w:type="pct"/>
            <w:tcBorders>
              <w:top w:val="outset" w:color="auto" w:sz="6" w:space="0"/>
              <w:left w:val="outset" w:color="auto" w:sz="6" w:space="0"/>
              <w:bottom w:val="outset" w:color="auto" w:sz="6" w:space="0"/>
              <w:right w:val="outset" w:color="auto" w:sz="6" w:space="0"/>
            </w:tcBorders>
            <w:vAlign w:val="bottom"/>
          </w:tcPr>
          <w:p w14:paraId="23758EC8">
            <w:pPr>
              <w:jc w:val="right"/>
              <w:textAlignment w:val="bottom"/>
              <w:rPr>
                <w:rFonts w:cs="Times New Roman"/>
              </w:rPr>
            </w:pPr>
            <w:r>
              <w:rPr>
                <w:rFonts w:eastAsia="Arial Narrow" w:cs="Times New Roman"/>
                <w:color w:val="000000"/>
                <w:lang w:bidi="ar"/>
              </w:rPr>
              <w:t>36,192,464.08</w:t>
            </w:r>
          </w:p>
        </w:tc>
      </w:tr>
      <w:tr w14:paraId="61595E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6FD6E0AC">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所有者权益（或股东权益）合计</w:t>
            </w:r>
          </w:p>
        </w:tc>
        <w:tc>
          <w:tcPr>
            <w:tcW w:w="583" w:type="pct"/>
            <w:tcBorders>
              <w:top w:val="outset" w:color="auto" w:sz="6" w:space="0"/>
              <w:left w:val="outset" w:color="auto" w:sz="6" w:space="0"/>
              <w:bottom w:val="outset" w:color="auto" w:sz="6" w:space="0"/>
              <w:right w:val="outset" w:color="auto" w:sz="6" w:space="0"/>
            </w:tcBorders>
            <w:vAlign w:val="center"/>
          </w:tcPr>
          <w:p w14:paraId="43349859">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180ED49B">
            <w:pPr>
              <w:jc w:val="right"/>
              <w:textAlignment w:val="bottom"/>
              <w:rPr>
                <w:rFonts w:cs="Times New Roman"/>
              </w:rPr>
            </w:pPr>
            <w:r>
              <w:rPr>
                <w:rFonts w:eastAsia="Arial Narrow" w:cs="Times New Roman"/>
                <w:color w:val="000000"/>
                <w:lang w:bidi="ar"/>
              </w:rPr>
              <w:t>12,457,862,388.06</w:t>
            </w:r>
          </w:p>
        </w:tc>
        <w:tc>
          <w:tcPr>
            <w:tcW w:w="1121" w:type="pct"/>
            <w:tcBorders>
              <w:top w:val="outset" w:color="auto" w:sz="6" w:space="0"/>
              <w:left w:val="outset" w:color="auto" w:sz="6" w:space="0"/>
              <w:bottom w:val="outset" w:color="auto" w:sz="6" w:space="0"/>
              <w:right w:val="outset" w:color="auto" w:sz="6" w:space="0"/>
            </w:tcBorders>
            <w:vAlign w:val="bottom"/>
          </w:tcPr>
          <w:p w14:paraId="203B8924">
            <w:pPr>
              <w:jc w:val="right"/>
              <w:textAlignment w:val="bottom"/>
              <w:rPr>
                <w:rFonts w:cs="Times New Roman"/>
              </w:rPr>
            </w:pPr>
            <w:r>
              <w:rPr>
                <w:rFonts w:eastAsia="Arial Narrow" w:cs="Times New Roman"/>
                <w:color w:val="000000"/>
                <w:lang w:bidi="ar"/>
              </w:rPr>
              <w:t>12,424,424,561.02</w:t>
            </w:r>
          </w:p>
        </w:tc>
      </w:tr>
      <w:tr w14:paraId="0A3064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30" w:type="pct"/>
            <w:tcBorders>
              <w:top w:val="outset" w:color="auto" w:sz="6" w:space="0"/>
              <w:left w:val="outset" w:color="auto" w:sz="6" w:space="0"/>
              <w:bottom w:val="outset" w:color="auto" w:sz="6" w:space="0"/>
              <w:right w:val="outset" w:color="auto" w:sz="6" w:space="0"/>
            </w:tcBorders>
            <w:vAlign w:val="center"/>
          </w:tcPr>
          <w:p w14:paraId="11F6680B">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负债和所有者权益（或股东权益）总计</w:t>
            </w:r>
          </w:p>
        </w:tc>
        <w:tc>
          <w:tcPr>
            <w:tcW w:w="583" w:type="pct"/>
            <w:tcBorders>
              <w:top w:val="outset" w:color="auto" w:sz="6" w:space="0"/>
              <w:left w:val="outset" w:color="auto" w:sz="6" w:space="0"/>
              <w:bottom w:val="outset" w:color="auto" w:sz="6" w:space="0"/>
              <w:right w:val="outset" w:color="auto" w:sz="6" w:space="0"/>
            </w:tcBorders>
            <w:vAlign w:val="center"/>
          </w:tcPr>
          <w:p w14:paraId="24DCFAED">
            <w:pPr>
              <w:rPr>
                <w:rFonts w:cs="Times New Roman"/>
              </w:rPr>
            </w:pPr>
          </w:p>
        </w:tc>
        <w:tc>
          <w:tcPr>
            <w:tcW w:w="1065" w:type="pct"/>
            <w:tcBorders>
              <w:top w:val="outset" w:color="auto" w:sz="6" w:space="0"/>
              <w:left w:val="outset" w:color="auto" w:sz="6" w:space="0"/>
              <w:bottom w:val="outset" w:color="auto" w:sz="6" w:space="0"/>
              <w:right w:val="outset" w:color="auto" w:sz="6" w:space="0"/>
            </w:tcBorders>
            <w:vAlign w:val="bottom"/>
          </w:tcPr>
          <w:p w14:paraId="02720C14">
            <w:pPr>
              <w:jc w:val="right"/>
              <w:textAlignment w:val="bottom"/>
              <w:rPr>
                <w:rFonts w:cs="Times New Roman"/>
              </w:rPr>
            </w:pPr>
            <w:r>
              <w:rPr>
                <w:rFonts w:eastAsia="Arial Narrow" w:cs="Times New Roman"/>
                <w:color w:val="000000"/>
                <w:lang w:bidi="ar"/>
              </w:rPr>
              <w:t>18,060,039,113.70</w:t>
            </w:r>
          </w:p>
        </w:tc>
        <w:tc>
          <w:tcPr>
            <w:tcW w:w="1121" w:type="pct"/>
            <w:tcBorders>
              <w:top w:val="outset" w:color="auto" w:sz="6" w:space="0"/>
              <w:left w:val="outset" w:color="auto" w:sz="6" w:space="0"/>
              <w:bottom w:val="outset" w:color="auto" w:sz="6" w:space="0"/>
              <w:right w:val="outset" w:color="auto" w:sz="6" w:space="0"/>
            </w:tcBorders>
            <w:vAlign w:val="bottom"/>
          </w:tcPr>
          <w:p w14:paraId="459654BC">
            <w:pPr>
              <w:jc w:val="right"/>
              <w:textAlignment w:val="bottom"/>
              <w:rPr>
                <w:rFonts w:cs="Times New Roman"/>
              </w:rPr>
            </w:pPr>
            <w:r>
              <w:rPr>
                <w:rFonts w:eastAsia="Arial Narrow" w:cs="Times New Roman"/>
                <w:color w:val="000000"/>
                <w:lang w:bidi="ar"/>
              </w:rPr>
              <w:t>16,307,672,750.17</w:t>
            </w:r>
          </w:p>
        </w:tc>
      </w:tr>
      <w:bookmarkEnd w:id="149"/>
    </w:tbl>
    <w:p w14:paraId="0865594F">
      <w:pPr>
        <w:ind w:right="-153" w:rightChars="-73"/>
        <w:rPr>
          <w:color w:val="000000" w:themeColor="text1"/>
          <w14:textFill>
            <w14:solidFill>
              <w14:schemeClr w14:val="tx1"/>
            </w14:solidFill>
          </w14:textFill>
        </w:rPr>
      </w:pPr>
    </w:p>
    <w:p w14:paraId="17FAAB4F">
      <w:pPr>
        <w:ind w:right="-153" w:rightChars="-73"/>
        <w:rPr>
          <w:color w:val="000000" w:themeColor="text1"/>
          <w14:textFill>
            <w14:solidFill>
              <w14:schemeClr w14:val="tx1"/>
            </w14:solidFill>
          </w14:textFill>
        </w:rPr>
      </w:pPr>
      <w:r>
        <w:rPr>
          <w:color w:val="000000" w:themeColor="text1"/>
          <w14:textFill>
            <w14:solidFill>
              <w14:schemeClr w14:val="tx1"/>
            </w14:solidFill>
          </w14:textFill>
        </w:rPr>
        <w:t>公司负责人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公司负责人"/>
          <w:tag w:val="_GBC_f43f422c96ec4e009c3976ce8e58b778"/>
          <w:id w:val="147456510"/>
          <w:dataBinding w:prefixMappings="xmlns:clcid-mr='clcid-mr'" w:xpath="/*/clcid-mr:GongSi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夏前军</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主管会计工作负责人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主管会计工作负责人姓名"/>
          <w:tag w:val="_GBC_3ac751c8378d4424bbdf4c74057683d9"/>
          <w:id w:val="147464614"/>
          <w:dataBinding w:prefixMappings="xmlns:clcid-mr='clcid-mr'" w:xpath="/*/clcid-mr:ZhuGuanKuaiJiGongZuo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刘改平</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会计机构负责人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会计机构负责人姓名"/>
          <w:tag w:val="_GBC_182ff185180a4ea4b9c93bbd4b01de2c"/>
          <w:id w:val="147464489"/>
          <w:dataBinding w:prefixMappings="xmlns:clcid-mr='clcid-mr'" w:xpath="/*/clcid-mr:KuaiJiJiGou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冯晓</w:t>
          </w:r>
        </w:sdtContent>
      </w:sdt>
    </w:p>
    <w:p w14:paraId="5999AB03">
      <w:pPr>
        <w:snapToGrid w:val="0"/>
        <w:rPr>
          <w:color w:val="000000" w:themeColor="text1"/>
          <w14:textFill>
            <w14:solidFill>
              <w14:schemeClr w14:val="tx1"/>
            </w14:solidFill>
          </w14:textFill>
        </w:rPr>
      </w:pPr>
    </w:p>
    <w:p w14:paraId="23A8D90F">
      <w:pPr>
        <w:snapToGrid w:val="0"/>
        <w:rPr>
          <w:color w:val="000000" w:themeColor="text1"/>
          <w14:textFill>
            <w14:solidFill>
              <w14:schemeClr w14:val="tx1"/>
            </w14:solidFill>
          </w14:textFill>
        </w:rPr>
      </w:pPr>
    </w:p>
    <w:bookmarkEnd w:id="147"/>
    <w:p w14:paraId="0481E1DF">
      <w:pPr>
        <w:ind w:right="-153" w:rightChars="-73"/>
        <w:rPr>
          <w:b/>
          <w:bCs w:val="0"/>
          <w:color w:val="000000" w:themeColor="text1"/>
          <w:u w:val="single"/>
          <w14:textFill>
            <w14:solidFill>
              <w14:schemeClr w14:val="tx1"/>
            </w14:solidFill>
          </w14:textFill>
        </w:rPr>
        <w:sectPr>
          <w:pgSz w:w="11906" w:h="16838"/>
          <w:pgMar w:top="1525" w:right="1276" w:bottom="1440" w:left="1797" w:header="851" w:footer="992" w:gutter="0"/>
          <w:cols w:space="425" w:num="1"/>
          <w:docGrid w:linePitch="312" w:charSpace="0"/>
        </w:sectPr>
      </w:pPr>
      <w:bookmarkStart w:id="150" w:name="_Hlk10210632"/>
      <w:bookmarkEnd w:id="150"/>
    </w:p>
    <w:p w14:paraId="78C450A7">
      <w:pPr>
        <w:pStyle w:val="57"/>
        <w:jc w:val="center"/>
        <w:rPr>
          <w:rFonts w:ascii="宋体" w:hAnsi="宋体"/>
          <w:color w:val="000000" w:themeColor="text1"/>
          <w14:textFill>
            <w14:solidFill>
              <w14:schemeClr w14:val="tx1"/>
            </w14:solidFill>
          </w14:textFill>
        </w:rPr>
      </w:pPr>
      <w:bookmarkStart w:id="151" w:name="_Hlk10210822"/>
      <w:r>
        <w:rPr>
          <w:rFonts w:hint="eastAsia" w:ascii="宋体" w:hAnsi="宋体"/>
          <w:color w:val="000000" w:themeColor="text1"/>
          <w14:textFill>
            <w14:solidFill>
              <w14:schemeClr w14:val="tx1"/>
            </w14:solidFill>
          </w14:textFill>
        </w:rPr>
        <w:t>合并</w:t>
      </w:r>
      <w:r>
        <w:rPr>
          <w:rFonts w:ascii="宋体" w:hAnsi="宋体"/>
          <w:color w:val="000000" w:themeColor="text1"/>
          <w14:textFill>
            <w14:solidFill>
              <w14:schemeClr w14:val="tx1"/>
            </w14:solidFill>
          </w14:textFill>
        </w:rPr>
        <w:t>利润表</w:t>
      </w:r>
    </w:p>
    <w:p w14:paraId="7C615F65">
      <w:pPr>
        <w:jc w:val="center"/>
        <w:rPr>
          <w:b/>
          <w:bCs w:val="0"/>
          <w:color w:val="000000" w:themeColor="text1"/>
          <w14:textFill>
            <w14:solidFill>
              <w14:schemeClr w14:val="tx1"/>
            </w14:solidFill>
          </w14:textFill>
        </w:rPr>
      </w:pPr>
      <w:r>
        <w:rPr>
          <w:color w:val="000000" w:themeColor="text1"/>
          <w14:textFill>
            <w14:solidFill>
              <w14:schemeClr w14:val="tx1"/>
            </w14:solidFill>
          </w14:textFill>
        </w:rPr>
        <w:t>2025年</w:t>
      </w:r>
      <w:r>
        <w:rPr>
          <w:rFonts w:hint="eastAsia"/>
          <w:color w:val="000000" w:themeColor="text1"/>
          <w14:textFill>
            <w14:solidFill>
              <w14:schemeClr w14:val="tx1"/>
            </w14:solidFill>
          </w14:textFill>
        </w:rPr>
        <w:t>1—6</w:t>
      </w:r>
      <w:r>
        <w:rPr>
          <w:color w:val="000000" w:themeColor="text1"/>
          <w14:textFill>
            <w14:solidFill>
              <w14:schemeClr w14:val="tx1"/>
            </w14:solidFill>
          </w14:textFill>
        </w:rPr>
        <w:t>月</w:t>
      </w:r>
    </w:p>
    <w:p w14:paraId="62B24AD0">
      <w:pPr>
        <w:jc w:val="right"/>
        <w:rPr>
          <w:color w:val="000000" w:themeColor="text1"/>
          <w14:textFill>
            <w14:solidFill>
              <w14:schemeClr w14:val="tx1"/>
            </w14:solidFill>
          </w14:textFill>
        </w:rPr>
      </w:pPr>
      <w:r>
        <w:rPr>
          <w:color w:val="000000" w:themeColor="text1"/>
          <w14:textFill>
            <w14:solidFill>
              <w14:schemeClr w14:val="tx1"/>
            </w14:solidFill>
          </w14:textFill>
        </w:rPr>
        <w:t>单位：</w:t>
      </w:r>
      <w:sdt>
        <w:sdtPr>
          <w:rPr>
            <w:color w:val="000000" w:themeColor="text1"/>
            <w14:textFill>
              <w14:solidFill>
                <w14:schemeClr w14:val="tx1"/>
              </w14:solidFill>
            </w14:textFill>
          </w:rPr>
          <w:alias w:val="单位：合并利润表"/>
          <w:tag w:val="_GBC_4fec24feb4834b768c484fe556046382"/>
          <w:id w:val="1474510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color w:val="000000" w:themeColor="text1"/>
          <w14:textFill>
            <w14:solidFill>
              <w14:schemeClr w14:val="tx1"/>
            </w14:solidFill>
          </w14:textFill>
        </w:rPr>
        <w:t xml:space="preserve">  币种：</w:t>
      </w:r>
      <w:sdt>
        <w:sdtPr>
          <w:rPr>
            <w:color w:val="000000" w:themeColor="text1"/>
            <w14:textFill>
              <w14:solidFill>
                <w14:schemeClr w14:val="tx1"/>
              </w14:solidFill>
            </w14:textFill>
          </w:rPr>
          <w:alias w:val="币种：合并利润表"/>
          <w:tag w:val="_GBC_ae5c0d79e5694eb28ba1b8160e27a464"/>
          <w:id w:val="1474711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648"/>
        <w:gridCol w:w="943"/>
        <w:gridCol w:w="1728"/>
        <w:gridCol w:w="1730"/>
      </w:tblGrid>
      <w:tr w14:paraId="20A7EC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sdt>
          <w:sdtPr>
            <w:rPr>
              <w:rFonts w:cs="Times New Roman"/>
            </w:rPr>
            <w:tag w:val="_PLD_ea01e0b0c9224fe59426c375515c2359"/>
            <w:id w:val="147476306"/>
          </w:sdtPr>
          <w:sdtEndPr>
            <w:rPr>
              <w:rFonts w:cs="Times New Roman"/>
            </w:rPr>
          </w:sdtEndPr>
          <w:sdtContent>
            <w:tc>
              <w:tcPr>
                <w:tcW w:w="2568" w:type="pct"/>
                <w:tcBorders>
                  <w:top w:val="outset" w:color="auto" w:sz="4" w:space="0"/>
                  <w:left w:val="outset" w:color="auto" w:sz="4" w:space="0"/>
                  <w:bottom w:val="outset" w:color="auto" w:sz="4" w:space="0"/>
                  <w:right w:val="outset" w:color="auto" w:sz="4" w:space="0"/>
                </w:tcBorders>
                <w:vAlign w:val="center"/>
              </w:tcPr>
              <w:p w14:paraId="2B15B7A7">
                <w:pPr>
                  <w:ind w:left="40" w:hanging="39" w:hangingChars="19"/>
                  <w:jc w:val="center"/>
                  <w:rPr>
                    <w:rFonts w:cs="Times New Roman"/>
                    <w:b/>
                    <w:color w:val="000000" w:themeColor="text1"/>
                    <w14:textFill>
                      <w14:solidFill>
                        <w14:schemeClr w14:val="tx1"/>
                      </w14:solidFill>
                    </w14:textFill>
                  </w:rPr>
                </w:pPr>
                <w:bookmarkStart w:id="152" w:name="_Hlk137050130"/>
                <w:r>
                  <w:rPr>
                    <w:rFonts w:cs="Times New Roman"/>
                    <w:b/>
                    <w:color w:val="000000" w:themeColor="text1"/>
                    <w14:textFill>
                      <w14:solidFill>
                        <w14:schemeClr w14:val="tx1"/>
                      </w14:solidFill>
                    </w14:textFill>
                  </w:rPr>
                  <w:t>项目</w:t>
                </w:r>
              </w:p>
            </w:tc>
          </w:sdtContent>
        </w:sdt>
        <w:sdt>
          <w:sdtPr>
            <w:rPr>
              <w:rFonts w:cs="Times New Roman"/>
            </w:rPr>
            <w:tag w:val="_PLD_e4f45f42e79e4a4aba892e3a7a7b123d"/>
            <w:id w:val="147463901"/>
          </w:sdtPr>
          <w:sdtEndPr>
            <w:rPr>
              <w:rFonts w:cs="Times New Roman"/>
            </w:rPr>
          </w:sdtEndPr>
          <w:sdtContent>
            <w:tc>
              <w:tcPr>
                <w:tcW w:w="521" w:type="pct"/>
                <w:tcBorders>
                  <w:top w:val="outset" w:color="auto" w:sz="4" w:space="0"/>
                  <w:left w:val="outset" w:color="auto" w:sz="4" w:space="0"/>
                  <w:bottom w:val="outset" w:color="auto" w:sz="4" w:space="0"/>
                  <w:right w:val="outset" w:color="auto" w:sz="4" w:space="0"/>
                </w:tcBorders>
                <w:vAlign w:val="center"/>
              </w:tcPr>
              <w:p w14:paraId="3724643E">
                <w:pPr>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附注</w:t>
                </w:r>
              </w:p>
            </w:tc>
          </w:sdtContent>
        </w:sdt>
        <w:sdt>
          <w:sdtPr>
            <w:rPr>
              <w:rFonts w:cs="Times New Roman"/>
            </w:rPr>
            <w:tag w:val="_PLD_41682cdf00e5450394986df99de953d1"/>
            <w:id w:val="147467574"/>
          </w:sdtPr>
          <w:sdtEndPr>
            <w:rPr>
              <w:rFonts w:cs="Times New Roman"/>
            </w:rPr>
          </w:sdtEndPr>
          <w:sdtContent>
            <w:tc>
              <w:tcPr>
                <w:tcW w:w="955" w:type="pct"/>
                <w:tcBorders>
                  <w:top w:val="outset" w:color="auto" w:sz="4" w:space="0"/>
                  <w:left w:val="outset" w:color="auto" w:sz="4" w:space="0"/>
                  <w:bottom w:val="outset" w:color="auto" w:sz="4" w:space="0"/>
                  <w:right w:val="outset" w:color="auto" w:sz="4" w:space="0"/>
                </w:tcBorders>
                <w:vAlign w:val="center"/>
              </w:tcPr>
              <w:p w14:paraId="5C7FA2FF">
                <w:pPr>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2025年半年度</w:t>
                </w:r>
              </w:p>
            </w:tc>
          </w:sdtContent>
        </w:sdt>
        <w:sdt>
          <w:sdtPr>
            <w:rPr>
              <w:rFonts w:cs="Times New Roman"/>
            </w:rPr>
            <w:tag w:val="_PLD_f020215569a54a6db2bd3d5298280e01"/>
            <w:id w:val="147481487"/>
          </w:sdtPr>
          <w:sdtEndPr>
            <w:rPr>
              <w:rFonts w:cs="Times New Roman"/>
            </w:rPr>
          </w:sdtEndPr>
          <w:sdtContent>
            <w:tc>
              <w:tcPr>
                <w:tcW w:w="955" w:type="pct"/>
                <w:tcBorders>
                  <w:top w:val="outset" w:color="auto" w:sz="4" w:space="0"/>
                  <w:left w:val="outset" w:color="auto" w:sz="4" w:space="0"/>
                  <w:bottom w:val="outset" w:color="auto" w:sz="4" w:space="0"/>
                  <w:right w:val="outset" w:color="auto" w:sz="4" w:space="0"/>
                </w:tcBorders>
                <w:vAlign w:val="center"/>
              </w:tcPr>
              <w:p w14:paraId="53D4D811">
                <w:pPr>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2024年半年度</w:t>
                </w:r>
              </w:p>
            </w:tc>
          </w:sdtContent>
        </w:sdt>
      </w:tr>
      <w:tr w14:paraId="022BCE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26774D52">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一、营业总收入</w:t>
            </w:r>
          </w:p>
        </w:tc>
        <w:tc>
          <w:tcPr>
            <w:tcW w:w="521" w:type="pct"/>
            <w:tcBorders>
              <w:top w:val="outset" w:color="auto" w:sz="4" w:space="0"/>
              <w:left w:val="outset" w:color="auto" w:sz="4" w:space="0"/>
              <w:bottom w:val="outset" w:color="auto" w:sz="4" w:space="0"/>
              <w:right w:val="outset" w:color="auto" w:sz="4" w:space="0"/>
            </w:tcBorders>
            <w:vAlign w:val="center"/>
          </w:tcPr>
          <w:p w14:paraId="0894374E">
            <w:pPr>
              <w:textAlignment w:val="center"/>
              <w:rPr>
                <w:rFonts w:cs="Times New Roman"/>
              </w:rPr>
            </w:pPr>
            <w:r>
              <w:rPr>
                <w:rFonts w:cs="Times New Roman"/>
                <w:color w:val="000000"/>
                <w:lang w:bidi="ar"/>
              </w:rPr>
              <w:t>七、61</w:t>
            </w:r>
          </w:p>
        </w:tc>
        <w:tc>
          <w:tcPr>
            <w:tcW w:w="955" w:type="pct"/>
            <w:tcBorders>
              <w:top w:val="outset" w:color="auto" w:sz="4" w:space="0"/>
              <w:left w:val="outset" w:color="auto" w:sz="4" w:space="0"/>
              <w:bottom w:val="outset" w:color="auto" w:sz="4" w:space="0"/>
              <w:right w:val="outset" w:color="auto" w:sz="4" w:space="0"/>
            </w:tcBorders>
            <w:vAlign w:val="bottom"/>
          </w:tcPr>
          <w:p w14:paraId="4C46868C">
            <w:pPr>
              <w:jc w:val="right"/>
              <w:textAlignment w:val="bottom"/>
              <w:rPr>
                <w:rFonts w:cs="Times New Roman"/>
              </w:rPr>
            </w:pPr>
            <w:r>
              <w:rPr>
                <w:rFonts w:eastAsia="Arial Narrow" w:cs="Times New Roman"/>
                <w:color w:val="000000"/>
                <w:lang w:bidi="ar"/>
              </w:rPr>
              <w:t>3,207,731,942.85</w:t>
            </w:r>
          </w:p>
        </w:tc>
        <w:tc>
          <w:tcPr>
            <w:tcW w:w="955" w:type="pct"/>
            <w:tcBorders>
              <w:top w:val="outset" w:color="auto" w:sz="4" w:space="0"/>
              <w:left w:val="outset" w:color="auto" w:sz="4" w:space="0"/>
              <w:bottom w:val="outset" w:color="auto" w:sz="4" w:space="0"/>
              <w:right w:val="outset" w:color="auto" w:sz="4" w:space="0"/>
            </w:tcBorders>
            <w:vAlign w:val="bottom"/>
          </w:tcPr>
          <w:p w14:paraId="51539625">
            <w:pPr>
              <w:jc w:val="right"/>
              <w:textAlignment w:val="bottom"/>
              <w:rPr>
                <w:rFonts w:cs="Times New Roman"/>
              </w:rPr>
            </w:pPr>
            <w:r>
              <w:rPr>
                <w:rFonts w:eastAsia="Arial Narrow" w:cs="Times New Roman"/>
                <w:color w:val="000000"/>
                <w:lang w:bidi="ar"/>
              </w:rPr>
              <w:t>5,204,229,384.76</w:t>
            </w:r>
          </w:p>
        </w:tc>
      </w:tr>
      <w:tr w14:paraId="1A1469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5E975637">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其中：营业收入</w:t>
            </w:r>
          </w:p>
        </w:tc>
        <w:tc>
          <w:tcPr>
            <w:tcW w:w="521" w:type="pct"/>
            <w:tcBorders>
              <w:top w:val="outset" w:color="auto" w:sz="4" w:space="0"/>
              <w:left w:val="outset" w:color="auto" w:sz="4" w:space="0"/>
              <w:bottom w:val="outset" w:color="auto" w:sz="4" w:space="0"/>
              <w:right w:val="outset" w:color="auto" w:sz="4" w:space="0"/>
            </w:tcBorders>
            <w:vAlign w:val="center"/>
          </w:tcPr>
          <w:p w14:paraId="15E6DBEE">
            <w:pPr>
              <w:textAlignment w:val="center"/>
              <w:rPr>
                <w:rFonts w:cs="Times New Roman"/>
              </w:rPr>
            </w:pPr>
            <w:r>
              <w:rPr>
                <w:rFonts w:cs="Times New Roman"/>
                <w:color w:val="000000"/>
                <w:lang w:bidi="ar"/>
              </w:rPr>
              <w:t>七、61</w:t>
            </w:r>
          </w:p>
        </w:tc>
        <w:tc>
          <w:tcPr>
            <w:tcW w:w="955" w:type="pct"/>
            <w:tcBorders>
              <w:top w:val="outset" w:color="auto" w:sz="4" w:space="0"/>
              <w:left w:val="outset" w:color="auto" w:sz="4" w:space="0"/>
              <w:bottom w:val="outset" w:color="auto" w:sz="4" w:space="0"/>
              <w:right w:val="outset" w:color="auto" w:sz="4" w:space="0"/>
            </w:tcBorders>
            <w:vAlign w:val="bottom"/>
          </w:tcPr>
          <w:p w14:paraId="7BF9E227">
            <w:pPr>
              <w:jc w:val="right"/>
              <w:textAlignment w:val="bottom"/>
              <w:rPr>
                <w:rFonts w:cs="Times New Roman"/>
              </w:rPr>
            </w:pPr>
            <w:r>
              <w:rPr>
                <w:rFonts w:eastAsia="Arial Narrow" w:cs="Times New Roman"/>
                <w:color w:val="000000"/>
                <w:lang w:bidi="ar"/>
              </w:rPr>
              <w:t>3,207,731,942.85</w:t>
            </w:r>
          </w:p>
        </w:tc>
        <w:tc>
          <w:tcPr>
            <w:tcW w:w="955" w:type="pct"/>
            <w:tcBorders>
              <w:top w:val="outset" w:color="auto" w:sz="4" w:space="0"/>
              <w:left w:val="outset" w:color="auto" w:sz="4" w:space="0"/>
              <w:bottom w:val="outset" w:color="auto" w:sz="4" w:space="0"/>
              <w:right w:val="outset" w:color="auto" w:sz="4" w:space="0"/>
            </w:tcBorders>
            <w:vAlign w:val="bottom"/>
          </w:tcPr>
          <w:p w14:paraId="7FCB24A0">
            <w:pPr>
              <w:jc w:val="right"/>
              <w:textAlignment w:val="bottom"/>
              <w:rPr>
                <w:rFonts w:cs="Times New Roman"/>
              </w:rPr>
            </w:pPr>
            <w:r>
              <w:rPr>
                <w:rFonts w:eastAsia="Arial Narrow" w:cs="Times New Roman"/>
                <w:color w:val="000000"/>
                <w:lang w:bidi="ar"/>
              </w:rPr>
              <w:t>5,204,229,384.76</w:t>
            </w:r>
          </w:p>
        </w:tc>
      </w:tr>
      <w:tr w14:paraId="724E9B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39CD71F4">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二、营业总成本</w:t>
            </w:r>
          </w:p>
        </w:tc>
        <w:tc>
          <w:tcPr>
            <w:tcW w:w="521" w:type="pct"/>
            <w:tcBorders>
              <w:top w:val="outset" w:color="auto" w:sz="4" w:space="0"/>
              <w:left w:val="outset" w:color="auto" w:sz="4" w:space="0"/>
              <w:bottom w:val="outset" w:color="auto" w:sz="4" w:space="0"/>
              <w:right w:val="outset" w:color="auto" w:sz="4" w:space="0"/>
            </w:tcBorders>
            <w:vAlign w:val="center"/>
          </w:tcPr>
          <w:p w14:paraId="4604EF59">
            <w:pPr>
              <w:rPr>
                <w:rFonts w:cs="Times New Roman"/>
              </w:rPr>
            </w:pPr>
          </w:p>
        </w:tc>
        <w:tc>
          <w:tcPr>
            <w:tcW w:w="955" w:type="pct"/>
            <w:tcBorders>
              <w:top w:val="outset" w:color="auto" w:sz="4" w:space="0"/>
              <w:left w:val="outset" w:color="auto" w:sz="4" w:space="0"/>
              <w:bottom w:val="outset" w:color="auto" w:sz="4" w:space="0"/>
              <w:right w:val="outset" w:color="auto" w:sz="4" w:space="0"/>
            </w:tcBorders>
            <w:vAlign w:val="bottom"/>
          </w:tcPr>
          <w:p w14:paraId="2DAA5DBB">
            <w:pPr>
              <w:jc w:val="right"/>
              <w:textAlignment w:val="bottom"/>
              <w:rPr>
                <w:rFonts w:cs="Times New Roman"/>
              </w:rPr>
            </w:pPr>
            <w:r>
              <w:rPr>
                <w:rFonts w:eastAsia="Arial Narrow" w:cs="Times New Roman"/>
                <w:color w:val="000000"/>
                <w:lang w:bidi="ar"/>
              </w:rPr>
              <w:t>3,305,409,901.65</w:t>
            </w:r>
          </w:p>
        </w:tc>
        <w:tc>
          <w:tcPr>
            <w:tcW w:w="955" w:type="pct"/>
            <w:tcBorders>
              <w:top w:val="outset" w:color="auto" w:sz="4" w:space="0"/>
              <w:left w:val="outset" w:color="auto" w:sz="4" w:space="0"/>
              <w:bottom w:val="outset" w:color="auto" w:sz="4" w:space="0"/>
              <w:right w:val="outset" w:color="auto" w:sz="4" w:space="0"/>
            </w:tcBorders>
            <w:vAlign w:val="bottom"/>
          </w:tcPr>
          <w:p w14:paraId="26339568">
            <w:pPr>
              <w:jc w:val="right"/>
              <w:textAlignment w:val="bottom"/>
              <w:rPr>
                <w:rFonts w:cs="Times New Roman"/>
              </w:rPr>
            </w:pPr>
            <w:r>
              <w:rPr>
                <w:rFonts w:eastAsia="Arial Narrow" w:cs="Times New Roman"/>
                <w:color w:val="000000"/>
                <w:lang w:bidi="ar"/>
              </w:rPr>
              <w:t>5,188,387,706.46</w:t>
            </w:r>
          </w:p>
        </w:tc>
      </w:tr>
      <w:tr w14:paraId="390EFE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5C536C98">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其中：营业成本</w:t>
            </w:r>
          </w:p>
        </w:tc>
        <w:tc>
          <w:tcPr>
            <w:tcW w:w="521" w:type="pct"/>
            <w:tcBorders>
              <w:top w:val="outset" w:color="auto" w:sz="4" w:space="0"/>
              <w:left w:val="outset" w:color="auto" w:sz="4" w:space="0"/>
              <w:bottom w:val="outset" w:color="auto" w:sz="4" w:space="0"/>
              <w:right w:val="outset" w:color="auto" w:sz="4" w:space="0"/>
            </w:tcBorders>
            <w:vAlign w:val="center"/>
          </w:tcPr>
          <w:p w14:paraId="165991D4">
            <w:pPr>
              <w:textAlignment w:val="center"/>
              <w:rPr>
                <w:rFonts w:cs="Times New Roman"/>
              </w:rPr>
            </w:pPr>
            <w:r>
              <w:rPr>
                <w:rFonts w:cs="Times New Roman"/>
                <w:color w:val="000000"/>
                <w:lang w:bidi="ar"/>
              </w:rPr>
              <w:t>七、61</w:t>
            </w:r>
          </w:p>
        </w:tc>
        <w:tc>
          <w:tcPr>
            <w:tcW w:w="955" w:type="pct"/>
            <w:tcBorders>
              <w:top w:val="outset" w:color="auto" w:sz="4" w:space="0"/>
              <w:left w:val="outset" w:color="auto" w:sz="4" w:space="0"/>
              <w:bottom w:val="outset" w:color="auto" w:sz="4" w:space="0"/>
              <w:right w:val="outset" w:color="auto" w:sz="4" w:space="0"/>
            </w:tcBorders>
            <w:vAlign w:val="bottom"/>
          </w:tcPr>
          <w:p w14:paraId="4FAAEA17">
            <w:pPr>
              <w:jc w:val="right"/>
              <w:textAlignment w:val="bottom"/>
              <w:rPr>
                <w:rFonts w:cs="Times New Roman"/>
              </w:rPr>
            </w:pPr>
            <w:r>
              <w:rPr>
                <w:rFonts w:eastAsia="Arial Narrow" w:cs="Times New Roman"/>
                <w:color w:val="000000"/>
                <w:lang w:bidi="ar"/>
              </w:rPr>
              <w:t>2,758,166,135.56</w:t>
            </w:r>
          </w:p>
        </w:tc>
        <w:tc>
          <w:tcPr>
            <w:tcW w:w="955" w:type="pct"/>
            <w:tcBorders>
              <w:top w:val="outset" w:color="auto" w:sz="4" w:space="0"/>
              <w:left w:val="outset" w:color="auto" w:sz="4" w:space="0"/>
              <w:bottom w:val="outset" w:color="auto" w:sz="4" w:space="0"/>
              <w:right w:val="outset" w:color="auto" w:sz="4" w:space="0"/>
            </w:tcBorders>
            <w:vAlign w:val="bottom"/>
          </w:tcPr>
          <w:p w14:paraId="595DA605">
            <w:pPr>
              <w:jc w:val="right"/>
              <w:textAlignment w:val="bottom"/>
              <w:rPr>
                <w:rFonts w:cs="Times New Roman"/>
              </w:rPr>
            </w:pPr>
            <w:r>
              <w:rPr>
                <w:rFonts w:eastAsia="Arial Narrow" w:cs="Times New Roman"/>
                <w:color w:val="000000"/>
                <w:lang w:bidi="ar"/>
              </w:rPr>
              <w:t>4,519,705,718.89</w:t>
            </w:r>
          </w:p>
        </w:tc>
      </w:tr>
      <w:tr w14:paraId="2615E1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5C8BDB58">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税金及附加</w:t>
            </w:r>
          </w:p>
        </w:tc>
        <w:tc>
          <w:tcPr>
            <w:tcW w:w="521" w:type="pct"/>
            <w:tcBorders>
              <w:top w:val="outset" w:color="auto" w:sz="4" w:space="0"/>
              <w:left w:val="outset" w:color="auto" w:sz="4" w:space="0"/>
              <w:bottom w:val="outset" w:color="auto" w:sz="4" w:space="0"/>
              <w:right w:val="outset" w:color="auto" w:sz="4" w:space="0"/>
            </w:tcBorders>
            <w:vAlign w:val="center"/>
          </w:tcPr>
          <w:p w14:paraId="453FDD07">
            <w:pPr>
              <w:textAlignment w:val="center"/>
              <w:rPr>
                <w:rFonts w:cs="Times New Roman"/>
              </w:rPr>
            </w:pPr>
            <w:r>
              <w:rPr>
                <w:rFonts w:cs="Times New Roman"/>
                <w:color w:val="000000"/>
                <w:lang w:bidi="ar"/>
              </w:rPr>
              <w:t>七、62</w:t>
            </w:r>
          </w:p>
        </w:tc>
        <w:tc>
          <w:tcPr>
            <w:tcW w:w="955" w:type="pct"/>
            <w:tcBorders>
              <w:top w:val="outset" w:color="auto" w:sz="4" w:space="0"/>
              <w:left w:val="outset" w:color="auto" w:sz="4" w:space="0"/>
              <w:bottom w:val="outset" w:color="auto" w:sz="4" w:space="0"/>
              <w:right w:val="outset" w:color="auto" w:sz="4" w:space="0"/>
            </w:tcBorders>
            <w:vAlign w:val="bottom"/>
          </w:tcPr>
          <w:p w14:paraId="661845E0">
            <w:pPr>
              <w:jc w:val="right"/>
              <w:textAlignment w:val="bottom"/>
              <w:rPr>
                <w:rFonts w:cs="Times New Roman"/>
              </w:rPr>
            </w:pPr>
            <w:r>
              <w:rPr>
                <w:rFonts w:eastAsia="Arial Narrow" w:cs="Times New Roman"/>
                <w:color w:val="000000"/>
                <w:lang w:bidi="ar"/>
              </w:rPr>
              <w:t>51,260,842.58</w:t>
            </w:r>
          </w:p>
        </w:tc>
        <w:tc>
          <w:tcPr>
            <w:tcW w:w="955" w:type="pct"/>
            <w:tcBorders>
              <w:top w:val="outset" w:color="auto" w:sz="4" w:space="0"/>
              <w:left w:val="outset" w:color="auto" w:sz="4" w:space="0"/>
              <w:bottom w:val="outset" w:color="auto" w:sz="4" w:space="0"/>
              <w:right w:val="outset" w:color="auto" w:sz="4" w:space="0"/>
            </w:tcBorders>
            <w:vAlign w:val="bottom"/>
          </w:tcPr>
          <w:p w14:paraId="1B6D3FA2">
            <w:pPr>
              <w:jc w:val="right"/>
              <w:textAlignment w:val="bottom"/>
              <w:rPr>
                <w:rFonts w:cs="Times New Roman"/>
              </w:rPr>
            </w:pPr>
            <w:r>
              <w:rPr>
                <w:rFonts w:eastAsia="Arial Narrow" w:cs="Times New Roman"/>
                <w:color w:val="000000"/>
                <w:lang w:bidi="ar"/>
              </w:rPr>
              <w:t>47,162,176.16</w:t>
            </w:r>
          </w:p>
        </w:tc>
      </w:tr>
      <w:tr w14:paraId="4A5886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198D79A6">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销售费用</w:t>
            </w:r>
          </w:p>
        </w:tc>
        <w:tc>
          <w:tcPr>
            <w:tcW w:w="521" w:type="pct"/>
            <w:tcBorders>
              <w:top w:val="outset" w:color="auto" w:sz="4" w:space="0"/>
              <w:left w:val="outset" w:color="auto" w:sz="4" w:space="0"/>
              <w:bottom w:val="outset" w:color="auto" w:sz="4" w:space="0"/>
              <w:right w:val="outset" w:color="auto" w:sz="4" w:space="0"/>
            </w:tcBorders>
            <w:vAlign w:val="center"/>
          </w:tcPr>
          <w:p w14:paraId="374608D6">
            <w:pPr>
              <w:textAlignment w:val="center"/>
              <w:rPr>
                <w:rFonts w:cs="Times New Roman"/>
              </w:rPr>
            </w:pPr>
            <w:r>
              <w:rPr>
                <w:rFonts w:cs="Times New Roman"/>
                <w:color w:val="000000"/>
                <w:lang w:bidi="ar"/>
              </w:rPr>
              <w:t>七、63</w:t>
            </w:r>
          </w:p>
        </w:tc>
        <w:tc>
          <w:tcPr>
            <w:tcW w:w="955" w:type="pct"/>
            <w:tcBorders>
              <w:top w:val="outset" w:color="auto" w:sz="4" w:space="0"/>
              <w:left w:val="outset" w:color="auto" w:sz="4" w:space="0"/>
              <w:bottom w:val="outset" w:color="auto" w:sz="4" w:space="0"/>
              <w:right w:val="outset" w:color="auto" w:sz="4" w:space="0"/>
            </w:tcBorders>
            <w:vAlign w:val="bottom"/>
          </w:tcPr>
          <w:p w14:paraId="5B464DBD">
            <w:pPr>
              <w:jc w:val="right"/>
              <w:textAlignment w:val="bottom"/>
              <w:rPr>
                <w:rFonts w:cs="Times New Roman"/>
              </w:rPr>
            </w:pPr>
            <w:r>
              <w:rPr>
                <w:rFonts w:eastAsia="Arial Narrow" w:cs="Times New Roman"/>
                <w:color w:val="000000"/>
                <w:lang w:bidi="ar"/>
              </w:rPr>
              <w:t>114,303,971.14</w:t>
            </w:r>
          </w:p>
        </w:tc>
        <w:tc>
          <w:tcPr>
            <w:tcW w:w="955" w:type="pct"/>
            <w:tcBorders>
              <w:top w:val="outset" w:color="auto" w:sz="4" w:space="0"/>
              <w:left w:val="outset" w:color="auto" w:sz="4" w:space="0"/>
              <w:bottom w:val="outset" w:color="auto" w:sz="4" w:space="0"/>
              <w:right w:val="outset" w:color="auto" w:sz="4" w:space="0"/>
            </w:tcBorders>
            <w:vAlign w:val="bottom"/>
          </w:tcPr>
          <w:p w14:paraId="081A3AA8">
            <w:pPr>
              <w:jc w:val="right"/>
              <w:textAlignment w:val="bottom"/>
              <w:rPr>
                <w:rFonts w:cs="Times New Roman"/>
              </w:rPr>
            </w:pPr>
            <w:r>
              <w:rPr>
                <w:rFonts w:eastAsia="Arial Narrow" w:cs="Times New Roman"/>
                <w:color w:val="000000"/>
                <w:lang w:bidi="ar"/>
              </w:rPr>
              <w:t>172,992,168.56</w:t>
            </w:r>
          </w:p>
        </w:tc>
      </w:tr>
      <w:tr w14:paraId="169BBA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21637112">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管理费用</w:t>
            </w:r>
          </w:p>
        </w:tc>
        <w:tc>
          <w:tcPr>
            <w:tcW w:w="521" w:type="pct"/>
            <w:tcBorders>
              <w:top w:val="outset" w:color="auto" w:sz="4" w:space="0"/>
              <w:left w:val="outset" w:color="auto" w:sz="4" w:space="0"/>
              <w:bottom w:val="outset" w:color="auto" w:sz="4" w:space="0"/>
              <w:right w:val="outset" w:color="auto" w:sz="4" w:space="0"/>
            </w:tcBorders>
            <w:vAlign w:val="center"/>
          </w:tcPr>
          <w:p w14:paraId="02E2A311">
            <w:pPr>
              <w:textAlignment w:val="center"/>
              <w:rPr>
                <w:rFonts w:cs="Times New Roman"/>
              </w:rPr>
            </w:pPr>
            <w:r>
              <w:rPr>
                <w:rFonts w:cs="Times New Roman"/>
                <w:color w:val="000000"/>
                <w:lang w:bidi="ar"/>
              </w:rPr>
              <w:t>七、64</w:t>
            </w:r>
          </w:p>
        </w:tc>
        <w:tc>
          <w:tcPr>
            <w:tcW w:w="955" w:type="pct"/>
            <w:tcBorders>
              <w:top w:val="outset" w:color="auto" w:sz="4" w:space="0"/>
              <w:left w:val="outset" w:color="auto" w:sz="4" w:space="0"/>
              <w:bottom w:val="outset" w:color="auto" w:sz="4" w:space="0"/>
              <w:right w:val="outset" w:color="auto" w:sz="4" w:space="0"/>
            </w:tcBorders>
            <w:vAlign w:val="bottom"/>
          </w:tcPr>
          <w:p w14:paraId="22D4428A">
            <w:pPr>
              <w:jc w:val="right"/>
              <w:textAlignment w:val="bottom"/>
              <w:rPr>
                <w:rFonts w:cs="Times New Roman"/>
              </w:rPr>
            </w:pPr>
            <w:r>
              <w:rPr>
                <w:rFonts w:eastAsia="Arial Narrow" w:cs="Times New Roman"/>
                <w:color w:val="000000"/>
                <w:lang w:bidi="ar"/>
              </w:rPr>
              <w:t>277,091,465.72</w:t>
            </w:r>
          </w:p>
        </w:tc>
        <w:tc>
          <w:tcPr>
            <w:tcW w:w="955" w:type="pct"/>
            <w:tcBorders>
              <w:top w:val="outset" w:color="auto" w:sz="4" w:space="0"/>
              <w:left w:val="outset" w:color="auto" w:sz="4" w:space="0"/>
              <w:bottom w:val="outset" w:color="auto" w:sz="4" w:space="0"/>
              <w:right w:val="outset" w:color="auto" w:sz="4" w:space="0"/>
            </w:tcBorders>
            <w:vAlign w:val="bottom"/>
          </w:tcPr>
          <w:p w14:paraId="0D0150AB">
            <w:pPr>
              <w:jc w:val="right"/>
              <w:textAlignment w:val="bottom"/>
              <w:rPr>
                <w:rFonts w:cs="Times New Roman"/>
              </w:rPr>
            </w:pPr>
            <w:r>
              <w:rPr>
                <w:rFonts w:eastAsia="Arial Narrow" w:cs="Times New Roman"/>
                <w:color w:val="000000"/>
                <w:lang w:bidi="ar"/>
              </w:rPr>
              <w:t>306,136,331.59</w:t>
            </w:r>
          </w:p>
        </w:tc>
      </w:tr>
      <w:tr w14:paraId="5FB59F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3CC44EA3">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研发费用</w:t>
            </w:r>
          </w:p>
        </w:tc>
        <w:tc>
          <w:tcPr>
            <w:tcW w:w="521" w:type="pct"/>
            <w:tcBorders>
              <w:top w:val="outset" w:color="auto" w:sz="4" w:space="0"/>
              <w:left w:val="outset" w:color="auto" w:sz="4" w:space="0"/>
              <w:bottom w:val="outset" w:color="auto" w:sz="4" w:space="0"/>
              <w:right w:val="outset" w:color="auto" w:sz="4" w:space="0"/>
            </w:tcBorders>
            <w:vAlign w:val="center"/>
          </w:tcPr>
          <w:p w14:paraId="1F9AB119">
            <w:pPr>
              <w:textAlignment w:val="center"/>
              <w:rPr>
                <w:rFonts w:cs="Times New Roman"/>
              </w:rPr>
            </w:pPr>
            <w:r>
              <w:rPr>
                <w:rFonts w:cs="Times New Roman"/>
                <w:color w:val="000000"/>
                <w:lang w:bidi="ar"/>
              </w:rPr>
              <w:t>七、65</w:t>
            </w:r>
          </w:p>
        </w:tc>
        <w:tc>
          <w:tcPr>
            <w:tcW w:w="955" w:type="pct"/>
            <w:tcBorders>
              <w:top w:val="outset" w:color="auto" w:sz="4" w:space="0"/>
              <w:left w:val="outset" w:color="auto" w:sz="4" w:space="0"/>
              <w:bottom w:val="outset" w:color="auto" w:sz="4" w:space="0"/>
              <w:right w:val="outset" w:color="auto" w:sz="4" w:space="0"/>
            </w:tcBorders>
            <w:vAlign w:val="bottom"/>
          </w:tcPr>
          <w:p w14:paraId="69EC2B79">
            <w:pPr>
              <w:jc w:val="right"/>
              <w:textAlignment w:val="bottom"/>
              <w:rPr>
                <w:rFonts w:cs="Times New Roman"/>
              </w:rPr>
            </w:pPr>
            <w:r>
              <w:rPr>
                <w:rFonts w:eastAsia="Arial Narrow" w:cs="Times New Roman"/>
                <w:color w:val="000000"/>
                <w:lang w:bidi="ar"/>
              </w:rPr>
              <w:t>118,775,901.52</w:t>
            </w:r>
          </w:p>
        </w:tc>
        <w:tc>
          <w:tcPr>
            <w:tcW w:w="955" w:type="pct"/>
            <w:tcBorders>
              <w:top w:val="outset" w:color="auto" w:sz="4" w:space="0"/>
              <w:left w:val="outset" w:color="auto" w:sz="4" w:space="0"/>
              <w:bottom w:val="outset" w:color="auto" w:sz="4" w:space="0"/>
              <w:right w:val="outset" w:color="auto" w:sz="4" w:space="0"/>
            </w:tcBorders>
            <w:vAlign w:val="bottom"/>
          </w:tcPr>
          <w:p w14:paraId="6495BFD1">
            <w:pPr>
              <w:jc w:val="right"/>
              <w:textAlignment w:val="bottom"/>
              <w:rPr>
                <w:rFonts w:cs="Times New Roman"/>
              </w:rPr>
            </w:pPr>
            <w:r>
              <w:rPr>
                <w:rFonts w:eastAsia="Arial Narrow" w:cs="Times New Roman"/>
                <w:color w:val="000000"/>
                <w:lang w:bidi="ar"/>
              </w:rPr>
              <w:t>158,017,862.43</w:t>
            </w:r>
          </w:p>
        </w:tc>
      </w:tr>
      <w:tr w14:paraId="4CBD8F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4E6EB454">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财务费用</w:t>
            </w:r>
          </w:p>
        </w:tc>
        <w:tc>
          <w:tcPr>
            <w:tcW w:w="521" w:type="pct"/>
            <w:tcBorders>
              <w:top w:val="outset" w:color="auto" w:sz="4" w:space="0"/>
              <w:left w:val="outset" w:color="auto" w:sz="4" w:space="0"/>
              <w:bottom w:val="outset" w:color="auto" w:sz="4" w:space="0"/>
              <w:right w:val="outset" w:color="auto" w:sz="4" w:space="0"/>
            </w:tcBorders>
            <w:vAlign w:val="center"/>
          </w:tcPr>
          <w:p w14:paraId="2141E236">
            <w:pPr>
              <w:textAlignment w:val="center"/>
              <w:rPr>
                <w:rFonts w:cs="Times New Roman"/>
              </w:rPr>
            </w:pPr>
            <w:r>
              <w:rPr>
                <w:rFonts w:cs="Times New Roman"/>
                <w:color w:val="000000"/>
                <w:lang w:bidi="ar"/>
              </w:rPr>
              <w:t>七、66</w:t>
            </w:r>
          </w:p>
        </w:tc>
        <w:tc>
          <w:tcPr>
            <w:tcW w:w="955" w:type="pct"/>
            <w:tcBorders>
              <w:top w:val="outset" w:color="auto" w:sz="4" w:space="0"/>
              <w:left w:val="outset" w:color="auto" w:sz="4" w:space="0"/>
              <w:bottom w:val="outset" w:color="auto" w:sz="4" w:space="0"/>
              <w:right w:val="outset" w:color="auto" w:sz="4" w:space="0"/>
            </w:tcBorders>
            <w:vAlign w:val="bottom"/>
          </w:tcPr>
          <w:p w14:paraId="2EC5867E">
            <w:pPr>
              <w:jc w:val="right"/>
              <w:textAlignment w:val="bottom"/>
              <w:rPr>
                <w:rFonts w:cs="Times New Roman"/>
              </w:rPr>
            </w:pPr>
            <w:r>
              <w:rPr>
                <w:rFonts w:eastAsia="Arial Narrow" w:cs="Times New Roman"/>
                <w:color w:val="000000"/>
                <w:lang w:bidi="ar"/>
              </w:rPr>
              <w:t>-14,188,414.87</w:t>
            </w:r>
          </w:p>
        </w:tc>
        <w:tc>
          <w:tcPr>
            <w:tcW w:w="955" w:type="pct"/>
            <w:tcBorders>
              <w:top w:val="outset" w:color="auto" w:sz="4" w:space="0"/>
              <w:left w:val="outset" w:color="auto" w:sz="4" w:space="0"/>
              <w:bottom w:val="outset" w:color="auto" w:sz="4" w:space="0"/>
              <w:right w:val="outset" w:color="auto" w:sz="4" w:space="0"/>
            </w:tcBorders>
            <w:vAlign w:val="bottom"/>
          </w:tcPr>
          <w:p w14:paraId="7BFD7212">
            <w:pPr>
              <w:jc w:val="right"/>
              <w:textAlignment w:val="bottom"/>
              <w:rPr>
                <w:rFonts w:cs="Times New Roman"/>
              </w:rPr>
            </w:pPr>
            <w:r>
              <w:rPr>
                <w:rFonts w:eastAsia="Arial Narrow" w:cs="Times New Roman"/>
                <w:color w:val="000000"/>
                <w:lang w:bidi="ar"/>
              </w:rPr>
              <w:t>-15,626,551.17</w:t>
            </w:r>
          </w:p>
        </w:tc>
      </w:tr>
      <w:tr w14:paraId="14591F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6C9C2052">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其中：利息费用</w:t>
            </w:r>
          </w:p>
        </w:tc>
        <w:tc>
          <w:tcPr>
            <w:tcW w:w="521" w:type="pct"/>
            <w:tcBorders>
              <w:top w:val="outset" w:color="auto" w:sz="4" w:space="0"/>
              <w:left w:val="outset" w:color="auto" w:sz="4" w:space="0"/>
              <w:bottom w:val="outset" w:color="auto" w:sz="4" w:space="0"/>
              <w:right w:val="outset" w:color="auto" w:sz="4" w:space="0"/>
            </w:tcBorders>
            <w:vAlign w:val="center"/>
          </w:tcPr>
          <w:p w14:paraId="00CEE4B6">
            <w:pPr>
              <w:textAlignment w:val="center"/>
              <w:rPr>
                <w:rFonts w:cs="Times New Roman"/>
              </w:rPr>
            </w:pPr>
            <w:r>
              <w:rPr>
                <w:rFonts w:cs="Times New Roman"/>
                <w:color w:val="000000"/>
                <w:lang w:bidi="ar"/>
              </w:rPr>
              <w:t>七、66</w:t>
            </w:r>
          </w:p>
        </w:tc>
        <w:tc>
          <w:tcPr>
            <w:tcW w:w="955" w:type="pct"/>
            <w:tcBorders>
              <w:top w:val="outset" w:color="auto" w:sz="4" w:space="0"/>
              <w:left w:val="outset" w:color="auto" w:sz="4" w:space="0"/>
              <w:bottom w:val="outset" w:color="auto" w:sz="4" w:space="0"/>
              <w:right w:val="outset" w:color="auto" w:sz="4" w:space="0"/>
            </w:tcBorders>
            <w:vAlign w:val="bottom"/>
          </w:tcPr>
          <w:p w14:paraId="1A007BAD">
            <w:pPr>
              <w:jc w:val="right"/>
              <w:textAlignment w:val="bottom"/>
              <w:rPr>
                <w:rFonts w:cs="Times New Roman"/>
              </w:rPr>
            </w:pPr>
            <w:r>
              <w:rPr>
                <w:rFonts w:eastAsia="Arial Narrow" w:cs="Times New Roman"/>
                <w:color w:val="000000"/>
                <w:lang w:bidi="ar"/>
              </w:rPr>
              <w:t>42,092,229.97</w:t>
            </w:r>
          </w:p>
        </w:tc>
        <w:tc>
          <w:tcPr>
            <w:tcW w:w="955" w:type="pct"/>
            <w:tcBorders>
              <w:top w:val="outset" w:color="auto" w:sz="4" w:space="0"/>
              <w:left w:val="outset" w:color="auto" w:sz="4" w:space="0"/>
              <w:bottom w:val="outset" w:color="auto" w:sz="4" w:space="0"/>
              <w:right w:val="outset" w:color="auto" w:sz="4" w:space="0"/>
            </w:tcBorders>
            <w:vAlign w:val="bottom"/>
          </w:tcPr>
          <w:p w14:paraId="22D01BD0">
            <w:pPr>
              <w:jc w:val="right"/>
              <w:textAlignment w:val="bottom"/>
              <w:rPr>
                <w:rFonts w:cs="Times New Roman"/>
              </w:rPr>
            </w:pPr>
            <w:r>
              <w:rPr>
                <w:rFonts w:eastAsia="Arial Narrow" w:cs="Times New Roman"/>
                <w:color w:val="000000"/>
                <w:lang w:bidi="ar"/>
              </w:rPr>
              <w:t>35,397,869.58</w:t>
            </w:r>
          </w:p>
        </w:tc>
      </w:tr>
      <w:tr w14:paraId="610571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34BBC13F">
            <w:pPr>
              <w:ind w:firstLine="1260" w:firstLineChars="6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利息收入</w:t>
            </w:r>
          </w:p>
        </w:tc>
        <w:tc>
          <w:tcPr>
            <w:tcW w:w="521" w:type="pct"/>
            <w:tcBorders>
              <w:top w:val="outset" w:color="auto" w:sz="4" w:space="0"/>
              <w:left w:val="outset" w:color="auto" w:sz="4" w:space="0"/>
              <w:bottom w:val="outset" w:color="auto" w:sz="4" w:space="0"/>
              <w:right w:val="outset" w:color="auto" w:sz="4" w:space="0"/>
            </w:tcBorders>
            <w:vAlign w:val="center"/>
          </w:tcPr>
          <w:p w14:paraId="55A33CC0">
            <w:pPr>
              <w:textAlignment w:val="center"/>
              <w:rPr>
                <w:rFonts w:cs="Times New Roman"/>
              </w:rPr>
            </w:pPr>
            <w:r>
              <w:rPr>
                <w:rFonts w:cs="Times New Roman"/>
                <w:color w:val="000000"/>
                <w:lang w:bidi="ar"/>
              </w:rPr>
              <w:t>七、66</w:t>
            </w:r>
          </w:p>
        </w:tc>
        <w:tc>
          <w:tcPr>
            <w:tcW w:w="955" w:type="pct"/>
            <w:tcBorders>
              <w:top w:val="outset" w:color="auto" w:sz="4" w:space="0"/>
              <w:left w:val="outset" w:color="auto" w:sz="4" w:space="0"/>
              <w:bottom w:val="outset" w:color="auto" w:sz="4" w:space="0"/>
              <w:right w:val="outset" w:color="auto" w:sz="4" w:space="0"/>
            </w:tcBorders>
            <w:vAlign w:val="bottom"/>
          </w:tcPr>
          <w:p w14:paraId="43839132">
            <w:pPr>
              <w:jc w:val="right"/>
              <w:textAlignment w:val="bottom"/>
              <w:rPr>
                <w:rFonts w:cs="Times New Roman"/>
              </w:rPr>
            </w:pPr>
            <w:r>
              <w:rPr>
                <w:rFonts w:eastAsia="Arial Narrow" w:cs="Times New Roman"/>
                <w:color w:val="000000"/>
                <w:lang w:bidi="ar"/>
              </w:rPr>
              <w:t>60,068,341.22</w:t>
            </w:r>
          </w:p>
        </w:tc>
        <w:tc>
          <w:tcPr>
            <w:tcW w:w="955" w:type="pct"/>
            <w:tcBorders>
              <w:top w:val="outset" w:color="auto" w:sz="4" w:space="0"/>
              <w:left w:val="outset" w:color="auto" w:sz="4" w:space="0"/>
              <w:bottom w:val="outset" w:color="auto" w:sz="4" w:space="0"/>
              <w:right w:val="outset" w:color="auto" w:sz="4" w:space="0"/>
            </w:tcBorders>
            <w:vAlign w:val="bottom"/>
          </w:tcPr>
          <w:p w14:paraId="1FA28631">
            <w:pPr>
              <w:jc w:val="right"/>
              <w:textAlignment w:val="bottom"/>
              <w:rPr>
                <w:rFonts w:cs="Times New Roman"/>
              </w:rPr>
            </w:pPr>
            <w:r>
              <w:rPr>
                <w:rFonts w:eastAsia="Arial Narrow" w:cs="Times New Roman"/>
                <w:color w:val="000000"/>
                <w:lang w:bidi="ar"/>
              </w:rPr>
              <w:t>51,034,553.34</w:t>
            </w:r>
          </w:p>
        </w:tc>
      </w:tr>
      <w:tr w14:paraId="6C38DD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5DD8DD75">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加：其他收益</w:t>
            </w:r>
          </w:p>
        </w:tc>
        <w:tc>
          <w:tcPr>
            <w:tcW w:w="521" w:type="pct"/>
            <w:tcBorders>
              <w:top w:val="outset" w:color="auto" w:sz="4" w:space="0"/>
              <w:left w:val="outset" w:color="auto" w:sz="4" w:space="0"/>
              <w:bottom w:val="outset" w:color="auto" w:sz="4" w:space="0"/>
              <w:right w:val="outset" w:color="auto" w:sz="4" w:space="0"/>
            </w:tcBorders>
            <w:vAlign w:val="center"/>
          </w:tcPr>
          <w:p w14:paraId="1D3ED7FC">
            <w:pPr>
              <w:textAlignment w:val="center"/>
              <w:rPr>
                <w:rFonts w:cs="Times New Roman"/>
              </w:rPr>
            </w:pPr>
            <w:r>
              <w:rPr>
                <w:rFonts w:cs="Times New Roman"/>
                <w:color w:val="000000"/>
                <w:lang w:bidi="ar"/>
              </w:rPr>
              <w:t>七、67</w:t>
            </w:r>
          </w:p>
        </w:tc>
        <w:tc>
          <w:tcPr>
            <w:tcW w:w="955" w:type="pct"/>
            <w:tcBorders>
              <w:top w:val="outset" w:color="auto" w:sz="4" w:space="0"/>
              <w:left w:val="outset" w:color="auto" w:sz="4" w:space="0"/>
              <w:bottom w:val="outset" w:color="auto" w:sz="4" w:space="0"/>
              <w:right w:val="outset" w:color="auto" w:sz="4" w:space="0"/>
            </w:tcBorders>
            <w:vAlign w:val="bottom"/>
          </w:tcPr>
          <w:p w14:paraId="28EC8C24">
            <w:pPr>
              <w:jc w:val="right"/>
              <w:textAlignment w:val="bottom"/>
              <w:rPr>
                <w:rFonts w:cs="Times New Roman"/>
              </w:rPr>
            </w:pPr>
            <w:r>
              <w:rPr>
                <w:rFonts w:eastAsia="Arial Narrow" w:cs="Times New Roman"/>
                <w:color w:val="000000"/>
                <w:lang w:bidi="ar"/>
              </w:rPr>
              <w:t>45,541,279.54</w:t>
            </w:r>
          </w:p>
        </w:tc>
        <w:tc>
          <w:tcPr>
            <w:tcW w:w="955" w:type="pct"/>
            <w:tcBorders>
              <w:top w:val="outset" w:color="auto" w:sz="4" w:space="0"/>
              <w:left w:val="outset" w:color="auto" w:sz="4" w:space="0"/>
              <w:bottom w:val="outset" w:color="auto" w:sz="4" w:space="0"/>
              <w:right w:val="outset" w:color="auto" w:sz="4" w:space="0"/>
            </w:tcBorders>
            <w:vAlign w:val="bottom"/>
          </w:tcPr>
          <w:p w14:paraId="12B48218">
            <w:pPr>
              <w:jc w:val="right"/>
              <w:textAlignment w:val="bottom"/>
              <w:rPr>
                <w:rFonts w:cs="Times New Roman"/>
              </w:rPr>
            </w:pPr>
            <w:r>
              <w:rPr>
                <w:rFonts w:eastAsia="Arial Narrow" w:cs="Times New Roman"/>
                <w:color w:val="000000"/>
                <w:lang w:bidi="ar"/>
              </w:rPr>
              <w:t>38,097,018.26</w:t>
            </w:r>
          </w:p>
        </w:tc>
      </w:tr>
      <w:tr w14:paraId="06EAE4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48E1C7C5">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投资收益（损失以“－”号填列）</w:t>
            </w:r>
          </w:p>
        </w:tc>
        <w:tc>
          <w:tcPr>
            <w:tcW w:w="521" w:type="pct"/>
            <w:tcBorders>
              <w:top w:val="outset" w:color="auto" w:sz="4" w:space="0"/>
              <w:left w:val="outset" w:color="auto" w:sz="4" w:space="0"/>
              <w:bottom w:val="outset" w:color="auto" w:sz="4" w:space="0"/>
              <w:right w:val="outset" w:color="auto" w:sz="4" w:space="0"/>
            </w:tcBorders>
            <w:vAlign w:val="center"/>
          </w:tcPr>
          <w:p w14:paraId="7C4F8E25">
            <w:pPr>
              <w:textAlignment w:val="center"/>
              <w:rPr>
                <w:rFonts w:cs="Times New Roman"/>
              </w:rPr>
            </w:pPr>
            <w:r>
              <w:rPr>
                <w:rFonts w:cs="Times New Roman"/>
                <w:color w:val="000000"/>
                <w:lang w:bidi="ar"/>
              </w:rPr>
              <w:t>七、68</w:t>
            </w:r>
          </w:p>
        </w:tc>
        <w:tc>
          <w:tcPr>
            <w:tcW w:w="955" w:type="pct"/>
            <w:tcBorders>
              <w:top w:val="outset" w:color="auto" w:sz="4" w:space="0"/>
              <w:left w:val="outset" w:color="auto" w:sz="4" w:space="0"/>
              <w:bottom w:val="outset" w:color="auto" w:sz="4" w:space="0"/>
              <w:right w:val="outset" w:color="auto" w:sz="4" w:space="0"/>
            </w:tcBorders>
            <w:vAlign w:val="bottom"/>
          </w:tcPr>
          <w:p w14:paraId="6117E076">
            <w:pPr>
              <w:jc w:val="right"/>
              <w:textAlignment w:val="bottom"/>
              <w:rPr>
                <w:rFonts w:cs="Times New Roman"/>
              </w:rPr>
            </w:pPr>
            <w:r>
              <w:rPr>
                <w:rFonts w:eastAsia="Arial Narrow" w:cs="Times New Roman"/>
                <w:color w:val="000000"/>
                <w:lang w:bidi="ar"/>
              </w:rPr>
              <w:t>30,312,923.31</w:t>
            </w:r>
          </w:p>
        </w:tc>
        <w:tc>
          <w:tcPr>
            <w:tcW w:w="955" w:type="pct"/>
            <w:tcBorders>
              <w:top w:val="outset" w:color="auto" w:sz="4" w:space="0"/>
              <w:left w:val="outset" w:color="auto" w:sz="4" w:space="0"/>
              <w:bottom w:val="outset" w:color="auto" w:sz="4" w:space="0"/>
              <w:right w:val="outset" w:color="auto" w:sz="4" w:space="0"/>
            </w:tcBorders>
            <w:vAlign w:val="bottom"/>
          </w:tcPr>
          <w:p w14:paraId="590B9974">
            <w:pPr>
              <w:jc w:val="right"/>
              <w:textAlignment w:val="bottom"/>
              <w:rPr>
                <w:rFonts w:cs="Times New Roman"/>
              </w:rPr>
            </w:pPr>
            <w:r>
              <w:rPr>
                <w:rFonts w:eastAsia="Arial Narrow" w:cs="Times New Roman"/>
                <w:color w:val="000000"/>
                <w:lang w:bidi="ar"/>
              </w:rPr>
              <w:t>-3,586,240.83</w:t>
            </w:r>
          </w:p>
        </w:tc>
      </w:tr>
      <w:tr w14:paraId="230F35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264005D9">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其中：对联营企业和合营企业的投资收益</w:t>
            </w:r>
          </w:p>
        </w:tc>
        <w:tc>
          <w:tcPr>
            <w:tcW w:w="521" w:type="pct"/>
            <w:tcBorders>
              <w:top w:val="outset" w:color="auto" w:sz="4" w:space="0"/>
              <w:left w:val="outset" w:color="auto" w:sz="4" w:space="0"/>
              <w:bottom w:val="outset" w:color="auto" w:sz="4" w:space="0"/>
              <w:right w:val="outset" w:color="auto" w:sz="4" w:space="0"/>
            </w:tcBorders>
            <w:vAlign w:val="center"/>
          </w:tcPr>
          <w:p w14:paraId="1B123E53">
            <w:pPr>
              <w:textAlignment w:val="center"/>
              <w:rPr>
                <w:rFonts w:cs="Times New Roman"/>
              </w:rPr>
            </w:pPr>
            <w:r>
              <w:rPr>
                <w:rFonts w:cs="Times New Roman"/>
                <w:color w:val="000000"/>
                <w:lang w:bidi="ar"/>
              </w:rPr>
              <w:t>七、68</w:t>
            </w:r>
          </w:p>
        </w:tc>
        <w:tc>
          <w:tcPr>
            <w:tcW w:w="955" w:type="pct"/>
            <w:tcBorders>
              <w:top w:val="outset" w:color="auto" w:sz="4" w:space="0"/>
              <w:left w:val="outset" w:color="auto" w:sz="4" w:space="0"/>
              <w:bottom w:val="outset" w:color="auto" w:sz="4" w:space="0"/>
              <w:right w:val="outset" w:color="auto" w:sz="4" w:space="0"/>
            </w:tcBorders>
            <w:vAlign w:val="bottom"/>
          </w:tcPr>
          <w:p w14:paraId="5F5D7656">
            <w:pPr>
              <w:jc w:val="right"/>
              <w:textAlignment w:val="bottom"/>
              <w:rPr>
                <w:rFonts w:cs="Times New Roman"/>
              </w:rPr>
            </w:pPr>
            <w:r>
              <w:rPr>
                <w:rFonts w:eastAsia="Arial Narrow" w:cs="Times New Roman"/>
                <w:color w:val="000000"/>
                <w:lang w:bidi="ar"/>
              </w:rPr>
              <w:t>-3,274,736.02</w:t>
            </w:r>
          </w:p>
        </w:tc>
        <w:tc>
          <w:tcPr>
            <w:tcW w:w="955" w:type="pct"/>
            <w:tcBorders>
              <w:top w:val="outset" w:color="auto" w:sz="4" w:space="0"/>
              <w:left w:val="outset" w:color="auto" w:sz="4" w:space="0"/>
              <w:bottom w:val="outset" w:color="auto" w:sz="4" w:space="0"/>
              <w:right w:val="outset" w:color="auto" w:sz="4" w:space="0"/>
            </w:tcBorders>
            <w:vAlign w:val="bottom"/>
          </w:tcPr>
          <w:p w14:paraId="67CB1F1E">
            <w:pPr>
              <w:jc w:val="right"/>
              <w:textAlignment w:val="bottom"/>
              <w:rPr>
                <w:rFonts w:cs="Times New Roman"/>
              </w:rPr>
            </w:pPr>
            <w:r>
              <w:rPr>
                <w:rFonts w:eastAsia="Arial Narrow" w:cs="Times New Roman"/>
                <w:color w:val="000000"/>
                <w:lang w:bidi="ar"/>
              </w:rPr>
              <w:t>-3,975,064.83</w:t>
            </w:r>
          </w:p>
        </w:tc>
      </w:tr>
      <w:tr w14:paraId="61C0A4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2230FDED">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信用减值损失（损失以“-”号填列）</w:t>
            </w:r>
          </w:p>
        </w:tc>
        <w:tc>
          <w:tcPr>
            <w:tcW w:w="521" w:type="pct"/>
            <w:tcBorders>
              <w:top w:val="outset" w:color="auto" w:sz="4" w:space="0"/>
              <w:left w:val="outset" w:color="auto" w:sz="4" w:space="0"/>
              <w:bottom w:val="outset" w:color="auto" w:sz="4" w:space="0"/>
              <w:right w:val="outset" w:color="auto" w:sz="4" w:space="0"/>
            </w:tcBorders>
            <w:vAlign w:val="center"/>
          </w:tcPr>
          <w:p w14:paraId="74CF3B08">
            <w:pPr>
              <w:textAlignment w:val="center"/>
              <w:rPr>
                <w:rFonts w:cs="Times New Roman"/>
              </w:rPr>
            </w:pPr>
            <w:r>
              <w:rPr>
                <w:rFonts w:cs="Times New Roman"/>
                <w:color w:val="000000"/>
                <w:lang w:bidi="ar"/>
              </w:rPr>
              <w:t>七、71</w:t>
            </w:r>
          </w:p>
        </w:tc>
        <w:tc>
          <w:tcPr>
            <w:tcW w:w="955" w:type="pct"/>
            <w:tcBorders>
              <w:top w:val="outset" w:color="auto" w:sz="4" w:space="0"/>
              <w:left w:val="outset" w:color="auto" w:sz="4" w:space="0"/>
              <w:bottom w:val="outset" w:color="auto" w:sz="4" w:space="0"/>
              <w:right w:val="outset" w:color="auto" w:sz="4" w:space="0"/>
            </w:tcBorders>
            <w:vAlign w:val="bottom"/>
          </w:tcPr>
          <w:p w14:paraId="04CACEA9">
            <w:pPr>
              <w:jc w:val="right"/>
              <w:textAlignment w:val="bottom"/>
              <w:rPr>
                <w:rFonts w:cs="Times New Roman"/>
              </w:rPr>
            </w:pPr>
            <w:r>
              <w:rPr>
                <w:rFonts w:eastAsia="Arial Narrow" w:cs="Times New Roman"/>
                <w:color w:val="000000"/>
                <w:lang w:bidi="ar"/>
              </w:rPr>
              <w:t>-20,724,573.95</w:t>
            </w:r>
          </w:p>
        </w:tc>
        <w:tc>
          <w:tcPr>
            <w:tcW w:w="955" w:type="pct"/>
            <w:tcBorders>
              <w:top w:val="outset" w:color="auto" w:sz="4" w:space="0"/>
              <w:left w:val="outset" w:color="auto" w:sz="4" w:space="0"/>
              <w:bottom w:val="outset" w:color="auto" w:sz="4" w:space="0"/>
              <w:right w:val="outset" w:color="auto" w:sz="4" w:space="0"/>
            </w:tcBorders>
            <w:vAlign w:val="bottom"/>
          </w:tcPr>
          <w:p w14:paraId="540ACAE5">
            <w:pPr>
              <w:jc w:val="right"/>
              <w:textAlignment w:val="bottom"/>
              <w:rPr>
                <w:rFonts w:cs="Times New Roman"/>
              </w:rPr>
            </w:pPr>
            <w:r>
              <w:rPr>
                <w:rFonts w:eastAsia="Arial Narrow" w:cs="Times New Roman"/>
                <w:color w:val="000000"/>
                <w:lang w:bidi="ar"/>
              </w:rPr>
              <w:t>3,689,827.51</w:t>
            </w:r>
          </w:p>
        </w:tc>
      </w:tr>
      <w:tr w14:paraId="6549C6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3B0703D4">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资产减值损失（损失以“-”号填列）</w:t>
            </w:r>
          </w:p>
        </w:tc>
        <w:tc>
          <w:tcPr>
            <w:tcW w:w="521" w:type="pct"/>
            <w:tcBorders>
              <w:top w:val="outset" w:color="auto" w:sz="4" w:space="0"/>
              <w:left w:val="outset" w:color="auto" w:sz="4" w:space="0"/>
              <w:bottom w:val="outset" w:color="auto" w:sz="4" w:space="0"/>
              <w:right w:val="outset" w:color="auto" w:sz="4" w:space="0"/>
            </w:tcBorders>
            <w:vAlign w:val="center"/>
          </w:tcPr>
          <w:p w14:paraId="782E0CC4">
            <w:pPr>
              <w:textAlignment w:val="center"/>
              <w:rPr>
                <w:rFonts w:cs="Times New Roman"/>
              </w:rPr>
            </w:pPr>
            <w:r>
              <w:rPr>
                <w:rFonts w:cs="Times New Roman"/>
                <w:color w:val="000000"/>
                <w:lang w:bidi="ar"/>
              </w:rPr>
              <w:t>七、72</w:t>
            </w:r>
          </w:p>
        </w:tc>
        <w:tc>
          <w:tcPr>
            <w:tcW w:w="955" w:type="pct"/>
            <w:tcBorders>
              <w:top w:val="outset" w:color="auto" w:sz="4" w:space="0"/>
              <w:left w:val="outset" w:color="auto" w:sz="4" w:space="0"/>
              <w:bottom w:val="outset" w:color="auto" w:sz="4" w:space="0"/>
              <w:right w:val="outset" w:color="auto" w:sz="4" w:space="0"/>
            </w:tcBorders>
            <w:vAlign w:val="bottom"/>
          </w:tcPr>
          <w:p w14:paraId="131D725B">
            <w:pPr>
              <w:jc w:val="right"/>
              <w:textAlignment w:val="bottom"/>
              <w:rPr>
                <w:rFonts w:cs="Times New Roman"/>
              </w:rPr>
            </w:pPr>
            <w:r>
              <w:rPr>
                <w:rFonts w:eastAsia="Arial Narrow" w:cs="Times New Roman"/>
                <w:color w:val="000000"/>
                <w:lang w:bidi="ar"/>
              </w:rPr>
              <w:t>-17,510,642.11</w:t>
            </w:r>
          </w:p>
        </w:tc>
        <w:tc>
          <w:tcPr>
            <w:tcW w:w="955" w:type="pct"/>
            <w:tcBorders>
              <w:top w:val="outset" w:color="auto" w:sz="4" w:space="0"/>
              <w:left w:val="outset" w:color="auto" w:sz="4" w:space="0"/>
              <w:bottom w:val="outset" w:color="auto" w:sz="4" w:space="0"/>
              <w:right w:val="outset" w:color="auto" w:sz="4" w:space="0"/>
            </w:tcBorders>
            <w:vAlign w:val="bottom"/>
          </w:tcPr>
          <w:p w14:paraId="04722EFD">
            <w:pPr>
              <w:jc w:val="right"/>
              <w:rPr>
                <w:rFonts w:cs="Times New Roman"/>
              </w:rPr>
            </w:pPr>
          </w:p>
        </w:tc>
      </w:tr>
      <w:tr w14:paraId="7ADF10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74095B23">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资产处置收益（损失以“－”号填列）</w:t>
            </w:r>
          </w:p>
        </w:tc>
        <w:tc>
          <w:tcPr>
            <w:tcW w:w="521" w:type="pct"/>
            <w:tcBorders>
              <w:top w:val="outset" w:color="auto" w:sz="4" w:space="0"/>
              <w:left w:val="outset" w:color="auto" w:sz="4" w:space="0"/>
              <w:bottom w:val="outset" w:color="auto" w:sz="4" w:space="0"/>
              <w:right w:val="outset" w:color="auto" w:sz="4" w:space="0"/>
            </w:tcBorders>
            <w:vAlign w:val="center"/>
          </w:tcPr>
          <w:p w14:paraId="6B490471">
            <w:pPr>
              <w:textAlignment w:val="center"/>
              <w:rPr>
                <w:rFonts w:cs="Times New Roman"/>
              </w:rPr>
            </w:pPr>
            <w:r>
              <w:rPr>
                <w:rFonts w:cs="Times New Roman"/>
                <w:color w:val="000000"/>
                <w:lang w:bidi="ar"/>
              </w:rPr>
              <w:t>七、73</w:t>
            </w:r>
          </w:p>
        </w:tc>
        <w:tc>
          <w:tcPr>
            <w:tcW w:w="955" w:type="pct"/>
            <w:tcBorders>
              <w:top w:val="outset" w:color="auto" w:sz="4" w:space="0"/>
              <w:left w:val="outset" w:color="auto" w:sz="4" w:space="0"/>
              <w:bottom w:val="outset" w:color="auto" w:sz="4" w:space="0"/>
              <w:right w:val="outset" w:color="auto" w:sz="4" w:space="0"/>
            </w:tcBorders>
            <w:vAlign w:val="bottom"/>
          </w:tcPr>
          <w:p w14:paraId="4339DDE7">
            <w:pPr>
              <w:jc w:val="right"/>
              <w:textAlignment w:val="bottom"/>
              <w:rPr>
                <w:rFonts w:cs="Times New Roman"/>
              </w:rPr>
            </w:pPr>
            <w:r>
              <w:rPr>
                <w:rFonts w:eastAsia="Arial Narrow" w:cs="Times New Roman"/>
                <w:color w:val="000000"/>
                <w:lang w:bidi="ar"/>
              </w:rPr>
              <w:t>1,077,259.35</w:t>
            </w:r>
          </w:p>
        </w:tc>
        <w:tc>
          <w:tcPr>
            <w:tcW w:w="955" w:type="pct"/>
            <w:tcBorders>
              <w:top w:val="outset" w:color="auto" w:sz="4" w:space="0"/>
              <w:left w:val="outset" w:color="auto" w:sz="4" w:space="0"/>
              <w:bottom w:val="outset" w:color="auto" w:sz="4" w:space="0"/>
              <w:right w:val="outset" w:color="auto" w:sz="4" w:space="0"/>
            </w:tcBorders>
            <w:vAlign w:val="bottom"/>
          </w:tcPr>
          <w:p w14:paraId="6C9A6504">
            <w:pPr>
              <w:jc w:val="right"/>
              <w:textAlignment w:val="bottom"/>
              <w:rPr>
                <w:rFonts w:cs="Times New Roman"/>
              </w:rPr>
            </w:pPr>
            <w:r>
              <w:rPr>
                <w:rFonts w:eastAsia="Arial Narrow" w:cs="Times New Roman"/>
                <w:color w:val="000000"/>
                <w:lang w:bidi="ar"/>
              </w:rPr>
              <w:t>78,391.18</w:t>
            </w:r>
          </w:p>
        </w:tc>
      </w:tr>
      <w:tr w14:paraId="478F90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5FB39A8A">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三、营业利润（亏损以“－”号填列）</w:t>
            </w:r>
          </w:p>
        </w:tc>
        <w:tc>
          <w:tcPr>
            <w:tcW w:w="521" w:type="pct"/>
            <w:tcBorders>
              <w:top w:val="outset" w:color="auto" w:sz="4" w:space="0"/>
              <w:left w:val="outset" w:color="auto" w:sz="4" w:space="0"/>
              <w:bottom w:val="outset" w:color="auto" w:sz="4" w:space="0"/>
              <w:right w:val="outset" w:color="auto" w:sz="4" w:space="0"/>
            </w:tcBorders>
            <w:vAlign w:val="center"/>
          </w:tcPr>
          <w:p w14:paraId="077C5ED3">
            <w:pPr>
              <w:rPr>
                <w:rFonts w:cs="Times New Roman"/>
              </w:rPr>
            </w:pPr>
          </w:p>
        </w:tc>
        <w:tc>
          <w:tcPr>
            <w:tcW w:w="955" w:type="pct"/>
            <w:tcBorders>
              <w:top w:val="outset" w:color="auto" w:sz="4" w:space="0"/>
              <w:left w:val="outset" w:color="auto" w:sz="4" w:space="0"/>
              <w:bottom w:val="outset" w:color="auto" w:sz="4" w:space="0"/>
              <w:right w:val="outset" w:color="auto" w:sz="4" w:space="0"/>
            </w:tcBorders>
            <w:vAlign w:val="bottom"/>
          </w:tcPr>
          <w:p w14:paraId="3574092A">
            <w:pPr>
              <w:jc w:val="right"/>
              <w:textAlignment w:val="bottom"/>
              <w:rPr>
                <w:rFonts w:cs="Times New Roman"/>
              </w:rPr>
            </w:pPr>
            <w:r>
              <w:rPr>
                <w:rFonts w:eastAsia="Arial Narrow" w:cs="Times New Roman"/>
                <w:color w:val="000000"/>
                <w:lang w:bidi="ar"/>
              </w:rPr>
              <w:t>-58,981,712.66</w:t>
            </w:r>
          </w:p>
        </w:tc>
        <w:tc>
          <w:tcPr>
            <w:tcW w:w="955" w:type="pct"/>
            <w:tcBorders>
              <w:top w:val="outset" w:color="auto" w:sz="4" w:space="0"/>
              <w:left w:val="outset" w:color="auto" w:sz="4" w:space="0"/>
              <w:bottom w:val="outset" w:color="auto" w:sz="4" w:space="0"/>
              <w:right w:val="outset" w:color="auto" w:sz="4" w:space="0"/>
            </w:tcBorders>
            <w:vAlign w:val="bottom"/>
          </w:tcPr>
          <w:p w14:paraId="14CCFBAE">
            <w:pPr>
              <w:jc w:val="right"/>
              <w:textAlignment w:val="bottom"/>
              <w:rPr>
                <w:rFonts w:cs="Times New Roman"/>
              </w:rPr>
            </w:pPr>
            <w:r>
              <w:rPr>
                <w:rFonts w:eastAsia="Arial Narrow" w:cs="Times New Roman"/>
                <w:color w:val="000000"/>
                <w:lang w:bidi="ar"/>
              </w:rPr>
              <w:t>54,120,674.42</w:t>
            </w:r>
          </w:p>
        </w:tc>
      </w:tr>
      <w:tr w14:paraId="192A45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6D6CF990">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加：营业外收入</w:t>
            </w:r>
          </w:p>
        </w:tc>
        <w:tc>
          <w:tcPr>
            <w:tcW w:w="521" w:type="pct"/>
            <w:tcBorders>
              <w:top w:val="outset" w:color="auto" w:sz="4" w:space="0"/>
              <w:left w:val="outset" w:color="auto" w:sz="4" w:space="0"/>
              <w:bottom w:val="outset" w:color="auto" w:sz="4" w:space="0"/>
              <w:right w:val="outset" w:color="auto" w:sz="4" w:space="0"/>
            </w:tcBorders>
            <w:vAlign w:val="center"/>
          </w:tcPr>
          <w:p w14:paraId="0FE78051">
            <w:pPr>
              <w:textAlignment w:val="center"/>
              <w:rPr>
                <w:rFonts w:cs="Times New Roman"/>
              </w:rPr>
            </w:pPr>
            <w:r>
              <w:rPr>
                <w:rFonts w:cs="Times New Roman"/>
                <w:color w:val="000000"/>
                <w:lang w:bidi="ar"/>
              </w:rPr>
              <w:t>七、74</w:t>
            </w:r>
          </w:p>
        </w:tc>
        <w:tc>
          <w:tcPr>
            <w:tcW w:w="955" w:type="pct"/>
            <w:tcBorders>
              <w:top w:val="outset" w:color="auto" w:sz="4" w:space="0"/>
              <w:left w:val="outset" w:color="auto" w:sz="4" w:space="0"/>
              <w:bottom w:val="outset" w:color="auto" w:sz="4" w:space="0"/>
              <w:right w:val="outset" w:color="auto" w:sz="4" w:space="0"/>
            </w:tcBorders>
            <w:vAlign w:val="bottom"/>
          </w:tcPr>
          <w:p w14:paraId="1EB52D27">
            <w:pPr>
              <w:jc w:val="right"/>
              <w:textAlignment w:val="bottom"/>
              <w:rPr>
                <w:rFonts w:cs="Times New Roman"/>
              </w:rPr>
            </w:pPr>
            <w:r>
              <w:rPr>
                <w:rFonts w:eastAsia="Arial Narrow" w:cs="Times New Roman"/>
                <w:color w:val="000000"/>
                <w:lang w:bidi="ar"/>
              </w:rPr>
              <w:t>12,980,895.32</w:t>
            </w:r>
          </w:p>
        </w:tc>
        <w:tc>
          <w:tcPr>
            <w:tcW w:w="955" w:type="pct"/>
            <w:tcBorders>
              <w:top w:val="outset" w:color="auto" w:sz="4" w:space="0"/>
              <w:left w:val="outset" w:color="auto" w:sz="4" w:space="0"/>
              <w:bottom w:val="outset" w:color="auto" w:sz="4" w:space="0"/>
              <w:right w:val="outset" w:color="auto" w:sz="4" w:space="0"/>
            </w:tcBorders>
            <w:vAlign w:val="bottom"/>
          </w:tcPr>
          <w:p w14:paraId="5697F02E">
            <w:pPr>
              <w:jc w:val="right"/>
              <w:textAlignment w:val="bottom"/>
              <w:rPr>
                <w:rFonts w:cs="Times New Roman"/>
              </w:rPr>
            </w:pPr>
            <w:r>
              <w:rPr>
                <w:rFonts w:eastAsia="Arial Narrow" w:cs="Times New Roman"/>
                <w:color w:val="000000"/>
                <w:lang w:bidi="ar"/>
              </w:rPr>
              <w:t>1,944,841.05</w:t>
            </w:r>
          </w:p>
        </w:tc>
      </w:tr>
      <w:tr w14:paraId="7BC81F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56A8279C">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减：营业外支出</w:t>
            </w:r>
          </w:p>
        </w:tc>
        <w:tc>
          <w:tcPr>
            <w:tcW w:w="521" w:type="pct"/>
            <w:tcBorders>
              <w:top w:val="outset" w:color="auto" w:sz="4" w:space="0"/>
              <w:left w:val="outset" w:color="auto" w:sz="4" w:space="0"/>
              <w:bottom w:val="outset" w:color="auto" w:sz="4" w:space="0"/>
              <w:right w:val="outset" w:color="auto" w:sz="4" w:space="0"/>
            </w:tcBorders>
            <w:vAlign w:val="center"/>
          </w:tcPr>
          <w:p w14:paraId="343ED0DD">
            <w:pPr>
              <w:textAlignment w:val="center"/>
              <w:rPr>
                <w:rFonts w:cs="Times New Roman"/>
              </w:rPr>
            </w:pPr>
            <w:r>
              <w:rPr>
                <w:rFonts w:cs="Times New Roman"/>
                <w:color w:val="000000"/>
                <w:lang w:bidi="ar"/>
              </w:rPr>
              <w:t>七、75</w:t>
            </w:r>
          </w:p>
        </w:tc>
        <w:tc>
          <w:tcPr>
            <w:tcW w:w="955" w:type="pct"/>
            <w:tcBorders>
              <w:top w:val="outset" w:color="auto" w:sz="4" w:space="0"/>
              <w:left w:val="outset" w:color="auto" w:sz="4" w:space="0"/>
              <w:bottom w:val="outset" w:color="auto" w:sz="4" w:space="0"/>
              <w:right w:val="outset" w:color="auto" w:sz="4" w:space="0"/>
            </w:tcBorders>
            <w:vAlign w:val="bottom"/>
          </w:tcPr>
          <w:p w14:paraId="798C2671">
            <w:pPr>
              <w:jc w:val="right"/>
              <w:textAlignment w:val="bottom"/>
              <w:rPr>
                <w:rFonts w:cs="Times New Roman"/>
              </w:rPr>
            </w:pPr>
            <w:r>
              <w:rPr>
                <w:rFonts w:eastAsia="Arial Narrow" w:cs="Times New Roman"/>
                <w:color w:val="000000"/>
                <w:lang w:bidi="ar"/>
              </w:rPr>
              <w:t>9,816,966.37</w:t>
            </w:r>
          </w:p>
        </w:tc>
        <w:tc>
          <w:tcPr>
            <w:tcW w:w="955" w:type="pct"/>
            <w:tcBorders>
              <w:top w:val="outset" w:color="auto" w:sz="4" w:space="0"/>
              <w:left w:val="outset" w:color="auto" w:sz="4" w:space="0"/>
              <w:bottom w:val="outset" w:color="auto" w:sz="4" w:space="0"/>
              <w:right w:val="outset" w:color="auto" w:sz="4" w:space="0"/>
            </w:tcBorders>
            <w:vAlign w:val="bottom"/>
          </w:tcPr>
          <w:p w14:paraId="1DF679A2">
            <w:pPr>
              <w:jc w:val="right"/>
              <w:textAlignment w:val="bottom"/>
              <w:rPr>
                <w:rFonts w:cs="Times New Roman"/>
              </w:rPr>
            </w:pPr>
            <w:r>
              <w:rPr>
                <w:rFonts w:eastAsia="Arial Narrow" w:cs="Times New Roman"/>
                <w:color w:val="000000"/>
                <w:lang w:bidi="ar"/>
              </w:rPr>
              <w:t>64,003,500.17</w:t>
            </w:r>
          </w:p>
        </w:tc>
      </w:tr>
      <w:tr w14:paraId="208B50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42875452">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四、利润总额（亏损总额以“－”号填列）</w:t>
            </w:r>
          </w:p>
        </w:tc>
        <w:tc>
          <w:tcPr>
            <w:tcW w:w="521" w:type="pct"/>
            <w:tcBorders>
              <w:top w:val="outset" w:color="auto" w:sz="4" w:space="0"/>
              <w:left w:val="outset" w:color="auto" w:sz="4" w:space="0"/>
              <w:bottom w:val="outset" w:color="auto" w:sz="4" w:space="0"/>
              <w:right w:val="outset" w:color="auto" w:sz="4" w:space="0"/>
            </w:tcBorders>
            <w:vAlign w:val="center"/>
          </w:tcPr>
          <w:p w14:paraId="4488AA54">
            <w:pPr>
              <w:rPr>
                <w:rFonts w:cs="Times New Roman"/>
              </w:rPr>
            </w:pPr>
          </w:p>
        </w:tc>
        <w:tc>
          <w:tcPr>
            <w:tcW w:w="955" w:type="pct"/>
            <w:tcBorders>
              <w:top w:val="outset" w:color="auto" w:sz="4" w:space="0"/>
              <w:left w:val="outset" w:color="auto" w:sz="4" w:space="0"/>
              <w:bottom w:val="outset" w:color="auto" w:sz="4" w:space="0"/>
              <w:right w:val="outset" w:color="auto" w:sz="4" w:space="0"/>
            </w:tcBorders>
            <w:vAlign w:val="bottom"/>
          </w:tcPr>
          <w:p w14:paraId="21CE3FC5">
            <w:pPr>
              <w:jc w:val="right"/>
              <w:textAlignment w:val="bottom"/>
              <w:rPr>
                <w:rFonts w:cs="Times New Roman"/>
              </w:rPr>
            </w:pPr>
            <w:r>
              <w:rPr>
                <w:rFonts w:eastAsia="Arial Narrow" w:cs="Times New Roman"/>
                <w:color w:val="000000"/>
                <w:lang w:bidi="ar"/>
              </w:rPr>
              <w:t>-55,817,783.71</w:t>
            </w:r>
          </w:p>
        </w:tc>
        <w:tc>
          <w:tcPr>
            <w:tcW w:w="955" w:type="pct"/>
            <w:tcBorders>
              <w:top w:val="outset" w:color="auto" w:sz="4" w:space="0"/>
              <w:left w:val="outset" w:color="auto" w:sz="4" w:space="0"/>
              <w:bottom w:val="outset" w:color="auto" w:sz="4" w:space="0"/>
              <w:right w:val="outset" w:color="auto" w:sz="4" w:space="0"/>
            </w:tcBorders>
            <w:vAlign w:val="bottom"/>
          </w:tcPr>
          <w:p w14:paraId="0735F0EC">
            <w:pPr>
              <w:jc w:val="right"/>
              <w:textAlignment w:val="bottom"/>
              <w:rPr>
                <w:rFonts w:cs="Times New Roman"/>
              </w:rPr>
            </w:pPr>
            <w:r>
              <w:rPr>
                <w:rFonts w:eastAsia="Arial Narrow" w:cs="Times New Roman"/>
                <w:color w:val="000000"/>
                <w:lang w:bidi="ar"/>
              </w:rPr>
              <w:t>-7,937,984.70</w:t>
            </w:r>
          </w:p>
        </w:tc>
      </w:tr>
      <w:tr w14:paraId="341609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46627A20">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减：所得税费用</w:t>
            </w:r>
          </w:p>
        </w:tc>
        <w:tc>
          <w:tcPr>
            <w:tcW w:w="521" w:type="pct"/>
            <w:tcBorders>
              <w:top w:val="outset" w:color="auto" w:sz="4" w:space="0"/>
              <w:left w:val="outset" w:color="auto" w:sz="4" w:space="0"/>
              <w:bottom w:val="outset" w:color="auto" w:sz="4" w:space="0"/>
              <w:right w:val="outset" w:color="auto" w:sz="4" w:space="0"/>
            </w:tcBorders>
            <w:vAlign w:val="center"/>
          </w:tcPr>
          <w:p w14:paraId="5482E125">
            <w:pPr>
              <w:textAlignment w:val="center"/>
              <w:rPr>
                <w:rFonts w:cs="Times New Roman"/>
              </w:rPr>
            </w:pPr>
            <w:r>
              <w:rPr>
                <w:rFonts w:cs="Times New Roman"/>
                <w:color w:val="000000"/>
                <w:lang w:bidi="ar"/>
              </w:rPr>
              <w:t>七、76</w:t>
            </w:r>
          </w:p>
        </w:tc>
        <w:tc>
          <w:tcPr>
            <w:tcW w:w="955" w:type="pct"/>
            <w:tcBorders>
              <w:top w:val="outset" w:color="auto" w:sz="4" w:space="0"/>
              <w:left w:val="outset" w:color="auto" w:sz="4" w:space="0"/>
              <w:bottom w:val="outset" w:color="auto" w:sz="4" w:space="0"/>
              <w:right w:val="outset" w:color="auto" w:sz="4" w:space="0"/>
            </w:tcBorders>
            <w:vAlign w:val="bottom"/>
          </w:tcPr>
          <w:p w14:paraId="041D8444">
            <w:pPr>
              <w:jc w:val="right"/>
              <w:textAlignment w:val="bottom"/>
              <w:rPr>
                <w:rFonts w:cs="Times New Roman"/>
              </w:rPr>
            </w:pPr>
            <w:r>
              <w:rPr>
                <w:rFonts w:eastAsia="Arial Narrow" w:cs="Times New Roman"/>
                <w:color w:val="000000"/>
                <w:lang w:bidi="ar"/>
              </w:rPr>
              <w:t>23,850,812.91</w:t>
            </w:r>
          </w:p>
        </w:tc>
        <w:tc>
          <w:tcPr>
            <w:tcW w:w="955" w:type="pct"/>
            <w:tcBorders>
              <w:top w:val="outset" w:color="auto" w:sz="4" w:space="0"/>
              <w:left w:val="outset" w:color="auto" w:sz="4" w:space="0"/>
              <w:bottom w:val="outset" w:color="auto" w:sz="4" w:space="0"/>
              <w:right w:val="outset" w:color="auto" w:sz="4" w:space="0"/>
            </w:tcBorders>
            <w:vAlign w:val="bottom"/>
          </w:tcPr>
          <w:p w14:paraId="69CC1050">
            <w:pPr>
              <w:jc w:val="right"/>
              <w:textAlignment w:val="bottom"/>
              <w:rPr>
                <w:rFonts w:cs="Times New Roman"/>
              </w:rPr>
            </w:pPr>
            <w:r>
              <w:rPr>
                <w:rFonts w:eastAsia="Arial Narrow" w:cs="Times New Roman"/>
                <w:color w:val="000000"/>
                <w:lang w:bidi="ar"/>
              </w:rPr>
              <w:t>44,447,846.97</w:t>
            </w:r>
          </w:p>
        </w:tc>
      </w:tr>
      <w:tr w14:paraId="059A45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57774C50">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五、净利润（净亏损以“－”号填列）</w:t>
            </w:r>
          </w:p>
        </w:tc>
        <w:tc>
          <w:tcPr>
            <w:tcW w:w="521" w:type="pct"/>
            <w:tcBorders>
              <w:top w:val="outset" w:color="auto" w:sz="4" w:space="0"/>
              <w:left w:val="outset" w:color="auto" w:sz="4" w:space="0"/>
              <w:bottom w:val="outset" w:color="auto" w:sz="4" w:space="0"/>
              <w:right w:val="outset" w:color="auto" w:sz="4" w:space="0"/>
            </w:tcBorders>
            <w:vAlign w:val="center"/>
          </w:tcPr>
          <w:p w14:paraId="01316E4E">
            <w:pPr>
              <w:rPr>
                <w:rFonts w:cs="Times New Roman"/>
              </w:rPr>
            </w:pPr>
          </w:p>
        </w:tc>
        <w:tc>
          <w:tcPr>
            <w:tcW w:w="955" w:type="pct"/>
            <w:tcBorders>
              <w:top w:val="outset" w:color="auto" w:sz="4" w:space="0"/>
              <w:left w:val="outset" w:color="auto" w:sz="4" w:space="0"/>
              <w:bottom w:val="outset" w:color="auto" w:sz="4" w:space="0"/>
              <w:right w:val="outset" w:color="auto" w:sz="4" w:space="0"/>
            </w:tcBorders>
            <w:vAlign w:val="bottom"/>
          </w:tcPr>
          <w:p w14:paraId="2AC7227A">
            <w:pPr>
              <w:jc w:val="right"/>
              <w:textAlignment w:val="bottom"/>
              <w:rPr>
                <w:rFonts w:cs="Times New Roman"/>
              </w:rPr>
            </w:pPr>
            <w:r>
              <w:rPr>
                <w:rFonts w:eastAsia="Arial Narrow" w:cs="Times New Roman"/>
                <w:color w:val="000000"/>
                <w:lang w:bidi="ar"/>
              </w:rPr>
              <w:t>-79,668,596.62</w:t>
            </w:r>
          </w:p>
        </w:tc>
        <w:tc>
          <w:tcPr>
            <w:tcW w:w="955" w:type="pct"/>
            <w:tcBorders>
              <w:top w:val="outset" w:color="auto" w:sz="4" w:space="0"/>
              <w:left w:val="outset" w:color="auto" w:sz="4" w:space="0"/>
              <w:bottom w:val="outset" w:color="auto" w:sz="4" w:space="0"/>
              <w:right w:val="outset" w:color="auto" w:sz="4" w:space="0"/>
            </w:tcBorders>
            <w:vAlign w:val="bottom"/>
          </w:tcPr>
          <w:p w14:paraId="2E88974B">
            <w:pPr>
              <w:jc w:val="right"/>
              <w:textAlignment w:val="bottom"/>
              <w:rPr>
                <w:rFonts w:cs="Times New Roman"/>
              </w:rPr>
            </w:pPr>
            <w:r>
              <w:rPr>
                <w:rFonts w:eastAsia="Arial Narrow" w:cs="Times New Roman"/>
                <w:color w:val="000000"/>
                <w:lang w:bidi="ar"/>
              </w:rPr>
              <w:t>-52,385,831.67</w:t>
            </w:r>
          </w:p>
        </w:tc>
      </w:tr>
      <w:tr w14:paraId="7BC264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cs="Times New Roman"/>
            </w:rPr>
            <w:tag w:val="_PLD_c576a2f5fbec4ba2b1cc36d0a215ba5c"/>
            <w:id w:val="147477355"/>
          </w:sdtPr>
          <w:sdtEndPr>
            <w:rPr>
              <w:rFonts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5BD05E1D">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（一）按经营持续性分类</w:t>
                </w:r>
              </w:p>
            </w:tc>
          </w:sdtContent>
        </w:sdt>
      </w:tr>
      <w:tr w14:paraId="507BE0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35EB353F">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1.持续经营净利润（净亏损以“－”号填列）</w:t>
            </w:r>
          </w:p>
        </w:tc>
        <w:tc>
          <w:tcPr>
            <w:tcW w:w="521" w:type="pct"/>
            <w:tcBorders>
              <w:top w:val="outset" w:color="auto" w:sz="4" w:space="0"/>
              <w:left w:val="outset" w:color="auto" w:sz="4" w:space="0"/>
              <w:bottom w:val="outset" w:color="auto" w:sz="4" w:space="0"/>
              <w:right w:val="outset" w:color="auto" w:sz="4" w:space="0"/>
            </w:tcBorders>
            <w:vAlign w:val="center"/>
          </w:tcPr>
          <w:p w14:paraId="51836D73">
            <w:pPr>
              <w:rPr>
                <w:rFonts w:cs="Times New Roman"/>
                <w:color w:val="000000" w:themeColor="text1"/>
                <w14:textFill>
                  <w14:solidFill>
                    <w14:schemeClr w14:val="tx1"/>
                  </w14:solidFill>
                </w14:textFill>
              </w:rPr>
            </w:pPr>
          </w:p>
        </w:tc>
        <w:tc>
          <w:tcPr>
            <w:tcW w:w="955" w:type="pct"/>
            <w:tcBorders>
              <w:top w:val="outset" w:color="auto" w:sz="4" w:space="0"/>
              <w:left w:val="outset" w:color="auto" w:sz="4" w:space="0"/>
              <w:bottom w:val="outset" w:color="auto" w:sz="4" w:space="0"/>
              <w:right w:val="outset" w:color="auto" w:sz="4" w:space="0"/>
            </w:tcBorders>
            <w:vAlign w:val="center"/>
          </w:tcPr>
          <w:p w14:paraId="20B31F92">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-79,668,596.62</w:t>
            </w:r>
          </w:p>
        </w:tc>
        <w:tc>
          <w:tcPr>
            <w:tcW w:w="955" w:type="pct"/>
            <w:tcBorders>
              <w:top w:val="outset" w:color="auto" w:sz="4" w:space="0"/>
              <w:left w:val="outset" w:color="auto" w:sz="4" w:space="0"/>
              <w:bottom w:val="outset" w:color="auto" w:sz="4" w:space="0"/>
              <w:right w:val="outset" w:color="auto" w:sz="4" w:space="0"/>
            </w:tcBorders>
            <w:vAlign w:val="center"/>
          </w:tcPr>
          <w:p w14:paraId="2F35D882">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-52,385,831.67</w:t>
            </w:r>
          </w:p>
        </w:tc>
      </w:tr>
      <w:tr w14:paraId="13566A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375E54AA">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2.终止经营净利润（净亏损以“－”号填列）</w:t>
            </w:r>
          </w:p>
        </w:tc>
        <w:tc>
          <w:tcPr>
            <w:tcW w:w="521" w:type="pct"/>
            <w:tcBorders>
              <w:top w:val="outset" w:color="auto" w:sz="4" w:space="0"/>
              <w:left w:val="outset" w:color="auto" w:sz="4" w:space="0"/>
              <w:bottom w:val="outset" w:color="auto" w:sz="4" w:space="0"/>
              <w:right w:val="outset" w:color="auto" w:sz="4" w:space="0"/>
            </w:tcBorders>
            <w:vAlign w:val="center"/>
          </w:tcPr>
          <w:p w14:paraId="4D18B5D9">
            <w:pPr>
              <w:rPr>
                <w:rFonts w:cs="Times New Roman"/>
                <w:color w:val="000000" w:themeColor="text1"/>
                <w14:textFill>
                  <w14:solidFill>
                    <w14:schemeClr w14:val="tx1"/>
                  </w14:solidFill>
                </w14:textFill>
              </w:rPr>
            </w:pPr>
          </w:p>
        </w:tc>
        <w:tc>
          <w:tcPr>
            <w:tcW w:w="955" w:type="pct"/>
            <w:tcBorders>
              <w:top w:val="outset" w:color="auto" w:sz="4" w:space="0"/>
              <w:left w:val="outset" w:color="auto" w:sz="4" w:space="0"/>
              <w:bottom w:val="outset" w:color="auto" w:sz="4" w:space="0"/>
              <w:right w:val="outset" w:color="auto" w:sz="4" w:space="0"/>
            </w:tcBorders>
            <w:vAlign w:val="center"/>
          </w:tcPr>
          <w:p w14:paraId="27484F52">
            <w:pPr>
              <w:jc w:val="right"/>
              <w:rPr>
                <w:rFonts w:cs="Times New Roman"/>
                <w:color w:val="000000" w:themeColor="text1"/>
                <w14:textFill>
                  <w14:solidFill>
                    <w14:schemeClr w14:val="tx1"/>
                  </w14:solidFill>
                </w14:textFill>
              </w:rPr>
            </w:pPr>
          </w:p>
        </w:tc>
        <w:tc>
          <w:tcPr>
            <w:tcW w:w="955" w:type="pct"/>
            <w:tcBorders>
              <w:top w:val="outset" w:color="auto" w:sz="4" w:space="0"/>
              <w:left w:val="outset" w:color="auto" w:sz="4" w:space="0"/>
              <w:bottom w:val="outset" w:color="auto" w:sz="4" w:space="0"/>
              <w:right w:val="outset" w:color="auto" w:sz="4" w:space="0"/>
            </w:tcBorders>
            <w:vAlign w:val="center"/>
          </w:tcPr>
          <w:p w14:paraId="01997D54">
            <w:pPr>
              <w:jc w:val="right"/>
              <w:rPr>
                <w:rFonts w:cs="Times New Roman"/>
                <w:color w:val="000000" w:themeColor="text1"/>
                <w14:textFill>
                  <w14:solidFill>
                    <w14:schemeClr w14:val="tx1"/>
                  </w14:solidFill>
                </w14:textFill>
              </w:rPr>
            </w:pPr>
          </w:p>
        </w:tc>
      </w:tr>
      <w:tr w14:paraId="0743F9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cs="Times New Roman"/>
            </w:rPr>
            <w:tag w:val="_PLD_5da729560f54464cbcc9ce762078f9ba"/>
            <w:id w:val="147482094"/>
          </w:sdtPr>
          <w:sdtEndPr>
            <w:rPr>
              <w:rFonts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34EE0C73">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（二）按所有权归属分类</w:t>
                </w:r>
              </w:p>
            </w:tc>
          </w:sdtContent>
        </w:sdt>
      </w:tr>
      <w:tr w14:paraId="0589A5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6615166D">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1.归属于母公司股东的净利润（净亏损以“-”号填列）</w:t>
            </w:r>
          </w:p>
        </w:tc>
        <w:tc>
          <w:tcPr>
            <w:tcW w:w="521" w:type="pct"/>
            <w:tcBorders>
              <w:top w:val="outset" w:color="auto" w:sz="4" w:space="0"/>
              <w:left w:val="outset" w:color="auto" w:sz="4" w:space="0"/>
              <w:bottom w:val="outset" w:color="auto" w:sz="4" w:space="0"/>
              <w:right w:val="outset" w:color="auto" w:sz="4" w:space="0"/>
            </w:tcBorders>
            <w:vAlign w:val="center"/>
          </w:tcPr>
          <w:p w14:paraId="06002F76">
            <w:pPr>
              <w:rPr>
                <w:rFonts w:cs="Times New Roman"/>
                <w:color w:val="000000" w:themeColor="text1"/>
                <w14:textFill>
                  <w14:solidFill>
                    <w14:schemeClr w14:val="tx1"/>
                  </w14:solidFill>
                </w14:textFill>
              </w:rPr>
            </w:pPr>
          </w:p>
        </w:tc>
        <w:tc>
          <w:tcPr>
            <w:tcW w:w="955" w:type="pct"/>
            <w:tcBorders>
              <w:top w:val="outset" w:color="auto" w:sz="4" w:space="0"/>
              <w:left w:val="outset" w:color="auto" w:sz="4" w:space="0"/>
              <w:bottom w:val="outset" w:color="auto" w:sz="4" w:space="0"/>
              <w:right w:val="outset" w:color="auto" w:sz="4" w:space="0"/>
            </w:tcBorders>
            <w:vAlign w:val="center"/>
          </w:tcPr>
          <w:p w14:paraId="111D1D7C">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-79,031,846.24</w:t>
            </w:r>
          </w:p>
        </w:tc>
        <w:tc>
          <w:tcPr>
            <w:tcW w:w="955" w:type="pct"/>
            <w:tcBorders>
              <w:top w:val="outset" w:color="auto" w:sz="4" w:space="0"/>
              <w:left w:val="outset" w:color="auto" w:sz="4" w:space="0"/>
              <w:bottom w:val="outset" w:color="auto" w:sz="4" w:space="0"/>
              <w:right w:val="outset" w:color="auto" w:sz="4" w:space="0"/>
            </w:tcBorders>
            <w:vAlign w:val="center"/>
          </w:tcPr>
          <w:p w14:paraId="49CA9759">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-18,828,390.85</w:t>
            </w:r>
          </w:p>
        </w:tc>
      </w:tr>
      <w:tr w14:paraId="750109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2568" w:type="pct"/>
            <w:tcBorders>
              <w:top w:val="outset" w:color="auto" w:sz="4" w:space="0"/>
              <w:left w:val="outset" w:color="auto" w:sz="4" w:space="0"/>
              <w:bottom w:val="outset" w:color="auto" w:sz="4" w:space="0"/>
              <w:right w:val="outset" w:color="auto" w:sz="4" w:space="0"/>
            </w:tcBorders>
            <w:vAlign w:val="center"/>
          </w:tcPr>
          <w:p w14:paraId="03C28136">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2.少数股东损益（净亏损以“-”号填列）</w:t>
            </w:r>
          </w:p>
        </w:tc>
        <w:tc>
          <w:tcPr>
            <w:tcW w:w="521" w:type="pct"/>
            <w:tcBorders>
              <w:top w:val="outset" w:color="auto" w:sz="4" w:space="0"/>
              <w:left w:val="outset" w:color="auto" w:sz="4" w:space="0"/>
              <w:bottom w:val="outset" w:color="auto" w:sz="4" w:space="0"/>
              <w:right w:val="outset" w:color="auto" w:sz="4" w:space="0"/>
            </w:tcBorders>
            <w:vAlign w:val="center"/>
          </w:tcPr>
          <w:p w14:paraId="13CD0E6F">
            <w:pPr>
              <w:rPr>
                <w:rFonts w:cs="Times New Roman"/>
                <w:color w:val="000000" w:themeColor="text1"/>
                <w14:textFill>
                  <w14:solidFill>
                    <w14:schemeClr w14:val="tx1"/>
                  </w14:solidFill>
                </w14:textFill>
              </w:rPr>
            </w:pPr>
          </w:p>
        </w:tc>
        <w:tc>
          <w:tcPr>
            <w:tcW w:w="955" w:type="pct"/>
            <w:tcBorders>
              <w:top w:val="outset" w:color="auto" w:sz="4" w:space="0"/>
              <w:left w:val="outset" w:color="auto" w:sz="4" w:space="0"/>
              <w:bottom w:val="outset" w:color="auto" w:sz="4" w:space="0"/>
              <w:right w:val="outset" w:color="auto" w:sz="4" w:space="0"/>
            </w:tcBorders>
            <w:vAlign w:val="center"/>
          </w:tcPr>
          <w:p w14:paraId="6B06A825">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-636,750.38</w:t>
            </w:r>
          </w:p>
        </w:tc>
        <w:tc>
          <w:tcPr>
            <w:tcW w:w="955" w:type="pct"/>
            <w:tcBorders>
              <w:top w:val="outset" w:color="auto" w:sz="4" w:space="0"/>
              <w:left w:val="outset" w:color="auto" w:sz="4" w:space="0"/>
              <w:bottom w:val="outset" w:color="auto" w:sz="4" w:space="0"/>
              <w:right w:val="outset" w:color="auto" w:sz="4" w:space="0"/>
            </w:tcBorders>
            <w:vAlign w:val="center"/>
          </w:tcPr>
          <w:p w14:paraId="17FE344F">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-33,557,440.82</w:t>
            </w:r>
          </w:p>
        </w:tc>
      </w:tr>
      <w:tr w14:paraId="48EF07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57087118">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六、其他综合收益的税后净额</w:t>
            </w:r>
          </w:p>
        </w:tc>
        <w:tc>
          <w:tcPr>
            <w:tcW w:w="521" w:type="pct"/>
            <w:tcBorders>
              <w:top w:val="outset" w:color="auto" w:sz="4" w:space="0"/>
              <w:left w:val="outset" w:color="auto" w:sz="4" w:space="0"/>
              <w:bottom w:val="outset" w:color="auto" w:sz="4" w:space="0"/>
              <w:right w:val="outset" w:color="auto" w:sz="4" w:space="0"/>
            </w:tcBorders>
            <w:vAlign w:val="center"/>
          </w:tcPr>
          <w:p w14:paraId="0D294BC9">
            <w:pPr>
              <w:rPr>
                <w:rFonts w:cs="Times New Roman"/>
                <w:color w:val="000000" w:themeColor="text1"/>
                <w14:textFill>
                  <w14:solidFill>
                    <w14:schemeClr w14:val="tx1"/>
                  </w14:solidFill>
                </w14:textFill>
              </w:rPr>
            </w:pPr>
          </w:p>
        </w:tc>
        <w:tc>
          <w:tcPr>
            <w:tcW w:w="955" w:type="pct"/>
            <w:tcBorders>
              <w:top w:val="outset" w:color="auto" w:sz="4" w:space="0"/>
              <w:left w:val="outset" w:color="auto" w:sz="4" w:space="0"/>
              <w:bottom w:val="outset" w:color="auto" w:sz="4" w:space="0"/>
              <w:right w:val="outset" w:color="auto" w:sz="4" w:space="0"/>
            </w:tcBorders>
            <w:vAlign w:val="center"/>
          </w:tcPr>
          <w:p w14:paraId="40A21FBD">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-628,649.05</w:t>
            </w:r>
          </w:p>
        </w:tc>
        <w:tc>
          <w:tcPr>
            <w:tcW w:w="955" w:type="pct"/>
            <w:tcBorders>
              <w:top w:val="outset" w:color="auto" w:sz="4" w:space="0"/>
              <w:left w:val="outset" w:color="auto" w:sz="4" w:space="0"/>
              <w:bottom w:val="outset" w:color="auto" w:sz="4" w:space="0"/>
              <w:right w:val="outset" w:color="auto" w:sz="4" w:space="0"/>
            </w:tcBorders>
            <w:vAlign w:val="center"/>
          </w:tcPr>
          <w:p w14:paraId="38532BCB">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143,252.31</w:t>
            </w:r>
          </w:p>
        </w:tc>
      </w:tr>
      <w:tr w14:paraId="671A2E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08DA264C">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（一）归属母公司所有者的其他综合收益的税后净额</w:t>
            </w:r>
          </w:p>
        </w:tc>
        <w:tc>
          <w:tcPr>
            <w:tcW w:w="521" w:type="pct"/>
            <w:tcBorders>
              <w:top w:val="outset" w:color="auto" w:sz="4" w:space="0"/>
              <w:left w:val="outset" w:color="auto" w:sz="4" w:space="0"/>
              <w:bottom w:val="outset" w:color="auto" w:sz="4" w:space="0"/>
              <w:right w:val="outset" w:color="auto" w:sz="4" w:space="0"/>
            </w:tcBorders>
            <w:vAlign w:val="center"/>
          </w:tcPr>
          <w:p w14:paraId="4241F647">
            <w:pPr>
              <w:rPr>
                <w:rFonts w:cs="Times New Roman"/>
                <w:color w:val="000000" w:themeColor="text1"/>
                <w14:textFill>
                  <w14:solidFill>
                    <w14:schemeClr w14:val="tx1"/>
                  </w14:solidFill>
                </w14:textFill>
              </w:rPr>
            </w:pPr>
          </w:p>
        </w:tc>
        <w:tc>
          <w:tcPr>
            <w:tcW w:w="955" w:type="pct"/>
            <w:tcBorders>
              <w:top w:val="outset" w:color="auto" w:sz="4" w:space="0"/>
              <w:left w:val="outset" w:color="auto" w:sz="4" w:space="0"/>
              <w:bottom w:val="outset" w:color="auto" w:sz="4" w:space="0"/>
              <w:right w:val="outset" w:color="auto" w:sz="4" w:space="0"/>
            </w:tcBorders>
            <w:vAlign w:val="center"/>
          </w:tcPr>
          <w:p w14:paraId="674D4C0B">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-628,649.05</w:t>
            </w:r>
          </w:p>
        </w:tc>
        <w:tc>
          <w:tcPr>
            <w:tcW w:w="955" w:type="pct"/>
            <w:tcBorders>
              <w:top w:val="outset" w:color="auto" w:sz="4" w:space="0"/>
              <w:left w:val="outset" w:color="auto" w:sz="4" w:space="0"/>
              <w:bottom w:val="outset" w:color="auto" w:sz="4" w:space="0"/>
              <w:right w:val="outset" w:color="auto" w:sz="4" w:space="0"/>
            </w:tcBorders>
            <w:vAlign w:val="center"/>
          </w:tcPr>
          <w:p w14:paraId="2907ABFB">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143,252.31</w:t>
            </w:r>
          </w:p>
        </w:tc>
      </w:tr>
      <w:tr w14:paraId="7B2443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42CF71B8">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1.不能重分类进损益的其他综合收益</w:t>
            </w:r>
          </w:p>
        </w:tc>
        <w:tc>
          <w:tcPr>
            <w:tcW w:w="521" w:type="pct"/>
            <w:tcBorders>
              <w:top w:val="outset" w:color="auto" w:sz="4" w:space="0"/>
              <w:left w:val="outset" w:color="auto" w:sz="4" w:space="0"/>
              <w:bottom w:val="outset" w:color="auto" w:sz="4" w:space="0"/>
              <w:right w:val="outset" w:color="auto" w:sz="4" w:space="0"/>
            </w:tcBorders>
            <w:vAlign w:val="center"/>
          </w:tcPr>
          <w:p w14:paraId="0F2B03B9">
            <w:pPr>
              <w:rPr>
                <w:rFonts w:cs="Times New Roman"/>
                <w:color w:val="000000" w:themeColor="text1"/>
                <w14:textFill>
                  <w14:solidFill>
                    <w14:schemeClr w14:val="tx1"/>
                  </w14:solidFill>
                </w14:textFill>
              </w:rPr>
            </w:pPr>
          </w:p>
        </w:tc>
        <w:tc>
          <w:tcPr>
            <w:tcW w:w="955" w:type="pct"/>
            <w:tcBorders>
              <w:top w:val="outset" w:color="auto" w:sz="4" w:space="0"/>
              <w:left w:val="outset" w:color="auto" w:sz="4" w:space="0"/>
              <w:bottom w:val="outset" w:color="auto" w:sz="4" w:space="0"/>
              <w:right w:val="outset" w:color="auto" w:sz="4" w:space="0"/>
            </w:tcBorders>
            <w:vAlign w:val="center"/>
          </w:tcPr>
          <w:p w14:paraId="283B849C">
            <w:pPr>
              <w:jc w:val="right"/>
              <w:rPr>
                <w:rFonts w:cs="Times New Roman"/>
                <w:color w:val="000000" w:themeColor="text1"/>
                <w14:textFill>
                  <w14:solidFill>
                    <w14:schemeClr w14:val="tx1"/>
                  </w14:solidFill>
                </w14:textFill>
              </w:rPr>
            </w:pPr>
          </w:p>
        </w:tc>
        <w:tc>
          <w:tcPr>
            <w:tcW w:w="955" w:type="pct"/>
            <w:tcBorders>
              <w:top w:val="outset" w:color="auto" w:sz="4" w:space="0"/>
              <w:left w:val="outset" w:color="auto" w:sz="4" w:space="0"/>
              <w:bottom w:val="outset" w:color="auto" w:sz="4" w:space="0"/>
              <w:right w:val="outset" w:color="auto" w:sz="4" w:space="0"/>
            </w:tcBorders>
            <w:vAlign w:val="center"/>
          </w:tcPr>
          <w:p w14:paraId="27E2A5A4">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-32,610.17</w:t>
            </w:r>
          </w:p>
        </w:tc>
      </w:tr>
      <w:tr w14:paraId="2402FA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6A4795AC">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（1）重新计量设定受益计划变动额</w:t>
            </w:r>
          </w:p>
        </w:tc>
        <w:tc>
          <w:tcPr>
            <w:tcW w:w="521" w:type="pct"/>
            <w:tcBorders>
              <w:top w:val="outset" w:color="auto" w:sz="4" w:space="0"/>
              <w:left w:val="outset" w:color="auto" w:sz="4" w:space="0"/>
              <w:bottom w:val="outset" w:color="auto" w:sz="4" w:space="0"/>
              <w:right w:val="outset" w:color="auto" w:sz="4" w:space="0"/>
            </w:tcBorders>
            <w:vAlign w:val="center"/>
          </w:tcPr>
          <w:p w14:paraId="34CFF0A3">
            <w:pPr>
              <w:rPr>
                <w:rFonts w:cs="Times New Roman"/>
                <w:color w:val="000000" w:themeColor="text1"/>
                <w14:textFill>
                  <w14:solidFill>
                    <w14:schemeClr w14:val="tx1"/>
                  </w14:solidFill>
                </w14:textFill>
              </w:rPr>
            </w:pPr>
          </w:p>
        </w:tc>
        <w:tc>
          <w:tcPr>
            <w:tcW w:w="955" w:type="pct"/>
            <w:tcBorders>
              <w:top w:val="outset" w:color="auto" w:sz="4" w:space="0"/>
              <w:left w:val="outset" w:color="auto" w:sz="4" w:space="0"/>
              <w:bottom w:val="outset" w:color="auto" w:sz="4" w:space="0"/>
              <w:right w:val="outset" w:color="auto" w:sz="4" w:space="0"/>
            </w:tcBorders>
            <w:vAlign w:val="center"/>
          </w:tcPr>
          <w:p w14:paraId="4C126170">
            <w:pPr>
              <w:jc w:val="right"/>
              <w:rPr>
                <w:rFonts w:cs="Times New Roman"/>
                <w:color w:val="000000" w:themeColor="text1"/>
                <w14:textFill>
                  <w14:solidFill>
                    <w14:schemeClr w14:val="tx1"/>
                  </w14:solidFill>
                </w14:textFill>
              </w:rPr>
            </w:pPr>
          </w:p>
        </w:tc>
        <w:tc>
          <w:tcPr>
            <w:tcW w:w="955" w:type="pct"/>
            <w:tcBorders>
              <w:top w:val="outset" w:color="auto" w:sz="4" w:space="0"/>
              <w:left w:val="outset" w:color="auto" w:sz="4" w:space="0"/>
              <w:bottom w:val="outset" w:color="auto" w:sz="4" w:space="0"/>
              <w:right w:val="outset" w:color="auto" w:sz="4" w:space="0"/>
            </w:tcBorders>
            <w:vAlign w:val="center"/>
          </w:tcPr>
          <w:p w14:paraId="0FBC0594">
            <w:pPr>
              <w:jc w:val="right"/>
              <w:rPr>
                <w:rFonts w:cs="Times New Roman"/>
                <w:color w:val="000000" w:themeColor="text1"/>
                <w14:textFill>
                  <w14:solidFill>
                    <w14:schemeClr w14:val="tx1"/>
                  </w14:solidFill>
                </w14:textFill>
              </w:rPr>
            </w:pPr>
          </w:p>
        </w:tc>
      </w:tr>
      <w:tr w14:paraId="0748E9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4550E6C5">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（2）权益法下不能转损益的其他综合收益</w:t>
            </w:r>
          </w:p>
        </w:tc>
        <w:tc>
          <w:tcPr>
            <w:tcW w:w="521" w:type="pct"/>
            <w:tcBorders>
              <w:top w:val="outset" w:color="auto" w:sz="4" w:space="0"/>
              <w:left w:val="outset" w:color="auto" w:sz="4" w:space="0"/>
              <w:bottom w:val="outset" w:color="auto" w:sz="4" w:space="0"/>
              <w:right w:val="outset" w:color="auto" w:sz="4" w:space="0"/>
            </w:tcBorders>
            <w:vAlign w:val="center"/>
          </w:tcPr>
          <w:p w14:paraId="04BAE69B">
            <w:pPr>
              <w:rPr>
                <w:rFonts w:cs="Times New Roman"/>
                <w:color w:val="000000" w:themeColor="text1"/>
                <w14:textFill>
                  <w14:solidFill>
                    <w14:schemeClr w14:val="tx1"/>
                  </w14:solidFill>
                </w14:textFill>
              </w:rPr>
            </w:pPr>
          </w:p>
        </w:tc>
        <w:tc>
          <w:tcPr>
            <w:tcW w:w="955" w:type="pct"/>
            <w:tcBorders>
              <w:top w:val="outset" w:color="auto" w:sz="4" w:space="0"/>
              <w:left w:val="outset" w:color="auto" w:sz="4" w:space="0"/>
              <w:bottom w:val="outset" w:color="auto" w:sz="4" w:space="0"/>
              <w:right w:val="outset" w:color="auto" w:sz="4" w:space="0"/>
            </w:tcBorders>
            <w:vAlign w:val="center"/>
          </w:tcPr>
          <w:p w14:paraId="40C1E6C5">
            <w:pPr>
              <w:jc w:val="right"/>
              <w:rPr>
                <w:rFonts w:cs="Times New Roman"/>
                <w:color w:val="000000" w:themeColor="text1"/>
                <w14:textFill>
                  <w14:solidFill>
                    <w14:schemeClr w14:val="tx1"/>
                  </w14:solidFill>
                </w14:textFill>
              </w:rPr>
            </w:pPr>
          </w:p>
        </w:tc>
        <w:tc>
          <w:tcPr>
            <w:tcW w:w="955" w:type="pct"/>
            <w:tcBorders>
              <w:top w:val="outset" w:color="auto" w:sz="4" w:space="0"/>
              <w:left w:val="outset" w:color="auto" w:sz="4" w:space="0"/>
              <w:bottom w:val="outset" w:color="auto" w:sz="4" w:space="0"/>
              <w:right w:val="outset" w:color="auto" w:sz="4" w:space="0"/>
            </w:tcBorders>
            <w:vAlign w:val="center"/>
          </w:tcPr>
          <w:p w14:paraId="086638C6">
            <w:pPr>
              <w:jc w:val="right"/>
              <w:rPr>
                <w:rFonts w:cs="Times New Roman"/>
                <w:color w:val="000000" w:themeColor="text1"/>
                <w14:textFill>
                  <w14:solidFill>
                    <w14:schemeClr w14:val="tx1"/>
                  </w14:solidFill>
                </w14:textFill>
              </w:rPr>
            </w:pPr>
          </w:p>
        </w:tc>
      </w:tr>
      <w:tr w14:paraId="47EAC6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3132D88A">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（3）其他权益工具投资公允价值变动</w:t>
            </w:r>
          </w:p>
        </w:tc>
        <w:tc>
          <w:tcPr>
            <w:tcW w:w="521" w:type="pct"/>
            <w:tcBorders>
              <w:top w:val="outset" w:color="auto" w:sz="4" w:space="0"/>
              <w:left w:val="outset" w:color="auto" w:sz="4" w:space="0"/>
              <w:bottom w:val="outset" w:color="auto" w:sz="4" w:space="0"/>
              <w:right w:val="outset" w:color="auto" w:sz="4" w:space="0"/>
            </w:tcBorders>
            <w:vAlign w:val="center"/>
          </w:tcPr>
          <w:p w14:paraId="7BA2A6DC">
            <w:pPr>
              <w:rPr>
                <w:rFonts w:cs="Times New Roman"/>
                <w:color w:val="000000" w:themeColor="text1"/>
                <w14:textFill>
                  <w14:solidFill>
                    <w14:schemeClr w14:val="tx1"/>
                  </w14:solidFill>
                </w14:textFill>
              </w:rPr>
            </w:pPr>
          </w:p>
        </w:tc>
        <w:tc>
          <w:tcPr>
            <w:tcW w:w="955" w:type="pct"/>
            <w:tcBorders>
              <w:top w:val="outset" w:color="auto" w:sz="4" w:space="0"/>
              <w:left w:val="outset" w:color="auto" w:sz="4" w:space="0"/>
              <w:bottom w:val="outset" w:color="auto" w:sz="4" w:space="0"/>
              <w:right w:val="outset" w:color="auto" w:sz="4" w:space="0"/>
            </w:tcBorders>
            <w:vAlign w:val="center"/>
          </w:tcPr>
          <w:p w14:paraId="3AF427A5">
            <w:pPr>
              <w:jc w:val="right"/>
              <w:rPr>
                <w:rFonts w:cs="Times New Roman"/>
                <w:color w:val="000000" w:themeColor="text1"/>
                <w14:textFill>
                  <w14:solidFill>
                    <w14:schemeClr w14:val="tx1"/>
                  </w14:solidFill>
                </w14:textFill>
              </w:rPr>
            </w:pPr>
          </w:p>
        </w:tc>
        <w:tc>
          <w:tcPr>
            <w:tcW w:w="955" w:type="pct"/>
            <w:tcBorders>
              <w:top w:val="outset" w:color="auto" w:sz="4" w:space="0"/>
              <w:left w:val="outset" w:color="auto" w:sz="4" w:space="0"/>
              <w:bottom w:val="outset" w:color="auto" w:sz="4" w:space="0"/>
              <w:right w:val="outset" w:color="auto" w:sz="4" w:space="0"/>
            </w:tcBorders>
            <w:vAlign w:val="center"/>
          </w:tcPr>
          <w:p w14:paraId="4104BAF4">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-32,610.17</w:t>
            </w:r>
          </w:p>
        </w:tc>
      </w:tr>
      <w:tr w14:paraId="2F6091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2CF9FF43">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2.将重分类进损益的其他综合收益</w:t>
            </w:r>
          </w:p>
        </w:tc>
        <w:tc>
          <w:tcPr>
            <w:tcW w:w="521" w:type="pct"/>
            <w:tcBorders>
              <w:top w:val="outset" w:color="auto" w:sz="4" w:space="0"/>
              <w:left w:val="outset" w:color="auto" w:sz="4" w:space="0"/>
              <w:bottom w:val="outset" w:color="auto" w:sz="4" w:space="0"/>
              <w:right w:val="outset" w:color="auto" w:sz="4" w:space="0"/>
            </w:tcBorders>
            <w:vAlign w:val="center"/>
          </w:tcPr>
          <w:p w14:paraId="3BBC7F8E">
            <w:pPr>
              <w:rPr>
                <w:rFonts w:cs="Times New Roman"/>
                <w:color w:val="000000" w:themeColor="text1"/>
                <w14:textFill>
                  <w14:solidFill>
                    <w14:schemeClr w14:val="tx1"/>
                  </w14:solidFill>
                </w14:textFill>
              </w:rPr>
            </w:pPr>
          </w:p>
        </w:tc>
        <w:tc>
          <w:tcPr>
            <w:tcW w:w="955" w:type="pct"/>
            <w:tcBorders>
              <w:top w:val="outset" w:color="auto" w:sz="4" w:space="0"/>
              <w:left w:val="outset" w:color="auto" w:sz="4" w:space="0"/>
              <w:bottom w:val="outset" w:color="auto" w:sz="4" w:space="0"/>
              <w:right w:val="outset" w:color="auto" w:sz="4" w:space="0"/>
            </w:tcBorders>
            <w:vAlign w:val="center"/>
          </w:tcPr>
          <w:p w14:paraId="5FE0CC41">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-628,649.05</w:t>
            </w:r>
          </w:p>
        </w:tc>
        <w:tc>
          <w:tcPr>
            <w:tcW w:w="955" w:type="pct"/>
            <w:tcBorders>
              <w:top w:val="outset" w:color="auto" w:sz="4" w:space="0"/>
              <w:left w:val="outset" w:color="auto" w:sz="4" w:space="0"/>
              <w:bottom w:val="outset" w:color="auto" w:sz="4" w:space="0"/>
              <w:right w:val="outset" w:color="auto" w:sz="4" w:space="0"/>
            </w:tcBorders>
            <w:vAlign w:val="center"/>
          </w:tcPr>
          <w:p w14:paraId="5E82C89F">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175,862.48</w:t>
            </w:r>
          </w:p>
        </w:tc>
      </w:tr>
      <w:tr w14:paraId="40B0A3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56C20A18">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（6）外币财务报表折算差额</w:t>
            </w:r>
          </w:p>
        </w:tc>
        <w:tc>
          <w:tcPr>
            <w:tcW w:w="521" w:type="pct"/>
            <w:tcBorders>
              <w:top w:val="outset" w:color="auto" w:sz="4" w:space="0"/>
              <w:left w:val="outset" w:color="auto" w:sz="4" w:space="0"/>
              <w:bottom w:val="outset" w:color="auto" w:sz="4" w:space="0"/>
              <w:right w:val="outset" w:color="auto" w:sz="4" w:space="0"/>
            </w:tcBorders>
            <w:vAlign w:val="center"/>
          </w:tcPr>
          <w:p w14:paraId="0BF219B4">
            <w:pPr>
              <w:rPr>
                <w:rFonts w:cs="Times New Roman"/>
                <w:color w:val="000000" w:themeColor="text1"/>
                <w14:textFill>
                  <w14:solidFill>
                    <w14:schemeClr w14:val="tx1"/>
                  </w14:solidFill>
                </w14:textFill>
              </w:rPr>
            </w:pPr>
          </w:p>
        </w:tc>
        <w:tc>
          <w:tcPr>
            <w:tcW w:w="955" w:type="pct"/>
            <w:tcBorders>
              <w:top w:val="outset" w:color="auto" w:sz="4" w:space="0"/>
              <w:left w:val="outset" w:color="auto" w:sz="4" w:space="0"/>
              <w:bottom w:val="outset" w:color="auto" w:sz="4" w:space="0"/>
              <w:right w:val="outset" w:color="auto" w:sz="4" w:space="0"/>
            </w:tcBorders>
            <w:vAlign w:val="center"/>
          </w:tcPr>
          <w:p w14:paraId="49DE8034">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-628,649.05</w:t>
            </w:r>
          </w:p>
        </w:tc>
        <w:tc>
          <w:tcPr>
            <w:tcW w:w="955" w:type="pct"/>
            <w:tcBorders>
              <w:top w:val="outset" w:color="auto" w:sz="4" w:space="0"/>
              <w:left w:val="outset" w:color="auto" w:sz="4" w:space="0"/>
              <w:bottom w:val="outset" w:color="auto" w:sz="4" w:space="0"/>
              <w:right w:val="outset" w:color="auto" w:sz="4" w:space="0"/>
            </w:tcBorders>
            <w:vAlign w:val="center"/>
          </w:tcPr>
          <w:p w14:paraId="31296EAE">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175,862.48</w:t>
            </w:r>
          </w:p>
        </w:tc>
      </w:tr>
      <w:tr w14:paraId="184FE2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718F7720">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（二）归属于少数股东的其他综合收益的税后净额</w:t>
            </w:r>
          </w:p>
        </w:tc>
        <w:tc>
          <w:tcPr>
            <w:tcW w:w="521" w:type="pct"/>
            <w:tcBorders>
              <w:top w:val="outset" w:color="auto" w:sz="4" w:space="0"/>
              <w:left w:val="outset" w:color="auto" w:sz="4" w:space="0"/>
              <w:bottom w:val="outset" w:color="auto" w:sz="4" w:space="0"/>
              <w:right w:val="outset" w:color="auto" w:sz="4" w:space="0"/>
            </w:tcBorders>
            <w:vAlign w:val="center"/>
          </w:tcPr>
          <w:p w14:paraId="0E5D7181">
            <w:pPr>
              <w:rPr>
                <w:rFonts w:cs="Times New Roman"/>
                <w:color w:val="000000" w:themeColor="text1"/>
                <w14:textFill>
                  <w14:solidFill>
                    <w14:schemeClr w14:val="tx1"/>
                  </w14:solidFill>
                </w14:textFill>
              </w:rPr>
            </w:pPr>
          </w:p>
        </w:tc>
        <w:tc>
          <w:tcPr>
            <w:tcW w:w="955" w:type="pct"/>
            <w:tcBorders>
              <w:top w:val="outset" w:color="auto" w:sz="4" w:space="0"/>
              <w:left w:val="outset" w:color="auto" w:sz="4" w:space="0"/>
              <w:bottom w:val="outset" w:color="auto" w:sz="4" w:space="0"/>
              <w:right w:val="outset" w:color="auto" w:sz="4" w:space="0"/>
            </w:tcBorders>
            <w:vAlign w:val="center"/>
          </w:tcPr>
          <w:p w14:paraId="6B0E0D19">
            <w:pPr>
              <w:jc w:val="right"/>
              <w:rPr>
                <w:rFonts w:cs="Times New Roman"/>
                <w:color w:val="000000" w:themeColor="text1"/>
                <w14:textFill>
                  <w14:solidFill>
                    <w14:schemeClr w14:val="tx1"/>
                  </w14:solidFill>
                </w14:textFill>
              </w:rPr>
            </w:pPr>
          </w:p>
        </w:tc>
        <w:tc>
          <w:tcPr>
            <w:tcW w:w="955" w:type="pct"/>
            <w:tcBorders>
              <w:top w:val="outset" w:color="auto" w:sz="4" w:space="0"/>
              <w:left w:val="outset" w:color="auto" w:sz="4" w:space="0"/>
              <w:bottom w:val="outset" w:color="auto" w:sz="4" w:space="0"/>
              <w:right w:val="outset" w:color="auto" w:sz="4" w:space="0"/>
            </w:tcBorders>
            <w:vAlign w:val="center"/>
          </w:tcPr>
          <w:p w14:paraId="71C7024F">
            <w:pPr>
              <w:jc w:val="right"/>
              <w:rPr>
                <w:rFonts w:cs="Times New Roman"/>
                <w:color w:val="000000" w:themeColor="text1"/>
                <w14:textFill>
                  <w14:solidFill>
                    <w14:schemeClr w14:val="tx1"/>
                  </w14:solidFill>
                </w14:textFill>
              </w:rPr>
            </w:pPr>
          </w:p>
        </w:tc>
      </w:tr>
      <w:tr w14:paraId="1A2E69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7755F0E0">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七、综合收益总额</w:t>
            </w:r>
          </w:p>
        </w:tc>
        <w:tc>
          <w:tcPr>
            <w:tcW w:w="521" w:type="pct"/>
            <w:tcBorders>
              <w:top w:val="outset" w:color="auto" w:sz="4" w:space="0"/>
              <w:left w:val="outset" w:color="auto" w:sz="4" w:space="0"/>
              <w:bottom w:val="outset" w:color="auto" w:sz="4" w:space="0"/>
              <w:right w:val="outset" w:color="auto" w:sz="4" w:space="0"/>
            </w:tcBorders>
            <w:vAlign w:val="center"/>
          </w:tcPr>
          <w:p w14:paraId="5C7314DB">
            <w:pPr>
              <w:rPr>
                <w:rFonts w:cs="Times New Roman"/>
                <w:color w:val="000000" w:themeColor="text1"/>
                <w14:textFill>
                  <w14:solidFill>
                    <w14:schemeClr w14:val="tx1"/>
                  </w14:solidFill>
                </w14:textFill>
              </w:rPr>
            </w:pPr>
          </w:p>
        </w:tc>
        <w:tc>
          <w:tcPr>
            <w:tcW w:w="955" w:type="pct"/>
            <w:tcBorders>
              <w:top w:val="outset" w:color="auto" w:sz="4" w:space="0"/>
              <w:left w:val="outset" w:color="auto" w:sz="4" w:space="0"/>
              <w:bottom w:val="outset" w:color="auto" w:sz="4" w:space="0"/>
              <w:right w:val="outset" w:color="auto" w:sz="4" w:space="0"/>
            </w:tcBorders>
            <w:vAlign w:val="center"/>
          </w:tcPr>
          <w:p w14:paraId="481B5A09">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-80,297,245.67</w:t>
            </w:r>
          </w:p>
        </w:tc>
        <w:tc>
          <w:tcPr>
            <w:tcW w:w="955" w:type="pct"/>
            <w:tcBorders>
              <w:top w:val="outset" w:color="auto" w:sz="4" w:space="0"/>
              <w:left w:val="outset" w:color="auto" w:sz="4" w:space="0"/>
              <w:bottom w:val="outset" w:color="auto" w:sz="4" w:space="0"/>
              <w:right w:val="outset" w:color="auto" w:sz="4" w:space="0"/>
            </w:tcBorders>
            <w:vAlign w:val="center"/>
          </w:tcPr>
          <w:p w14:paraId="2E3B8EEF">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-52,242,579.36</w:t>
            </w:r>
          </w:p>
        </w:tc>
      </w:tr>
      <w:tr w14:paraId="2DD94C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59613373">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（一）归属于母公司所有者的综合收益总额</w:t>
            </w:r>
          </w:p>
        </w:tc>
        <w:tc>
          <w:tcPr>
            <w:tcW w:w="521" w:type="pct"/>
            <w:tcBorders>
              <w:top w:val="outset" w:color="auto" w:sz="4" w:space="0"/>
              <w:left w:val="outset" w:color="auto" w:sz="4" w:space="0"/>
              <w:bottom w:val="outset" w:color="auto" w:sz="4" w:space="0"/>
              <w:right w:val="outset" w:color="auto" w:sz="4" w:space="0"/>
            </w:tcBorders>
            <w:vAlign w:val="center"/>
          </w:tcPr>
          <w:p w14:paraId="22D5E1A3">
            <w:pPr>
              <w:rPr>
                <w:rFonts w:cs="Times New Roman"/>
                <w:color w:val="000000" w:themeColor="text1"/>
                <w14:textFill>
                  <w14:solidFill>
                    <w14:schemeClr w14:val="tx1"/>
                  </w14:solidFill>
                </w14:textFill>
              </w:rPr>
            </w:pPr>
          </w:p>
        </w:tc>
        <w:tc>
          <w:tcPr>
            <w:tcW w:w="955" w:type="pct"/>
            <w:tcBorders>
              <w:top w:val="outset" w:color="auto" w:sz="4" w:space="0"/>
              <w:left w:val="outset" w:color="auto" w:sz="4" w:space="0"/>
              <w:bottom w:val="outset" w:color="auto" w:sz="4" w:space="0"/>
              <w:right w:val="outset" w:color="auto" w:sz="4" w:space="0"/>
            </w:tcBorders>
            <w:vAlign w:val="center"/>
          </w:tcPr>
          <w:p w14:paraId="5F8B50DD">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-79,660,495.29</w:t>
            </w:r>
          </w:p>
        </w:tc>
        <w:tc>
          <w:tcPr>
            <w:tcW w:w="955" w:type="pct"/>
            <w:tcBorders>
              <w:top w:val="outset" w:color="auto" w:sz="4" w:space="0"/>
              <w:left w:val="outset" w:color="auto" w:sz="4" w:space="0"/>
              <w:bottom w:val="outset" w:color="auto" w:sz="4" w:space="0"/>
              <w:right w:val="outset" w:color="auto" w:sz="4" w:space="0"/>
            </w:tcBorders>
            <w:vAlign w:val="center"/>
          </w:tcPr>
          <w:p w14:paraId="7CFFED3A">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-18,685,138.54</w:t>
            </w:r>
          </w:p>
        </w:tc>
      </w:tr>
      <w:tr w14:paraId="5E165B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2F80A0C5">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（二）归属于少数股东的综合收益总额</w:t>
            </w:r>
          </w:p>
        </w:tc>
        <w:tc>
          <w:tcPr>
            <w:tcW w:w="521" w:type="pct"/>
            <w:tcBorders>
              <w:top w:val="outset" w:color="auto" w:sz="4" w:space="0"/>
              <w:left w:val="outset" w:color="auto" w:sz="4" w:space="0"/>
              <w:bottom w:val="outset" w:color="auto" w:sz="4" w:space="0"/>
              <w:right w:val="outset" w:color="auto" w:sz="4" w:space="0"/>
            </w:tcBorders>
            <w:vAlign w:val="center"/>
          </w:tcPr>
          <w:p w14:paraId="3989E3D1">
            <w:pPr>
              <w:rPr>
                <w:rFonts w:cs="Times New Roman"/>
                <w:color w:val="000000" w:themeColor="text1"/>
                <w14:textFill>
                  <w14:solidFill>
                    <w14:schemeClr w14:val="tx1"/>
                  </w14:solidFill>
                </w14:textFill>
              </w:rPr>
            </w:pPr>
          </w:p>
        </w:tc>
        <w:tc>
          <w:tcPr>
            <w:tcW w:w="955" w:type="pct"/>
            <w:tcBorders>
              <w:top w:val="outset" w:color="auto" w:sz="4" w:space="0"/>
              <w:left w:val="outset" w:color="auto" w:sz="4" w:space="0"/>
              <w:bottom w:val="outset" w:color="auto" w:sz="4" w:space="0"/>
              <w:right w:val="outset" w:color="auto" w:sz="4" w:space="0"/>
            </w:tcBorders>
            <w:vAlign w:val="center"/>
          </w:tcPr>
          <w:p w14:paraId="672BC251">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-636,750.38</w:t>
            </w:r>
          </w:p>
        </w:tc>
        <w:tc>
          <w:tcPr>
            <w:tcW w:w="955" w:type="pct"/>
            <w:tcBorders>
              <w:top w:val="outset" w:color="auto" w:sz="4" w:space="0"/>
              <w:left w:val="outset" w:color="auto" w:sz="4" w:space="0"/>
              <w:bottom w:val="outset" w:color="auto" w:sz="4" w:space="0"/>
              <w:right w:val="outset" w:color="auto" w:sz="4" w:space="0"/>
            </w:tcBorders>
            <w:vAlign w:val="center"/>
          </w:tcPr>
          <w:p w14:paraId="6BE9DA82">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-33,557,440.82</w:t>
            </w:r>
          </w:p>
        </w:tc>
      </w:tr>
      <w:tr w14:paraId="50147E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cs="Times New Roman"/>
              <w:color w:val="000000" w:themeColor="text1"/>
              <w14:textFill>
                <w14:solidFill>
                  <w14:schemeClr w14:val="tx1"/>
                </w14:solidFill>
              </w14:textFill>
            </w:rPr>
            <w:tag w:val="_PLD_2faba48500f741229b3467bfe3ce2495"/>
            <w:id w:val="147453872"/>
          </w:sdtPr>
          <w:sdtEndPr>
            <w:rPr>
              <w:rFonts w:cs="Times New Roman"/>
              <w:color w:val="000000" w:themeColor="text1"/>
              <w14:textFill>
                <w14:solidFill>
                  <w14:schemeClr w14:val="tx1"/>
                </w14:solidFill>
              </w14:textFill>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1D940657">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八、每股收益：</w:t>
                </w:r>
              </w:p>
            </w:tc>
          </w:sdtContent>
        </w:sdt>
      </w:tr>
      <w:tr w14:paraId="0F0932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19151A40">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（一）基本每股收益(元/股)</w:t>
            </w:r>
          </w:p>
        </w:tc>
        <w:tc>
          <w:tcPr>
            <w:tcW w:w="521" w:type="pct"/>
            <w:tcBorders>
              <w:top w:val="outset" w:color="auto" w:sz="4" w:space="0"/>
              <w:left w:val="outset" w:color="auto" w:sz="4" w:space="0"/>
              <w:bottom w:val="outset" w:color="auto" w:sz="4" w:space="0"/>
              <w:right w:val="outset" w:color="auto" w:sz="4" w:space="0"/>
            </w:tcBorders>
            <w:vAlign w:val="center"/>
          </w:tcPr>
          <w:p w14:paraId="102A84AB">
            <w:pPr>
              <w:rPr>
                <w:rFonts w:cs="Times New Roman"/>
                <w:color w:val="000000" w:themeColor="text1"/>
                <w14:textFill>
                  <w14:solidFill>
                    <w14:schemeClr w14:val="tx1"/>
                  </w14:solidFill>
                </w14:textFill>
              </w:rPr>
            </w:pPr>
          </w:p>
        </w:tc>
        <w:tc>
          <w:tcPr>
            <w:tcW w:w="955" w:type="pct"/>
            <w:tcBorders>
              <w:top w:val="outset" w:color="auto" w:sz="4" w:space="0"/>
              <w:left w:val="outset" w:color="auto" w:sz="4" w:space="0"/>
              <w:bottom w:val="outset" w:color="auto" w:sz="4" w:space="0"/>
              <w:right w:val="outset" w:color="auto" w:sz="4" w:space="0"/>
            </w:tcBorders>
            <w:vAlign w:val="bottom"/>
          </w:tcPr>
          <w:p w14:paraId="397974BD">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-0.018</w:t>
            </w:r>
          </w:p>
        </w:tc>
        <w:tc>
          <w:tcPr>
            <w:tcW w:w="955" w:type="pct"/>
            <w:tcBorders>
              <w:top w:val="outset" w:color="auto" w:sz="4" w:space="0"/>
              <w:left w:val="outset" w:color="auto" w:sz="4" w:space="0"/>
              <w:bottom w:val="outset" w:color="auto" w:sz="4" w:space="0"/>
              <w:right w:val="outset" w:color="auto" w:sz="4" w:space="0"/>
            </w:tcBorders>
            <w:vAlign w:val="bottom"/>
          </w:tcPr>
          <w:p w14:paraId="325D95FE">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-0.004</w:t>
            </w:r>
          </w:p>
        </w:tc>
      </w:tr>
      <w:tr w14:paraId="266F9F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571FFEAE">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（二）稀释每股收益(元/股)</w:t>
            </w:r>
          </w:p>
        </w:tc>
        <w:tc>
          <w:tcPr>
            <w:tcW w:w="521" w:type="pct"/>
            <w:tcBorders>
              <w:top w:val="outset" w:color="auto" w:sz="4" w:space="0"/>
              <w:left w:val="outset" w:color="auto" w:sz="4" w:space="0"/>
              <w:bottom w:val="outset" w:color="auto" w:sz="4" w:space="0"/>
              <w:right w:val="outset" w:color="auto" w:sz="4" w:space="0"/>
            </w:tcBorders>
            <w:vAlign w:val="center"/>
          </w:tcPr>
          <w:p w14:paraId="351515BE">
            <w:pPr>
              <w:rPr>
                <w:rFonts w:cs="Times New Roman"/>
                <w:color w:val="000000" w:themeColor="text1"/>
                <w14:textFill>
                  <w14:solidFill>
                    <w14:schemeClr w14:val="tx1"/>
                  </w14:solidFill>
                </w14:textFill>
              </w:rPr>
            </w:pPr>
          </w:p>
        </w:tc>
        <w:tc>
          <w:tcPr>
            <w:tcW w:w="955" w:type="pct"/>
            <w:tcBorders>
              <w:top w:val="outset" w:color="auto" w:sz="4" w:space="0"/>
              <w:left w:val="outset" w:color="auto" w:sz="4" w:space="0"/>
              <w:bottom w:val="outset" w:color="auto" w:sz="4" w:space="0"/>
              <w:right w:val="outset" w:color="auto" w:sz="4" w:space="0"/>
            </w:tcBorders>
            <w:vAlign w:val="bottom"/>
          </w:tcPr>
          <w:p w14:paraId="1A40EA34">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-0.018</w:t>
            </w:r>
          </w:p>
        </w:tc>
        <w:tc>
          <w:tcPr>
            <w:tcW w:w="955" w:type="pct"/>
            <w:tcBorders>
              <w:top w:val="outset" w:color="auto" w:sz="4" w:space="0"/>
              <w:left w:val="outset" w:color="auto" w:sz="4" w:space="0"/>
              <w:bottom w:val="outset" w:color="auto" w:sz="4" w:space="0"/>
              <w:right w:val="outset" w:color="auto" w:sz="4" w:space="0"/>
            </w:tcBorders>
            <w:vAlign w:val="bottom"/>
          </w:tcPr>
          <w:p w14:paraId="1D6ECD45">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-0.004</w:t>
            </w:r>
          </w:p>
        </w:tc>
      </w:tr>
      <w:bookmarkEnd w:id="152"/>
    </w:tbl>
    <w:p w14:paraId="0D2A0AE6">
      <w:pPr>
        <w:rPr>
          <w:color w:val="000000" w:themeColor="text1"/>
          <w14:textFill>
            <w14:solidFill>
              <w14:schemeClr w14:val="tx1"/>
            </w14:solidFill>
          </w14:textFill>
        </w:rPr>
      </w:pPr>
    </w:p>
    <w:p w14:paraId="614F2A00">
      <w:pPr>
        <w:rPr>
          <w:b/>
          <w:bCs w:val="0"/>
          <w:color w:val="000000" w:themeColor="text1"/>
          <w14:textFill>
            <w14:solidFill>
              <w14:schemeClr w14:val="tx1"/>
            </w14:solidFill>
          </w14:textFill>
        </w:rPr>
      </w:pPr>
      <w:r>
        <w:rPr>
          <w:rFonts w:hint="eastAsia"/>
          <w:color w:val="000000" w:themeColor="text1"/>
          <w14:textFill>
            <w14:solidFill>
              <w14:schemeClr w14:val="tx1"/>
            </w14:solidFill>
          </w14:textFill>
        </w:rPr>
        <w:t>本期发生同一控制下企业合并的，被合并方在合并前实现的净利润为：</w:t>
      </w:r>
      <w:sdt>
        <w:sdtPr>
          <w:rPr>
            <w:rFonts w:hint="eastAsia"/>
            <w:color w:val="000000" w:themeColor="text1"/>
            <w14:textFill>
              <w14:solidFill>
                <w14:schemeClr w14:val="tx1"/>
              </w14:solidFill>
            </w14:textFill>
          </w:rPr>
          <w:alias w:val="同一控制下的企业合并中被合并方在合并前实现的净利润"/>
          <w:tag w:val="_GBC_0d3f3004d896427080339d4b0e2d499c"/>
          <w:id w:val="147478488"/>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w:t>
          </w:r>
        </w:sdtContent>
      </w:sdt>
      <w:r>
        <w:rPr>
          <w:rFonts w:hint="eastAsia"/>
          <w:color w:val="000000" w:themeColor="text1"/>
          <w14:textFill>
            <w14:solidFill>
              <w14:schemeClr w14:val="tx1"/>
            </w14:solidFill>
          </w14:textFill>
        </w:rPr>
        <w:t xml:space="preserve"> 元, 上期被合并方实现的净利润为： </w:t>
      </w:r>
      <w:sdt>
        <w:sdtPr>
          <w:rPr>
            <w:rFonts w:hint="eastAsia"/>
            <w:color w:val="000000" w:themeColor="text1"/>
            <w14:textFill>
              <w14:solidFill>
                <w14:schemeClr w14:val="tx1"/>
              </w14:solidFill>
            </w14:textFill>
          </w:rPr>
          <w:alias w:val="同一控制下的企业合并中被合并方在合并前实现的净利润"/>
          <w:tag w:val="_GBC_7e8cf02e71b9434883c60dcb8fb33270"/>
          <w:id w:val="147481388"/>
          <w:placeholder>
            <w:docPart w:val="GBC22222222222222222222222222222"/>
          </w:placeholder>
        </w:sdtPr>
        <w:sdtEndPr>
          <w:rPr>
            <w:rFonts w:hint="default"/>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w:t>
          </w:r>
        </w:sdtContent>
      </w:sdt>
      <w:r>
        <w:rPr>
          <w:rFonts w:hint="eastAsia"/>
          <w:color w:val="000000" w:themeColor="text1"/>
          <w14:textFill>
            <w14:solidFill>
              <w14:schemeClr w14:val="tx1"/>
            </w14:solidFill>
          </w14:textFill>
        </w:rPr>
        <w:t xml:space="preserve"> 元。</w:t>
      </w:r>
    </w:p>
    <w:p w14:paraId="154278FC">
      <w:pPr>
        <w:rPr>
          <w:color w:val="000000" w:themeColor="text1"/>
          <w:u w:val="single"/>
          <w14:textFill>
            <w14:solidFill>
              <w14:schemeClr w14:val="tx1"/>
            </w14:solidFill>
          </w14:textFill>
        </w:rPr>
      </w:pPr>
      <w:r>
        <w:rPr>
          <w:color w:val="000000" w:themeColor="text1"/>
          <w14:textFill>
            <w14:solidFill>
              <w14:schemeClr w14:val="tx1"/>
            </w14:solidFill>
          </w14:textFill>
        </w:rPr>
        <w:t>公司负责人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公司负责人"/>
          <w:tag w:val="_GBC_84d2ead02dbe49699dff5184a9cd1bd3"/>
          <w:id w:val="147470744"/>
          <w:placeholder>
            <w:docPart w:val="GBC22222222222222222222222222222"/>
          </w:placeholder>
          <w:dataBinding w:prefixMappings="xmlns:clcid-mr='clcid-mr'" w:xpath="/*/clcid-mr:GongSi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夏前军</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主管会计工作负责人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主管会计工作负责人姓名"/>
          <w:tag w:val="_GBC_e958f3d59232458da90c4799548d15ea"/>
          <w:id w:val="147462567"/>
          <w:placeholder>
            <w:docPart w:val="GBC22222222222222222222222222222"/>
          </w:placeholder>
          <w:dataBinding w:prefixMappings="xmlns:clcid-mr='clcid-mr'" w:xpath="/*/clcid-mr:ZhuGuanKuaiJiGongZuo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刘改平</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会计机构负责人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会计机构负责人姓名"/>
          <w:tag w:val="_GBC_83eea96809554a8b86e8c53c6e3da040"/>
          <w:id w:val="147466708"/>
          <w:placeholder>
            <w:docPart w:val="GBC22222222222222222222222222222"/>
          </w:placeholder>
          <w:dataBinding w:prefixMappings="xmlns:clcid-mr='clcid-mr'" w:xpath="/*/clcid-mr:KuaiJiJiGou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冯晓</w:t>
          </w:r>
        </w:sdtContent>
      </w:sdt>
    </w:p>
    <w:p w14:paraId="28488599">
      <w:pPr>
        <w:rPr>
          <w:color w:val="000000" w:themeColor="text1"/>
          <w:u w:val="single"/>
          <w14:textFill>
            <w14:solidFill>
              <w14:schemeClr w14:val="tx1"/>
            </w14:solidFill>
          </w14:textFill>
        </w:rPr>
      </w:pPr>
    </w:p>
    <w:p w14:paraId="39B16827">
      <w:pPr>
        <w:rPr>
          <w:color w:val="000000" w:themeColor="text1"/>
          <w:u w:val="single"/>
          <w14:textFill>
            <w14:solidFill>
              <w14:schemeClr w14:val="tx1"/>
            </w14:solidFill>
          </w14:textFill>
        </w:rPr>
      </w:pPr>
    </w:p>
    <w:p w14:paraId="5D3F7336">
      <w:pPr>
        <w:pStyle w:val="57"/>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母公司</w:t>
      </w:r>
      <w:r>
        <w:rPr>
          <w:rFonts w:ascii="宋体" w:hAnsi="宋体"/>
          <w:color w:val="000000" w:themeColor="text1"/>
          <w14:textFill>
            <w14:solidFill>
              <w14:schemeClr w14:val="tx1"/>
            </w14:solidFill>
          </w14:textFill>
        </w:rPr>
        <w:t>利润表</w:t>
      </w:r>
    </w:p>
    <w:p w14:paraId="04D67A67">
      <w:pPr>
        <w:jc w:val="center"/>
        <w:rPr>
          <w:b/>
          <w:bCs w:val="0"/>
          <w:color w:val="000000" w:themeColor="text1"/>
          <w14:textFill>
            <w14:solidFill>
              <w14:schemeClr w14:val="tx1"/>
            </w14:solidFill>
          </w14:textFill>
        </w:rPr>
      </w:pPr>
      <w:r>
        <w:rPr>
          <w:color w:val="000000" w:themeColor="text1"/>
          <w14:textFill>
            <w14:solidFill>
              <w14:schemeClr w14:val="tx1"/>
            </w14:solidFill>
          </w14:textFill>
        </w:rPr>
        <w:t>2025年</w:t>
      </w:r>
      <w:r>
        <w:rPr>
          <w:rFonts w:hint="eastAsia"/>
          <w:color w:val="000000" w:themeColor="text1"/>
          <w14:textFill>
            <w14:solidFill>
              <w14:schemeClr w14:val="tx1"/>
            </w14:solidFill>
          </w14:textFill>
        </w:rPr>
        <w:t>1—6</w:t>
      </w:r>
      <w:r>
        <w:rPr>
          <w:color w:val="000000" w:themeColor="text1"/>
          <w14:textFill>
            <w14:solidFill>
              <w14:schemeClr w14:val="tx1"/>
            </w14:solidFill>
          </w14:textFill>
        </w:rPr>
        <w:t>月</w:t>
      </w:r>
    </w:p>
    <w:p w14:paraId="355C2EF7">
      <w:pPr>
        <w:snapToGrid w:val="0"/>
        <w:spacing w:line="240" w:lineRule="atLeast"/>
        <w:jc w:val="right"/>
        <w:rPr>
          <w:b/>
          <w:bCs w:val="0"/>
          <w:color w:val="000000" w:themeColor="text1"/>
          <w14:textFill>
            <w14:solidFill>
              <w14:schemeClr w14:val="tx1"/>
            </w14:solidFill>
          </w14:textFill>
        </w:rPr>
      </w:pPr>
      <w:r>
        <w:rPr>
          <w:color w:val="000000" w:themeColor="text1"/>
          <w14:textFill>
            <w14:solidFill>
              <w14:schemeClr w14:val="tx1"/>
            </w14:solidFill>
          </w14:textFill>
        </w:rPr>
        <w:t>单位：</w:t>
      </w:r>
      <w:sdt>
        <w:sdtPr>
          <w:rPr>
            <w:color w:val="000000" w:themeColor="text1"/>
            <w14:textFill>
              <w14:solidFill>
                <w14:schemeClr w14:val="tx1"/>
              </w14:solidFill>
            </w14:textFill>
          </w:rPr>
          <w:alias w:val="单位：母公司利润表"/>
          <w:tag w:val="_GBC_955732cd74ff4f1f9b098e70c1b85c60"/>
          <w:id w:val="1474624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color w:val="000000" w:themeColor="text1"/>
          <w14:textFill>
            <w14:solidFill>
              <w14:schemeClr w14:val="tx1"/>
            </w14:solidFill>
          </w14:textFill>
        </w:rPr>
        <w:t xml:space="preserve">  币种：</w:t>
      </w:r>
      <w:sdt>
        <w:sdtPr>
          <w:rPr>
            <w:color w:val="000000" w:themeColor="text1"/>
            <w14:textFill>
              <w14:solidFill>
                <w14:schemeClr w14:val="tx1"/>
              </w14:solidFill>
            </w14:textFill>
          </w:rPr>
          <w:alias w:val="币种：母公司利润表"/>
          <w:tag w:val="_GBC_125a2547934143ccb384434361f57d37"/>
          <w:id w:val="1474620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48"/>
        <w:gridCol w:w="1082"/>
        <w:gridCol w:w="1584"/>
        <w:gridCol w:w="1735"/>
      </w:tblGrid>
      <w:tr w14:paraId="43E3AA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tc>
          <w:tcPr>
            <w:tcW w:w="2568" w:type="pct"/>
            <w:tcBorders>
              <w:top w:val="outset" w:color="auto" w:sz="4" w:space="0"/>
              <w:left w:val="outset" w:color="auto" w:sz="4" w:space="0"/>
              <w:bottom w:val="outset" w:color="auto" w:sz="4" w:space="0"/>
              <w:right w:val="outset" w:color="auto" w:sz="4" w:space="0"/>
            </w:tcBorders>
            <w:vAlign w:val="center"/>
          </w:tcPr>
          <w:sdt>
            <w:sdtPr>
              <w:rPr>
                <w:rFonts w:cs="Times New Roman"/>
              </w:rPr>
              <w:tag w:val="_PLD_2746da9ce382479bbcc34de94cc91419"/>
              <w:id w:val="147451916"/>
            </w:sdtPr>
            <w:sdtEndPr>
              <w:rPr>
                <w:rFonts w:cs="Times New Roman"/>
              </w:rPr>
            </w:sdtEndPr>
            <w:sdtContent>
              <w:p w14:paraId="0BE3BB9E">
                <w:pPr>
                  <w:ind w:left="40" w:hanging="39" w:hangingChars="19"/>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项目</w:t>
                </w:r>
              </w:p>
            </w:sdtContent>
          </w:sdt>
        </w:tc>
        <w:tc>
          <w:tcPr>
            <w:tcW w:w="598" w:type="pct"/>
            <w:tcBorders>
              <w:top w:val="outset" w:color="auto" w:sz="4" w:space="0"/>
              <w:left w:val="outset" w:color="auto" w:sz="4" w:space="0"/>
              <w:bottom w:val="outset" w:color="auto" w:sz="4" w:space="0"/>
              <w:right w:val="outset" w:color="auto" w:sz="4" w:space="0"/>
            </w:tcBorders>
            <w:vAlign w:val="center"/>
          </w:tcPr>
          <w:sdt>
            <w:sdtPr>
              <w:rPr>
                <w:rFonts w:cs="Times New Roman"/>
              </w:rPr>
              <w:tag w:val="_PLD_353d1b95815e4cb9bce619c23384aae7"/>
              <w:id w:val="147456035"/>
            </w:sdtPr>
            <w:sdtEndPr>
              <w:rPr>
                <w:rFonts w:cs="Times New Roman"/>
              </w:rPr>
            </w:sdtEndPr>
            <w:sdtContent>
              <w:p w14:paraId="19FFE195">
                <w:pPr>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附注</w:t>
                </w:r>
              </w:p>
            </w:sdtContent>
          </w:sdt>
        </w:tc>
        <w:tc>
          <w:tcPr>
            <w:tcW w:w="875" w:type="pct"/>
            <w:tcBorders>
              <w:top w:val="outset" w:color="auto" w:sz="4" w:space="0"/>
              <w:left w:val="outset" w:color="auto" w:sz="4" w:space="0"/>
              <w:bottom w:val="outset" w:color="auto" w:sz="4" w:space="0"/>
              <w:right w:val="outset" w:color="auto" w:sz="4" w:space="0"/>
            </w:tcBorders>
            <w:vAlign w:val="center"/>
          </w:tcPr>
          <w:sdt>
            <w:sdtPr>
              <w:rPr>
                <w:rFonts w:cs="Times New Roman"/>
              </w:rPr>
              <w:tag w:val="_PLD_aa6da19e961f4f0aa9c1f47a5d8bdb21"/>
              <w:id w:val="147458480"/>
            </w:sdtPr>
            <w:sdtEndPr>
              <w:rPr>
                <w:rFonts w:cs="Times New Roman"/>
              </w:rPr>
            </w:sdtEndPr>
            <w:sdtContent>
              <w:p w14:paraId="7C88EB70">
                <w:pPr>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2025年半年度</w:t>
                </w:r>
              </w:p>
            </w:sdtContent>
          </w:sdt>
        </w:tc>
        <w:tc>
          <w:tcPr>
            <w:tcW w:w="959" w:type="pct"/>
            <w:tcBorders>
              <w:top w:val="outset" w:color="auto" w:sz="4" w:space="0"/>
              <w:left w:val="outset" w:color="auto" w:sz="4" w:space="0"/>
              <w:bottom w:val="outset" w:color="auto" w:sz="4" w:space="0"/>
              <w:right w:val="outset" w:color="auto" w:sz="4" w:space="0"/>
            </w:tcBorders>
            <w:vAlign w:val="center"/>
          </w:tcPr>
          <w:sdt>
            <w:sdtPr>
              <w:rPr>
                <w:rFonts w:cs="Times New Roman"/>
              </w:rPr>
              <w:tag w:val="_PLD_fd6f3d63a7544a05b6f572cee64f39fb"/>
              <w:id w:val="147451237"/>
            </w:sdtPr>
            <w:sdtEndPr>
              <w:rPr>
                <w:rFonts w:cs="Times New Roman"/>
              </w:rPr>
            </w:sdtEndPr>
            <w:sdtContent>
              <w:p w14:paraId="2403AE1A">
                <w:pPr>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2024年半年度</w:t>
                </w:r>
              </w:p>
            </w:sdtContent>
          </w:sdt>
        </w:tc>
      </w:tr>
      <w:tr w14:paraId="58DC04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6A38DB67">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一、营业收入</w:t>
            </w:r>
          </w:p>
        </w:tc>
        <w:tc>
          <w:tcPr>
            <w:tcW w:w="598" w:type="pct"/>
            <w:tcBorders>
              <w:top w:val="outset" w:color="auto" w:sz="4" w:space="0"/>
              <w:left w:val="outset" w:color="auto" w:sz="4" w:space="0"/>
              <w:bottom w:val="outset" w:color="auto" w:sz="4" w:space="0"/>
              <w:right w:val="outset" w:color="auto" w:sz="4" w:space="0"/>
            </w:tcBorders>
            <w:vAlign w:val="center"/>
          </w:tcPr>
          <w:p w14:paraId="6CC1FA77">
            <w:pPr>
              <w:jc w:val="center"/>
              <w:textAlignment w:val="center"/>
              <w:rPr>
                <w:rFonts w:cs="Times New Roman"/>
              </w:rPr>
            </w:pPr>
            <w:r>
              <w:rPr>
                <w:rFonts w:cs="Times New Roman"/>
                <w:color w:val="000000"/>
                <w:sz w:val="20"/>
                <w:szCs w:val="20"/>
                <w:lang w:bidi="ar"/>
              </w:rPr>
              <w:t>十九、4</w:t>
            </w:r>
          </w:p>
        </w:tc>
        <w:tc>
          <w:tcPr>
            <w:tcW w:w="875" w:type="pct"/>
            <w:tcBorders>
              <w:top w:val="outset" w:color="auto" w:sz="4" w:space="0"/>
              <w:left w:val="outset" w:color="auto" w:sz="4" w:space="0"/>
              <w:bottom w:val="outset" w:color="auto" w:sz="4" w:space="0"/>
              <w:right w:val="outset" w:color="auto" w:sz="4" w:space="0"/>
            </w:tcBorders>
            <w:vAlign w:val="bottom"/>
          </w:tcPr>
          <w:p w14:paraId="0417027A">
            <w:pPr>
              <w:jc w:val="right"/>
              <w:textAlignment w:val="bottom"/>
              <w:rPr>
                <w:rFonts w:cs="Times New Roman"/>
              </w:rPr>
            </w:pPr>
            <w:r>
              <w:rPr>
                <w:rFonts w:eastAsia="Arial Narrow" w:cs="Times New Roman"/>
                <w:color w:val="000000"/>
                <w:lang w:bidi="ar"/>
              </w:rPr>
              <w:t>5,334,155.45</w:t>
            </w:r>
          </w:p>
        </w:tc>
        <w:tc>
          <w:tcPr>
            <w:tcW w:w="959" w:type="pct"/>
            <w:tcBorders>
              <w:top w:val="outset" w:color="auto" w:sz="4" w:space="0"/>
              <w:left w:val="outset" w:color="auto" w:sz="4" w:space="0"/>
              <w:bottom w:val="outset" w:color="auto" w:sz="4" w:space="0"/>
              <w:right w:val="outset" w:color="auto" w:sz="4" w:space="0"/>
            </w:tcBorders>
            <w:vAlign w:val="bottom"/>
          </w:tcPr>
          <w:p w14:paraId="68CCF463">
            <w:pPr>
              <w:jc w:val="right"/>
              <w:textAlignment w:val="bottom"/>
              <w:rPr>
                <w:rFonts w:cs="Times New Roman"/>
              </w:rPr>
            </w:pPr>
            <w:r>
              <w:rPr>
                <w:rFonts w:eastAsia="Arial Narrow" w:cs="Times New Roman"/>
                <w:color w:val="000000"/>
                <w:lang w:bidi="ar"/>
              </w:rPr>
              <w:t>3,761,473.78</w:t>
            </w:r>
          </w:p>
        </w:tc>
      </w:tr>
      <w:tr w14:paraId="6F4CA3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7E93214C">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减：营业成本</w:t>
            </w:r>
          </w:p>
        </w:tc>
        <w:tc>
          <w:tcPr>
            <w:tcW w:w="598" w:type="pct"/>
            <w:tcBorders>
              <w:top w:val="outset" w:color="auto" w:sz="4" w:space="0"/>
              <w:left w:val="outset" w:color="auto" w:sz="4" w:space="0"/>
              <w:bottom w:val="outset" w:color="auto" w:sz="4" w:space="0"/>
              <w:right w:val="outset" w:color="auto" w:sz="4" w:space="0"/>
            </w:tcBorders>
            <w:vAlign w:val="center"/>
          </w:tcPr>
          <w:p w14:paraId="4E703803">
            <w:pPr>
              <w:jc w:val="center"/>
              <w:textAlignment w:val="center"/>
              <w:rPr>
                <w:rFonts w:cs="Times New Roman"/>
              </w:rPr>
            </w:pPr>
            <w:r>
              <w:rPr>
                <w:rFonts w:cs="Times New Roman"/>
                <w:color w:val="000000"/>
                <w:sz w:val="20"/>
                <w:szCs w:val="20"/>
                <w:lang w:bidi="ar"/>
              </w:rPr>
              <w:t>十九、4</w:t>
            </w:r>
          </w:p>
        </w:tc>
        <w:tc>
          <w:tcPr>
            <w:tcW w:w="875" w:type="pct"/>
            <w:tcBorders>
              <w:top w:val="outset" w:color="auto" w:sz="4" w:space="0"/>
              <w:left w:val="outset" w:color="auto" w:sz="4" w:space="0"/>
              <w:bottom w:val="outset" w:color="auto" w:sz="4" w:space="0"/>
              <w:right w:val="outset" w:color="auto" w:sz="4" w:space="0"/>
            </w:tcBorders>
            <w:vAlign w:val="bottom"/>
          </w:tcPr>
          <w:p w14:paraId="2DDD8C60">
            <w:pPr>
              <w:jc w:val="right"/>
              <w:textAlignment w:val="bottom"/>
              <w:rPr>
                <w:rFonts w:cs="Times New Roman"/>
              </w:rPr>
            </w:pPr>
            <w:r>
              <w:rPr>
                <w:rFonts w:eastAsia="Arial Narrow" w:cs="Times New Roman"/>
                <w:color w:val="000000"/>
                <w:lang w:bidi="ar"/>
              </w:rPr>
              <w:t>349,612.07</w:t>
            </w:r>
          </w:p>
        </w:tc>
        <w:tc>
          <w:tcPr>
            <w:tcW w:w="959" w:type="pct"/>
            <w:tcBorders>
              <w:top w:val="outset" w:color="auto" w:sz="4" w:space="0"/>
              <w:left w:val="outset" w:color="auto" w:sz="4" w:space="0"/>
              <w:bottom w:val="outset" w:color="auto" w:sz="4" w:space="0"/>
              <w:right w:val="outset" w:color="auto" w:sz="4" w:space="0"/>
            </w:tcBorders>
            <w:vAlign w:val="bottom"/>
          </w:tcPr>
          <w:p w14:paraId="2947DA0B">
            <w:pPr>
              <w:jc w:val="right"/>
              <w:rPr>
                <w:rFonts w:cs="Times New Roman"/>
              </w:rPr>
            </w:pPr>
          </w:p>
        </w:tc>
      </w:tr>
      <w:tr w14:paraId="0F454A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24E0C061">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税金及附加</w:t>
            </w:r>
          </w:p>
        </w:tc>
        <w:tc>
          <w:tcPr>
            <w:tcW w:w="598" w:type="pct"/>
            <w:tcBorders>
              <w:top w:val="outset" w:color="auto" w:sz="4" w:space="0"/>
              <w:left w:val="outset" w:color="auto" w:sz="4" w:space="0"/>
              <w:bottom w:val="outset" w:color="auto" w:sz="4" w:space="0"/>
              <w:right w:val="outset" w:color="auto" w:sz="4" w:space="0"/>
            </w:tcBorders>
            <w:vAlign w:val="center"/>
          </w:tcPr>
          <w:p w14:paraId="4B7DC9E0">
            <w:pPr>
              <w:jc w:val="center"/>
              <w:rPr>
                <w:rFonts w:cs="Times New Roman"/>
              </w:rPr>
            </w:pPr>
          </w:p>
        </w:tc>
        <w:tc>
          <w:tcPr>
            <w:tcW w:w="875" w:type="pct"/>
            <w:tcBorders>
              <w:top w:val="outset" w:color="auto" w:sz="4" w:space="0"/>
              <w:left w:val="outset" w:color="auto" w:sz="4" w:space="0"/>
              <w:bottom w:val="outset" w:color="auto" w:sz="4" w:space="0"/>
              <w:right w:val="outset" w:color="auto" w:sz="4" w:space="0"/>
            </w:tcBorders>
            <w:vAlign w:val="bottom"/>
          </w:tcPr>
          <w:p w14:paraId="43E6A493">
            <w:pPr>
              <w:jc w:val="right"/>
              <w:textAlignment w:val="bottom"/>
              <w:rPr>
                <w:rFonts w:cs="Times New Roman"/>
              </w:rPr>
            </w:pPr>
            <w:r>
              <w:rPr>
                <w:rFonts w:eastAsia="Arial Narrow" w:cs="Times New Roman"/>
                <w:color w:val="000000"/>
                <w:lang w:bidi="ar"/>
              </w:rPr>
              <w:t>2,142,156.01</w:t>
            </w:r>
          </w:p>
        </w:tc>
        <w:tc>
          <w:tcPr>
            <w:tcW w:w="959" w:type="pct"/>
            <w:tcBorders>
              <w:top w:val="outset" w:color="auto" w:sz="4" w:space="0"/>
              <w:left w:val="outset" w:color="auto" w:sz="4" w:space="0"/>
              <w:bottom w:val="outset" w:color="auto" w:sz="4" w:space="0"/>
              <w:right w:val="outset" w:color="auto" w:sz="4" w:space="0"/>
            </w:tcBorders>
            <w:vAlign w:val="bottom"/>
          </w:tcPr>
          <w:p w14:paraId="478637DA">
            <w:pPr>
              <w:jc w:val="right"/>
              <w:textAlignment w:val="bottom"/>
              <w:rPr>
                <w:rFonts w:cs="Times New Roman"/>
              </w:rPr>
            </w:pPr>
            <w:r>
              <w:rPr>
                <w:rFonts w:eastAsia="Arial Narrow" w:cs="Times New Roman"/>
                <w:color w:val="000000"/>
                <w:lang w:bidi="ar"/>
              </w:rPr>
              <w:t>203,425.77</w:t>
            </w:r>
          </w:p>
        </w:tc>
      </w:tr>
      <w:tr w14:paraId="7BC686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3F52EC2E">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销售费用</w:t>
            </w:r>
          </w:p>
        </w:tc>
        <w:tc>
          <w:tcPr>
            <w:tcW w:w="598" w:type="pct"/>
            <w:tcBorders>
              <w:top w:val="outset" w:color="auto" w:sz="4" w:space="0"/>
              <w:left w:val="outset" w:color="auto" w:sz="4" w:space="0"/>
              <w:bottom w:val="outset" w:color="auto" w:sz="4" w:space="0"/>
              <w:right w:val="outset" w:color="auto" w:sz="4" w:space="0"/>
            </w:tcBorders>
            <w:vAlign w:val="center"/>
          </w:tcPr>
          <w:p w14:paraId="5C2D5693">
            <w:pPr>
              <w:jc w:val="center"/>
              <w:rPr>
                <w:rFonts w:cs="Times New Roman"/>
              </w:rPr>
            </w:pPr>
          </w:p>
        </w:tc>
        <w:tc>
          <w:tcPr>
            <w:tcW w:w="875" w:type="pct"/>
            <w:tcBorders>
              <w:top w:val="outset" w:color="auto" w:sz="4" w:space="0"/>
              <w:left w:val="outset" w:color="auto" w:sz="4" w:space="0"/>
              <w:bottom w:val="outset" w:color="auto" w:sz="4" w:space="0"/>
              <w:right w:val="outset" w:color="auto" w:sz="4" w:space="0"/>
            </w:tcBorders>
            <w:vAlign w:val="bottom"/>
          </w:tcPr>
          <w:p w14:paraId="5D352A0F">
            <w:pPr>
              <w:jc w:val="right"/>
              <w:textAlignment w:val="bottom"/>
              <w:rPr>
                <w:rFonts w:cs="Times New Roman"/>
              </w:rPr>
            </w:pPr>
            <w:r>
              <w:rPr>
                <w:rFonts w:eastAsia="Arial Narrow" w:cs="Times New Roman"/>
                <w:color w:val="000000"/>
                <w:lang w:bidi="ar"/>
              </w:rPr>
              <w:t>9,824,166.94</w:t>
            </w:r>
          </w:p>
        </w:tc>
        <w:tc>
          <w:tcPr>
            <w:tcW w:w="959" w:type="pct"/>
            <w:tcBorders>
              <w:top w:val="outset" w:color="auto" w:sz="4" w:space="0"/>
              <w:left w:val="outset" w:color="auto" w:sz="4" w:space="0"/>
              <w:bottom w:val="outset" w:color="auto" w:sz="4" w:space="0"/>
              <w:right w:val="outset" w:color="auto" w:sz="4" w:space="0"/>
            </w:tcBorders>
            <w:vAlign w:val="bottom"/>
          </w:tcPr>
          <w:p w14:paraId="1265A55C">
            <w:pPr>
              <w:jc w:val="right"/>
              <w:textAlignment w:val="bottom"/>
              <w:rPr>
                <w:rFonts w:cs="Times New Roman"/>
              </w:rPr>
            </w:pPr>
            <w:r>
              <w:rPr>
                <w:rFonts w:eastAsia="Arial Narrow" w:cs="Times New Roman"/>
                <w:color w:val="000000"/>
                <w:lang w:bidi="ar"/>
              </w:rPr>
              <w:t>15,304,569.20</w:t>
            </w:r>
          </w:p>
        </w:tc>
      </w:tr>
      <w:tr w14:paraId="215463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25043C39">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管理费用</w:t>
            </w:r>
          </w:p>
        </w:tc>
        <w:tc>
          <w:tcPr>
            <w:tcW w:w="598" w:type="pct"/>
            <w:tcBorders>
              <w:top w:val="outset" w:color="auto" w:sz="4" w:space="0"/>
              <w:left w:val="outset" w:color="auto" w:sz="4" w:space="0"/>
              <w:bottom w:val="outset" w:color="auto" w:sz="4" w:space="0"/>
              <w:right w:val="outset" w:color="auto" w:sz="4" w:space="0"/>
            </w:tcBorders>
            <w:vAlign w:val="center"/>
          </w:tcPr>
          <w:p w14:paraId="4E47F42E">
            <w:pPr>
              <w:jc w:val="center"/>
              <w:rPr>
                <w:rFonts w:cs="Times New Roman"/>
              </w:rPr>
            </w:pPr>
          </w:p>
        </w:tc>
        <w:tc>
          <w:tcPr>
            <w:tcW w:w="875" w:type="pct"/>
            <w:tcBorders>
              <w:top w:val="outset" w:color="auto" w:sz="4" w:space="0"/>
              <w:left w:val="outset" w:color="auto" w:sz="4" w:space="0"/>
              <w:bottom w:val="outset" w:color="auto" w:sz="4" w:space="0"/>
              <w:right w:val="outset" w:color="auto" w:sz="4" w:space="0"/>
            </w:tcBorders>
            <w:vAlign w:val="bottom"/>
          </w:tcPr>
          <w:p w14:paraId="01256E1A">
            <w:pPr>
              <w:jc w:val="right"/>
              <w:textAlignment w:val="bottom"/>
              <w:rPr>
                <w:rFonts w:cs="Times New Roman"/>
              </w:rPr>
            </w:pPr>
            <w:r>
              <w:rPr>
                <w:rFonts w:eastAsia="Arial Narrow" w:cs="Times New Roman"/>
                <w:color w:val="000000"/>
                <w:lang w:bidi="ar"/>
              </w:rPr>
              <w:t>39,500,499.60</w:t>
            </w:r>
          </w:p>
        </w:tc>
        <w:tc>
          <w:tcPr>
            <w:tcW w:w="959" w:type="pct"/>
            <w:tcBorders>
              <w:top w:val="outset" w:color="auto" w:sz="4" w:space="0"/>
              <w:left w:val="outset" w:color="auto" w:sz="4" w:space="0"/>
              <w:bottom w:val="outset" w:color="auto" w:sz="4" w:space="0"/>
              <w:right w:val="outset" w:color="auto" w:sz="4" w:space="0"/>
            </w:tcBorders>
            <w:vAlign w:val="bottom"/>
          </w:tcPr>
          <w:p w14:paraId="382A70AD">
            <w:pPr>
              <w:jc w:val="right"/>
              <w:textAlignment w:val="bottom"/>
              <w:rPr>
                <w:rFonts w:cs="Times New Roman"/>
              </w:rPr>
            </w:pPr>
            <w:r>
              <w:rPr>
                <w:rFonts w:eastAsia="Arial Narrow" w:cs="Times New Roman"/>
                <w:color w:val="000000"/>
                <w:lang w:bidi="ar"/>
              </w:rPr>
              <w:t>41,123,716.41</w:t>
            </w:r>
          </w:p>
        </w:tc>
      </w:tr>
      <w:tr w14:paraId="0F1F57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0F6AD0EB">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研发费用</w:t>
            </w:r>
          </w:p>
        </w:tc>
        <w:tc>
          <w:tcPr>
            <w:tcW w:w="598" w:type="pct"/>
            <w:tcBorders>
              <w:top w:val="outset" w:color="auto" w:sz="4" w:space="0"/>
              <w:left w:val="outset" w:color="auto" w:sz="4" w:space="0"/>
              <w:bottom w:val="outset" w:color="auto" w:sz="4" w:space="0"/>
              <w:right w:val="outset" w:color="auto" w:sz="4" w:space="0"/>
            </w:tcBorders>
            <w:vAlign w:val="center"/>
          </w:tcPr>
          <w:p w14:paraId="64616456">
            <w:pPr>
              <w:jc w:val="center"/>
              <w:rPr>
                <w:rFonts w:cs="Times New Roman"/>
              </w:rPr>
            </w:pPr>
          </w:p>
        </w:tc>
        <w:tc>
          <w:tcPr>
            <w:tcW w:w="875" w:type="pct"/>
            <w:tcBorders>
              <w:top w:val="outset" w:color="auto" w:sz="4" w:space="0"/>
              <w:left w:val="outset" w:color="auto" w:sz="4" w:space="0"/>
              <w:bottom w:val="outset" w:color="auto" w:sz="4" w:space="0"/>
              <w:right w:val="outset" w:color="auto" w:sz="4" w:space="0"/>
            </w:tcBorders>
            <w:vAlign w:val="bottom"/>
          </w:tcPr>
          <w:p w14:paraId="386E745A">
            <w:pPr>
              <w:jc w:val="right"/>
              <w:textAlignment w:val="bottom"/>
              <w:rPr>
                <w:rFonts w:cs="Times New Roman"/>
              </w:rPr>
            </w:pPr>
            <w:r>
              <w:rPr>
                <w:rFonts w:eastAsia="Arial Narrow" w:cs="Times New Roman"/>
                <w:color w:val="000000"/>
                <w:lang w:bidi="ar"/>
              </w:rPr>
              <w:t>8,637,497.02</w:t>
            </w:r>
          </w:p>
        </w:tc>
        <w:tc>
          <w:tcPr>
            <w:tcW w:w="959" w:type="pct"/>
            <w:tcBorders>
              <w:top w:val="outset" w:color="auto" w:sz="4" w:space="0"/>
              <w:left w:val="outset" w:color="auto" w:sz="4" w:space="0"/>
              <w:bottom w:val="outset" w:color="auto" w:sz="4" w:space="0"/>
              <w:right w:val="outset" w:color="auto" w:sz="4" w:space="0"/>
            </w:tcBorders>
            <w:vAlign w:val="bottom"/>
          </w:tcPr>
          <w:p w14:paraId="2DEE46F4">
            <w:pPr>
              <w:jc w:val="right"/>
              <w:textAlignment w:val="bottom"/>
              <w:rPr>
                <w:rFonts w:cs="Times New Roman"/>
              </w:rPr>
            </w:pPr>
            <w:r>
              <w:rPr>
                <w:rFonts w:eastAsia="Arial Narrow" w:cs="Times New Roman"/>
                <w:color w:val="000000"/>
                <w:lang w:bidi="ar"/>
              </w:rPr>
              <w:t>11,681,937.92</w:t>
            </w:r>
          </w:p>
        </w:tc>
      </w:tr>
      <w:tr w14:paraId="700400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38230603">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财务费用</w:t>
            </w:r>
          </w:p>
        </w:tc>
        <w:tc>
          <w:tcPr>
            <w:tcW w:w="598" w:type="pct"/>
            <w:tcBorders>
              <w:top w:val="outset" w:color="auto" w:sz="4" w:space="0"/>
              <w:left w:val="outset" w:color="auto" w:sz="4" w:space="0"/>
              <w:bottom w:val="outset" w:color="auto" w:sz="4" w:space="0"/>
              <w:right w:val="outset" w:color="auto" w:sz="4" w:space="0"/>
            </w:tcBorders>
            <w:vAlign w:val="center"/>
          </w:tcPr>
          <w:p w14:paraId="6EFAB0BE">
            <w:pPr>
              <w:jc w:val="center"/>
              <w:rPr>
                <w:rFonts w:cs="Times New Roman"/>
              </w:rPr>
            </w:pPr>
          </w:p>
        </w:tc>
        <w:tc>
          <w:tcPr>
            <w:tcW w:w="875" w:type="pct"/>
            <w:tcBorders>
              <w:top w:val="outset" w:color="auto" w:sz="4" w:space="0"/>
              <w:left w:val="outset" w:color="auto" w:sz="4" w:space="0"/>
              <w:bottom w:val="outset" w:color="auto" w:sz="4" w:space="0"/>
              <w:right w:val="outset" w:color="auto" w:sz="4" w:space="0"/>
            </w:tcBorders>
            <w:vAlign w:val="bottom"/>
          </w:tcPr>
          <w:p w14:paraId="66A7C094">
            <w:pPr>
              <w:jc w:val="right"/>
              <w:textAlignment w:val="bottom"/>
              <w:rPr>
                <w:rFonts w:cs="Times New Roman"/>
              </w:rPr>
            </w:pPr>
            <w:r>
              <w:rPr>
                <w:rFonts w:eastAsia="Arial Narrow" w:cs="Times New Roman"/>
                <w:color w:val="000000"/>
                <w:lang w:bidi="ar"/>
              </w:rPr>
              <w:t>1,346,602.34</w:t>
            </w:r>
          </w:p>
        </w:tc>
        <w:tc>
          <w:tcPr>
            <w:tcW w:w="959" w:type="pct"/>
            <w:tcBorders>
              <w:top w:val="outset" w:color="auto" w:sz="4" w:space="0"/>
              <w:left w:val="outset" w:color="auto" w:sz="4" w:space="0"/>
              <w:bottom w:val="outset" w:color="auto" w:sz="4" w:space="0"/>
              <w:right w:val="outset" w:color="auto" w:sz="4" w:space="0"/>
            </w:tcBorders>
            <w:vAlign w:val="bottom"/>
          </w:tcPr>
          <w:p w14:paraId="49F1BB97">
            <w:pPr>
              <w:jc w:val="right"/>
              <w:textAlignment w:val="bottom"/>
              <w:rPr>
                <w:rFonts w:cs="Times New Roman"/>
              </w:rPr>
            </w:pPr>
            <w:r>
              <w:rPr>
                <w:rFonts w:eastAsia="Arial Narrow" w:cs="Times New Roman"/>
                <w:color w:val="000000"/>
                <w:lang w:bidi="ar"/>
              </w:rPr>
              <w:t>-29,689,469.53</w:t>
            </w:r>
          </w:p>
        </w:tc>
      </w:tr>
      <w:tr w14:paraId="03B303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4F9C86A6">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其中：利息费用</w:t>
            </w:r>
          </w:p>
        </w:tc>
        <w:tc>
          <w:tcPr>
            <w:tcW w:w="598" w:type="pct"/>
            <w:tcBorders>
              <w:top w:val="outset" w:color="auto" w:sz="4" w:space="0"/>
              <w:left w:val="outset" w:color="auto" w:sz="4" w:space="0"/>
              <w:bottom w:val="outset" w:color="auto" w:sz="4" w:space="0"/>
              <w:right w:val="outset" w:color="auto" w:sz="4" w:space="0"/>
            </w:tcBorders>
            <w:vAlign w:val="center"/>
          </w:tcPr>
          <w:p w14:paraId="0EE9A853">
            <w:pPr>
              <w:jc w:val="center"/>
              <w:rPr>
                <w:rFonts w:cs="Times New Roman"/>
              </w:rPr>
            </w:pPr>
          </w:p>
        </w:tc>
        <w:tc>
          <w:tcPr>
            <w:tcW w:w="875" w:type="pct"/>
            <w:tcBorders>
              <w:top w:val="outset" w:color="auto" w:sz="4" w:space="0"/>
              <w:left w:val="outset" w:color="auto" w:sz="4" w:space="0"/>
              <w:bottom w:val="outset" w:color="auto" w:sz="4" w:space="0"/>
              <w:right w:val="outset" w:color="auto" w:sz="4" w:space="0"/>
            </w:tcBorders>
            <w:vAlign w:val="bottom"/>
          </w:tcPr>
          <w:p w14:paraId="21D72FAF">
            <w:pPr>
              <w:jc w:val="right"/>
              <w:textAlignment w:val="bottom"/>
              <w:rPr>
                <w:rFonts w:cs="Times New Roman"/>
              </w:rPr>
            </w:pPr>
            <w:r>
              <w:rPr>
                <w:rFonts w:eastAsia="Arial Narrow" w:cs="Times New Roman"/>
                <w:color w:val="000000"/>
                <w:lang w:bidi="ar"/>
              </w:rPr>
              <w:t>38,285,876.22</w:t>
            </w:r>
          </w:p>
        </w:tc>
        <w:tc>
          <w:tcPr>
            <w:tcW w:w="959" w:type="pct"/>
            <w:tcBorders>
              <w:top w:val="outset" w:color="auto" w:sz="4" w:space="0"/>
              <w:left w:val="outset" w:color="auto" w:sz="4" w:space="0"/>
              <w:bottom w:val="outset" w:color="auto" w:sz="4" w:space="0"/>
              <w:right w:val="outset" w:color="auto" w:sz="4" w:space="0"/>
            </w:tcBorders>
            <w:vAlign w:val="bottom"/>
          </w:tcPr>
          <w:p w14:paraId="0352C54A">
            <w:pPr>
              <w:jc w:val="right"/>
              <w:textAlignment w:val="bottom"/>
              <w:rPr>
                <w:rFonts w:cs="Times New Roman"/>
              </w:rPr>
            </w:pPr>
            <w:r>
              <w:rPr>
                <w:rFonts w:eastAsia="Arial Narrow" w:cs="Times New Roman"/>
                <w:color w:val="000000"/>
                <w:lang w:bidi="ar"/>
              </w:rPr>
              <w:t>21,594,003.91</w:t>
            </w:r>
          </w:p>
        </w:tc>
      </w:tr>
      <w:tr w14:paraId="268A5B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6A98A179">
            <w:pPr>
              <w:ind w:firstLine="1260" w:firstLineChars="6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利息收入</w:t>
            </w:r>
          </w:p>
        </w:tc>
        <w:tc>
          <w:tcPr>
            <w:tcW w:w="598" w:type="pct"/>
            <w:tcBorders>
              <w:top w:val="outset" w:color="auto" w:sz="4" w:space="0"/>
              <w:left w:val="outset" w:color="auto" w:sz="4" w:space="0"/>
              <w:bottom w:val="outset" w:color="auto" w:sz="4" w:space="0"/>
              <w:right w:val="outset" w:color="auto" w:sz="4" w:space="0"/>
            </w:tcBorders>
            <w:vAlign w:val="center"/>
          </w:tcPr>
          <w:p w14:paraId="1C4EB580">
            <w:pPr>
              <w:jc w:val="center"/>
              <w:rPr>
                <w:rFonts w:cs="Times New Roman"/>
              </w:rPr>
            </w:pPr>
          </w:p>
        </w:tc>
        <w:tc>
          <w:tcPr>
            <w:tcW w:w="875" w:type="pct"/>
            <w:tcBorders>
              <w:top w:val="outset" w:color="auto" w:sz="4" w:space="0"/>
              <w:left w:val="outset" w:color="auto" w:sz="4" w:space="0"/>
              <w:bottom w:val="outset" w:color="auto" w:sz="4" w:space="0"/>
              <w:right w:val="outset" w:color="auto" w:sz="4" w:space="0"/>
            </w:tcBorders>
            <w:vAlign w:val="bottom"/>
          </w:tcPr>
          <w:p w14:paraId="1A5A4EC4">
            <w:pPr>
              <w:jc w:val="right"/>
              <w:textAlignment w:val="bottom"/>
              <w:rPr>
                <w:rFonts w:cs="Times New Roman"/>
              </w:rPr>
            </w:pPr>
            <w:r>
              <w:rPr>
                <w:rFonts w:eastAsia="Arial Narrow" w:cs="Times New Roman"/>
                <w:color w:val="000000"/>
                <w:lang w:bidi="ar"/>
              </w:rPr>
              <w:t>36,950,893.68</w:t>
            </w:r>
          </w:p>
        </w:tc>
        <w:tc>
          <w:tcPr>
            <w:tcW w:w="959" w:type="pct"/>
            <w:tcBorders>
              <w:top w:val="outset" w:color="auto" w:sz="4" w:space="0"/>
              <w:left w:val="outset" w:color="auto" w:sz="4" w:space="0"/>
              <w:bottom w:val="outset" w:color="auto" w:sz="4" w:space="0"/>
              <w:right w:val="outset" w:color="auto" w:sz="4" w:space="0"/>
            </w:tcBorders>
            <w:vAlign w:val="bottom"/>
          </w:tcPr>
          <w:p w14:paraId="36E33DB8">
            <w:pPr>
              <w:jc w:val="right"/>
              <w:textAlignment w:val="bottom"/>
              <w:rPr>
                <w:rFonts w:cs="Times New Roman"/>
              </w:rPr>
            </w:pPr>
            <w:r>
              <w:rPr>
                <w:rFonts w:eastAsia="Arial Narrow" w:cs="Times New Roman"/>
                <w:color w:val="000000"/>
                <w:lang w:bidi="ar"/>
              </w:rPr>
              <w:t>51,310,705.49</w:t>
            </w:r>
          </w:p>
        </w:tc>
      </w:tr>
      <w:tr w14:paraId="0F2213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1C64C5FD">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加：其他收益</w:t>
            </w:r>
          </w:p>
        </w:tc>
        <w:tc>
          <w:tcPr>
            <w:tcW w:w="598" w:type="pct"/>
            <w:tcBorders>
              <w:top w:val="outset" w:color="auto" w:sz="4" w:space="0"/>
              <w:left w:val="outset" w:color="auto" w:sz="4" w:space="0"/>
              <w:bottom w:val="outset" w:color="auto" w:sz="4" w:space="0"/>
              <w:right w:val="outset" w:color="auto" w:sz="4" w:space="0"/>
            </w:tcBorders>
            <w:vAlign w:val="center"/>
          </w:tcPr>
          <w:p w14:paraId="0ED29746">
            <w:pPr>
              <w:jc w:val="center"/>
              <w:rPr>
                <w:rFonts w:cs="Times New Roman"/>
              </w:rPr>
            </w:pPr>
          </w:p>
        </w:tc>
        <w:tc>
          <w:tcPr>
            <w:tcW w:w="875" w:type="pct"/>
            <w:tcBorders>
              <w:top w:val="outset" w:color="auto" w:sz="4" w:space="0"/>
              <w:left w:val="outset" w:color="auto" w:sz="4" w:space="0"/>
              <w:bottom w:val="outset" w:color="auto" w:sz="4" w:space="0"/>
              <w:right w:val="outset" w:color="auto" w:sz="4" w:space="0"/>
            </w:tcBorders>
            <w:vAlign w:val="bottom"/>
          </w:tcPr>
          <w:p w14:paraId="043E1E36">
            <w:pPr>
              <w:jc w:val="right"/>
              <w:textAlignment w:val="bottom"/>
              <w:rPr>
                <w:rFonts w:cs="Times New Roman"/>
              </w:rPr>
            </w:pPr>
            <w:r>
              <w:rPr>
                <w:rFonts w:eastAsia="Arial Narrow" w:cs="Times New Roman"/>
                <w:color w:val="000000"/>
                <w:lang w:bidi="ar"/>
              </w:rPr>
              <w:t>1,277,592.97</w:t>
            </w:r>
          </w:p>
        </w:tc>
        <w:tc>
          <w:tcPr>
            <w:tcW w:w="959" w:type="pct"/>
            <w:tcBorders>
              <w:top w:val="outset" w:color="auto" w:sz="4" w:space="0"/>
              <w:left w:val="outset" w:color="auto" w:sz="4" w:space="0"/>
              <w:bottom w:val="outset" w:color="auto" w:sz="4" w:space="0"/>
              <w:right w:val="outset" w:color="auto" w:sz="4" w:space="0"/>
            </w:tcBorders>
            <w:vAlign w:val="bottom"/>
          </w:tcPr>
          <w:p w14:paraId="28281140">
            <w:pPr>
              <w:jc w:val="right"/>
              <w:textAlignment w:val="bottom"/>
              <w:rPr>
                <w:rFonts w:cs="Times New Roman"/>
              </w:rPr>
            </w:pPr>
            <w:r>
              <w:rPr>
                <w:rFonts w:eastAsia="Arial Narrow" w:cs="Times New Roman"/>
                <w:color w:val="000000"/>
                <w:lang w:bidi="ar"/>
              </w:rPr>
              <w:t>265,848.92</w:t>
            </w:r>
          </w:p>
        </w:tc>
      </w:tr>
      <w:tr w14:paraId="061846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5E4C8738">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投资收益（损失以“－”号填列）</w:t>
            </w:r>
          </w:p>
        </w:tc>
        <w:tc>
          <w:tcPr>
            <w:tcW w:w="598" w:type="pct"/>
            <w:tcBorders>
              <w:top w:val="outset" w:color="auto" w:sz="4" w:space="0"/>
              <w:left w:val="outset" w:color="auto" w:sz="4" w:space="0"/>
              <w:bottom w:val="outset" w:color="auto" w:sz="4" w:space="0"/>
              <w:right w:val="outset" w:color="auto" w:sz="4" w:space="0"/>
            </w:tcBorders>
            <w:vAlign w:val="center"/>
          </w:tcPr>
          <w:p w14:paraId="0467490A">
            <w:pPr>
              <w:jc w:val="center"/>
              <w:textAlignment w:val="center"/>
              <w:rPr>
                <w:rFonts w:cs="Times New Roman"/>
              </w:rPr>
            </w:pPr>
            <w:r>
              <w:rPr>
                <w:rFonts w:cs="Times New Roman"/>
                <w:color w:val="000000"/>
                <w:sz w:val="20"/>
                <w:szCs w:val="20"/>
                <w:lang w:bidi="ar"/>
              </w:rPr>
              <w:t>十九、5</w:t>
            </w:r>
          </w:p>
        </w:tc>
        <w:tc>
          <w:tcPr>
            <w:tcW w:w="875" w:type="pct"/>
            <w:tcBorders>
              <w:top w:val="outset" w:color="auto" w:sz="4" w:space="0"/>
              <w:left w:val="outset" w:color="auto" w:sz="4" w:space="0"/>
              <w:bottom w:val="outset" w:color="auto" w:sz="4" w:space="0"/>
              <w:right w:val="outset" w:color="auto" w:sz="4" w:space="0"/>
            </w:tcBorders>
            <w:vAlign w:val="bottom"/>
          </w:tcPr>
          <w:p w14:paraId="148C6FBF">
            <w:pPr>
              <w:jc w:val="right"/>
              <w:textAlignment w:val="bottom"/>
              <w:rPr>
                <w:rFonts w:cs="Times New Roman"/>
              </w:rPr>
            </w:pPr>
            <w:r>
              <w:rPr>
                <w:rFonts w:eastAsia="Arial Narrow" w:cs="Times New Roman"/>
                <w:color w:val="000000"/>
                <w:lang w:bidi="ar"/>
              </w:rPr>
              <w:t>152,751,842.28</w:t>
            </w:r>
          </w:p>
        </w:tc>
        <w:tc>
          <w:tcPr>
            <w:tcW w:w="959" w:type="pct"/>
            <w:tcBorders>
              <w:top w:val="outset" w:color="auto" w:sz="4" w:space="0"/>
              <w:left w:val="outset" w:color="auto" w:sz="4" w:space="0"/>
              <w:bottom w:val="outset" w:color="auto" w:sz="4" w:space="0"/>
              <w:right w:val="outset" w:color="auto" w:sz="4" w:space="0"/>
            </w:tcBorders>
            <w:vAlign w:val="bottom"/>
          </w:tcPr>
          <w:p w14:paraId="01095ED5">
            <w:pPr>
              <w:jc w:val="right"/>
              <w:textAlignment w:val="bottom"/>
              <w:rPr>
                <w:rFonts w:cs="Times New Roman"/>
              </w:rPr>
            </w:pPr>
            <w:r>
              <w:rPr>
                <w:rFonts w:eastAsia="Arial Narrow" w:cs="Times New Roman"/>
                <w:color w:val="000000"/>
                <w:lang w:bidi="ar"/>
              </w:rPr>
              <w:t>2,326,339.29</w:t>
            </w:r>
          </w:p>
        </w:tc>
      </w:tr>
      <w:tr w14:paraId="774D33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1F230485">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其中：对联营企业和合营企业的投资收益</w:t>
            </w:r>
          </w:p>
        </w:tc>
        <w:tc>
          <w:tcPr>
            <w:tcW w:w="598" w:type="pct"/>
            <w:tcBorders>
              <w:top w:val="outset" w:color="auto" w:sz="4" w:space="0"/>
              <w:left w:val="outset" w:color="auto" w:sz="4" w:space="0"/>
              <w:bottom w:val="outset" w:color="auto" w:sz="4" w:space="0"/>
              <w:right w:val="outset" w:color="auto" w:sz="4" w:space="0"/>
            </w:tcBorders>
            <w:vAlign w:val="center"/>
          </w:tcPr>
          <w:p w14:paraId="000D3766">
            <w:pPr>
              <w:jc w:val="center"/>
              <w:rPr>
                <w:rFonts w:cs="Times New Roman"/>
              </w:rPr>
            </w:pPr>
          </w:p>
        </w:tc>
        <w:tc>
          <w:tcPr>
            <w:tcW w:w="875" w:type="pct"/>
            <w:tcBorders>
              <w:top w:val="outset" w:color="auto" w:sz="4" w:space="0"/>
              <w:left w:val="outset" w:color="auto" w:sz="4" w:space="0"/>
              <w:bottom w:val="outset" w:color="auto" w:sz="4" w:space="0"/>
              <w:right w:val="outset" w:color="auto" w:sz="4" w:space="0"/>
            </w:tcBorders>
            <w:vAlign w:val="bottom"/>
          </w:tcPr>
          <w:p w14:paraId="566D1C37">
            <w:pPr>
              <w:jc w:val="right"/>
              <w:textAlignment w:val="bottom"/>
              <w:rPr>
                <w:rFonts w:cs="Times New Roman"/>
              </w:rPr>
            </w:pPr>
            <w:r>
              <w:rPr>
                <w:rFonts w:eastAsia="Arial Narrow" w:cs="Times New Roman"/>
                <w:color w:val="000000"/>
                <w:lang w:bidi="ar"/>
              </w:rPr>
              <w:t>5,787.51</w:t>
            </w:r>
          </w:p>
        </w:tc>
        <w:tc>
          <w:tcPr>
            <w:tcW w:w="959" w:type="pct"/>
            <w:tcBorders>
              <w:top w:val="outset" w:color="auto" w:sz="4" w:space="0"/>
              <w:left w:val="outset" w:color="auto" w:sz="4" w:space="0"/>
              <w:bottom w:val="outset" w:color="auto" w:sz="4" w:space="0"/>
              <w:right w:val="outset" w:color="auto" w:sz="4" w:space="0"/>
            </w:tcBorders>
            <w:vAlign w:val="bottom"/>
          </w:tcPr>
          <w:p w14:paraId="7A6A9909">
            <w:pPr>
              <w:jc w:val="right"/>
              <w:textAlignment w:val="bottom"/>
              <w:rPr>
                <w:rFonts w:cs="Times New Roman"/>
              </w:rPr>
            </w:pPr>
            <w:r>
              <w:rPr>
                <w:rFonts w:eastAsia="Arial Narrow" w:cs="Times New Roman"/>
                <w:color w:val="000000"/>
                <w:lang w:bidi="ar"/>
              </w:rPr>
              <w:t>-508,432.93</w:t>
            </w:r>
          </w:p>
        </w:tc>
      </w:tr>
      <w:tr w14:paraId="729293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320E9FAD">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信用减值损失（损失以“-”号填列）</w:t>
            </w:r>
          </w:p>
        </w:tc>
        <w:tc>
          <w:tcPr>
            <w:tcW w:w="598" w:type="pct"/>
            <w:tcBorders>
              <w:top w:val="outset" w:color="auto" w:sz="4" w:space="0"/>
              <w:left w:val="outset" w:color="auto" w:sz="4" w:space="0"/>
              <w:bottom w:val="outset" w:color="auto" w:sz="4" w:space="0"/>
              <w:right w:val="outset" w:color="auto" w:sz="4" w:space="0"/>
            </w:tcBorders>
            <w:vAlign w:val="center"/>
          </w:tcPr>
          <w:p w14:paraId="0DA5ADE5">
            <w:pPr>
              <w:jc w:val="center"/>
              <w:rPr>
                <w:rFonts w:cs="Times New Roman"/>
              </w:rPr>
            </w:pPr>
          </w:p>
        </w:tc>
        <w:tc>
          <w:tcPr>
            <w:tcW w:w="875" w:type="pct"/>
            <w:tcBorders>
              <w:top w:val="outset" w:color="auto" w:sz="4" w:space="0"/>
              <w:left w:val="outset" w:color="auto" w:sz="4" w:space="0"/>
              <w:bottom w:val="outset" w:color="auto" w:sz="4" w:space="0"/>
              <w:right w:val="outset" w:color="auto" w:sz="4" w:space="0"/>
            </w:tcBorders>
            <w:vAlign w:val="bottom"/>
          </w:tcPr>
          <w:p w14:paraId="49A11FE6">
            <w:pPr>
              <w:jc w:val="right"/>
              <w:rPr>
                <w:rFonts w:cs="Times New Roman"/>
              </w:rPr>
            </w:pPr>
          </w:p>
        </w:tc>
        <w:tc>
          <w:tcPr>
            <w:tcW w:w="959" w:type="pct"/>
            <w:tcBorders>
              <w:top w:val="outset" w:color="auto" w:sz="4" w:space="0"/>
              <w:left w:val="outset" w:color="auto" w:sz="4" w:space="0"/>
              <w:bottom w:val="outset" w:color="auto" w:sz="4" w:space="0"/>
              <w:right w:val="outset" w:color="auto" w:sz="4" w:space="0"/>
            </w:tcBorders>
            <w:vAlign w:val="bottom"/>
          </w:tcPr>
          <w:p w14:paraId="74B15E54">
            <w:pPr>
              <w:jc w:val="right"/>
              <w:textAlignment w:val="bottom"/>
              <w:rPr>
                <w:rFonts w:cs="Times New Roman"/>
              </w:rPr>
            </w:pPr>
            <w:r>
              <w:rPr>
                <w:rFonts w:eastAsia="Arial Narrow" w:cs="Times New Roman"/>
                <w:color w:val="000000"/>
                <w:lang w:bidi="ar"/>
              </w:rPr>
              <w:t>-3,324,058.70</w:t>
            </w:r>
          </w:p>
        </w:tc>
      </w:tr>
      <w:tr w14:paraId="751094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2FE1B8DB">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资产减值损失（损失以“-”号填列）</w:t>
            </w:r>
          </w:p>
        </w:tc>
        <w:tc>
          <w:tcPr>
            <w:tcW w:w="598" w:type="pct"/>
            <w:tcBorders>
              <w:top w:val="outset" w:color="auto" w:sz="4" w:space="0"/>
              <w:left w:val="outset" w:color="auto" w:sz="4" w:space="0"/>
              <w:bottom w:val="outset" w:color="auto" w:sz="4" w:space="0"/>
              <w:right w:val="outset" w:color="auto" w:sz="4" w:space="0"/>
            </w:tcBorders>
            <w:vAlign w:val="center"/>
          </w:tcPr>
          <w:p w14:paraId="66A55BFE">
            <w:pPr>
              <w:jc w:val="center"/>
              <w:rPr>
                <w:rFonts w:cs="Times New Roman"/>
              </w:rPr>
            </w:pPr>
          </w:p>
        </w:tc>
        <w:tc>
          <w:tcPr>
            <w:tcW w:w="875" w:type="pct"/>
            <w:tcBorders>
              <w:top w:val="outset" w:color="auto" w:sz="4" w:space="0"/>
              <w:left w:val="outset" w:color="auto" w:sz="4" w:space="0"/>
              <w:bottom w:val="outset" w:color="auto" w:sz="4" w:space="0"/>
              <w:right w:val="outset" w:color="auto" w:sz="4" w:space="0"/>
            </w:tcBorders>
            <w:vAlign w:val="bottom"/>
          </w:tcPr>
          <w:p w14:paraId="473B7EA3">
            <w:pPr>
              <w:jc w:val="right"/>
              <w:textAlignment w:val="bottom"/>
              <w:rPr>
                <w:rFonts w:cs="Times New Roman"/>
              </w:rPr>
            </w:pPr>
            <w:r>
              <w:rPr>
                <w:rFonts w:eastAsia="Arial Narrow" w:cs="Times New Roman"/>
                <w:color w:val="000000"/>
                <w:lang w:bidi="ar"/>
              </w:rPr>
              <w:t>-24,743,102.39</w:t>
            </w:r>
          </w:p>
        </w:tc>
        <w:tc>
          <w:tcPr>
            <w:tcW w:w="959" w:type="pct"/>
            <w:tcBorders>
              <w:top w:val="outset" w:color="auto" w:sz="4" w:space="0"/>
              <w:left w:val="outset" w:color="auto" w:sz="4" w:space="0"/>
              <w:bottom w:val="outset" w:color="auto" w:sz="4" w:space="0"/>
              <w:right w:val="outset" w:color="auto" w:sz="4" w:space="0"/>
            </w:tcBorders>
            <w:vAlign w:val="bottom"/>
          </w:tcPr>
          <w:p w14:paraId="27E7A7CF">
            <w:pPr>
              <w:jc w:val="right"/>
              <w:rPr>
                <w:rFonts w:cs="Times New Roman"/>
              </w:rPr>
            </w:pPr>
          </w:p>
        </w:tc>
      </w:tr>
      <w:tr w14:paraId="7BF869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2099BB1D">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资产处置收益（损失以“－”号填列）</w:t>
            </w:r>
          </w:p>
        </w:tc>
        <w:tc>
          <w:tcPr>
            <w:tcW w:w="598" w:type="pct"/>
            <w:tcBorders>
              <w:top w:val="outset" w:color="auto" w:sz="4" w:space="0"/>
              <w:left w:val="outset" w:color="auto" w:sz="4" w:space="0"/>
              <w:bottom w:val="outset" w:color="auto" w:sz="4" w:space="0"/>
              <w:right w:val="outset" w:color="auto" w:sz="4" w:space="0"/>
            </w:tcBorders>
            <w:vAlign w:val="center"/>
          </w:tcPr>
          <w:p w14:paraId="36F8655E">
            <w:pPr>
              <w:jc w:val="center"/>
              <w:rPr>
                <w:rFonts w:cs="Times New Roman"/>
              </w:rPr>
            </w:pPr>
          </w:p>
        </w:tc>
        <w:tc>
          <w:tcPr>
            <w:tcW w:w="875" w:type="pct"/>
            <w:tcBorders>
              <w:top w:val="outset" w:color="auto" w:sz="4" w:space="0"/>
              <w:left w:val="outset" w:color="auto" w:sz="4" w:space="0"/>
              <w:bottom w:val="outset" w:color="auto" w:sz="4" w:space="0"/>
              <w:right w:val="outset" w:color="auto" w:sz="4" w:space="0"/>
            </w:tcBorders>
            <w:vAlign w:val="bottom"/>
          </w:tcPr>
          <w:p w14:paraId="281F5847">
            <w:pPr>
              <w:jc w:val="right"/>
              <w:rPr>
                <w:rFonts w:cs="Times New Roman"/>
              </w:rPr>
            </w:pPr>
          </w:p>
        </w:tc>
        <w:tc>
          <w:tcPr>
            <w:tcW w:w="959" w:type="pct"/>
            <w:tcBorders>
              <w:top w:val="outset" w:color="auto" w:sz="4" w:space="0"/>
              <w:left w:val="outset" w:color="auto" w:sz="4" w:space="0"/>
              <w:bottom w:val="outset" w:color="auto" w:sz="4" w:space="0"/>
              <w:right w:val="outset" w:color="auto" w:sz="4" w:space="0"/>
            </w:tcBorders>
            <w:vAlign w:val="bottom"/>
          </w:tcPr>
          <w:p w14:paraId="42B348AF">
            <w:pPr>
              <w:jc w:val="right"/>
              <w:rPr>
                <w:rFonts w:cs="Times New Roman"/>
              </w:rPr>
            </w:pPr>
          </w:p>
        </w:tc>
      </w:tr>
      <w:tr w14:paraId="69251A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029ACDF5">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二、营业利润（亏损以“－”号填列）</w:t>
            </w:r>
          </w:p>
        </w:tc>
        <w:tc>
          <w:tcPr>
            <w:tcW w:w="598" w:type="pct"/>
            <w:tcBorders>
              <w:top w:val="outset" w:color="auto" w:sz="4" w:space="0"/>
              <w:left w:val="outset" w:color="auto" w:sz="4" w:space="0"/>
              <w:bottom w:val="outset" w:color="auto" w:sz="4" w:space="0"/>
              <w:right w:val="outset" w:color="auto" w:sz="4" w:space="0"/>
            </w:tcBorders>
            <w:vAlign w:val="center"/>
          </w:tcPr>
          <w:p w14:paraId="0F9998C6">
            <w:pPr>
              <w:jc w:val="center"/>
              <w:rPr>
                <w:rFonts w:cs="Times New Roman"/>
              </w:rPr>
            </w:pPr>
          </w:p>
        </w:tc>
        <w:tc>
          <w:tcPr>
            <w:tcW w:w="875" w:type="pct"/>
            <w:tcBorders>
              <w:top w:val="outset" w:color="auto" w:sz="4" w:space="0"/>
              <w:left w:val="outset" w:color="auto" w:sz="4" w:space="0"/>
              <w:bottom w:val="outset" w:color="auto" w:sz="4" w:space="0"/>
              <w:right w:val="outset" w:color="auto" w:sz="4" w:space="0"/>
            </w:tcBorders>
            <w:vAlign w:val="bottom"/>
          </w:tcPr>
          <w:p w14:paraId="2EF0BFC6">
            <w:pPr>
              <w:jc w:val="right"/>
              <w:textAlignment w:val="bottom"/>
              <w:rPr>
                <w:rFonts w:cs="Times New Roman"/>
              </w:rPr>
            </w:pPr>
            <w:r>
              <w:rPr>
                <w:rFonts w:eastAsia="Arial Narrow" w:cs="Times New Roman"/>
                <w:color w:val="000000"/>
                <w:lang w:bidi="ar"/>
              </w:rPr>
              <w:t>72,819,954.33</w:t>
            </w:r>
          </w:p>
        </w:tc>
        <w:tc>
          <w:tcPr>
            <w:tcW w:w="959" w:type="pct"/>
            <w:tcBorders>
              <w:top w:val="outset" w:color="auto" w:sz="4" w:space="0"/>
              <w:left w:val="outset" w:color="auto" w:sz="4" w:space="0"/>
              <w:bottom w:val="outset" w:color="auto" w:sz="4" w:space="0"/>
              <w:right w:val="outset" w:color="auto" w:sz="4" w:space="0"/>
            </w:tcBorders>
            <w:vAlign w:val="bottom"/>
          </w:tcPr>
          <w:p w14:paraId="6CC02529">
            <w:pPr>
              <w:jc w:val="right"/>
              <w:textAlignment w:val="bottom"/>
              <w:rPr>
                <w:rFonts w:cs="Times New Roman"/>
              </w:rPr>
            </w:pPr>
            <w:r>
              <w:rPr>
                <w:rFonts w:eastAsia="Arial Narrow" w:cs="Times New Roman"/>
                <w:color w:val="000000"/>
                <w:lang w:bidi="ar"/>
              </w:rPr>
              <w:t>-35,594,576.48</w:t>
            </w:r>
          </w:p>
        </w:tc>
      </w:tr>
      <w:tr w14:paraId="1D9470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0E25B9AF">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加：营业外收入</w:t>
            </w:r>
          </w:p>
        </w:tc>
        <w:tc>
          <w:tcPr>
            <w:tcW w:w="598" w:type="pct"/>
            <w:tcBorders>
              <w:top w:val="outset" w:color="auto" w:sz="4" w:space="0"/>
              <w:left w:val="outset" w:color="auto" w:sz="4" w:space="0"/>
              <w:bottom w:val="outset" w:color="auto" w:sz="4" w:space="0"/>
              <w:right w:val="outset" w:color="auto" w:sz="4" w:space="0"/>
            </w:tcBorders>
            <w:vAlign w:val="center"/>
          </w:tcPr>
          <w:p w14:paraId="48A93543">
            <w:pPr>
              <w:jc w:val="center"/>
              <w:rPr>
                <w:rFonts w:cs="Times New Roman"/>
              </w:rPr>
            </w:pPr>
          </w:p>
        </w:tc>
        <w:tc>
          <w:tcPr>
            <w:tcW w:w="875" w:type="pct"/>
            <w:tcBorders>
              <w:top w:val="outset" w:color="auto" w:sz="4" w:space="0"/>
              <w:left w:val="outset" w:color="auto" w:sz="4" w:space="0"/>
              <w:bottom w:val="outset" w:color="auto" w:sz="4" w:space="0"/>
              <w:right w:val="outset" w:color="auto" w:sz="4" w:space="0"/>
            </w:tcBorders>
            <w:vAlign w:val="bottom"/>
          </w:tcPr>
          <w:p w14:paraId="31B0AFD1">
            <w:pPr>
              <w:jc w:val="right"/>
              <w:textAlignment w:val="bottom"/>
              <w:rPr>
                <w:rFonts w:cs="Times New Roman"/>
              </w:rPr>
            </w:pPr>
            <w:r>
              <w:rPr>
                <w:rFonts w:eastAsia="Arial Narrow" w:cs="Times New Roman"/>
                <w:color w:val="000000"/>
                <w:lang w:bidi="ar"/>
              </w:rPr>
              <w:t>556,155.00</w:t>
            </w:r>
          </w:p>
        </w:tc>
        <w:tc>
          <w:tcPr>
            <w:tcW w:w="959" w:type="pct"/>
            <w:tcBorders>
              <w:top w:val="outset" w:color="auto" w:sz="4" w:space="0"/>
              <w:left w:val="outset" w:color="auto" w:sz="4" w:space="0"/>
              <w:bottom w:val="outset" w:color="auto" w:sz="4" w:space="0"/>
              <w:right w:val="outset" w:color="auto" w:sz="4" w:space="0"/>
            </w:tcBorders>
            <w:vAlign w:val="bottom"/>
          </w:tcPr>
          <w:p w14:paraId="02B69215">
            <w:pPr>
              <w:jc w:val="right"/>
              <w:textAlignment w:val="bottom"/>
              <w:rPr>
                <w:rFonts w:cs="Times New Roman"/>
              </w:rPr>
            </w:pPr>
            <w:r>
              <w:rPr>
                <w:rFonts w:eastAsia="Arial Narrow" w:cs="Times New Roman"/>
                <w:color w:val="000000"/>
                <w:lang w:bidi="ar"/>
              </w:rPr>
              <w:t>50,588.00</w:t>
            </w:r>
          </w:p>
        </w:tc>
      </w:tr>
      <w:tr w14:paraId="126833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524D6855">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减：营业外支出</w:t>
            </w:r>
          </w:p>
        </w:tc>
        <w:tc>
          <w:tcPr>
            <w:tcW w:w="598" w:type="pct"/>
            <w:tcBorders>
              <w:top w:val="outset" w:color="auto" w:sz="4" w:space="0"/>
              <w:left w:val="outset" w:color="auto" w:sz="4" w:space="0"/>
              <w:bottom w:val="outset" w:color="auto" w:sz="4" w:space="0"/>
              <w:right w:val="outset" w:color="auto" w:sz="4" w:space="0"/>
            </w:tcBorders>
            <w:vAlign w:val="center"/>
          </w:tcPr>
          <w:p w14:paraId="16CA6A8D">
            <w:pPr>
              <w:jc w:val="center"/>
              <w:rPr>
                <w:rFonts w:cs="Times New Roman"/>
              </w:rPr>
            </w:pPr>
          </w:p>
        </w:tc>
        <w:tc>
          <w:tcPr>
            <w:tcW w:w="875" w:type="pct"/>
            <w:tcBorders>
              <w:top w:val="outset" w:color="auto" w:sz="4" w:space="0"/>
              <w:left w:val="outset" w:color="auto" w:sz="4" w:space="0"/>
              <w:bottom w:val="outset" w:color="auto" w:sz="4" w:space="0"/>
              <w:right w:val="outset" w:color="auto" w:sz="4" w:space="0"/>
            </w:tcBorders>
            <w:vAlign w:val="bottom"/>
          </w:tcPr>
          <w:p w14:paraId="5212608D">
            <w:pPr>
              <w:jc w:val="right"/>
              <w:textAlignment w:val="bottom"/>
              <w:rPr>
                <w:rFonts w:cs="Times New Roman"/>
              </w:rPr>
            </w:pPr>
            <w:r>
              <w:rPr>
                <w:rFonts w:eastAsia="Arial Narrow" w:cs="Times New Roman"/>
                <w:color w:val="000000"/>
                <w:lang w:bidi="ar"/>
              </w:rPr>
              <w:t>241.57</w:t>
            </w:r>
          </w:p>
        </w:tc>
        <w:tc>
          <w:tcPr>
            <w:tcW w:w="959" w:type="pct"/>
            <w:tcBorders>
              <w:top w:val="outset" w:color="auto" w:sz="4" w:space="0"/>
              <w:left w:val="outset" w:color="auto" w:sz="4" w:space="0"/>
              <w:bottom w:val="outset" w:color="auto" w:sz="4" w:space="0"/>
              <w:right w:val="outset" w:color="auto" w:sz="4" w:space="0"/>
            </w:tcBorders>
            <w:vAlign w:val="bottom"/>
          </w:tcPr>
          <w:p w14:paraId="438EA499">
            <w:pPr>
              <w:jc w:val="right"/>
              <w:rPr>
                <w:rFonts w:cs="Times New Roman"/>
              </w:rPr>
            </w:pPr>
          </w:p>
        </w:tc>
      </w:tr>
      <w:tr w14:paraId="6FA6D7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16207DD6">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三、利润总额（亏损总额以“－”号填列）</w:t>
            </w:r>
          </w:p>
        </w:tc>
        <w:tc>
          <w:tcPr>
            <w:tcW w:w="598" w:type="pct"/>
            <w:tcBorders>
              <w:top w:val="outset" w:color="auto" w:sz="4" w:space="0"/>
              <w:left w:val="outset" w:color="auto" w:sz="4" w:space="0"/>
              <w:bottom w:val="outset" w:color="auto" w:sz="4" w:space="0"/>
              <w:right w:val="outset" w:color="auto" w:sz="4" w:space="0"/>
            </w:tcBorders>
            <w:vAlign w:val="center"/>
          </w:tcPr>
          <w:p w14:paraId="7F96F2EE">
            <w:pPr>
              <w:jc w:val="center"/>
              <w:rPr>
                <w:rFonts w:cs="Times New Roman"/>
              </w:rPr>
            </w:pPr>
          </w:p>
        </w:tc>
        <w:tc>
          <w:tcPr>
            <w:tcW w:w="875" w:type="pct"/>
            <w:tcBorders>
              <w:top w:val="outset" w:color="auto" w:sz="4" w:space="0"/>
              <w:left w:val="outset" w:color="auto" w:sz="4" w:space="0"/>
              <w:bottom w:val="outset" w:color="auto" w:sz="4" w:space="0"/>
              <w:right w:val="outset" w:color="auto" w:sz="4" w:space="0"/>
            </w:tcBorders>
            <w:vAlign w:val="bottom"/>
          </w:tcPr>
          <w:p w14:paraId="25A452DD">
            <w:pPr>
              <w:jc w:val="right"/>
              <w:textAlignment w:val="bottom"/>
              <w:rPr>
                <w:rFonts w:cs="Times New Roman"/>
              </w:rPr>
            </w:pPr>
            <w:r>
              <w:rPr>
                <w:rFonts w:eastAsia="Arial Narrow" w:cs="Times New Roman"/>
                <w:color w:val="000000"/>
                <w:lang w:bidi="ar"/>
              </w:rPr>
              <w:t>73,375,867.76</w:t>
            </w:r>
          </w:p>
        </w:tc>
        <w:tc>
          <w:tcPr>
            <w:tcW w:w="959" w:type="pct"/>
            <w:tcBorders>
              <w:top w:val="outset" w:color="auto" w:sz="4" w:space="0"/>
              <w:left w:val="outset" w:color="auto" w:sz="4" w:space="0"/>
              <w:bottom w:val="outset" w:color="auto" w:sz="4" w:space="0"/>
              <w:right w:val="outset" w:color="auto" w:sz="4" w:space="0"/>
            </w:tcBorders>
            <w:vAlign w:val="bottom"/>
          </w:tcPr>
          <w:p w14:paraId="25CA6765">
            <w:pPr>
              <w:jc w:val="right"/>
              <w:textAlignment w:val="bottom"/>
              <w:rPr>
                <w:rFonts w:cs="Times New Roman"/>
              </w:rPr>
            </w:pPr>
            <w:r>
              <w:rPr>
                <w:rFonts w:eastAsia="Arial Narrow" w:cs="Times New Roman"/>
                <w:color w:val="000000"/>
                <w:lang w:bidi="ar"/>
              </w:rPr>
              <w:t>-35,543,988.48</w:t>
            </w:r>
          </w:p>
        </w:tc>
      </w:tr>
      <w:tr w14:paraId="57B009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30EACF42">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减：所得税费用</w:t>
            </w:r>
          </w:p>
        </w:tc>
        <w:tc>
          <w:tcPr>
            <w:tcW w:w="598" w:type="pct"/>
            <w:tcBorders>
              <w:top w:val="outset" w:color="auto" w:sz="4" w:space="0"/>
              <w:left w:val="outset" w:color="auto" w:sz="4" w:space="0"/>
              <w:bottom w:val="outset" w:color="auto" w:sz="4" w:space="0"/>
              <w:right w:val="outset" w:color="auto" w:sz="4" w:space="0"/>
            </w:tcBorders>
            <w:vAlign w:val="center"/>
          </w:tcPr>
          <w:p w14:paraId="05982C84">
            <w:pPr>
              <w:jc w:val="center"/>
              <w:rPr>
                <w:rFonts w:cs="Times New Roman"/>
              </w:rPr>
            </w:pPr>
          </w:p>
        </w:tc>
        <w:tc>
          <w:tcPr>
            <w:tcW w:w="875" w:type="pct"/>
            <w:tcBorders>
              <w:top w:val="outset" w:color="auto" w:sz="4" w:space="0"/>
              <w:left w:val="outset" w:color="auto" w:sz="4" w:space="0"/>
              <w:bottom w:val="outset" w:color="auto" w:sz="4" w:space="0"/>
              <w:right w:val="outset" w:color="auto" w:sz="4" w:space="0"/>
            </w:tcBorders>
            <w:vAlign w:val="bottom"/>
          </w:tcPr>
          <w:p w14:paraId="1B2F4DF4">
            <w:pPr>
              <w:jc w:val="right"/>
              <w:rPr>
                <w:rFonts w:cs="Times New Roman"/>
              </w:rPr>
            </w:pPr>
          </w:p>
        </w:tc>
        <w:tc>
          <w:tcPr>
            <w:tcW w:w="959" w:type="pct"/>
            <w:tcBorders>
              <w:top w:val="outset" w:color="auto" w:sz="4" w:space="0"/>
              <w:left w:val="outset" w:color="auto" w:sz="4" w:space="0"/>
              <w:bottom w:val="outset" w:color="auto" w:sz="4" w:space="0"/>
              <w:right w:val="outset" w:color="auto" w:sz="4" w:space="0"/>
            </w:tcBorders>
            <w:vAlign w:val="bottom"/>
          </w:tcPr>
          <w:p w14:paraId="45AC0A6D">
            <w:pPr>
              <w:jc w:val="right"/>
              <w:rPr>
                <w:rFonts w:cs="Times New Roman"/>
              </w:rPr>
            </w:pPr>
          </w:p>
        </w:tc>
      </w:tr>
      <w:tr w14:paraId="327F0B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054D024F">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四、净利润（净亏损以“－”号填列）</w:t>
            </w:r>
          </w:p>
        </w:tc>
        <w:tc>
          <w:tcPr>
            <w:tcW w:w="598" w:type="pct"/>
            <w:tcBorders>
              <w:top w:val="outset" w:color="auto" w:sz="4" w:space="0"/>
              <w:left w:val="outset" w:color="auto" w:sz="4" w:space="0"/>
              <w:bottom w:val="outset" w:color="auto" w:sz="4" w:space="0"/>
              <w:right w:val="outset" w:color="auto" w:sz="4" w:space="0"/>
            </w:tcBorders>
            <w:vAlign w:val="center"/>
          </w:tcPr>
          <w:p w14:paraId="435F1E49">
            <w:pPr>
              <w:jc w:val="center"/>
              <w:rPr>
                <w:rFonts w:cs="Times New Roman"/>
              </w:rPr>
            </w:pPr>
          </w:p>
        </w:tc>
        <w:tc>
          <w:tcPr>
            <w:tcW w:w="875" w:type="pct"/>
            <w:tcBorders>
              <w:top w:val="outset" w:color="auto" w:sz="4" w:space="0"/>
              <w:left w:val="outset" w:color="auto" w:sz="4" w:space="0"/>
              <w:bottom w:val="outset" w:color="auto" w:sz="4" w:space="0"/>
              <w:right w:val="outset" w:color="auto" w:sz="4" w:space="0"/>
            </w:tcBorders>
            <w:vAlign w:val="bottom"/>
          </w:tcPr>
          <w:p w14:paraId="64A560F5">
            <w:pPr>
              <w:jc w:val="right"/>
              <w:textAlignment w:val="bottom"/>
              <w:rPr>
                <w:rFonts w:cs="Times New Roman"/>
              </w:rPr>
            </w:pPr>
            <w:r>
              <w:rPr>
                <w:rFonts w:eastAsia="Arial Narrow" w:cs="Times New Roman"/>
                <w:color w:val="000000"/>
                <w:lang w:bidi="ar"/>
              </w:rPr>
              <w:t>73,375,867.76</w:t>
            </w:r>
          </w:p>
        </w:tc>
        <w:tc>
          <w:tcPr>
            <w:tcW w:w="959" w:type="pct"/>
            <w:tcBorders>
              <w:top w:val="outset" w:color="auto" w:sz="4" w:space="0"/>
              <w:left w:val="outset" w:color="auto" w:sz="4" w:space="0"/>
              <w:bottom w:val="outset" w:color="auto" w:sz="4" w:space="0"/>
              <w:right w:val="outset" w:color="auto" w:sz="4" w:space="0"/>
            </w:tcBorders>
            <w:vAlign w:val="bottom"/>
          </w:tcPr>
          <w:p w14:paraId="586B4D0E">
            <w:pPr>
              <w:jc w:val="right"/>
              <w:textAlignment w:val="bottom"/>
              <w:rPr>
                <w:rFonts w:cs="Times New Roman"/>
              </w:rPr>
            </w:pPr>
            <w:r>
              <w:rPr>
                <w:rFonts w:eastAsia="Arial Narrow" w:cs="Times New Roman"/>
                <w:color w:val="000000"/>
                <w:lang w:bidi="ar"/>
              </w:rPr>
              <w:t>-35,543,988.48</w:t>
            </w:r>
          </w:p>
        </w:tc>
      </w:tr>
      <w:tr w14:paraId="268CA1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1B38A91B">
            <w:pPr>
              <w:ind w:firstLine="226" w:firstLineChars="10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（一）持续经营净利润（净亏损以“－”号填列）</w:t>
            </w:r>
          </w:p>
        </w:tc>
        <w:tc>
          <w:tcPr>
            <w:tcW w:w="598" w:type="pct"/>
            <w:tcBorders>
              <w:top w:val="outset" w:color="auto" w:sz="4" w:space="0"/>
              <w:left w:val="outset" w:color="auto" w:sz="4" w:space="0"/>
              <w:bottom w:val="outset" w:color="auto" w:sz="4" w:space="0"/>
              <w:right w:val="outset" w:color="auto" w:sz="4" w:space="0"/>
            </w:tcBorders>
            <w:vAlign w:val="center"/>
          </w:tcPr>
          <w:p w14:paraId="301A9682">
            <w:pPr>
              <w:jc w:val="center"/>
              <w:rPr>
                <w:rFonts w:cs="Times New Roman"/>
              </w:rPr>
            </w:pPr>
          </w:p>
        </w:tc>
        <w:tc>
          <w:tcPr>
            <w:tcW w:w="875" w:type="pct"/>
            <w:tcBorders>
              <w:top w:val="outset" w:color="auto" w:sz="4" w:space="0"/>
              <w:left w:val="outset" w:color="auto" w:sz="4" w:space="0"/>
              <w:bottom w:val="outset" w:color="auto" w:sz="4" w:space="0"/>
              <w:right w:val="outset" w:color="auto" w:sz="4" w:space="0"/>
            </w:tcBorders>
            <w:vAlign w:val="bottom"/>
          </w:tcPr>
          <w:p w14:paraId="491C8B28">
            <w:pPr>
              <w:jc w:val="right"/>
              <w:textAlignment w:val="bottom"/>
              <w:rPr>
                <w:rFonts w:cs="Times New Roman"/>
              </w:rPr>
            </w:pPr>
            <w:r>
              <w:rPr>
                <w:rFonts w:eastAsia="Arial Narrow" w:cs="Times New Roman"/>
                <w:color w:val="000000"/>
                <w:lang w:bidi="ar"/>
              </w:rPr>
              <w:t>73,375,867.76</w:t>
            </w:r>
          </w:p>
        </w:tc>
        <w:tc>
          <w:tcPr>
            <w:tcW w:w="959" w:type="pct"/>
            <w:tcBorders>
              <w:top w:val="outset" w:color="auto" w:sz="4" w:space="0"/>
              <w:left w:val="outset" w:color="auto" w:sz="4" w:space="0"/>
              <w:bottom w:val="outset" w:color="auto" w:sz="4" w:space="0"/>
              <w:right w:val="outset" w:color="auto" w:sz="4" w:space="0"/>
            </w:tcBorders>
            <w:vAlign w:val="bottom"/>
          </w:tcPr>
          <w:p w14:paraId="3C799172">
            <w:pPr>
              <w:jc w:val="right"/>
              <w:textAlignment w:val="bottom"/>
              <w:rPr>
                <w:rFonts w:cs="Times New Roman"/>
              </w:rPr>
            </w:pPr>
            <w:r>
              <w:rPr>
                <w:rFonts w:eastAsia="Arial Narrow" w:cs="Times New Roman"/>
                <w:color w:val="000000"/>
                <w:lang w:bidi="ar"/>
              </w:rPr>
              <w:t>-35,543,988.48</w:t>
            </w:r>
          </w:p>
        </w:tc>
      </w:tr>
      <w:tr w14:paraId="4590CE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5AA6EA10">
            <w:pPr>
              <w:ind w:firstLine="226" w:firstLineChars="10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（二）终止经营净利润（净亏损以“－”号填列）</w:t>
            </w:r>
          </w:p>
        </w:tc>
        <w:tc>
          <w:tcPr>
            <w:tcW w:w="598" w:type="pct"/>
            <w:tcBorders>
              <w:top w:val="outset" w:color="auto" w:sz="4" w:space="0"/>
              <w:left w:val="outset" w:color="auto" w:sz="4" w:space="0"/>
              <w:bottom w:val="outset" w:color="auto" w:sz="4" w:space="0"/>
              <w:right w:val="outset" w:color="auto" w:sz="4" w:space="0"/>
            </w:tcBorders>
            <w:vAlign w:val="center"/>
          </w:tcPr>
          <w:p w14:paraId="1F6FCF92">
            <w:pPr>
              <w:jc w:val="center"/>
              <w:rPr>
                <w:rFonts w:cs="Times New Roman"/>
              </w:rPr>
            </w:pPr>
          </w:p>
        </w:tc>
        <w:tc>
          <w:tcPr>
            <w:tcW w:w="875" w:type="pct"/>
            <w:tcBorders>
              <w:top w:val="outset" w:color="auto" w:sz="4" w:space="0"/>
              <w:left w:val="outset" w:color="auto" w:sz="4" w:space="0"/>
              <w:bottom w:val="outset" w:color="auto" w:sz="4" w:space="0"/>
              <w:right w:val="outset" w:color="auto" w:sz="4" w:space="0"/>
            </w:tcBorders>
            <w:vAlign w:val="bottom"/>
          </w:tcPr>
          <w:p w14:paraId="796D2264">
            <w:pPr>
              <w:jc w:val="right"/>
              <w:rPr>
                <w:rFonts w:cs="Times New Roman"/>
              </w:rPr>
            </w:pPr>
          </w:p>
        </w:tc>
        <w:tc>
          <w:tcPr>
            <w:tcW w:w="959" w:type="pct"/>
            <w:tcBorders>
              <w:top w:val="outset" w:color="auto" w:sz="4" w:space="0"/>
              <w:left w:val="outset" w:color="auto" w:sz="4" w:space="0"/>
              <w:bottom w:val="outset" w:color="auto" w:sz="4" w:space="0"/>
              <w:right w:val="outset" w:color="auto" w:sz="4" w:space="0"/>
            </w:tcBorders>
            <w:vAlign w:val="bottom"/>
          </w:tcPr>
          <w:p w14:paraId="259489E4">
            <w:pPr>
              <w:jc w:val="right"/>
              <w:rPr>
                <w:rFonts w:cs="Times New Roman"/>
              </w:rPr>
            </w:pPr>
          </w:p>
        </w:tc>
      </w:tr>
      <w:tr w14:paraId="15CD75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7FDCF79F">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五、其他综合收益的税后净额</w:t>
            </w:r>
          </w:p>
        </w:tc>
        <w:tc>
          <w:tcPr>
            <w:tcW w:w="598" w:type="pct"/>
            <w:tcBorders>
              <w:top w:val="outset" w:color="auto" w:sz="4" w:space="0"/>
              <w:left w:val="outset" w:color="auto" w:sz="4" w:space="0"/>
              <w:bottom w:val="outset" w:color="auto" w:sz="4" w:space="0"/>
              <w:right w:val="outset" w:color="auto" w:sz="4" w:space="0"/>
            </w:tcBorders>
            <w:vAlign w:val="center"/>
          </w:tcPr>
          <w:p w14:paraId="469CF4A7">
            <w:pPr>
              <w:jc w:val="center"/>
              <w:rPr>
                <w:rFonts w:cs="Times New Roman"/>
              </w:rPr>
            </w:pPr>
          </w:p>
        </w:tc>
        <w:tc>
          <w:tcPr>
            <w:tcW w:w="875" w:type="pct"/>
            <w:tcBorders>
              <w:top w:val="outset" w:color="auto" w:sz="4" w:space="0"/>
              <w:left w:val="outset" w:color="auto" w:sz="4" w:space="0"/>
              <w:bottom w:val="outset" w:color="auto" w:sz="4" w:space="0"/>
              <w:right w:val="outset" w:color="auto" w:sz="4" w:space="0"/>
            </w:tcBorders>
            <w:vAlign w:val="bottom"/>
          </w:tcPr>
          <w:p w14:paraId="0F9D478A">
            <w:pPr>
              <w:jc w:val="right"/>
              <w:rPr>
                <w:rFonts w:cs="Times New Roman"/>
              </w:rPr>
            </w:pPr>
          </w:p>
        </w:tc>
        <w:tc>
          <w:tcPr>
            <w:tcW w:w="959" w:type="pct"/>
            <w:tcBorders>
              <w:top w:val="outset" w:color="auto" w:sz="4" w:space="0"/>
              <w:left w:val="outset" w:color="auto" w:sz="4" w:space="0"/>
              <w:bottom w:val="outset" w:color="auto" w:sz="4" w:space="0"/>
              <w:right w:val="outset" w:color="auto" w:sz="4" w:space="0"/>
            </w:tcBorders>
            <w:vAlign w:val="bottom"/>
          </w:tcPr>
          <w:p w14:paraId="00EE4205">
            <w:pPr>
              <w:jc w:val="right"/>
              <w:rPr>
                <w:rFonts w:cs="Times New Roman"/>
              </w:rPr>
            </w:pPr>
          </w:p>
        </w:tc>
      </w:tr>
      <w:tr w14:paraId="3130F3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54C5468E">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（一）不能重分类进损益的其他综合收益</w:t>
            </w:r>
          </w:p>
        </w:tc>
        <w:tc>
          <w:tcPr>
            <w:tcW w:w="598" w:type="pct"/>
            <w:tcBorders>
              <w:top w:val="outset" w:color="auto" w:sz="4" w:space="0"/>
              <w:left w:val="outset" w:color="auto" w:sz="4" w:space="0"/>
              <w:bottom w:val="outset" w:color="auto" w:sz="4" w:space="0"/>
              <w:right w:val="outset" w:color="auto" w:sz="4" w:space="0"/>
            </w:tcBorders>
            <w:vAlign w:val="center"/>
          </w:tcPr>
          <w:p w14:paraId="6DBF5FF8">
            <w:pPr>
              <w:jc w:val="center"/>
              <w:rPr>
                <w:rFonts w:cs="Times New Roman"/>
              </w:rPr>
            </w:pPr>
          </w:p>
        </w:tc>
        <w:tc>
          <w:tcPr>
            <w:tcW w:w="875" w:type="pct"/>
            <w:tcBorders>
              <w:top w:val="outset" w:color="auto" w:sz="4" w:space="0"/>
              <w:left w:val="outset" w:color="auto" w:sz="4" w:space="0"/>
              <w:bottom w:val="outset" w:color="auto" w:sz="4" w:space="0"/>
              <w:right w:val="outset" w:color="auto" w:sz="4" w:space="0"/>
            </w:tcBorders>
            <w:vAlign w:val="bottom"/>
          </w:tcPr>
          <w:p w14:paraId="0B9BE655">
            <w:pPr>
              <w:jc w:val="right"/>
              <w:rPr>
                <w:rFonts w:cs="Times New Roman"/>
              </w:rPr>
            </w:pPr>
          </w:p>
        </w:tc>
        <w:tc>
          <w:tcPr>
            <w:tcW w:w="959" w:type="pct"/>
            <w:tcBorders>
              <w:top w:val="outset" w:color="auto" w:sz="4" w:space="0"/>
              <w:left w:val="outset" w:color="auto" w:sz="4" w:space="0"/>
              <w:bottom w:val="outset" w:color="auto" w:sz="4" w:space="0"/>
              <w:right w:val="outset" w:color="auto" w:sz="4" w:space="0"/>
            </w:tcBorders>
            <w:vAlign w:val="bottom"/>
          </w:tcPr>
          <w:p w14:paraId="539F1B26">
            <w:pPr>
              <w:jc w:val="right"/>
              <w:rPr>
                <w:rFonts w:cs="Times New Roman"/>
              </w:rPr>
            </w:pPr>
          </w:p>
        </w:tc>
      </w:tr>
      <w:tr w14:paraId="6F136A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65CB0BB7">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（二）将重分类进损益的其他综合收益</w:t>
            </w:r>
          </w:p>
        </w:tc>
        <w:tc>
          <w:tcPr>
            <w:tcW w:w="598" w:type="pct"/>
            <w:tcBorders>
              <w:top w:val="outset" w:color="auto" w:sz="4" w:space="0"/>
              <w:left w:val="outset" w:color="auto" w:sz="4" w:space="0"/>
              <w:bottom w:val="outset" w:color="auto" w:sz="4" w:space="0"/>
              <w:right w:val="outset" w:color="auto" w:sz="4" w:space="0"/>
            </w:tcBorders>
            <w:vAlign w:val="center"/>
          </w:tcPr>
          <w:p w14:paraId="7B7E150E">
            <w:pPr>
              <w:rPr>
                <w:rFonts w:cs="Times New Roman"/>
              </w:rPr>
            </w:pPr>
          </w:p>
        </w:tc>
        <w:tc>
          <w:tcPr>
            <w:tcW w:w="875" w:type="pct"/>
            <w:tcBorders>
              <w:top w:val="outset" w:color="auto" w:sz="4" w:space="0"/>
              <w:left w:val="outset" w:color="auto" w:sz="4" w:space="0"/>
              <w:bottom w:val="outset" w:color="auto" w:sz="4" w:space="0"/>
              <w:right w:val="outset" w:color="auto" w:sz="4" w:space="0"/>
            </w:tcBorders>
            <w:vAlign w:val="bottom"/>
          </w:tcPr>
          <w:p w14:paraId="18D6CECA">
            <w:pPr>
              <w:jc w:val="right"/>
              <w:rPr>
                <w:rFonts w:cs="Times New Roman"/>
              </w:rPr>
            </w:pPr>
          </w:p>
        </w:tc>
        <w:tc>
          <w:tcPr>
            <w:tcW w:w="959" w:type="pct"/>
            <w:tcBorders>
              <w:top w:val="outset" w:color="auto" w:sz="4" w:space="0"/>
              <w:left w:val="outset" w:color="auto" w:sz="4" w:space="0"/>
              <w:bottom w:val="outset" w:color="auto" w:sz="4" w:space="0"/>
              <w:right w:val="outset" w:color="auto" w:sz="4" w:space="0"/>
            </w:tcBorders>
            <w:vAlign w:val="bottom"/>
          </w:tcPr>
          <w:p w14:paraId="2E982016">
            <w:pPr>
              <w:jc w:val="right"/>
              <w:rPr>
                <w:rFonts w:cs="Times New Roman"/>
              </w:rPr>
            </w:pPr>
          </w:p>
        </w:tc>
      </w:tr>
      <w:tr w14:paraId="2D68DE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8" w:type="pct"/>
            <w:tcBorders>
              <w:top w:val="outset" w:color="auto" w:sz="4" w:space="0"/>
              <w:left w:val="outset" w:color="auto" w:sz="4" w:space="0"/>
              <w:bottom w:val="outset" w:color="auto" w:sz="4" w:space="0"/>
              <w:right w:val="outset" w:color="auto" w:sz="4" w:space="0"/>
            </w:tcBorders>
            <w:vAlign w:val="center"/>
          </w:tcPr>
          <w:p w14:paraId="30997DC8">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六、综合收益总额</w:t>
            </w:r>
          </w:p>
        </w:tc>
        <w:tc>
          <w:tcPr>
            <w:tcW w:w="598" w:type="pct"/>
            <w:tcBorders>
              <w:top w:val="outset" w:color="auto" w:sz="4" w:space="0"/>
              <w:left w:val="outset" w:color="auto" w:sz="4" w:space="0"/>
              <w:bottom w:val="outset" w:color="auto" w:sz="4" w:space="0"/>
              <w:right w:val="outset" w:color="auto" w:sz="4" w:space="0"/>
            </w:tcBorders>
            <w:vAlign w:val="center"/>
          </w:tcPr>
          <w:p w14:paraId="5878D498">
            <w:pPr>
              <w:rPr>
                <w:rFonts w:cs="Times New Roman"/>
              </w:rPr>
            </w:pPr>
          </w:p>
        </w:tc>
        <w:tc>
          <w:tcPr>
            <w:tcW w:w="875" w:type="pct"/>
            <w:tcBorders>
              <w:top w:val="outset" w:color="auto" w:sz="4" w:space="0"/>
              <w:left w:val="outset" w:color="auto" w:sz="4" w:space="0"/>
              <w:bottom w:val="outset" w:color="auto" w:sz="4" w:space="0"/>
              <w:right w:val="outset" w:color="auto" w:sz="4" w:space="0"/>
            </w:tcBorders>
            <w:vAlign w:val="bottom"/>
          </w:tcPr>
          <w:p w14:paraId="2625DD57">
            <w:pPr>
              <w:jc w:val="right"/>
              <w:textAlignment w:val="bottom"/>
              <w:rPr>
                <w:rFonts w:cs="Times New Roman"/>
              </w:rPr>
            </w:pPr>
            <w:r>
              <w:rPr>
                <w:rFonts w:eastAsia="Arial Narrow" w:cs="Times New Roman"/>
                <w:color w:val="000000"/>
                <w:lang w:bidi="ar"/>
              </w:rPr>
              <w:t>73,375,867.76</w:t>
            </w:r>
          </w:p>
        </w:tc>
        <w:tc>
          <w:tcPr>
            <w:tcW w:w="959" w:type="pct"/>
            <w:tcBorders>
              <w:top w:val="outset" w:color="auto" w:sz="4" w:space="0"/>
              <w:left w:val="outset" w:color="auto" w:sz="4" w:space="0"/>
              <w:bottom w:val="outset" w:color="auto" w:sz="4" w:space="0"/>
              <w:right w:val="outset" w:color="auto" w:sz="4" w:space="0"/>
            </w:tcBorders>
            <w:vAlign w:val="bottom"/>
          </w:tcPr>
          <w:p w14:paraId="08D19388">
            <w:pPr>
              <w:jc w:val="right"/>
              <w:textAlignment w:val="bottom"/>
              <w:rPr>
                <w:rFonts w:cs="Times New Roman"/>
              </w:rPr>
            </w:pPr>
            <w:r>
              <w:rPr>
                <w:rFonts w:eastAsia="Arial Narrow" w:cs="Times New Roman"/>
                <w:color w:val="000000"/>
                <w:lang w:bidi="ar"/>
              </w:rPr>
              <w:t>-35,543,988.48</w:t>
            </w:r>
          </w:p>
        </w:tc>
      </w:tr>
    </w:tbl>
    <w:p w14:paraId="7C13F966">
      <w:pPr>
        <w:rPr>
          <w:color w:val="000000" w:themeColor="text1"/>
          <w14:textFill>
            <w14:solidFill>
              <w14:schemeClr w14:val="tx1"/>
            </w14:solidFill>
          </w14:textFill>
        </w:rPr>
      </w:pPr>
    </w:p>
    <w:p w14:paraId="4C706B70">
      <w:pPr>
        <w:snapToGrid w:val="0"/>
        <w:spacing w:line="240" w:lineRule="atLeast"/>
        <w:ind w:right="-153" w:rightChars="-73"/>
        <w:rPr>
          <w:rFonts w:cs="宋体-方正超大字符集"/>
          <w:color w:val="000000" w:themeColor="text1"/>
          <w14:textFill>
            <w14:solidFill>
              <w14:schemeClr w14:val="tx1"/>
            </w14:solidFill>
          </w14:textFill>
        </w:rPr>
      </w:pPr>
      <w:r>
        <w:rPr>
          <w:color w:val="000000" w:themeColor="text1"/>
          <w14:textFill>
            <w14:solidFill>
              <w14:schemeClr w14:val="tx1"/>
            </w14:solidFill>
          </w14:textFill>
        </w:rPr>
        <w:t>公司负责人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公司负责人"/>
          <w:tag w:val="_GBC_6be9c51ef68a40f0b60486f4414f2413"/>
          <w:id w:val="147453888"/>
          <w:placeholder>
            <w:docPart w:val="GBC22222222222222222222222222222"/>
          </w:placeholder>
          <w:dataBinding w:prefixMappings="xmlns:clcid-mr='clcid-mr'" w:xpath="/*/clcid-mr:GongSi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夏前军</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主管会计工作负责人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主管会计工作负责人姓名"/>
          <w:tag w:val="_GBC_ac91a6c67f0a401ab312a449bd87b833"/>
          <w:id w:val="147477647"/>
          <w:placeholder>
            <w:docPart w:val="GBC22222222222222222222222222222"/>
          </w:placeholder>
          <w:dataBinding w:prefixMappings="xmlns:clcid-mr='clcid-mr'" w:xpath="/*/clcid-mr:ZhuGuanKuaiJiGongZuo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刘改平</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会计机构负责人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会计机构负责人姓名"/>
          <w:tag w:val="_GBC_60f6b900783346cfad817de4d84acf5e"/>
          <w:id w:val="147469715"/>
          <w:placeholder>
            <w:docPart w:val="GBC22222222222222222222222222222"/>
          </w:placeholder>
          <w:dataBinding w:prefixMappings="xmlns:clcid-mr='clcid-mr'" w:xpath="/*/clcid-mr:KuaiJiJiGou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冯晓</w:t>
          </w:r>
        </w:sdtContent>
      </w:sdt>
    </w:p>
    <w:p w14:paraId="28ADD41F">
      <w:pPr>
        <w:snapToGrid w:val="0"/>
        <w:spacing w:line="240" w:lineRule="atLeast"/>
        <w:ind w:right="-153" w:rightChars="-73"/>
        <w:rPr>
          <w:b/>
          <w:bCs w:val="0"/>
          <w:color w:val="000000" w:themeColor="text1"/>
          <w14:textFill>
            <w14:solidFill>
              <w14:schemeClr w14:val="tx1"/>
            </w14:solidFill>
          </w14:textFill>
        </w:rPr>
      </w:pPr>
    </w:p>
    <w:p w14:paraId="609F275C">
      <w:pPr>
        <w:snapToGrid w:val="0"/>
        <w:spacing w:line="240" w:lineRule="atLeast"/>
        <w:ind w:right="-153" w:rightChars="-73"/>
        <w:rPr>
          <w:b/>
          <w:bCs w:val="0"/>
          <w:color w:val="000000" w:themeColor="text1"/>
          <w14:textFill>
            <w14:solidFill>
              <w14:schemeClr w14:val="tx1"/>
            </w14:solidFill>
          </w14:textFill>
        </w:rPr>
      </w:pPr>
    </w:p>
    <w:bookmarkEnd w:id="151"/>
    <w:p w14:paraId="5ED2C345">
      <w:pPr>
        <w:pStyle w:val="57"/>
        <w:jc w:val="center"/>
        <w:rPr>
          <w:rFonts w:ascii="宋体" w:hAnsi="宋体"/>
          <w:color w:val="000000" w:themeColor="text1"/>
          <w14:textFill>
            <w14:solidFill>
              <w14:schemeClr w14:val="tx1"/>
            </w14:solidFill>
          </w14:textFill>
        </w:rPr>
      </w:pPr>
      <w:bookmarkStart w:id="153" w:name="_Hlk10211424"/>
      <w:bookmarkEnd w:id="153"/>
      <w:bookmarkStart w:id="154" w:name="_Hlk10211590"/>
      <w:r>
        <w:rPr>
          <w:rFonts w:hint="eastAsia" w:ascii="宋体" w:hAnsi="宋体"/>
          <w:color w:val="000000" w:themeColor="text1"/>
          <w14:textFill>
            <w14:solidFill>
              <w14:schemeClr w14:val="tx1"/>
            </w14:solidFill>
          </w14:textFill>
        </w:rPr>
        <w:t>合并</w:t>
      </w:r>
      <w:r>
        <w:rPr>
          <w:rFonts w:ascii="宋体" w:hAnsi="宋体"/>
          <w:color w:val="000000" w:themeColor="text1"/>
          <w14:textFill>
            <w14:solidFill>
              <w14:schemeClr w14:val="tx1"/>
            </w14:solidFill>
          </w14:textFill>
        </w:rPr>
        <w:t>现金流量表</w:t>
      </w:r>
    </w:p>
    <w:p w14:paraId="0DEB529B">
      <w:pPr>
        <w:jc w:val="center"/>
        <w:rPr>
          <w:b/>
          <w:bCs w:val="0"/>
          <w:color w:val="000000" w:themeColor="text1"/>
          <w14:textFill>
            <w14:solidFill>
              <w14:schemeClr w14:val="tx1"/>
            </w14:solidFill>
          </w14:textFill>
        </w:rPr>
      </w:pPr>
      <w:r>
        <w:rPr>
          <w:color w:val="000000" w:themeColor="text1"/>
          <w14:textFill>
            <w14:solidFill>
              <w14:schemeClr w14:val="tx1"/>
            </w14:solidFill>
          </w14:textFill>
        </w:rPr>
        <w:t>2025年</w:t>
      </w:r>
      <w:r>
        <w:rPr>
          <w:rFonts w:hint="eastAsia"/>
          <w:color w:val="000000" w:themeColor="text1"/>
          <w14:textFill>
            <w14:solidFill>
              <w14:schemeClr w14:val="tx1"/>
            </w14:solidFill>
          </w14:textFill>
        </w:rPr>
        <w:t>1—6</w:t>
      </w:r>
      <w:r>
        <w:rPr>
          <w:color w:val="000000" w:themeColor="text1"/>
          <w14:textFill>
            <w14:solidFill>
              <w14:schemeClr w14:val="tx1"/>
            </w14:solidFill>
          </w14:textFill>
        </w:rPr>
        <w:t>月</w:t>
      </w:r>
    </w:p>
    <w:p w14:paraId="26D379F3">
      <w:pPr>
        <w:jc w:val="right"/>
        <w:rPr>
          <w:color w:val="000000" w:themeColor="text1"/>
          <w14:textFill>
            <w14:solidFill>
              <w14:schemeClr w14:val="tx1"/>
            </w14:solidFill>
          </w14:textFill>
        </w:rPr>
      </w:pPr>
      <w:r>
        <w:rPr>
          <w:color w:val="000000" w:themeColor="text1"/>
          <w14:textFill>
            <w14:solidFill>
              <w14:schemeClr w14:val="tx1"/>
            </w14:solidFill>
          </w14:textFill>
        </w:rPr>
        <w:t>单位</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单位：合并现金流量表"/>
          <w:tag w:val="_GBC_7049413ddb8f4e5eac9cb9fb4f802433"/>
          <w:id w:val="1474670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color w:val="000000" w:themeColor="text1"/>
          <w14:textFill>
            <w14:solidFill>
              <w14:schemeClr w14:val="tx1"/>
            </w14:solidFill>
          </w14:textFill>
        </w:rPr>
        <w:t xml:space="preserve">  币种</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币种：合并现金流量表"/>
          <w:tag w:val="_GBC_5ab1c6e244484b228b8cdc6ee3840fd6"/>
          <w:id w:val="1474736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610"/>
        <w:gridCol w:w="985"/>
        <w:gridCol w:w="1686"/>
        <w:gridCol w:w="1768"/>
      </w:tblGrid>
      <w:tr w14:paraId="167973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sdt>
          <w:sdtPr>
            <w:rPr>
              <w:rFonts w:cs="Times New Roman"/>
            </w:rPr>
            <w:tag w:val="_PLD_2a3b6af3ab824e2db1022630f7a58e18"/>
            <w:id w:val="147455583"/>
          </w:sdtPr>
          <w:sdtEndPr>
            <w:rPr>
              <w:rFonts w:cs="Times New Roman"/>
            </w:rPr>
          </w:sdtEndPr>
          <w:sdtContent>
            <w:tc>
              <w:tcPr>
                <w:tcW w:w="2548" w:type="pct"/>
                <w:tcBorders>
                  <w:top w:val="outset" w:color="auto" w:sz="4" w:space="0"/>
                  <w:left w:val="outset" w:color="auto" w:sz="4" w:space="0"/>
                  <w:bottom w:val="outset" w:color="auto" w:sz="4" w:space="0"/>
                  <w:right w:val="outset" w:color="auto" w:sz="4" w:space="0"/>
                </w:tcBorders>
                <w:vAlign w:val="center"/>
              </w:tcPr>
              <w:p w14:paraId="499D84EC">
                <w:pPr>
                  <w:jc w:val="center"/>
                  <w:rPr>
                    <w:rFonts w:cs="Times New Roman"/>
                    <w:b/>
                    <w:bCs w:val="0"/>
                    <w:color w:val="000000" w:themeColor="text1"/>
                    <w14:textFill>
                      <w14:solidFill>
                        <w14:schemeClr w14:val="tx1"/>
                      </w14:solidFill>
                    </w14:textFill>
                  </w:rPr>
                </w:pPr>
                <w:r>
                  <w:rPr>
                    <w:rFonts w:cs="Times New Roman"/>
                    <w:b/>
                    <w:color w:val="000000" w:themeColor="text1"/>
                    <w14:textFill>
                      <w14:solidFill>
                        <w14:schemeClr w14:val="tx1"/>
                      </w14:solidFill>
                    </w14:textFill>
                  </w:rPr>
                  <w:t>项目</w:t>
                </w:r>
              </w:p>
            </w:tc>
          </w:sdtContent>
        </w:sdt>
        <w:sdt>
          <w:sdtPr>
            <w:rPr>
              <w:rFonts w:cs="Times New Roman"/>
            </w:rPr>
            <w:tag w:val="_PLD_49df1a6f5a224085bdcd56671a898d47"/>
            <w:id w:val="147463386"/>
          </w:sdtPr>
          <w:sdtEndPr>
            <w:rPr>
              <w:rFonts w:cs="Times New Roman"/>
            </w:rPr>
          </w:sdtEndPr>
          <w:sdtContent>
            <w:tc>
              <w:tcPr>
                <w:tcW w:w="544" w:type="pct"/>
                <w:tcBorders>
                  <w:top w:val="outset" w:color="auto" w:sz="4" w:space="0"/>
                  <w:left w:val="outset" w:color="auto" w:sz="4" w:space="0"/>
                  <w:bottom w:val="outset" w:color="auto" w:sz="4" w:space="0"/>
                  <w:right w:val="outset" w:color="auto" w:sz="4" w:space="0"/>
                </w:tcBorders>
                <w:vAlign w:val="center"/>
              </w:tcPr>
              <w:p w14:paraId="4F6E3A42">
                <w:pPr>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附注</w:t>
                </w:r>
              </w:p>
            </w:tc>
          </w:sdtContent>
        </w:sdt>
        <w:sdt>
          <w:sdtPr>
            <w:rPr>
              <w:rFonts w:cs="Times New Roman"/>
            </w:rPr>
            <w:tag w:val="_PLD_aba5e14092764f689b78fdbe9892bc51"/>
            <w:id w:val="147455942"/>
          </w:sdtPr>
          <w:sdtEndPr>
            <w:rPr>
              <w:rFonts w:cs="Times New Roman"/>
            </w:rPr>
          </w:sdtEndPr>
          <w:sdtContent>
            <w:tc>
              <w:tcPr>
                <w:tcW w:w="931" w:type="pct"/>
                <w:tcBorders>
                  <w:top w:val="outset" w:color="auto" w:sz="4" w:space="0"/>
                  <w:left w:val="outset" w:color="auto" w:sz="4" w:space="0"/>
                  <w:bottom w:val="outset" w:color="auto" w:sz="4" w:space="0"/>
                  <w:right w:val="outset" w:color="auto" w:sz="4" w:space="0"/>
                </w:tcBorders>
                <w:vAlign w:val="center"/>
              </w:tcPr>
              <w:p w14:paraId="31231401">
                <w:pPr>
                  <w:autoSpaceDE w:val="0"/>
                  <w:autoSpaceDN w:val="0"/>
                  <w:adjustRightInd w:val="0"/>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2025年半年度</w:t>
                </w:r>
              </w:p>
            </w:tc>
          </w:sdtContent>
        </w:sdt>
        <w:sdt>
          <w:sdtPr>
            <w:rPr>
              <w:rFonts w:cs="Times New Roman"/>
            </w:rPr>
            <w:tag w:val="_PLD_8cac70c6f00c4266a9b8cff482cc71cc"/>
            <w:id w:val="147455094"/>
          </w:sdtPr>
          <w:sdtEndPr>
            <w:rPr>
              <w:rFonts w:cs="Times New Roman"/>
            </w:rPr>
          </w:sdtEndPr>
          <w:sdtContent>
            <w:tc>
              <w:tcPr>
                <w:tcW w:w="975" w:type="pct"/>
                <w:tcBorders>
                  <w:top w:val="outset" w:color="auto" w:sz="4" w:space="0"/>
                  <w:left w:val="outset" w:color="auto" w:sz="4" w:space="0"/>
                  <w:bottom w:val="outset" w:color="auto" w:sz="4" w:space="0"/>
                  <w:right w:val="outset" w:color="auto" w:sz="4" w:space="0"/>
                </w:tcBorders>
                <w:vAlign w:val="center"/>
              </w:tcPr>
              <w:p w14:paraId="413629AC">
                <w:pPr>
                  <w:autoSpaceDE w:val="0"/>
                  <w:autoSpaceDN w:val="0"/>
                  <w:adjustRightInd w:val="0"/>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2024年半年度</w:t>
                </w:r>
              </w:p>
            </w:tc>
          </w:sdtContent>
        </w:sdt>
      </w:tr>
      <w:tr w14:paraId="241DAF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cs="Times New Roman"/>
            </w:rPr>
            <w:tag w:val="_PLD_ffd119a1ffa641c1a00397806a78ee23"/>
            <w:id w:val="147469406"/>
          </w:sdtPr>
          <w:sdtEndPr>
            <w:rPr>
              <w:rFonts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100D2A0B">
                <w:pPr>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一、经营活动产生的现金流量：</w:t>
                </w:r>
              </w:p>
            </w:tc>
          </w:sdtContent>
        </w:sdt>
      </w:tr>
      <w:tr w14:paraId="3F6900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3C648EE6">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销售商品、提供劳务收到的现金</w:t>
            </w:r>
          </w:p>
        </w:tc>
        <w:tc>
          <w:tcPr>
            <w:tcW w:w="544" w:type="pct"/>
            <w:tcBorders>
              <w:top w:val="outset" w:color="auto" w:sz="4" w:space="0"/>
              <w:left w:val="outset" w:color="auto" w:sz="4" w:space="0"/>
              <w:bottom w:val="outset" w:color="auto" w:sz="4" w:space="0"/>
              <w:right w:val="outset" w:color="auto" w:sz="4" w:space="0"/>
            </w:tcBorders>
            <w:vAlign w:val="center"/>
          </w:tcPr>
          <w:p w14:paraId="411DF646">
            <w:pP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431BEEEA">
            <w:pPr>
              <w:jc w:val="right"/>
              <w:textAlignment w:val="bottom"/>
              <w:rPr>
                <w:rFonts w:cs="Times New Roman"/>
              </w:rPr>
            </w:pPr>
            <w:r>
              <w:rPr>
                <w:rFonts w:eastAsia="Arial Narrow" w:cs="Times New Roman"/>
                <w:color w:val="000000"/>
                <w:lang w:bidi="ar"/>
              </w:rPr>
              <w:t>3,337,555,361.01</w:t>
            </w:r>
          </w:p>
        </w:tc>
        <w:tc>
          <w:tcPr>
            <w:tcW w:w="975" w:type="pct"/>
            <w:tcBorders>
              <w:top w:val="outset" w:color="auto" w:sz="4" w:space="0"/>
              <w:left w:val="outset" w:color="auto" w:sz="4" w:space="0"/>
              <w:bottom w:val="outset" w:color="auto" w:sz="4" w:space="0"/>
              <w:right w:val="outset" w:color="auto" w:sz="4" w:space="0"/>
            </w:tcBorders>
            <w:vAlign w:val="bottom"/>
          </w:tcPr>
          <w:p w14:paraId="14EA7EF4">
            <w:pPr>
              <w:jc w:val="right"/>
              <w:textAlignment w:val="bottom"/>
              <w:rPr>
                <w:rFonts w:cs="Times New Roman"/>
              </w:rPr>
            </w:pPr>
            <w:r>
              <w:rPr>
                <w:rFonts w:eastAsia="Arial Narrow" w:cs="Times New Roman"/>
                <w:color w:val="000000"/>
                <w:lang w:bidi="ar"/>
              </w:rPr>
              <w:t>3,373,458,340.66</w:t>
            </w:r>
          </w:p>
        </w:tc>
      </w:tr>
      <w:tr w14:paraId="4CFD3B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35015452">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收到的税费返还</w:t>
            </w:r>
          </w:p>
        </w:tc>
        <w:tc>
          <w:tcPr>
            <w:tcW w:w="544" w:type="pct"/>
            <w:tcBorders>
              <w:top w:val="outset" w:color="auto" w:sz="4" w:space="0"/>
              <w:left w:val="outset" w:color="auto" w:sz="4" w:space="0"/>
              <w:bottom w:val="outset" w:color="auto" w:sz="4" w:space="0"/>
              <w:right w:val="outset" w:color="auto" w:sz="4" w:space="0"/>
            </w:tcBorders>
            <w:vAlign w:val="center"/>
          </w:tcPr>
          <w:p w14:paraId="7FE2178C">
            <w:pP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7CB9D429">
            <w:pPr>
              <w:jc w:val="right"/>
              <w:textAlignment w:val="bottom"/>
              <w:rPr>
                <w:rFonts w:cs="Times New Roman"/>
              </w:rPr>
            </w:pPr>
            <w:r>
              <w:rPr>
                <w:rFonts w:eastAsia="Arial Narrow" w:cs="Times New Roman"/>
                <w:color w:val="000000"/>
                <w:lang w:bidi="ar"/>
              </w:rPr>
              <w:t>33,083,214.19</w:t>
            </w:r>
          </w:p>
        </w:tc>
        <w:tc>
          <w:tcPr>
            <w:tcW w:w="975" w:type="pct"/>
            <w:tcBorders>
              <w:top w:val="outset" w:color="auto" w:sz="4" w:space="0"/>
              <w:left w:val="outset" w:color="auto" w:sz="4" w:space="0"/>
              <w:bottom w:val="outset" w:color="auto" w:sz="4" w:space="0"/>
              <w:right w:val="outset" w:color="auto" w:sz="4" w:space="0"/>
            </w:tcBorders>
            <w:vAlign w:val="bottom"/>
          </w:tcPr>
          <w:p w14:paraId="68459109">
            <w:pPr>
              <w:jc w:val="right"/>
              <w:textAlignment w:val="bottom"/>
              <w:rPr>
                <w:rFonts w:cs="Times New Roman"/>
              </w:rPr>
            </w:pPr>
            <w:r>
              <w:rPr>
                <w:rFonts w:eastAsia="Arial Narrow" w:cs="Times New Roman"/>
                <w:color w:val="000000"/>
                <w:lang w:bidi="ar"/>
              </w:rPr>
              <w:t>38,935,767.17</w:t>
            </w:r>
          </w:p>
        </w:tc>
      </w:tr>
      <w:tr w14:paraId="434CF0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6EE3BC19">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收到其他与经营活动有关的现金</w:t>
            </w:r>
          </w:p>
        </w:tc>
        <w:tc>
          <w:tcPr>
            <w:tcW w:w="544" w:type="pct"/>
            <w:tcBorders>
              <w:top w:val="outset" w:color="auto" w:sz="4" w:space="0"/>
              <w:left w:val="outset" w:color="auto" w:sz="4" w:space="0"/>
              <w:bottom w:val="outset" w:color="auto" w:sz="4" w:space="0"/>
              <w:right w:val="outset" w:color="auto" w:sz="4" w:space="0"/>
            </w:tcBorders>
            <w:vAlign w:val="center"/>
          </w:tcPr>
          <w:p w14:paraId="22C47AA6">
            <w:pPr>
              <w:jc w:val="center"/>
              <w:textAlignment w:val="center"/>
              <w:rPr>
                <w:rFonts w:cs="Times New Roman"/>
              </w:rPr>
            </w:pPr>
            <w:r>
              <w:rPr>
                <w:rFonts w:cs="Times New Roman"/>
                <w:color w:val="000000"/>
                <w:lang w:bidi="ar"/>
              </w:rPr>
              <w:t>七、78</w:t>
            </w:r>
          </w:p>
        </w:tc>
        <w:tc>
          <w:tcPr>
            <w:tcW w:w="931" w:type="pct"/>
            <w:tcBorders>
              <w:top w:val="outset" w:color="auto" w:sz="4" w:space="0"/>
              <w:left w:val="outset" w:color="auto" w:sz="4" w:space="0"/>
              <w:bottom w:val="outset" w:color="auto" w:sz="4" w:space="0"/>
              <w:right w:val="outset" w:color="auto" w:sz="4" w:space="0"/>
            </w:tcBorders>
            <w:vAlign w:val="bottom"/>
          </w:tcPr>
          <w:p w14:paraId="125DDC0D">
            <w:pPr>
              <w:jc w:val="right"/>
              <w:textAlignment w:val="bottom"/>
              <w:rPr>
                <w:rFonts w:cs="Times New Roman"/>
              </w:rPr>
            </w:pPr>
            <w:r>
              <w:rPr>
                <w:rFonts w:eastAsia="Arial Narrow" w:cs="Times New Roman"/>
                <w:color w:val="000000"/>
                <w:lang w:bidi="ar"/>
              </w:rPr>
              <w:t>399,646,508.77</w:t>
            </w:r>
          </w:p>
        </w:tc>
        <w:tc>
          <w:tcPr>
            <w:tcW w:w="975" w:type="pct"/>
            <w:tcBorders>
              <w:top w:val="outset" w:color="auto" w:sz="4" w:space="0"/>
              <w:left w:val="outset" w:color="auto" w:sz="4" w:space="0"/>
              <w:bottom w:val="outset" w:color="auto" w:sz="4" w:space="0"/>
              <w:right w:val="outset" w:color="auto" w:sz="4" w:space="0"/>
            </w:tcBorders>
            <w:vAlign w:val="bottom"/>
          </w:tcPr>
          <w:p w14:paraId="5A7A11B0">
            <w:pPr>
              <w:jc w:val="right"/>
              <w:textAlignment w:val="bottom"/>
              <w:rPr>
                <w:rFonts w:cs="Times New Roman"/>
              </w:rPr>
            </w:pPr>
            <w:r>
              <w:rPr>
                <w:rFonts w:eastAsia="Arial Narrow" w:cs="Times New Roman"/>
                <w:color w:val="000000"/>
                <w:lang w:bidi="ar"/>
              </w:rPr>
              <w:t>320,770,792.17</w:t>
            </w:r>
          </w:p>
        </w:tc>
      </w:tr>
      <w:tr w14:paraId="5F8DFD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7A626D1A">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经营活动现金流入小计</w:t>
            </w:r>
          </w:p>
        </w:tc>
        <w:tc>
          <w:tcPr>
            <w:tcW w:w="544" w:type="pct"/>
            <w:tcBorders>
              <w:top w:val="outset" w:color="auto" w:sz="4" w:space="0"/>
              <w:left w:val="outset" w:color="auto" w:sz="4" w:space="0"/>
              <w:bottom w:val="outset" w:color="auto" w:sz="4" w:space="0"/>
              <w:right w:val="outset" w:color="auto" w:sz="4" w:space="0"/>
            </w:tcBorders>
            <w:vAlign w:val="center"/>
          </w:tcPr>
          <w:p w14:paraId="5F9E5FE8">
            <w:pPr>
              <w:jc w:val="cente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752350A9">
            <w:pPr>
              <w:jc w:val="right"/>
              <w:textAlignment w:val="bottom"/>
              <w:rPr>
                <w:rFonts w:cs="Times New Roman"/>
              </w:rPr>
            </w:pPr>
            <w:r>
              <w:rPr>
                <w:rFonts w:eastAsia="Arial Narrow" w:cs="Times New Roman"/>
                <w:color w:val="000000"/>
                <w:lang w:bidi="ar"/>
              </w:rPr>
              <w:t>3,770,285,083.97</w:t>
            </w:r>
          </w:p>
        </w:tc>
        <w:tc>
          <w:tcPr>
            <w:tcW w:w="975" w:type="pct"/>
            <w:tcBorders>
              <w:top w:val="outset" w:color="auto" w:sz="4" w:space="0"/>
              <w:left w:val="outset" w:color="auto" w:sz="4" w:space="0"/>
              <w:bottom w:val="outset" w:color="auto" w:sz="4" w:space="0"/>
              <w:right w:val="outset" w:color="auto" w:sz="4" w:space="0"/>
            </w:tcBorders>
            <w:vAlign w:val="bottom"/>
          </w:tcPr>
          <w:p w14:paraId="2544BA04">
            <w:pPr>
              <w:jc w:val="right"/>
              <w:textAlignment w:val="bottom"/>
              <w:rPr>
                <w:rFonts w:cs="Times New Roman"/>
              </w:rPr>
            </w:pPr>
            <w:r>
              <w:rPr>
                <w:rFonts w:eastAsia="Arial Narrow" w:cs="Times New Roman"/>
                <w:color w:val="000000"/>
                <w:lang w:bidi="ar"/>
              </w:rPr>
              <w:t>3,733,164,900.00</w:t>
            </w:r>
          </w:p>
        </w:tc>
      </w:tr>
      <w:tr w14:paraId="33504D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1AE9E12B">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购买商品、接受劳务支付的现金</w:t>
            </w:r>
          </w:p>
        </w:tc>
        <w:tc>
          <w:tcPr>
            <w:tcW w:w="544" w:type="pct"/>
            <w:tcBorders>
              <w:top w:val="outset" w:color="auto" w:sz="4" w:space="0"/>
              <w:left w:val="outset" w:color="auto" w:sz="4" w:space="0"/>
              <w:bottom w:val="outset" w:color="auto" w:sz="4" w:space="0"/>
              <w:right w:val="outset" w:color="auto" w:sz="4" w:space="0"/>
            </w:tcBorders>
            <w:vAlign w:val="center"/>
          </w:tcPr>
          <w:p w14:paraId="56D2BAA0">
            <w:pPr>
              <w:jc w:val="cente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082AE010">
            <w:pPr>
              <w:jc w:val="right"/>
              <w:textAlignment w:val="bottom"/>
              <w:rPr>
                <w:rFonts w:cs="Times New Roman"/>
              </w:rPr>
            </w:pPr>
            <w:r>
              <w:rPr>
                <w:rFonts w:eastAsia="Arial Narrow" w:cs="Times New Roman"/>
                <w:color w:val="000000"/>
                <w:lang w:bidi="ar"/>
              </w:rPr>
              <w:t>3,252,859,841.29</w:t>
            </w:r>
          </w:p>
        </w:tc>
        <w:tc>
          <w:tcPr>
            <w:tcW w:w="975" w:type="pct"/>
            <w:tcBorders>
              <w:top w:val="outset" w:color="auto" w:sz="4" w:space="0"/>
              <w:left w:val="outset" w:color="auto" w:sz="4" w:space="0"/>
              <w:bottom w:val="outset" w:color="auto" w:sz="4" w:space="0"/>
              <w:right w:val="outset" w:color="auto" w:sz="4" w:space="0"/>
            </w:tcBorders>
            <w:vAlign w:val="bottom"/>
          </w:tcPr>
          <w:p w14:paraId="30BDB018">
            <w:pPr>
              <w:jc w:val="right"/>
              <w:textAlignment w:val="bottom"/>
              <w:rPr>
                <w:rFonts w:cs="Times New Roman"/>
              </w:rPr>
            </w:pPr>
            <w:r>
              <w:rPr>
                <w:rFonts w:eastAsia="Arial Narrow" w:cs="Times New Roman"/>
                <w:color w:val="000000"/>
                <w:lang w:bidi="ar"/>
              </w:rPr>
              <w:t>3,891,744,843.32</w:t>
            </w:r>
          </w:p>
        </w:tc>
      </w:tr>
      <w:tr w14:paraId="61FCB3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2790B309">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支付给职工及为职工支付的现金</w:t>
            </w:r>
          </w:p>
        </w:tc>
        <w:tc>
          <w:tcPr>
            <w:tcW w:w="544" w:type="pct"/>
            <w:tcBorders>
              <w:top w:val="outset" w:color="auto" w:sz="4" w:space="0"/>
              <w:left w:val="outset" w:color="auto" w:sz="4" w:space="0"/>
              <w:bottom w:val="outset" w:color="auto" w:sz="4" w:space="0"/>
              <w:right w:val="outset" w:color="auto" w:sz="4" w:space="0"/>
            </w:tcBorders>
            <w:vAlign w:val="center"/>
          </w:tcPr>
          <w:p w14:paraId="4D026557">
            <w:pPr>
              <w:jc w:val="cente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51D85BDF">
            <w:pPr>
              <w:jc w:val="right"/>
              <w:textAlignment w:val="bottom"/>
              <w:rPr>
                <w:rFonts w:cs="Times New Roman"/>
              </w:rPr>
            </w:pPr>
            <w:r>
              <w:rPr>
                <w:rFonts w:eastAsia="Arial Narrow" w:cs="Times New Roman"/>
                <w:color w:val="000000"/>
                <w:lang w:bidi="ar"/>
              </w:rPr>
              <w:t>723,371,879.92</w:t>
            </w:r>
          </w:p>
        </w:tc>
        <w:tc>
          <w:tcPr>
            <w:tcW w:w="975" w:type="pct"/>
            <w:tcBorders>
              <w:top w:val="outset" w:color="auto" w:sz="4" w:space="0"/>
              <w:left w:val="outset" w:color="auto" w:sz="4" w:space="0"/>
              <w:bottom w:val="outset" w:color="auto" w:sz="4" w:space="0"/>
              <w:right w:val="outset" w:color="auto" w:sz="4" w:space="0"/>
            </w:tcBorders>
            <w:vAlign w:val="bottom"/>
          </w:tcPr>
          <w:p w14:paraId="1C623F49">
            <w:pPr>
              <w:jc w:val="right"/>
              <w:textAlignment w:val="bottom"/>
              <w:rPr>
                <w:rFonts w:cs="Times New Roman"/>
              </w:rPr>
            </w:pPr>
            <w:r>
              <w:rPr>
                <w:rFonts w:eastAsia="Arial Narrow" w:cs="Times New Roman"/>
                <w:color w:val="000000"/>
                <w:lang w:bidi="ar"/>
              </w:rPr>
              <w:t>800,896,790.91</w:t>
            </w:r>
          </w:p>
        </w:tc>
      </w:tr>
      <w:tr w14:paraId="32C5B7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677DB4E2">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支付的各项税费</w:t>
            </w:r>
          </w:p>
        </w:tc>
        <w:tc>
          <w:tcPr>
            <w:tcW w:w="544" w:type="pct"/>
            <w:tcBorders>
              <w:top w:val="outset" w:color="auto" w:sz="4" w:space="0"/>
              <w:left w:val="outset" w:color="auto" w:sz="4" w:space="0"/>
              <w:bottom w:val="outset" w:color="auto" w:sz="4" w:space="0"/>
              <w:right w:val="outset" w:color="auto" w:sz="4" w:space="0"/>
            </w:tcBorders>
            <w:vAlign w:val="center"/>
          </w:tcPr>
          <w:p w14:paraId="211CB0A7">
            <w:pPr>
              <w:jc w:val="cente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2373B5DA">
            <w:pPr>
              <w:jc w:val="right"/>
              <w:textAlignment w:val="bottom"/>
              <w:rPr>
                <w:rFonts w:cs="Times New Roman"/>
              </w:rPr>
            </w:pPr>
            <w:r>
              <w:rPr>
                <w:rFonts w:eastAsia="Arial Narrow" w:cs="Times New Roman"/>
                <w:color w:val="000000"/>
                <w:lang w:bidi="ar"/>
              </w:rPr>
              <w:t>158,053,434.99</w:t>
            </w:r>
          </w:p>
        </w:tc>
        <w:tc>
          <w:tcPr>
            <w:tcW w:w="975" w:type="pct"/>
            <w:tcBorders>
              <w:top w:val="outset" w:color="auto" w:sz="4" w:space="0"/>
              <w:left w:val="outset" w:color="auto" w:sz="4" w:space="0"/>
              <w:bottom w:val="outset" w:color="auto" w:sz="4" w:space="0"/>
              <w:right w:val="outset" w:color="auto" w:sz="4" w:space="0"/>
            </w:tcBorders>
            <w:vAlign w:val="bottom"/>
          </w:tcPr>
          <w:p w14:paraId="0BAD627C">
            <w:pPr>
              <w:jc w:val="right"/>
              <w:textAlignment w:val="bottom"/>
              <w:rPr>
                <w:rFonts w:cs="Times New Roman"/>
              </w:rPr>
            </w:pPr>
            <w:r>
              <w:rPr>
                <w:rFonts w:eastAsia="Arial Narrow" w:cs="Times New Roman"/>
                <w:color w:val="000000"/>
                <w:lang w:bidi="ar"/>
              </w:rPr>
              <w:t>153,102,282.41</w:t>
            </w:r>
          </w:p>
        </w:tc>
      </w:tr>
      <w:tr w14:paraId="17ADB9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6B00AC1C">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支付其他与经营活动有关的现金</w:t>
            </w:r>
          </w:p>
        </w:tc>
        <w:tc>
          <w:tcPr>
            <w:tcW w:w="544" w:type="pct"/>
            <w:tcBorders>
              <w:top w:val="outset" w:color="auto" w:sz="4" w:space="0"/>
              <w:left w:val="outset" w:color="auto" w:sz="4" w:space="0"/>
              <w:bottom w:val="outset" w:color="auto" w:sz="4" w:space="0"/>
              <w:right w:val="outset" w:color="auto" w:sz="4" w:space="0"/>
            </w:tcBorders>
            <w:vAlign w:val="center"/>
          </w:tcPr>
          <w:p w14:paraId="2E7D1E39">
            <w:pPr>
              <w:jc w:val="center"/>
              <w:textAlignment w:val="center"/>
              <w:rPr>
                <w:rFonts w:cs="Times New Roman"/>
              </w:rPr>
            </w:pPr>
            <w:r>
              <w:rPr>
                <w:rFonts w:cs="Times New Roman"/>
                <w:color w:val="000000"/>
                <w:lang w:bidi="ar"/>
              </w:rPr>
              <w:t>七、78</w:t>
            </w:r>
          </w:p>
        </w:tc>
        <w:tc>
          <w:tcPr>
            <w:tcW w:w="931" w:type="pct"/>
            <w:tcBorders>
              <w:top w:val="outset" w:color="auto" w:sz="4" w:space="0"/>
              <w:left w:val="outset" w:color="auto" w:sz="4" w:space="0"/>
              <w:bottom w:val="outset" w:color="auto" w:sz="4" w:space="0"/>
              <w:right w:val="outset" w:color="auto" w:sz="4" w:space="0"/>
            </w:tcBorders>
            <w:vAlign w:val="bottom"/>
          </w:tcPr>
          <w:p w14:paraId="2939A540">
            <w:pPr>
              <w:jc w:val="right"/>
              <w:textAlignment w:val="bottom"/>
              <w:rPr>
                <w:rFonts w:cs="Times New Roman"/>
              </w:rPr>
            </w:pPr>
            <w:r>
              <w:rPr>
                <w:rFonts w:eastAsia="Arial Narrow" w:cs="Times New Roman"/>
                <w:color w:val="000000"/>
                <w:lang w:bidi="ar"/>
              </w:rPr>
              <w:t>532,711,992.93</w:t>
            </w:r>
          </w:p>
        </w:tc>
        <w:tc>
          <w:tcPr>
            <w:tcW w:w="975" w:type="pct"/>
            <w:tcBorders>
              <w:top w:val="outset" w:color="auto" w:sz="4" w:space="0"/>
              <w:left w:val="outset" w:color="auto" w:sz="4" w:space="0"/>
              <w:bottom w:val="outset" w:color="auto" w:sz="4" w:space="0"/>
              <w:right w:val="outset" w:color="auto" w:sz="4" w:space="0"/>
            </w:tcBorders>
            <w:vAlign w:val="bottom"/>
          </w:tcPr>
          <w:p w14:paraId="691B8668">
            <w:pPr>
              <w:jc w:val="right"/>
              <w:textAlignment w:val="bottom"/>
              <w:rPr>
                <w:rFonts w:cs="Times New Roman"/>
              </w:rPr>
            </w:pPr>
            <w:r>
              <w:rPr>
                <w:rFonts w:eastAsia="Arial Narrow" w:cs="Times New Roman"/>
                <w:color w:val="000000"/>
                <w:lang w:bidi="ar"/>
              </w:rPr>
              <w:t>505,777,740.13</w:t>
            </w:r>
          </w:p>
        </w:tc>
      </w:tr>
      <w:tr w14:paraId="2AE1F8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5AA872AE">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经营活动现金流出小计</w:t>
            </w:r>
          </w:p>
        </w:tc>
        <w:tc>
          <w:tcPr>
            <w:tcW w:w="544" w:type="pct"/>
            <w:tcBorders>
              <w:top w:val="outset" w:color="auto" w:sz="4" w:space="0"/>
              <w:left w:val="outset" w:color="auto" w:sz="4" w:space="0"/>
              <w:bottom w:val="outset" w:color="auto" w:sz="4" w:space="0"/>
              <w:right w:val="outset" w:color="auto" w:sz="4" w:space="0"/>
            </w:tcBorders>
            <w:vAlign w:val="center"/>
          </w:tcPr>
          <w:p w14:paraId="2C7D2E81">
            <w:pP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0830B4BC">
            <w:pPr>
              <w:jc w:val="right"/>
              <w:textAlignment w:val="bottom"/>
              <w:rPr>
                <w:rFonts w:cs="Times New Roman"/>
              </w:rPr>
            </w:pPr>
            <w:r>
              <w:rPr>
                <w:rFonts w:eastAsia="Arial Narrow" w:cs="Times New Roman"/>
                <w:color w:val="000000"/>
                <w:lang w:bidi="ar"/>
              </w:rPr>
              <w:t>4,666,997,149.13</w:t>
            </w:r>
          </w:p>
        </w:tc>
        <w:tc>
          <w:tcPr>
            <w:tcW w:w="975" w:type="pct"/>
            <w:tcBorders>
              <w:top w:val="outset" w:color="auto" w:sz="4" w:space="0"/>
              <w:left w:val="outset" w:color="auto" w:sz="4" w:space="0"/>
              <w:bottom w:val="outset" w:color="auto" w:sz="4" w:space="0"/>
              <w:right w:val="outset" w:color="auto" w:sz="4" w:space="0"/>
            </w:tcBorders>
            <w:vAlign w:val="bottom"/>
          </w:tcPr>
          <w:p w14:paraId="28690313">
            <w:pPr>
              <w:jc w:val="right"/>
              <w:textAlignment w:val="bottom"/>
              <w:rPr>
                <w:rFonts w:cs="Times New Roman"/>
              </w:rPr>
            </w:pPr>
            <w:r>
              <w:rPr>
                <w:rFonts w:eastAsia="Arial Narrow" w:cs="Times New Roman"/>
                <w:color w:val="000000"/>
                <w:lang w:bidi="ar"/>
              </w:rPr>
              <w:t>5,351,521,656.77</w:t>
            </w:r>
          </w:p>
        </w:tc>
      </w:tr>
      <w:tr w14:paraId="11E6D1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3C2F7EE2">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经营活动产生的现金流量净额</w:t>
            </w:r>
          </w:p>
        </w:tc>
        <w:tc>
          <w:tcPr>
            <w:tcW w:w="544" w:type="pct"/>
            <w:tcBorders>
              <w:top w:val="outset" w:color="auto" w:sz="4" w:space="0"/>
              <w:left w:val="outset" w:color="auto" w:sz="4" w:space="0"/>
              <w:bottom w:val="outset" w:color="auto" w:sz="4" w:space="0"/>
              <w:right w:val="outset" w:color="auto" w:sz="4" w:space="0"/>
            </w:tcBorders>
            <w:vAlign w:val="center"/>
          </w:tcPr>
          <w:p w14:paraId="40272FC4">
            <w:pP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49FAF3DF">
            <w:pPr>
              <w:jc w:val="right"/>
              <w:textAlignment w:val="bottom"/>
              <w:rPr>
                <w:rFonts w:cs="Times New Roman"/>
              </w:rPr>
            </w:pPr>
            <w:r>
              <w:rPr>
                <w:rFonts w:eastAsia="Arial Narrow" w:cs="Times New Roman"/>
                <w:color w:val="000000"/>
                <w:lang w:bidi="ar"/>
              </w:rPr>
              <w:t>-896,712,065.16</w:t>
            </w:r>
          </w:p>
        </w:tc>
        <w:tc>
          <w:tcPr>
            <w:tcW w:w="975" w:type="pct"/>
            <w:tcBorders>
              <w:top w:val="outset" w:color="auto" w:sz="4" w:space="0"/>
              <w:left w:val="outset" w:color="auto" w:sz="4" w:space="0"/>
              <w:bottom w:val="outset" w:color="auto" w:sz="4" w:space="0"/>
              <w:right w:val="outset" w:color="auto" w:sz="4" w:space="0"/>
            </w:tcBorders>
            <w:vAlign w:val="bottom"/>
          </w:tcPr>
          <w:p w14:paraId="03A05B57">
            <w:pPr>
              <w:jc w:val="right"/>
              <w:textAlignment w:val="bottom"/>
              <w:rPr>
                <w:rFonts w:cs="Times New Roman"/>
              </w:rPr>
            </w:pPr>
            <w:r>
              <w:rPr>
                <w:rFonts w:eastAsia="Arial Narrow" w:cs="Times New Roman"/>
                <w:color w:val="000000"/>
                <w:lang w:bidi="ar"/>
              </w:rPr>
              <w:t>-1,618,356,756.77</w:t>
            </w:r>
          </w:p>
        </w:tc>
      </w:tr>
      <w:tr w14:paraId="0F8876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cs="Times New Roman"/>
            </w:rPr>
            <w:tag w:val="_PLD_95b1c638e8714129b03173a0758b863f"/>
            <w:id w:val="147482580"/>
          </w:sdtPr>
          <w:sdtEndPr>
            <w:rPr>
              <w:rFonts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58409931">
                <w:pPr>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二、投资活动产生的现金流量：</w:t>
                </w:r>
              </w:p>
            </w:tc>
          </w:sdtContent>
        </w:sdt>
      </w:tr>
      <w:tr w14:paraId="625588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35446588">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收回投资收到的现金</w:t>
            </w:r>
          </w:p>
        </w:tc>
        <w:tc>
          <w:tcPr>
            <w:tcW w:w="544" w:type="pct"/>
            <w:tcBorders>
              <w:top w:val="outset" w:color="auto" w:sz="4" w:space="0"/>
              <w:left w:val="outset" w:color="auto" w:sz="4" w:space="0"/>
              <w:bottom w:val="outset" w:color="auto" w:sz="4" w:space="0"/>
              <w:right w:val="outset" w:color="auto" w:sz="4" w:space="0"/>
            </w:tcBorders>
            <w:vAlign w:val="center"/>
          </w:tcPr>
          <w:p w14:paraId="7C3C9FD8">
            <w:pPr>
              <w:jc w:val="cente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2DC6C306">
            <w:pPr>
              <w:jc w:val="right"/>
              <w:rPr>
                <w:rFonts w:cs="Times New Roman"/>
              </w:rPr>
            </w:pPr>
          </w:p>
        </w:tc>
        <w:tc>
          <w:tcPr>
            <w:tcW w:w="975" w:type="pct"/>
            <w:tcBorders>
              <w:top w:val="outset" w:color="auto" w:sz="4" w:space="0"/>
              <w:left w:val="outset" w:color="auto" w:sz="4" w:space="0"/>
              <w:bottom w:val="outset" w:color="auto" w:sz="4" w:space="0"/>
              <w:right w:val="outset" w:color="auto" w:sz="4" w:space="0"/>
            </w:tcBorders>
            <w:vAlign w:val="bottom"/>
          </w:tcPr>
          <w:p w14:paraId="57CD9774">
            <w:pPr>
              <w:jc w:val="right"/>
              <w:rPr>
                <w:rFonts w:cs="Times New Roman"/>
              </w:rPr>
            </w:pPr>
          </w:p>
        </w:tc>
      </w:tr>
      <w:tr w14:paraId="7D542F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7ED36131">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取得投资收益收到的现金</w:t>
            </w:r>
          </w:p>
        </w:tc>
        <w:tc>
          <w:tcPr>
            <w:tcW w:w="544" w:type="pct"/>
            <w:tcBorders>
              <w:top w:val="outset" w:color="auto" w:sz="4" w:space="0"/>
              <w:left w:val="outset" w:color="auto" w:sz="4" w:space="0"/>
              <w:bottom w:val="outset" w:color="auto" w:sz="4" w:space="0"/>
              <w:right w:val="outset" w:color="auto" w:sz="4" w:space="0"/>
            </w:tcBorders>
            <w:vAlign w:val="center"/>
          </w:tcPr>
          <w:p w14:paraId="63CAF6E3">
            <w:pPr>
              <w:jc w:val="cente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3C7CD551">
            <w:pPr>
              <w:jc w:val="right"/>
              <w:rPr>
                <w:rFonts w:cs="Times New Roman"/>
              </w:rPr>
            </w:pPr>
          </w:p>
        </w:tc>
        <w:tc>
          <w:tcPr>
            <w:tcW w:w="975" w:type="pct"/>
            <w:tcBorders>
              <w:top w:val="outset" w:color="auto" w:sz="4" w:space="0"/>
              <w:left w:val="outset" w:color="auto" w:sz="4" w:space="0"/>
              <w:bottom w:val="outset" w:color="auto" w:sz="4" w:space="0"/>
              <w:right w:val="outset" w:color="auto" w:sz="4" w:space="0"/>
            </w:tcBorders>
            <w:vAlign w:val="bottom"/>
          </w:tcPr>
          <w:p w14:paraId="57C440C1">
            <w:pPr>
              <w:jc w:val="right"/>
              <w:textAlignment w:val="bottom"/>
              <w:rPr>
                <w:rFonts w:cs="Times New Roman"/>
              </w:rPr>
            </w:pPr>
            <w:r>
              <w:rPr>
                <w:rFonts w:eastAsia="Arial Narrow" w:cs="Times New Roman"/>
                <w:color w:val="000000"/>
                <w:lang w:bidi="ar"/>
              </w:rPr>
              <w:t>2,635,500.00</w:t>
            </w:r>
          </w:p>
        </w:tc>
      </w:tr>
      <w:tr w14:paraId="7EF9C7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01F6432F">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处置固定资产、无形资产和其他长期资产收回的现金净额</w:t>
            </w:r>
          </w:p>
        </w:tc>
        <w:tc>
          <w:tcPr>
            <w:tcW w:w="544" w:type="pct"/>
            <w:tcBorders>
              <w:top w:val="outset" w:color="auto" w:sz="4" w:space="0"/>
              <w:left w:val="outset" w:color="auto" w:sz="4" w:space="0"/>
              <w:bottom w:val="outset" w:color="auto" w:sz="4" w:space="0"/>
              <w:right w:val="outset" w:color="auto" w:sz="4" w:space="0"/>
            </w:tcBorders>
            <w:vAlign w:val="center"/>
          </w:tcPr>
          <w:p w14:paraId="29CEE84C">
            <w:pPr>
              <w:jc w:val="cente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center"/>
          </w:tcPr>
          <w:p w14:paraId="497AB7B3">
            <w:pPr>
              <w:jc w:val="right"/>
              <w:textAlignment w:val="bottom"/>
              <w:rPr>
                <w:rFonts w:cs="Times New Roman"/>
              </w:rPr>
            </w:pPr>
            <w:r>
              <w:rPr>
                <w:rFonts w:eastAsia="Arial Narrow" w:cs="Times New Roman"/>
                <w:color w:val="000000"/>
                <w:lang w:bidi="ar"/>
              </w:rPr>
              <w:t>203,950.00</w:t>
            </w:r>
          </w:p>
        </w:tc>
        <w:tc>
          <w:tcPr>
            <w:tcW w:w="975" w:type="pct"/>
            <w:tcBorders>
              <w:top w:val="outset" w:color="auto" w:sz="4" w:space="0"/>
              <w:left w:val="outset" w:color="auto" w:sz="4" w:space="0"/>
              <w:bottom w:val="outset" w:color="auto" w:sz="4" w:space="0"/>
              <w:right w:val="outset" w:color="auto" w:sz="4" w:space="0"/>
            </w:tcBorders>
            <w:vAlign w:val="center"/>
          </w:tcPr>
          <w:p w14:paraId="0E38977F">
            <w:pPr>
              <w:jc w:val="right"/>
              <w:textAlignment w:val="bottom"/>
              <w:rPr>
                <w:rFonts w:cs="Times New Roman"/>
              </w:rPr>
            </w:pPr>
            <w:r>
              <w:rPr>
                <w:rFonts w:eastAsia="Arial Narrow" w:cs="Times New Roman"/>
                <w:color w:val="000000"/>
                <w:lang w:bidi="ar"/>
              </w:rPr>
              <w:t>1,358,313.03</w:t>
            </w:r>
          </w:p>
        </w:tc>
      </w:tr>
      <w:tr w14:paraId="084819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5FA6A048">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处置子公司及其他营业单位收到的现金净额</w:t>
            </w:r>
          </w:p>
        </w:tc>
        <w:tc>
          <w:tcPr>
            <w:tcW w:w="544" w:type="pct"/>
            <w:tcBorders>
              <w:top w:val="outset" w:color="auto" w:sz="4" w:space="0"/>
              <w:left w:val="outset" w:color="auto" w:sz="4" w:space="0"/>
              <w:bottom w:val="outset" w:color="auto" w:sz="4" w:space="0"/>
              <w:right w:val="outset" w:color="auto" w:sz="4" w:space="0"/>
            </w:tcBorders>
            <w:vAlign w:val="center"/>
          </w:tcPr>
          <w:p w14:paraId="44A03273">
            <w:pPr>
              <w:jc w:val="cente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2DD75999">
            <w:pPr>
              <w:jc w:val="right"/>
              <w:textAlignment w:val="bottom"/>
              <w:rPr>
                <w:rFonts w:cs="Times New Roman"/>
              </w:rPr>
            </w:pPr>
            <w:r>
              <w:rPr>
                <w:rFonts w:eastAsia="Arial Narrow" w:cs="Times New Roman"/>
                <w:color w:val="000000"/>
                <w:lang w:bidi="ar"/>
              </w:rPr>
              <w:t>-182,679.76</w:t>
            </w:r>
          </w:p>
        </w:tc>
        <w:tc>
          <w:tcPr>
            <w:tcW w:w="975" w:type="pct"/>
            <w:tcBorders>
              <w:top w:val="outset" w:color="auto" w:sz="4" w:space="0"/>
              <w:left w:val="outset" w:color="auto" w:sz="4" w:space="0"/>
              <w:bottom w:val="outset" w:color="auto" w:sz="4" w:space="0"/>
              <w:right w:val="outset" w:color="auto" w:sz="4" w:space="0"/>
            </w:tcBorders>
            <w:vAlign w:val="bottom"/>
          </w:tcPr>
          <w:p w14:paraId="61255ABC">
            <w:pPr>
              <w:jc w:val="right"/>
              <w:rPr>
                <w:rFonts w:cs="Times New Roman"/>
              </w:rPr>
            </w:pPr>
          </w:p>
        </w:tc>
      </w:tr>
      <w:tr w14:paraId="52CC27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6F416B83">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收到其他与投资活动有关的现金</w:t>
            </w:r>
          </w:p>
        </w:tc>
        <w:tc>
          <w:tcPr>
            <w:tcW w:w="544" w:type="pct"/>
            <w:tcBorders>
              <w:top w:val="outset" w:color="auto" w:sz="4" w:space="0"/>
              <w:left w:val="outset" w:color="auto" w:sz="4" w:space="0"/>
              <w:bottom w:val="outset" w:color="auto" w:sz="4" w:space="0"/>
              <w:right w:val="outset" w:color="auto" w:sz="4" w:space="0"/>
            </w:tcBorders>
            <w:vAlign w:val="center"/>
          </w:tcPr>
          <w:p w14:paraId="21AB1072">
            <w:pPr>
              <w:jc w:val="center"/>
              <w:textAlignment w:val="center"/>
              <w:rPr>
                <w:rFonts w:cs="Times New Roman"/>
              </w:rPr>
            </w:pPr>
            <w:r>
              <w:rPr>
                <w:rFonts w:cs="Times New Roman"/>
                <w:color w:val="000000"/>
                <w:lang w:bidi="ar"/>
              </w:rPr>
              <w:t>七、78</w:t>
            </w:r>
          </w:p>
        </w:tc>
        <w:tc>
          <w:tcPr>
            <w:tcW w:w="931" w:type="pct"/>
            <w:tcBorders>
              <w:top w:val="outset" w:color="auto" w:sz="4" w:space="0"/>
              <w:left w:val="outset" w:color="auto" w:sz="4" w:space="0"/>
              <w:bottom w:val="outset" w:color="auto" w:sz="4" w:space="0"/>
              <w:right w:val="outset" w:color="auto" w:sz="4" w:space="0"/>
            </w:tcBorders>
            <w:vAlign w:val="bottom"/>
          </w:tcPr>
          <w:p w14:paraId="72DABE3D">
            <w:pPr>
              <w:jc w:val="right"/>
              <w:rPr>
                <w:rFonts w:cs="Times New Roman"/>
              </w:rPr>
            </w:pPr>
          </w:p>
        </w:tc>
        <w:tc>
          <w:tcPr>
            <w:tcW w:w="975" w:type="pct"/>
            <w:tcBorders>
              <w:top w:val="outset" w:color="auto" w:sz="4" w:space="0"/>
              <w:left w:val="outset" w:color="auto" w:sz="4" w:space="0"/>
              <w:bottom w:val="outset" w:color="auto" w:sz="4" w:space="0"/>
              <w:right w:val="outset" w:color="auto" w:sz="4" w:space="0"/>
            </w:tcBorders>
            <w:vAlign w:val="bottom"/>
          </w:tcPr>
          <w:p w14:paraId="29F7D947">
            <w:pPr>
              <w:jc w:val="right"/>
              <w:textAlignment w:val="bottom"/>
              <w:rPr>
                <w:rFonts w:cs="Times New Roman"/>
              </w:rPr>
            </w:pPr>
            <w:r>
              <w:rPr>
                <w:rFonts w:eastAsia="Arial Narrow" w:cs="Times New Roman"/>
                <w:color w:val="000000"/>
                <w:lang w:bidi="ar"/>
              </w:rPr>
              <w:t>1,723,594.68</w:t>
            </w:r>
          </w:p>
        </w:tc>
      </w:tr>
      <w:tr w14:paraId="7B472E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051F5E43">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投资活动现金流入小计</w:t>
            </w:r>
          </w:p>
        </w:tc>
        <w:tc>
          <w:tcPr>
            <w:tcW w:w="544" w:type="pct"/>
            <w:tcBorders>
              <w:top w:val="outset" w:color="auto" w:sz="4" w:space="0"/>
              <w:left w:val="outset" w:color="auto" w:sz="4" w:space="0"/>
              <w:bottom w:val="outset" w:color="auto" w:sz="4" w:space="0"/>
              <w:right w:val="outset" w:color="auto" w:sz="4" w:space="0"/>
            </w:tcBorders>
            <w:vAlign w:val="center"/>
          </w:tcPr>
          <w:p w14:paraId="584AD3DF">
            <w:pPr>
              <w:jc w:val="cente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22CA10B4">
            <w:pPr>
              <w:jc w:val="right"/>
              <w:textAlignment w:val="bottom"/>
              <w:rPr>
                <w:rFonts w:cs="Times New Roman"/>
              </w:rPr>
            </w:pPr>
            <w:r>
              <w:rPr>
                <w:rFonts w:eastAsia="Arial Narrow" w:cs="Times New Roman"/>
                <w:color w:val="000000"/>
                <w:lang w:bidi="ar"/>
              </w:rPr>
              <w:t>21,270.24</w:t>
            </w:r>
          </w:p>
        </w:tc>
        <w:tc>
          <w:tcPr>
            <w:tcW w:w="975" w:type="pct"/>
            <w:tcBorders>
              <w:top w:val="outset" w:color="auto" w:sz="4" w:space="0"/>
              <w:left w:val="outset" w:color="auto" w:sz="4" w:space="0"/>
              <w:bottom w:val="outset" w:color="auto" w:sz="4" w:space="0"/>
              <w:right w:val="outset" w:color="auto" w:sz="4" w:space="0"/>
            </w:tcBorders>
            <w:vAlign w:val="bottom"/>
          </w:tcPr>
          <w:p w14:paraId="5A99BF28">
            <w:pPr>
              <w:jc w:val="right"/>
              <w:textAlignment w:val="bottom"/>
              <w:rPr>
                <w:rFonts w:cs="Times New Roman"/>
              </w:rPr>
            </w:pPr>
            <w:r>
              <w:rPr>
                <w:rFonts w:eastAsia="Arial Narrow" w:cs="Times New Roman"/>
                <w:color w:val="000000"/>
                <w:lang w:bidi="ar"/>
              </w:rPr>
              <w:t>5,717,407.71</w:t>
            </w:r>
          </w:p>
        </w:tc>
      </w:tr>
      <w:tr w14:paraId="3CBE4E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5A69AA41">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购建固定资产、无形资产和其他长期资产支付的现金</w:t>
            </w:r>
          </w:p>
        </w:tc>
        <w:tc>
          <w:tcPr>
            <w:tcW w:w="544" w:type="pct"/>
            <w:tcBorders>
              <w:top w:val="outset" w:color="auto" w:sz="4" w:space="0"/>
              <w:left w:val="outset" w:color="auto" w:sz="4" w:space="0"/>
              <w:bottom w:val="outset" w:color="auto" w:sz="4" w:space="0"/>
              <w:right w:val="outset" w:color="auto" w:sz="4" w:space="0"/>
            </w:tcBorders>
            <w:vAlign w:val="center"/>
          </w:tcPr>
          <w:p w14:paraId="428F2524">
            <w:pPr>
              <w:jc w:val="cente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center"/>
          </w:tcPr>
          <w:p w14:paraId="208504B5">
            <w:pPr>
              <w:jc w:val="right"/>
              <w:textAlignment w:val="bottom"/>
              <w:rPr>
                <w:rFonts w:cs="Times New Roman"/>
              </w:rPr>
            </w:pPr>
            <w:r>
              <w:rPr>
                <w:rFonts w:eastAsia="Arial Narrow" w:cs="Times New Roman"/>
                <w:color w:val="000000"/>
                <w:lang w:bidi="ar"/>
              </w:rPr>
              <w:t>367,510,725.05</w:t>
            </w:r>
          </w:p>
        </w:tc>
        <w:tc>
          <w:tcPr>
            <w:tcW w:w="975" w:type="pct"/>
            <w:tcBorders>
              <w:top w:val="outset" w:color="auto" w:sz="4" w:space="0"/>
              <w:left w:val="outset" w:color="auto" w:sz="4" w:space="0"/>
              <w:bottom w:val="outset" w:color="auto" w:sz="4" w:space="0"/>
              <w:right w:val="outset" w:color="auto" w:sz="4" w:space="0"/>
            </w:tcBorders>
            <w:vAlign w:val="center"/>
          </w:tcPr>
          <w:p w14:paraId="556F2322">
            <w:pPr>
              <w:jc w:val="right"/>
              <w:textAlignment w:val="bottom"/>
              <w:rPr>
                <w:rFonts w:cs="Times New Roman"/>
              </w:rPr>
            </w:pPr>
            <w:r>
              <w:rPr>
                <w:rFonts w:eastAsia="Arial Narrow" w:cs="Times New Roman"/>
                <w:color w:val="000000"/>
                <w:lang w:bidi="ar"/>
              </w:rPr>
              <w:t>165,742,646.84</w:t>
            </w:r>
          </w:p>
        </w:tc>
      </w:tr>
      <w:tr w14:paraId="1D21A8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7B54431D">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支付其他与投资活动有关的现金</w:t>
            </w:r>
          </w:p>
        </w:tc>
        <w:tc>
          <w:tcPr>
            <w:tcW w:w="544" w:type="pct"/>
            <w:tcBorders>
              <w:top w:val="outset" w:color="auto" w:sz="4" w:space="0"/>
              <w:left w:val="outset" w:color="auto" w:sz="4" w:space="0"/>
              <w:bottom w:val="outset" w:color="auto" w:sz="4" w:space="0"/>
              <w:right w:val="outset" w:color="auto" w:sz="4" w:space="0"/>
            </w:tcBorders>
            <w:vAlign w:val="center"/>
          </w:tcPr>
          <w:p w14:paraId="30CFDDFD">
            <w:pPr>
              <w:jc w:val="center"/>
              <w:textAlignment w:val="center"/>
              <w:rPr>
                <w:rFonts w:cs="Times New Roman"/>
              </w:rPr>
            </w:pPr>
            <w:r>
              <w:rPr>
                <w:rFonts w:cs="Times New Roman"/>
                <w:color w:val="000000"/>
                <w:lang w:bidi="ar"/>
              </w:rPr>
              <w:t>七、78</w:t>
            </w:r>
          </w:p>
        </w:tc>
        <w:tc>
          <w:tcPr>
            <w:tcW w:w="931" w:type="pct"/>
            <w:tcBorders>
              <w:top w:val="outset" w:color="auto" w:sz="4" w:space="0"/>
              <w:left w:val="outset" w:color="auto" w:sz="4" w:space="0"/>
              <w:bottom w:val="outset" w:color="auto" w:sz="4" w:space="0"/>
              <w:right w:val="outset" w:color="auto" w:sz="4" w:space="0"/>
            </w:tcBorders>
            <w:vAlign w:val="bottom"/>
          </w:tcPr>
          <w:p w14:paraId="5CECAC07">
            <w:pPr>
              <w:jc w:val="right"/>
              <w:rPr>
                <w:rFonts w:cs="Times New Roman"/>
              </w:rPr>
            </w:pPr>
          </w:p>
        </w:tc>
        <w:tc>
          <w:tcPr>
            <w:tcW w:w="975" w:type="pct"/>
            <w:tcBorders>
              <w:top w:val="outset" w:color="auto" w:sz="4" w:space="0"/>
              <w:left w:val="outset" w:color="auto" w:sz="4" w:space="0"/>
              <w:bottom w:val="outset" w:color="auto" w:sz="4" w:space="0"/>
              <w:right w:val="outset" w:color="auto" w:sz="4" w:space="0"/>
            </w:tcBorders>
            <w:vAlign w:val="bottom"/>
          </w:tcPr>
          <w:p w14:paraId="702ABE57">
            <w:pPr>
              <w:jc w:val="right"/>
              <w:rPr>
                <w:rFonts w:cs="Times New Roman"/>
              </w:rPr>
            </w:pPr>
          </w:p>
        </w:tc>
      </w:tr>
      <w:tr w14:paraId="4530E6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6F59BF48">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投资活动现金流出小计</w:t>
            </w:r>
          </w:p>
        </w:tc>
        <w:tc>
          <w:tcPr>
            <w:tcW w:w="544" w:type="pct"/>
            <w:tcBorders>
              <w:top w:val="outset" w:color="auto" w:sz="4" w:space="0"/>
              <w:left w:val="outset" w:color="auto" w:sz="4" w:space="0"/>
              <w:bottom w:val="outset" w:color="auto" w:sz="4" w:space="0"/>
              <w:right w:val="outset" w:color="auto" w:sz="4" w:space="0"/>
            </w:tcBorders>
            <w:vAlign w:val="center"/>
          </w:tcPr>
          <w:p w14:paraId="1C359E4B">
            <w:pPr>
              <w:jc w:val="cente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238A4C1A">
            <w:pPr>
              <w:jc w:val="right"/>
              <w:textAlignment w:val="bottom"/>
              <w:rPr>
                <w:rFonts w:cs="Times New Roman"/>
              </w:rPr>
            </w:pPr>
            <w:r>
              <w:rPr>
                <w:rFonts w:eastAsia="Arial Narrow" w:cs="Times New Roman"/>
                <w:color w:val="000000"/>
                <w:lang w:bidi="ar"/>
              </w:rPr>
              <w:t>367,510,725.05</w:t>
            </w:r>
          </w:p>
        </w:tc>
        <w:tc>
          <w:tcPr>
            <w:tcW w:w="975" w:type="pct"/>
            <w:tcBorders>
              <w:top w:val="outset" w:color="auto" w:sz="4" w:space="0"/>
              <w:left w:val="outset" w:color="auto" w:sz="4" w:space="0"/>
              <w:bottom w:val="outset" w:color="auto" w:sz="4" w:space="0"/>
              <w:right w:val="outset" w:color="auto" w:sz="4" w:space="0"/>
            </w:tcBorders>
            <w:vAlign w:val="bottom"/>
          </w:tcPr>
          <w:p w14:paraId="23838768">
            <w:pPr>
              <w:jc w:val="right"/>
              <w:textAlignment w:val="bottom"/>
              <w:rPr>
                <w:rFonts w:cs="Times New Roman"/>
              </w:rPr>
            </w:pPr>
            <w:r>
              <w:rPr>
                <w:rFonts w:eastAsia="Arial Narrow" w:cs="Times New Roman"/>
                <w:color w:val="000000"/>
                <w:lang w:bidi="ar"/>
              </w:rPr>
              <w:t>165,742,646.84</w:t>
            </w:r>
          </w:p>
        </w:tc>
      </w:tr>
      <w:tr w14:paraId="400A1D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3EB8B0EF">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投资活动产生的现金流量净额</w:t>
            </w:r>
          </w:p>
        </w:tc>
        <w:tc>
          <w:tcPr>
            <w:tcW w:w="544" w:type="pct"/>
            <w:tcBorders>
              <w:top w:val="outset" w:color="auto" w:sz="4" w:space="0"/>
              <w:left w:val="outset" w:color="auto" w:sz="4" w:space="0"/>
              <w:bottom w:val="outset" w:color="auto" w:sz="4" w:space="0"/>
              <w:right w:val="outset" w:color="auto" w:sz="4" w:space="0"/>
            </w:tcBorders>
            <w:vAlign w:val="center"/>
          </w:tcPr>
          <w:p w14:paraId="5919555F">
            <w:pPr>
              <w:jc w:val="cente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5336791B">
            <w:pPr>
              <w:jc w:val="right"/>
              <w:textAlignment w:val="bottom"/>
              <w:rPr>
                <w:rFonts w:cs="Times New Roman"/>
              </w:rPr>
            </w:pPr>
            <w:r>
              <w:rPr>
                <w:rFonts w:eastAsia="Arial Narrow" w:cs="Times New Roman"/>
                <w:color w:val="000000"/>
                <w:lang w:bidi="ar"/>
              </w:rPr>
              <w:t>-367,489,454.81</w:t>
            </w:r>
          </w:p>
        </w:tc>
        <w:tc>
          <w:tcPr>
            <w:tcW w:w="975" w:type="pct"/>
            <w:tcBorders>
              <w:top w:val="outset" w:color="auto" w:sz="4" w:space="0"/>
              <w:left w:val="outset" w:color="auto" w:sz="4" w:space="0"/>
              <w:bottom w:val="outset" w:color="auto" w:sz="4" w:space="0"/>
              <w:right w:val="outset" w:color="auto" w:sz="4" w:space="0"/>
            </w:tcBorders>
            <w:vAlign w:val="bottom"/>
          </w:tcPr>
          <w:p w14:paraId="3FCCD497">
            <w:pPr>
              <w:jc w:val="right"/>
              <w:textAlignment w:val="bottom"/>
              <w:rPr>
                <w:rFonts w:cs="Times New Roman"/>
              </w:rPr>
            </w:pPr>
            <w:r>
              <w:rPr>
                <w:rFonts w:eastAsia="Arial Narrow" w:cs="Times New Roman"/>
                <w:color w:val="000000"/>
                <w:lang w:bidi="ar"/>
              </w:rPr>
              <w:t>-160,025,239.13</w:t>
            </w:r>
          </w:p>
        </w:tc>
      </w:tr>
      <w:tr w14:paraId="54609E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cs="Times New Roman"/>
            </w:rPr>
            <w:tag w:val="_PLD_0ebd9a8b5d8e4227a6bc3b0738379ef1"/>
            <w:id w:val="147475639"/>
          </w:sdtPr>
          <w:sdtEndPr>
            <w:rPr>
              <w:rFonts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2AEEDF3A">
                <w:pPr>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三、筹资活动产生的现金流量：</w:t>
                </w:r>
              </w:p>
            </w:tc>
          </w:sdtContent>
        </w:sdt>
      </w:tr>
      <w:tr w14:paraId="454D12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60558CDA">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吸收投资收到的现金</w:t>
            </w:r>
          </w:p>
        </w:tc>
        <w:tc>
          <w:tcPr>
            <w:tcW w:w="544" w:type="pct"/>
            <w:tcBorders>
              <w:top w:val="outset" w:color="auto" w:sz="4" w:space="0"/>
              <w:left w:val="outset" w:color="auto" w:sz="4" w:space="0"/>
              <w:bottom w:val="outset" w:color="auto" w:sz="4" w:space="0"/>
              <w:right w:val="outset" w:color="auto" w:sz="4" w:space="0"/>
            </w:tcBorders>
            <w:vAlign w:val="center"/>
          </w:tcPr>
          <w:p w14:paraId="2BE2E09A">
            <w:pPr>
              <w:jc w:val="cente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7081851C">
            <w:pPr>
              <w:jc w:val="right"/>
              <w:rPr>
                <w:rFonts w:cs="Times New Roman"/>
              </w:rPr>
            </w:pPr>
          </w:p>
        </w:tc>
        <w:tc>
          <w:tcPr>
            <w:tcW w:w="975" w:type="pct"/>
            <w:tcBorders>
              <w:top w:val="outset" w:color="auto" w:sz="4" w:space="0"/>
              <w:left w:val="outset" w:color="auto" w:sz="4" w:space="0"/>
              <w:bottom w:val="outset" w:color="auto" w:sz="4" w:space="0"/>
              <w:right w:val="outset" w:color="auto" w:sz="4" w:space="0"/>
            </w:tcBorders>
            <w:vAlign w:val="bottom"/>
          </w:tcPr>
          <w:p w14:paraId="29FE94E6">
            <w:pPr>
              <w:jc w:val="right"/>
              <w:textAlignment w:val="bottom"/>
              <w:rPr>
                <w:rFonts w:cs="Times New Roman"/>
              </w:rPr>
            </w:pPr>
            <w:r>
              <w:rPr>
                <w:rFonts w:eastAsia="Arial Narrow" w:cs="Times New Roman"/>
                <w:color w:val="000000"/>
                <w:lang w:bidi="ar"/>
              </w:rPr>
              <w:t>2,000,000.00</w:t>
            </w:r>
          </w:p>
        </w:tc>
      </w:tr>
      <w:tr w14:paraId="2AB575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494A3F28">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其中：子公司吸收少数股东投资收到的现金</w:t>
            </w:r>
          </w:p>
        </w:tc>
        <w:tc>
          <w:tcPr>
            <w:tcW w:w="544" w:type="pct"/>
            <w:tcBorders>
              <w:top w:val="outset" w:color="auto" w:sz="4" w:space="0"/>
              <w:left w:val="outset" w:color="auto" w:sz="4" w:space="0"/>
              <w:bottom w:val="outset" w:color="auto" w:sz="4" w:space="0"/>
              <w:right w:val="outset" w:color="auto" w:sz="4" w:space="0"/>
            </w:tcBorders>
            <w:vAlign w:val="center"/>
          </w:tcPr>
          <w:p w14:paraId="07CF0EAA">
            <w:pPr>
              <w:jc w:val="cente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542BB4A5">
            <w:pPr>
              <w:jc w:val="right"/>
              <w:rPr>
                <w:rFonts w:cs="Times New Roman"/>
              </w:rPr>
            </w:pPr>
          </w:p>
        </w:tc>
        <w:tc>
          <w:tcPr>
            <w:tcW w:w="975" w:type="pct"/>
            <w:tcBorders>
              <w:top w:val="outset" w:color="auto" w:sz="4" w:space="0"/>
              <w:left w:val="outset" w:color="auto" w:sz="4" w:space="0"/>
              <w:bottom w:val="outset" w:color="auto" w:sz="4" w:space="0"/>
              <w:right w:val="outset" w:color="auto" w:sz="4" w:space="0"/>
            </w:tcBorders>
            <w:vAlign w:val="bottom"/>
          </w:tcPr>
          <w:p w14:paraId="3C313765">
            <w:pPr>
              <w:jc w:val="right"/>
              <w:textAlignment w:val="bottom"/>
              <w:rPr>
                <w:rFonts w:cs="Times New Roman"/>
              </w:rPr>
            </w:pPr>
            <w:r>
              <w:rPr>
                <w:rFonts w:eastAsia="Arial Narrow" w:cs="Times New Roman"/>
                <w:color w:val="000000"/>
                <w:lang w:bidi="ar"/>
              </w:rPr>
              <w:t>2,000,000.00</w:t>
            </w:r>
          </w:p>
        </w:tc>
      </w:tr>
      <w:tr w14:paraId="4FC110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583604D6">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取得借款收到的现金</w:t>
            </w:r>
          </w:p>
        </w:tc>
        <w:tc>
          <w:tcPr>
            <w:tcW w:w="544" w:type="pct"/>
            <w:tcBorders>
              <w:top w:val="outset" w:color="auto" w:sz="4" w:space="0"/>
              <w:left w:val="outset" w:color="auto" w:sz="4" w:space="0"/>
              <w:bottom w:val="outset" w:color="auto" w:sz="4" w:space="0"/>
              <w:right w:val="outset" w:color="auto" w:sz="4" w:space="0"/>
            </w:tcBorders>
            <w:vAlign w:val="center"/>
          </w:tcPr>
          <w:p w14:paraId="03023594">
            <w:pPr>
              <w:jc w:val="cente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27F5B980">
            <w:pPr>
              <w:jc w:val="right"/>
              <w:textAlignment w:val="bottom"/>
              <w:rPr>
                <w:rFonts w:cs="Times New Roman"/>
              </w:rPr>
            </w:pPr>
            <w:r>
              <w:rPr>
                <w:rFonts w:eastAsia="Arial Narrow" w:cs="Times New Roman"/>
                <w:color w:val="000000"/>
                <w:lang w:bidi="ar"/>
              </w:rPr>
              <w:t>2,198,640,803.38</w:t>
            </w:r>
          </w:p>
        </w:tc>
        <w:tc>
          <w:tcPr>
            <w:tcW w:w="975" w:type="pct"/>
            <w:tcBorders>
              <w:top w:val="outset" w:color="auto" w:sz="4" w:space="0"/>
              <w:left w:val="outset" w:color="auto" w:sz="4" w:space="0"/>
              <w:bottom w:val="outset" w:color="auto" w:sz="4" w:space="0"/>
              <w:right w:val="outset" w:color="auto" w:sz="4" w:space="0"/>
            </w:tcBorders>
            <w:vAlign w:val="bottom"/>
          </w:tcPr>
          <w:p w14:paraId="318655E0">
            <w:pPr>
              <w:jc w:val="right"/>
              <w:textAlignment w:val="bottom"/>
              <w:rPr>
                <w:rFonts w:cs="Times New Roman"/>
              </w:rPr>
            </w:pPr>
            <w:r>
              <w:rPr>
                <w:rFonts w:eastAsia="Arial Narrow" w:cs="Times New Roman"/>
                <w:color w:val="000000"/>
                <w:lang w:bidi="ar"/>
              </w:rPr>
              <w:t>786,733,650.31</w:t>
            </w:r>
          </w:p>
        </w:tc>
      </w:tr>
      <w:tr w14:paraId="71F831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7B33160B">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收到其他与筹资活动有关的现金</w:t>
            </w:r>
          </w:p>
        </w:tc>
        <w:tc>
          <w:tcPr>
            <w:tcW w:w="544" w:type="pct"/>
            <w:tcBorders>
              <w:top w:val="outset" w:color="auto" w:sz="4" w:space="0"/>
              <w:left w:val="outset" w:color="auto" w:sz="4" w:space="0"/>
              <w:bottom w:val="outset" w:color="auto" w:sz="4" w:space="0"/>
              <w:right w:val="outset" w:color="auto" w:sz="4" w:space="0"/>
            </w:tcBorders>
            <w:vAlign w:val="center"/>
          </w:tcPr>
          <w:p w14:paraId="07EF3735">
            <w:pPr>
              <w:jc w:val="center"/>
              <w:textAlignment w:val="center"/>
              <w:rPr>
                <w:rFonts w:cs="Times New Roman"/>
              </w:rPr>
            </w:pPr>
            <w:r>
              <w:rPr>
                <w:rFonts w:cs="Times New Roman"/>
                <w:color w:val="000000"/>
                <w:lang w:bidi="ar"/>
              </w:rPr>
              <w:t>七、78</w:t>
            </w:r>
          </w:p>
        </w:tc>
        <w:tc>
          <w:tcPr>
            <w:tcW w:w="931" w:type="pct"/>
            <w:tcBorders>
              <w:top w:val="outset" w:color="auto" w:sz="4" w:space="0"/>
              <w:left w:val="outset" w:color="auto" w:sz="4" w:space="0"/>
              <w:bottom w:val="outset" w:color="auto" w:sz="4" w:space="0"/>
              <w:right w:val="outset" w:color="auto" w:sz="4" w:space="0"/>
            </w:tcBorders>
            <w:vAlign w:val="bottom"/>
          </w:tcPr>
          <w:p w14:paraId="1ADF7867">
            <w:pPr>
              <w:jc w:val="right"/>
              <w:textAlignment w:val="bottom"/>
              <w:rPr>
                <w:rFonts w:cs="Times New Roman"/>
              </w:rPr>
            </w:pPr>
            <w:r>
              <w:rPr>
                <w:rFonts w:eastAsia="Arial Narrow" w:cs="Times New Roman"/>
                <w:color w:val="000000"/>
                <w:lang w:bidi="ar"/>
              </w:rPr>
              <w:t>11,204,249.08</w:t>
            </w:r>
          </w:p>
        </w:tc>
        <w:tc>
          <w:tcPr>
            <w:tcW w:w="975" w:type="pct"/>
            <w:tcBorders>
              <w:top w:val="outset" w:color="auto" w:sz="4" w:space="0"/>
              <w:left w:val="outset" w:color="auto" w:sz="4" w:space="0"/>
              <w:bottom w:val="outset" w:color="auto" w:sz="4" w:space="0"/>
              <w:right w:val="outset" w:color="auto" w:sz="4" w:space="0"/>
            </w:tcBorders>
            <w:vAlign w:val="bottom"/>
          </w:tcPr>
          <w:p w14:paraId="37FD142A">
            <w:pPr>
              <w:jc w:val="right"/>
              <w:textAlignment w:val="bottom"/>
              <w:rPr>
                <w:rFonts w:cs="Times New Roman"/>
              </w:rPr>
            </w:pPr>
            <w:r>
              <w:rPr>
                <w:rFonts w:eastAsia="Arial Narrow" w:cs="Times New Roman"/>
                <w:color w:val="000000"/>
                <w:lang w:bidi="ar"/>
              </w:rPr>
              <w:t>11,109,769.81</w:t>
            </w:r>
          </w:p>
        </w:tc>
      </w:tr>
      <w:tr w14:paraId="098718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012F3C60">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筹资活动现金流入小计</w:t>
            </w:r>
          </w:p>
        </w:tc>
        <w:tc>
          <w:tcPr>
            <w:tcW w:w="544" w:type="pct"/>
            <w:tcBorders>
              <w:top w:val="outset" w:color="auto" w:sz="4" w:space="0"/>
              <w:left w:val="outset" w:color="auto" w:sz="4" w:space="0"/>
              <w:bottom w:val="outset" w:color="auto" w:sz="4" w:space="0"/>
              <w:right w:val="outset" w:color="auto" w:sz="4" w:space="0"/>
            </w:tcBorders>
            <w:vAlign w:val="center"/>
          </w:tcPr>
          <w:p w14:paraId="3C41B61B">
            <w:pPr>
              <w:jc w:val="cente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53A2F203">
            <w:pPr>
              <w:jc w:val="right"/>
              <w:textAlignment w:val="bottom"/>
              <w:rPr>
                <w:rFonts w:cs="Times New Roman"/>
              </w:rPr>
            </w:pPr>
            <w:r>
              <w:rPr>
                <w:rFonts w:eastAsia="Arial Narrow" w:cs="Times New Roman"/>
                <w:color w:val="000000"/>
                <w:lang w:bidi="ar"/>
              </w:rPr>
              <w:t>2,209,845,052.46</w:t>
            </w:r>
          </w:p>
        </w:tc>
        <w:tc>
          <w:tcPr>
            <w:tcW w:w="975" w:type="pct"/>
            <w:tcBorders>
              <w:top w:val="outset" w:color="auto" w:sz="4" w:space="0"/>
              <w:left w:val="outset" w:color="auto" w:sz="4" w:space="0"/>
              <w:bottom w:val="outset" w:color="auto" w:sz="4" w:space="0"/>
              <w:right w:val="outset" w:color="auto" w:sz="4" w:space="0"/>
            </w:tcBorders>
            <w:vAlign w:val="bottom"/>
          </w:tcPr>
          <w:p w14:paraId="1BD54A6E">
            <w:pPr>
              <w:jc w:val="right"/>
              <w:textAlignment w:val="bottom"/>
              <w:rPr>
                <w:rFonts w:cs="Times New Roman"/>
              </w:rPr>
            </w:pPr>
            <w:r>
              <w:rPr>
                <w:rFonts w:eastAsia="Arial Narrow" w:cs="Times New Roman"/>
                <w:color w:val="000000"/>
                <w:lang w:bidi="ar"/>
              </w:rPr>
              <w:t>799,843,420.12</w:t>
            </w:r>
          </w:p>
        </w:tc>
      </w:tr>
      <w:tr w14:paraId="365CF2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3026DFE0">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偿还债务支付的现金</w:t>
            </w:r>
          </w:p>
        </w:tc>
        <w:tc>
          <w:tcPr>
            <w:tcW w:w="544" w:type="pct"/>
            <w:tcBorders>
              <w:top w:val="outset" w:color="auto" w:sz="4" w:space="0"/>
              <w:left w:val="outset" w:color="auto" w:sz="4" w:space="0"/>
              <w:bottom w:val="outset" w:color="auto" w:sz="4" w:space="0"/>
              <w:right w:val="outset" w:color="auto" w:sz="4" w:space="0"/>
            </w:tcBorders>
            <w:vAlign w:val="center"/>
          </w:tcPr>
          <w:p w14:paraId="0F75A035">
            <w:pPr>
              <w:jc w:val="cente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5C36D3B8">
            <w:pPr>
              <w:jc w:val="right"/>
              <w:textAlignment w:val="bottom"/>
              <w:rPr>
                <w:rFonts w:cs="Times New Roman"/>
              </w:rPr>
            </w:pPr>
            <w:r>
              <w:rPr>
                <w:rFonts w:eastAsia="Arial Narrow" w:cs="Times New Roman"/>
                <w:color w:val="000000"/>
                <w:lang w:bidi="ar"/>
              </w:rPr>
              <w:t>366,050,000.00</w:t>
            </w:r>
          </w:p>
        </w:tc>
        <w:tc>
          <w:tcPr>
            <w:tcW w:w="975" w:type="pct"/>
            <w:tcBorders>
              <w:top w:val="outset" w:color="auto" w:sz="4" w:space="0"/>
              <w:left w:val="outset" w:color="auto" w:sz="4" w:space="0"/>
              <w:bottom w:val="outset" w:color="auto" w:sz="4" w:space="0"/>
              <w:right w:val="outset" w:color="auto" w:sz="4" w:space="0"/>
            </w:tcBorders>
            <w:vAlign w:val="bottom"/>
          </w:tcPr>
          <w:p w14:paraId="139EF0A2">
            <w:pPr>
              <w:jc w:val="right"/>
              <w:textAlignment w:val="bottom"/>
              <w:rPr>
                <w:rFonts w:cs="Times New Roman"/>
              </w:rPr>
            </w:pPr>
            <w:r>
              <w:rPr>
                <w:rFonts w:eastAsia="Arial Narrow" w:cs="Times New Roman"/>
                <w:color w:val="000000"/>
                <w:lang w:bidi="ar"/>
              </w:rPr>
              <w:t>1,408,500,000.00</w:t>
            </w:r>
          </w:p>
        </w:tc>
      </w:tr>
      <w:tr w14:paraId="5C0AF0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1D2DBCC5">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分配股利、利润或偿付利息支付的现金</w:t>
            </w:r>
          </w:p>
        </w:tc>
        <w:tc>
          <w:tcPr>
            <w:tcW w:w="544" w:type="pct"/>
            <w:tcBorders>
              <w:top w:val="outset" w:color="auto" w:sz="4" w:space="0"/>
              <w:left w:val="outset" w:color="auto" w:sz="4" w:space="0"/>
              <w:bottom w:val="outset" w:color="auto" w:sz="4" w:space="0"/>
              <w:right w:val="outset" w:color="auto" w:sz="4" w:space="0"/>
            </w:tcBorders>
            <w:vAlign w:val="center"/>
          </w:tcPr>
          <w:p w14:paraId="16B89848">
            <w:pPr>
              <w:jc w:val="cente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6E0AB1F0">
            <w:pPr>
              <w:jc w:val="right"/>
              <w:textAlignment w:val="bottom"/>
              <w:rPr>
                <w:rFonts w:cs="Times New Roman"/>
              </w:rPr>
            </w:pPr>
            <w:r>
              <w:rPr>
                <w:rFonts w:eastAsia="Arial Narrow" w:cs="Times New Roman"/>
                <w:color w:val="000000"/>
                <w:lang w:bidi="ar"/>
              </w:rPr>
              <w:t>48,228,510.39</w:t>
            </w:r>
          </w:p>
        </w:tc>
        <w:tc>
          <w:tcPr>
            <w:tcW w:w="975" w:type="pct"/>
            <w:tcBorders>
              <w:top w:val="outset" w:color="auto" w:sz="4" w:space="0"/>
              <w:left w:val="outset" w:color="auto" w:sz="4" w:space="0"/>
              <w:bottom w:val="outset" w:color="auto" w:sz="4" w:space="0"/>
              <w:right w:val="outset" w:color="auto" w:sz="4" w:space="0"/>
            </w:tcBorders>
            <w:vAlign w:val="bottom"/>
          </w:tcPr>
          <w:p w14:paraId="7272A728">
            <w:pPr>
              <w:jc w:val="right"/>
              <w:textAlignment w:val="bottom"/>
              <w:rPr>
                <w:rFonts w:cs="Times New Roman"/>
              </w:rPr>
            </w:pPr>
            <w:r>
              <w:rPr>
                <w:rFonts w:eastAsia="Arial Narrow" w:cs="Times New Roman"/>
                <w:color w:val="000000"/>
                <w:lang w:bidi="ar"/>
              </w:rPr>
              <w:t>37,793,678.92</w:t>
            </w:r>
          </w:p>
        </w:tc>
      </w:tr>
      <w:tr w14:paraId="70CD69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63346C84">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其中：子公司支付给少数股东的股利、利润</w:t>
            </w:r>
          </w:p>
        </w:tc>
        <w:tc>
          <w:tcPr>
            <w:tcW w:w="544" w:type="pct"/>
            <w:tcBorders>
              <w:top w:val="outset" w:color="auto" w:sz="4" w:space="0"/>
              <w:left w:val="outset" w:color="auto" w:sz="4" w:space="0"/>
              <w:bottom w:val="outset" w:color="auto" w:sz="4" w:space="0"/>
              <w:right w:val="outset" w:color="auto" w:sz="4" w:space="0"/>
            </w:tcBorders>
            <w:vAlign w:val="center"/>
          </w:tcPr>
          <w:p w14:paraId="01376BF4">
            <w:pPr>
              <w:jc w:val="cente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1B963AC7">
            <w:pPr>
              <w:jc w:val="right"/>
              <w:rPr>
                <w:rFonts w:cs="Times New Roman"/>
              </w:rPr>
            </w:pPr>
          </w:p>
        </w:tc>
        <w:tc>
          <w:tcPr>
            <w:tcW w:w="975" w:type="pct"/>
            <w:tcBorders>
              <w:top w:val="outset" w:color="auto" w:sz="4" w:space="0"/>
              <w:left w:val="outset" w:color="auto" w:sz="4" w:space="0"/>
              <w:bottom w:val="outset" w:color="auto" w:sz="4" w:space="0"/>
              <w:right w:val="outset" w:color="auto" w:sz="4" w:space="0"/>
            </w:tcBorders>
            <w:vAlign w:val="bottom"/>
          </w:tcPr>
          <w:p w14:paraId="506C6DA4">
            <w:pPr>
              <w:jc w:val="right"/>
              <w:rPr>
                <w:rFonts w:cs="Times New Roman"/>
              </w:rPr>
            </w:pPr>
          </w:p>
        </w:tc>
      </w:tr>
      <w:tr w14:paraId="4FC6F2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659C2BAA">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支付其他与筹资活动有关的现金</w:t>
            </w:r>
          </w:p>
        </w:tc>
        <w:tc>
          <w:tcPr>
            <w:tcW w:w="544" w:type="pct"/>
            <w:tcBorders>
              <w:top w:val="outset" w:color="auto" w:sz="4" w:space="0"/>
              <w:left w:val="outset" w:color="auto" w:sz="4" w:space="0"/>
              <w:bottom w:val="outset" w:color="auto" w:sz="4" w:space="0"/>
              <w:right w:val="outset" w:color="auto" w:sz="4" w:space="0"/>
            </w:tcBorders>
            <w:vAlign w:val="center"/>
          </w:tcPr>
          <w:p w14:paraId="274AB578">
            <w:pPr>
              <w:jc w:val="center"/>
              <w:textAlignment w:val="center"/>
              <w:rPr>
                <w:rFonts w:cs="Times New Roman"/>
              </w:rPr>
            </w:pPr>
            <w:r>
              <w:rPr>
                <w:rFonts w:cs="Times New Roman"/>
                <w:color w:val="000000"/>
                <w:lang w:bidi="ar"/>
              </w:rPr>
              <w:t>七、78</w:t>
            </w:r>
          </w:p>
        </w:tc>
        <w:tc>
          <w:tcPr>
            <w:tcW w:w="931" w:type="pct"/>
            <w:tcBorders>
              <w:top w:val="outset" w:color="auto" w:sz="4" w:space="0"/>
              <w:left w:val="outset" w:color="auto" w:sz="4" w:space="0"/>
              <w:bottom w:val="outset" w:color="auto" w:sz="4" w:space="0"/>
              <w:right w:val="outset" w:color="auto" w:sz="4" w:space="0"/>
            </w:tcBorders>
            <w:vAlign w:val="bottom"/>
          </w:tcPr>
          <w:p w14:paraId="48B50A0D">
            <w:pPr>
              <w:jc w:val="right"/>
              <w:textAlignment w:val="bottom"/>
              <w:rPr>
                <w:rFonts w:cs="Times New Roman"/>
              </w:rPr>
            </w:pPr>
            <w:r>
              <w:rPr>
                <w:rFonts w:eastAsia="Arial Narrow" w:cs="Times New Roman"/>
                <w:color w:val="000000"/>
                <w:lang w:bidi="ar"/>
              </w:rPr>
              <w:t>53,043,674.16</w:t>
            </w:r>
          </w:p>
        </w:tc>
        <w:tc>
          <w:tcPr>
            <w:tcW w:w="975" w:type="pct"/>
            <w:tcBorders>
              <w:top w:val="outset" w:color="auto" w:sz="4" w:space="0"/>
              <w:left w:val="outset" w:color="auto" w:sz="4" w:space="0"/>
              <w:bottom w:val="outset" w:color="auto" w:sz="4" w:space="0"/>
              <w:right w:val="outset" w:color="auto" w:sz="4" w:space="0"/>
            </w:tcBorders>
            <w:vAlign w:val="bottom"/>
          </w:tcPr>
          <w:p w14:paraId="584E3F16">
            <w:pPr>
              <w:jc w:val="right"/>
              <w:textAlignment w:val="bottom"/>
              <w:rPr>
                <w:rFonts w:cs="Times New Roman"/>
              </w:rPr>
            </w:pPr>
            <w:r>
              <w:rPr>
                <w:rFonts w:eastAsia="Arial Narrow" w:cs="Times New Roman"/>
                <w:color w:val="000000"/>
                <w:lang w:bidi="ar"/>
              </w:rPr>
              <w:t>14,568,284.52</w:t>
            </w:r>
          </w:p>
        </w:tc>
      </w:tr>
      <w:tr w14:paraId="302AC7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7F297CD4">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筹资活动现金流出小计</w:t>
            </w:r>
          </w:p>
        </w:tc>
        <w:tc>
          <w:tcPr>
            <w:tcW w:w="544" w:type="pct"/>
            <w:tcBorders>
              <w:top w:val="outset" w:color="auto" w:sz="4" w:space="0"/>
              <w:left w:val="outset" w:color="auto" w:sz="4" w:space="0"/>
              <w:bottom w:val="outset" w:color="auto" w:sz="4" w:space="0"/>
              <w:right w:val="outset" w:color="auto" w:sz="4" w:space="0"/>
            </w:tcBorders>
            <w:vAlign w:val="center"/>
          </w:tcPr>
          <w:p w14:paraId="4BCD4455">
            <w:pPr>
              <w:jc w:val="cente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6E7387B5">
            <w:pPr>
              <w:jc w:val="right"/>
              <w:textAlignment w:val="bottom"/>
              <w:rPr>
                <w:rFonts w:cs="Times New Roman"/>
              </w:rPr>
            </w:pPr>
            <w:r>
              <w:rPr>
                <w:rFonts w:eastAsia="Arial Narrow" w:cs="Times New Roman"/>
                <w:color w:val="000000"/>
                <w:lang w:bidi="ar"/>
              </w:rPr>
              <w:t>467,322,184.55</w:t>
            </w:r>
          </w:p>
        </w:tc>
        <w:tc>
          <w:tcPr>
            <w:tcW w:w="975" w:type="pct"/>
            <w:tcBorders>
              <w:top w:val="outset" w:color="auto" w:sz="4" w:space="0"/>
              <w:left w:val="outset" w:color="auto" w:sz="4" w:space="0"/>
              <w:bottom w:val="outset" w:color="auto" w:sz="4" w:space="0"/>
              <w:right w:val="outset" w:color="auto" w:sz="4" w:space="0"/>
            </w:tcBorders>
            <w:vAlign w:val="bottom"/>
          </w:tcPr>
          <w:p w14:paraId="171DB65D">
            <w:pPr>
              <w:jc w:val="right"/>
              <w:textAlignment w:val="bottom"/>
              <w:rPr>
                <w:rFonts w:cs="Times New Roman"/>
              </w:rPr>
            </w:pPr>
            <w:r>
              <w:rPr>
                <w:rFonts w:eastAsia="Arial Narrow" w:cs="Times New Roman"/>
                <w:color w:val="000000"/>
                <w:lang w:bidi="ar"/>
              </w:rPr>
              <w:t>1,460,861,963.44</w:t>
            </w:r>
          </w:p>
        </w:tc>
      </w:tr>
      <w:tr w14:paraId="5D7753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05FAF4F9">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筹资活动产生的现金流量净额</w:t>
            </w:r>
          </w:p>
        </w:tc>
        <w:tc>
          <w:tcPr>
            <w:tcW w:w="544" w:type="pct"/>
            <w:tcBorders>
              <w:top w:val="outset" w:color="auto" w:sz="4" w:space="0"/>
              <w:left w:val="outset" w:color="auto" w:sz="4" w:space="0"/>
              <w:bottom w:val="outset" w:color="auto" w:sz="4" w:space="0"/>
              <w:right w:val="outset" w:color="auto" w:sz="4" w:space="0"/>
            </w:tcBorders>
            <w:vAlign w:val="center"/>
          </w:tcPr>
          <w:p w14:paraId="75E8DE10">
            <w:pPr>
              <w:jc w:val="cente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762BFB78">
            <w:pPr>
              <w:jc w:val="right"/>
              <w:textAlignment w:val="bottom"/>
              <w:rPr>
                <w:rFonts w:cs="Times New Roman"/>
              </w:rPr>
            </w:pPr>
            <w:r>
              <w:rPr>
                <w:rFonts w:eastAsia="Arial Narrow" w:cs="Times New Roman"/>
                <w:color w:val="000000"/>
                <w:lang w:bidi="ar"/>
              </w:rPr>
              <w:t>1,742,522,867.91</w:t>
            </w:r>
          </w:p>
        </w:tc>
        <w:tc>
          <w:tcPr>
            <w:tcW w:w="975" w:type="pct"/>
            <w:tcBorders>
              <w:top w:val="outset" w:color="auto" w:sz="4" w:space="0"/>
              <w:left w:val="outset" w:color="auto" w:sz="4" w:space="0"/>
              <w:bottom w:val="outset" w:color="auto" w:sz="4" w:space="0"/>
              <w:right w:val="outset" w:color="auto" w:sz="4" w:space="0"/>
            </w:tcBorders>
            <w:vAlign w:val="bottom"/>
          </w:tcPr>
          <w:p w14:paraId="357346C9">
            <w:pPr>
              <w:jc w:val="right"/>
              <w:textAlignment w:val="bottom"/>
              <w:rPr>
                <w:rFonts w:cs="Times New Roman"/>
              </w:rPr>
            </w:pPr>
            <w:r>
              <w:rPr>
                <w:rFonts w:eastAsia="Arial Narrow" w:cs="Times New Roman"/>
                <w:color w:val="000000"/>
                <w:lang w:bidi="ar"/>
              </w:rPr>
              <w:t>-661,018,543.32</w:t>
            </w:r>
          </w:p>
        </w:tc>
      </w:tr>
      <w:tr w14:paraId="1FDA10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61EF1AF0">
            <w:pPr>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四、汇率变动对现金及现金等价物的影响</w:t>
            </w:r>
          </w:p>
        </w:tc>
        <w:tc>
          <w:tcPr>
            <w:tcW w:w="544" w:type="pct"/>
            <w:tcBorders>
              <w:top w:val="outset" w:color="auto" w:sz="4" w:space="0"/>
              <w:left w:val="outset" w:color="auto" w:sz="4" w:space="0"/>
              <w:bottom w:val="outset" w:color="auto" w:sz="4" w:space="0"/>
              <w:right w:val="outset" w:color="auto" w:sz="4" w:space="0"/>
            </w:tcBorders>
            <w:vAlign w:val="center"/>
          </w:tcPr>
          <w:p w14:paraId="57138C21">
            <w:pPr>
              <w:jc w:val="cente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054019A5">
            <w:pPr>
              <w:jc w:val="right"/>
              <w:textAlignment w:val="bottom"/>
              <w:rPr>
                <w:rFonts w:cs="Times New Roman"/>
              </w:rPr>
            </w:pPr>
            <w:r>
              <w:rPr>
                <w:rFonts w:eastAsia="Arial Narrow" w:cs="Times New Roman"/>
                <w:color w:val="000000"/>
                <w:lang w:bidi="ar"/>
              </w:rPr>
              <w:t>-693,952.51</w:t>
            </w:r>
          </w:p>
        </w:tc>
        <w:tc>
          <w:tcPr>
            <w:tcW w:w="975" w:type="pct"/>
            <w:tcBorders>
              <w:top w:val="outset" w:color="auto" w:sz="4" w:space="0"/>
              <w:left w:val="outset" w:color="auto" w:sz="4" w:space="0"/>
              <w:bottom w:val="outset" w:color="auto" w:sz="4" w:space="0"/>
              <w:right w:val="outset" w:color="auto" w:sz="4" w:space="0"/>
            </w:tcBorders>
            <w:vAlign w:val="bottom"/>
          </w:tcPr>
          <w:p w14:paraId="18CDA094">
            <w:pPr>
              <w:jc w:val="right"/>
              <w:textAlignment w:val="bottom"/>
              <w:rPr>
                <w:rFonts w:cs="Times New Roman"/>
              </w:rPr>
            </w:pPr>
            <w:r>
              <w:rPr>
                <w:rFonts w:eastAsia="Arial Narrow" w:cs="Times New Roman"/>
                <w:color w:val="000000"/>
                <w:lang w:bidi="ar"/>
              </w:rPr>
              <w:t>89,536.92</w:t>
            </w:r>
          </w:p>
        </w:tc>
      </w:tr>
      <w:tr w14:paraId="10D855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4C0F68FE">
            <w:pPr>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五、现金及现金等价物净增加额</w:t>
            </w:r>
          </w:p>
        </w:tc>
        <w:tc>
          <w:tcPr>
            <w:tcW w:w="544" w:type="pct"/>
            <w:tcBorders>
              <w:top w:val="outset" w:color="auto" w:sz="4" w:space="0"/>
              <w:left w:val="outset" w:color="auto" w:sz="4" w:space="0"/>
              <w:bottom w:val="outset" w:color="auto" w:sz="4" w:space="0"/>
              <w:right w:val="outset" w:color="auto" w:sz="4" w:space="0"/>
            </w:tcBorders>
            <w:vAlign w:val="center"/>
          </w:tcPr>
          <w:p w14:paraId="74FE7F29">
            <w:pP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6AC3B69F">
            <w:pPr>
              <w:jc w:val="right"/>
              <w:textAlignment w:val="bottom"/>
              <w:rPr>
                <w:rFonts w:cs="Times New Roman"/>
              </w:rPr>
            </w:pPr>
            <w:r>
              <w:rPr>
                <w:rFonts w:eastAsia="Arial Narrow" w:cs="Times New Roman"/>
                <w:color w:val="000000"/>
                <w:lang w:bidi="ar"/>
              </w:rPr>
              <w:t>477,627,395.43</w:t>
            </w:r>
          </w:p>
        </w:tc>
        <w:tc>
          <w:tcPr>
            <w:tcW w:w="975" w:type="pct"/>
            <w:tcBorders>
              <w:top w:val="outset" w:color="auto" w:sz="4" w:space="0"/>
              <w:left w:val="outset" w:color="auto" w:sz="4" w:space="0"/>
              <w:bottom w:val="outset" w:color="auto" w:sz="4" w:space="0"/>
              <w:right w:val="outset" w:color="auto" w:sz="4" w:space="0"/>
            </w:tcBorders>
            <w:vAlign w:val="bottom"/>
          </w:tcPr>
          <w:p w14:paraId="643943F2">
            <w:pPr>
              <w:jc w:val="right"/>
              <w:textAlignment w:val="bottom"/>
              <w:rPr>
                <w:rFonts w:cs="Times New Roman"/>
              </w:rPr>
            </w:pPr>
            <w:r>
              <w:rPr>
                <w:rFonts w:eastAsia="Arial Narrow" w:cs="Times New Roman"/>
                <w:color w:val="000000"/>
                <w:lang w:bidi="ar"/>
              </w:rPr>
              <w:t>-2,439,311,002.30</w:t>
            </w:r>
          </w:p>
        </w:tc>
      </w:tr>
      <w:tr w14:paraId="34C82C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1339FA97">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加：期初现金及现金等价物余额</w:t>
            </w:r>
          </w:p>
        </w:tc>
        <w:tc>
          <w:tcPr>
            <w:tcW w:w="544" w:type="pct"/>
            <w:tcBorders>
              <w:top w:val="outset" w:color="auto" w:sz="4" w:space="0"/>
              <w:left w:val="outset" w:color="auto" w:sz="4" w:space="0"/>
              <w:bottom w:val="outset" w:color="auto" w:sz="4" w:space="0"/>
              <w:right w:val="outset" w:color="auto" w:sz="4" w:space="0"/>
            </w:tcBorders>
            <w:vAlign w:val="center"/>
          </w:tcPr>
          <w:p w14:paraId="6A3ABDC7">
            <w:pP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7208C1ED">
            <w:pPr>
              <w:jc w:val="right"/>
              <w:textAlignment w:val="bottom"/>
              <w:rPr>
                <w:rFonts w:cs="Times New Roman"/>
              </w:rPr>
            </w:pPr>
            <w:r>
              <w:rPr>
                <w:rFonts w:eastAsia="Arial Narrow" w:cs="Times New Roman"/>
                <w:color w:val="000000"/>
                <w:lang w:bidi="ar"/>
              </w:rPr>
              <w:t>5,365,543,602.37</w:t>
            </w:r>
          </w:p>
        </w:tc>
        <w:tc>
          <w:tcPr>
            <w:tcW w:w="975" w:type="pct"/>
            <w:tcBorders>
              <w:top w:val="outset" w:color="auto" w:sz="4" w:space="0"/>
              <w:left w:val="outset" w:color="auto" w:sz="4" w:space="0"/>
              <w:bottom w:val="outset" w:color="auto" w:sz="4" w:space="0"/>
              <w:right w:val="outset" w:color="auto" w:sz="4" w:space="0"/>
            </w:tcBorders>
            <w:vAlign w:val="bottom"/>
          </w:tcPr>
          <w:p w14:paraId="3B11C14E">
            <w:pPr>
              <w:jc w:val="right"/>
              <w:textAlignment w:val="bottom"/>
              <w:rPr>
                <w:rFonts w:cs="Times New Roman"/>
              </w:rPr>
            </w:pPr>
            <w:r>
              <w:rPr>
                <w:rFonts w:eastAsia="Arial Narrow" w:cs="Times New Roman"/>
                <w:color w:val="000000"/>
                <w:lang w:bidi="ar"/>
              </w:rPr>
              <w:t>6,495,626,671.63</w:t>
            </w:r>
          </w:p>
        </w:tc>
      </w:tr>
      <w:tr w14:paraId="575E70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48" w:type="pct"/>
            <w:tcBorders>
              <w:top w:val="outset" w:color="auto" w:sz="4" w:space="0"/>
              <w:left w:val="outset" w:color="auto" w:sz="4" w:space="0"/>
              <w:bottom w:val="outset" w:color="auto" w:sz="4" w:space="0"/>
              <w:right w:val="outset" w:color="auto" w:sz="4" w:space="0"/>
            </w:tcBorders>
            <w:vAlign w:val="center"/>
          </w:tcPr>
          <w:p w14:paraId="72BB74D3">
            <w:pPr>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六、期末现金及现金等价物余额</w:t>
            </w:r>
          </w:p>
        </w:tc>
        <w:tc>
          <w:tcPr>
            <w:tcW w:w="544" w:type="pct"/>
            <w:tcBorders>
              <w:top w:val="outset" w:color="auto" w:sz="4" w:space="0"/>
              <w:left w:val="outset" w:color="auto" w:sz="4" w:space="0"/>
              <w:bottom w:val="outset" w:color="auto" w:sz="4" w:space="0"/>
              <w:right w:val="outset" w:color="auto" w:sz="4" w:space="0"/>
            </w:tcBorders>
            <w:vAlign w:val="center"/>
          </w:tcPr>
          <w:p w14:paraId="57395739">
            <w:pPr>
              <w:rPr>
                <w:rFonts w:cs="Times New Roman"/>
              </w:rPr>
            </w:pPr>
          </w:p>
        </w:tc>
        <w:tc>
          <w:tcPr>
            <w:tcW w:w="931" w:type="pct"/>
            <w:tcBorders>
              <w:top w:val="outset" w:color="auto" w:sz="4" w:space="0"/>
              <w:left w:val="outset" w:color="auto" w:sz="4" w:space="0"/>
              <w:bottom w:val="outset" w:color="auto" w:sz="4" w:space="0"/>
              <w:right w:val="outset" w:color="auto" w:sz="4" w:space="0"/>
            </w:tcBorders>
            <w:vAlign w:val="bottom"/>
          </w:tcPr>
          <w:p w14:paraId="5C9C0E76">
            <w:pPr>
              <w:jc w:val="right"/>
              <w:textAlignment w:val="bottom"/>
              <w:rPr>
                <w:rFonts w:cs="Times New Roman"/>
              </w:rPr>
            </w:pPr>
            <w:r>
              <w:rPr>
                <w:rFonts w:eastAsia="Arial Narrow" w:cs="Times New Roman"/>
                <w:color w:val="000000"/>
                <w:lang w:bidi="ar"/>
              </w:rPr>
              <w:t>5,843,170,997.80</w:t>
            </w:r>
          </w:p>
        </w:tc>
        <w:tc>
          <w:tcPr>
            <w:tcW w:w="975" w:type="pct"/>
            <w:tcBorders>
              <w:top w:val="outset" w:color="auto" w:sz="4" w:space="0"/>
              <w:left w:val="outset" w:color="auto" w:sz="4" w:space="0"/>
              <w:bottom w:val="outset" w:color="auto" w:sz="4" w:space="0"/>
              <w:right w:val="outset" w:color="auto" w:sz="4" w:space="0"/>
            </w:tcBorders>
            <w:vAlign w:val="bottom"/>
          </w:tcPr>
          <w:p w14:paraId="101C7B70">
            <w:pPr>
              <w:jc w:val="right"/>
              <w:textAlignment w:val="bottom"/>
              <w:rPr>
                <w:rFonts w:cs="Times New Roman"/>
              </w:rPr>
            </w:pPr>
            <w:r>
              <w:rPr>
                <w:rFonts w:eastAsia="Arial Narrow" w:cs="Times New Roman"/>
                <w:color w:val="000000"/>
                <w:lang w:bidi="ar"/>
              </w:rPr>
              <w:t>4,056,315,669.33</w:t>
            </w:r>
          </w:p>
        </w:tc>
      </w:tr>
    </w:tbl>
    <w:p w14:paraId="46BFD930">
      <w:pPr>
        <w:snapToGrid w:val="0"/>
        <w:spacing w:line="240" w:lineRule="atLeast"/>
        <w:ind w:right="25" w:rightChars="12"/>
        <w:rPr>
          <w:color w:val="000000" w:themeColor="text1"/>
          <w14:textFill>
            <w14:solidFill>
              <w14:schemeClr w14:val="tx1"/>
            </w14:solidFill>
          </w14:textFill>
        </w:rPr>
      </w:pPr>
    </w:p>
    <w:p w14:paraId="137A713F">
      <w:pPr>
        <w:snapToGrid w:val="0"/>
        <w:spacing w:line="240" w:lineRule="atLeast"/>
        <w:ind w:right="25" w:rightChars="12"/>
        <w:rPr>
          <w:b/>
          <w:bCs w:val="0"/>
          <w:color w:val="000000" w:themeColor="text1"/>
          <w14:textFill>
            <w14:solidFill>
              <w14:schemeClr w14:val="tx1"/>
            </w14:solidFill>
          </w14:textFill>
        </w:rPr>
      </w:pPr>
      <w:r>
        <w:rPr>
          <w:color w:val="000000" w:themeColor="text1"/>
          <w14:textFill>
            <w14:solidFill>
              <w14:schemeClr w14:val="tx1"/>
            </w14:solidFill>
          </w14:textFill>
        </w:rPr>
        <w:t>公司负责人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公司负责人"/>
          <w:tag w:val="_GBC_d1f7cb193ab444ff8482a06aad12f0db"/>
          <w:id w:val="147467722"/>
          <w:placeholder>
            <w:docPart w:val="GBC22222222222222222222222222222"/>
          </w:placeholder>
          <w:dataBinding w:prefixMappings="xmlns:clcid-mr='clcid-mr'" w:xpath="/*/clcid-mr:GongSi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夏前军</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主管会计工作负责人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主管会计工作负责人姓名"/>
          <w:tag w:val="_GBC_45110b4746914613a7aad68cef7b1bed"/>
          <w:id w:val="147452585"/>
          <w:placeholder>
            <w:docPart w:val="GBC22222222222222222222222222222"/>
          </w:placeholder>
          <w:dataBinding w:prefixMappings="xmlns:clcid-mr='clcid-mr'" w:xpath="/*/clcid-mr:ZhuGuanKuaiJiGongZuo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刘改平</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会计机构负责人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会计机构负责人姓名"/>
          <w:tag w:val="_GBC_e7d70223996e482d9871cfff87704452"/>
          <w:id w:val="147482072"/>
          <w:placeholder>
            <w:docPart w:val="GBC22222222222222222222222222222"/>
          </w:placeholder>
          <w:dataBinding w:prefixMappings="xmlns:clcid-mr='clcid-mr'" w:xpath="/*/clcid-mr:KuaiJiJiGou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冯晓</w:t>
          </w:r>
        </w:sdtContent>
      </w:sdt>
    </w:p>
    <w:p w14:paraId="592F4C12">
      <w:pPr>
        <w:rPr>
          <w:color w:val="000000" w:themeColor="text1"/>
          <w14:textFill>
            <w14:solidFill>
              <w14:schemeClr w14:val="tx1"/>
            </w14:solidFill>
          </w14:textFill>
        </w:rPr>
      </w:pPr>
    </w:p>
    <w:p w14:paraId="1BB5D63B">
      <w:pPr>
        <w:pStyle w:val="57"/>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母公司</w:t>
      </w:r>
      <w:r>
        <w:rPr>
          <w:rFonts w:ascii="宋体" w:hAnsi="宋体"/>
          <w:color w:val="000000" w:themeColor="text1"/>
          <w14:textFill>
            <w14:solidFill>
              <w14:schemeClr w14:val="tx1"/>
            </w14:solidFill>
          </w14:textFill>
        </w:rPr>
        <w:t>现金流量表</w:t>
      </w:r>
    </w:p>
    <w:p w14:paraId="36A737B5">
      <w:pPr>
        <w:jc w:val="center"/>
        <w:rPr>
          <w:b/>
          <w:bCs w:val="0"/>
          <w:color w:val="000000" w:themeColor="text1"/>
          <w14:textFill>
            <w14:solidFill>
              <w14:schemeClr w14:val="tx1"/>
            </w14:solidFill>
          </w14:textFill>
        </w:rPr>
      </w:pPr>
      <w:r>
        <w:rPr>
          <w:color w:val="000000" w:themeColor="text1"/>
          <w14:textFill>
            <w14:solidFill>
              <w14:schemeClr w14:val="tx1"/>
            </w14:solidFill>
          </w14:textFill>
        </w:rPr>
        <w:t>2025年</w:t>
      </w:r>
      <w:r>
        <w:rPr>
          <w:rFonts w:hint="eastAsia"/>
          <w:color w:val="000000" w:themeColor="text1"/>
          <w14:textFill>
            <w14:solidFill>
              <w14:schemeClr w14:val="tx1"/>
            </w14:solidFill>
          </w14:textFill>
        </w:rPr>
        <w:t>1—6</w:t>
      </w:r>
      <w:r>
        <w:rPr>
          <w:color w:val="000000" w:themeColor="text1"/>
          <w14:textFill>
            <w14:solidFill>
              <w14:schemeClr w14:val="tx1"/>
            </w14:solidFill>
          </w14:textFill>
        </w:rPr>
        <w:t>月</w:t>
      </w:r>
    </w:p>
    <w:p w14:paraId="490F39C9">
      <w:pPr>
        <w:jc w:val="right"/>
        <w:rPr>
          <w:color w:val="000000" w:themeColor="text1"/>
          <w14:textFill>
            <w14:solidFill>
              <w14:schemeClr w14:val="tx1"/>
            </w14:solidFill>
          </w14:textFill>
        </w:rPr>
      </w:pPr>
      <w:r>
        <w:rPr>
          <w:color w:val="000000" w:themeColor="text1"/>
          <w14:textFill>
            <w14:solidFill>
              <w14:schemeClr w14:val="tx1"/>
            </w14:solidFill>
          </w14:textFill>
        </w:rPr>
        <w:t>单位：</w:t>
      </w:r>
      <w:sdt>
        <w:sdtPr>
          <w:rPr>
            <w:color w:val="000000" w:themeColor="text1"/>
            <w14:textFill>
              <w14:solidFill>
                <w14:schemeClr w14:val="tx1"/>
              </w14:solidFill>
            </w14:textFill>
          </w:rPr>
          <w:alias w:val="单位：母公司现金流量表"/>
          <w:tag w:val="_GBC_993ead81b27a41dfaccaacfaec8b7c78"/>
          <w:id w:val="1474623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color w:val="000000" w:themeColor="text1"/>
          <w14:textFill>
            <w14:solidFill>
              <w14:schemeClr w14:val="tx1"/>
            </w14:solidFill>
          </w14:textFill>
        </w:rPr>
        <w:t xml:space="preserve">  币种：</w:t>
      </w:r>
      <w:sdt>
        <w:sdtPr>
          <w:rPr>
            <w:color w:val="000000" w:themeColor="text1"/>
            <w14:textFill>
              <w14:solidFill>
                <w14:schemeClr w14:val="tx1"/>
              </w14:solidFill>
            </w14:textFill>
          </w:rPr>
          <w:alias w:val="币种：母公司现金流量表"/>
          <w:tag w:val="_GBC_2dd4b706d0a244a4b4c21166025356cc"/>
          <w:id w:val="1474655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603"/>
        <w:gridCol w:w="1002"/>
        <w:gridCol w:w="1686"/>
        <w:gridCol w:w="1758"/>
      </w:tblGrid>
      <w:tr w14:paraId="66070B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sdt>
          <w:sdtPr>
            <w:rPr>
              <w:rFonts w:cs="Times New Roman"/>
            </w:rPr>
            <w:tag w:val="_PLD_20ae0904ed714106892a5beddfe5846a"/>
            <w:id w:val="147451963"/>
          </w:sdtPr>
          <w:sdtEndPr>
            <w:rPr>
              <w:rFonts w:cs="Times New Roman"/>
            </w:rPr>
          </w:sdtEndPr>
          <w:sdtContent>
            <w:tc>
              <w:tcPr>
                <w:tcW w:w="2559" w:type="pct"/>
                <w:tcBorders>
                  <w:top w:val="outset" w:color="auto" w:sz="4" w:space="0"/>
                  <w:left w:val="outset" w:color="auto" w:sz="4" w:space="0"/>
                  <w:bottom w:val="outset" w:color="auto" w:sz="4" w:space="0"/>
                  <w:right w:val="outset" w:color="auto" w:sz="4" w:space="0"/>
                </w:tcBorders>
                <w:vAlign w:val="center"/>
              </w:tcPr>
              <w:p w14:paraId="40EBA92F">
                <w:pPr>
                  <w:jc w:val="center"/>
                  <w:rPr>
                    <w:rFonts w:cs="Times New Roman"/>
                    <w:b/>
                    <w:bCs w:val="0"/>
                    <w:color w:val="000000" w:themeColor="text1"/>
                    <w14:textFill>
                      <w14:solidFill>
                        <w14:schemeClr w14:val="tx1"/>
                      </w14:solidFill>
                    </w14:textFill>
                  </w:rPr>
                </w:pPr>
                <w:r>
                  <w:rPr>
                    <w:rFonts w:cs="Times New Roman"/>
                    <w:b/>
                    <w:color w:val="000000" w:themeColor="text1"/>
                    <w14:textFill>
                      <w14:solidFill>
                        <w14:schemeClr w14:val="tx1"/>
                      </w14:solidFill>
                    </w14:textFill>
                  </w:rPr>
                  <w:t>项目</w:t>
                </w:r>
              </w:p>
            </w:tc>
          </w:sdtContent>
        </w:sdt>
        <w:sdt>
          <w:sdtPr>
            <w:rPr>
              <w:rFonts w:cs="Times New Roman"/>
            </w:rPr>
            <w:tag w:val="_PLD_9cb87427e0de42d2b7e58a286ff58290"/>
            <w:id w:val="147479717"/>
          </w:sdtPr>
          <w:sdtEndPr>
            <w:rPr>
              <w:rFonts w:cs="Times New Roman"/>
            </w:rPr>
          </w:sdtEndPr>
          <w:sdtContent>
            <w:tc>
              <w:tcPr>
                <w:tcW w:w="569" w:type="pct"/>
                <w:tcBorders>
                  <w:top w:val="outset" w:color="auto" w:sz="4" w:space="0"/>
                  <w:left w:val="outset" w:color="auto" w:sz="4" w:space="0"/>
                  <w:bottom w:val="outset" w:color="auto" w:sz="4" w:space="0"/>
                  <w:right w:val="outset" w:color="auto" w:sz="4" w:space="0"/>
                </w:tcBorders>
                <w:vAlign w:val="center"/>
              </w:tcPr>
              <w:p w14:paraId="16AEE939">
                <w:pPr>
                  <w:autoSpaceDE w:val="0"/>
                  <w:autoSpaceDN w:val="0"/>
                  <w:adjustRightInd w:val="0"/>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附注</w:t>
                </w:r>
              </w:p>
            </w:tc>
          </w:sdtContent>
        </w:sdt>
        <w:sdt>
          <w:sdtPr>
            <w:rPr>
              <w:rFonts w:cs="Times New Roman"/>
            </w:rPr>
            <w:tag w:val="_PLD_514bbce28b6040e393e59c5ec50c3820"/>
            <w:id w:val="147460743"/>
          </w:sdtPr>
          <w:sdtEndPr>
            <w:rPr>
              <w:rFonts w:cs="Times New Roman"/>
            </w:rPr>
          </w:sdtEndPr>
          <w:sdtContent>
            <w:tc>
              <w:tcPr>
                <w:tcW w:w="885" w:type="pct"/>
                <w:tcBorders>
                  <w:top w:val="outset" w:color="auto" w:sz="4" w:space="0"/>
                  <w:left w:val="outset" w:color="auto" w:sz="4" w:space="0"/>
                  <w:bottom w:val="outset" w:color="auto" w:sz="4" w:space="0"/>
                  <w:right w:val="outset" w:color="auto" w:sz="4" w:space="0"/>
                </w:tcBorders>
                <w:vAlign w:val="center"/>
              </w:tcPr>
              <w:p w14:paraId="488C6BB8">
                <w:pPr>
                  <w:autoSpaceDE w:val="0"/>
                  <w:autoSpaceDN w:val="0"/>
                  <w:adjustRightInd w:val="0"/>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2025年半年度</w:t>
                </w:r>
              </w:p>
            </w:tc>
          </w:sdtContent>
        </w:sdt>
        <w:sdt>
          <w:sdtPr>
            <w:rPr>
              <w:rFonts w:cs="Times New Roman"/>
            </w:rPr>
            <w:tag w:val="_PLD_de39c3f730c74ecca3c9a890bc08a2c1"/>
            <w:id w:val="147461905"/>
          </w:sdtPr>
          <w:sdtEndPr>
            <w:rPr>
              <w:rFonts w:cs="Times New Roman"/>
            </w:rPr>
          </w:sdtEndPr>
          <w:sdtContent>
            <w:tc>
              <w:tcPr>
                <w:tcW w:w="985" w:type="pct"/>
                <w:tcBorders>
                  <w:top w:val="outset" w:color="auto" w:sz="4" w:space="0"/>
                  <w:left w:val="outset" w:color="auto" w:sz="4" w:space="0"/>
                  <w:bottom w:val="outset" w:color="auto" w:sz="4" w:space="0"/>
                  <w:right w:val="outset" w:color="auto" w:sz="4" w:space="0"/>
                </w:tcBorders>
                <w:vAlign w:val="center"/>
              </w:tcPr>
              <w:p w14:paraId="2B5E06C0">
                <w:pPr>
                  <w:autoSpaceDE w:val="0"/>
                  <w:autoSpaceDN w:val="0"/>
                  <w:adjustRightInd w:val="0"/>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2024年半年度</w:t>
                </w:r>
              </w:p>
            </w:tc>
          </w:sdtContent>
        </w:sdt>
      </w:tr>
      <w:tr w14:paraId="53F97A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cs="Times New Roman"/>
            </w:rPr>
            <w:tag w:val="_PLD_575fd724a7cb4261a6c80660162ce2fb"/>
            <w:id w:val="147460153"/>
          </w:sdtPr>
          <w:sdtEndPr>
            <w:rPr>
              <w:rFonts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2D76FE67">
                <w:pPr>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一、经营活动产生的现金流量：</w:t>
                </w:r>
              </w:p>
            </w:tc>
          </w:sdtContent>
        </w:sdt>
      </w:tr>
      <w:tr w14:paraId="38865D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3BCFF032">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销售商品、提供劳务收到的现金</w:t>
            </w:r>
          </w:p>
        </w:tc>
        <w:tc>
          <w:tcPr>
            <w:tcW w:w="569" w:type="pct"/>
            <w:tcBorders>
              <w:top w:val="outset" w:color="auto" w:sz="4" w:space="0"/>
              <w:left w:val="outset" w:color="auto" w:sz="4" w:space="0"/>
              <w:bottom w:val="outset" w:color="auto" w:sz="4" w:space="0"/>
              <w:right w:val="outset" w:color="auto" w:sz="4" w:space="0"/>
            </w:tcBorders>
            <w:vAlign w:val="center"/>
          </w:tcPr>
          <w:p w14:paraId="1DE5E0AE">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4DC1B82E">
            <w:pPr>
              <w:jc w:val="right"/>
              <w:textAlignment w:val="bottom"/>
              <w:rPr>
                <w:rFonts w:cs="Times New Roman"/>
              </w:rPr>
            </w:pPr>
            <w:r>
              <w:rPr>
                <w:rFonts w:eastAsia="Arial Narrow" w:cs="Times New Roman"/>
                <w:color w:val="000000"/>
                <w:lang w:bidi="ar"/>
              </w:rPr>
              <w:t>253,307.20</w:t>
            </w:r>
          </w:p>
        </w:tc>
        <w:tc>
          <w:tcPr>
            <w:tcW w:w="1786" w:type="dxa"/>
            <w:tcBorders>
              <w:top w:val="outset" w:color="auto" w:sz="4" w:space="0"/>
              <w:left w:val="outset" w:color="auto" w:sz="4" w:space="0"/>
              <w:bottom w:val="outset" w:color="auto" w:sz="4" w:space="0"/>
              <w:right w:val="outset" w:color="auto" w:sz="4" w:space="0"/>
            </w:tcBorders>
            <w:vAlign w:val="bottom"/>
          </w:tcPr>
          <w:p w14:paraId="16D9E428">
            <w:pPr>
              <w:jc w:val="right"/>
              <w:textAlignment w:val="bottom"/>
              <w:rPr>
                <w:rFonts w:cs="Times New Roman"/>
              </w:rPr>
            </w:pPr>
            <w:r>
              <w:rPr>
                <w:rFonts w:eastAsia="Arial Narrow" w:cs="Times New Roman"/>
                <w:color w:val="000000"/>
                <w:lang w:bidi="ar"/>
              </w:rPr>
              <w:t>13,759,857.94</w:t>
            </w:r>
          </w:p>
        </w:tc>
      </w:tr>
      <w:tr w14:paraId="5E7859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158B07CA">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收到其他与经营活动有关的现金</w:t>
            </w:r>
          </w:p>
        </w:tc>
        <w:tc>
          <w:tcPr>
            <w:tcW w:w="569" w:type="pct"/>
            <w:tcBorders>
              <w:top w:val="outset" w:color="auto" w:sz="4" w:space="0"/>
              <w:left w:val="outset" w:color="auto" w:sz="4" w:space="0"/>
              <w:bottom w:val="outset" w:color="auto" w:sz="4" w:space="0"/>
              <w:right w:val="outset" w:color="auto" w:sz="4" w:space="0"/>
            </w:tcBorders>
            <w:vAlign w:val="center"/>
          </w:tcPr>
          <w:p w14:paraId="16145A56">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6183B6F7">
            <w:pPr>
              <w:jc w:val="right"/>
              <w:textAlignment w:val="bottom"/>
              <w:rPr>
                <w:rFonts w:cs="Times New Roman"/>
              </w:rPr>
            </w:pPr>
            <w:r>
              <w:rPr>
                <w:rFonts w:eastAsia="Arial Narrow" w:cs="Times New Roman"/>
                <w:color w:val="000000"/>
                <w:lang w:bidi="ar"/>
              </w:rPr>
              <w:t>35,754,874.04</w:t>
            </w:r>
          </w:p>
        </w:tc>
        <w:tc>
          <w:tcPr>
            <w:tcW w:w="1786" w:type="dxa"/>
            <w:tcBorders>
              <w:top w:val="outset" w:color="auto" w:sz="4" w:space="0"/>
              <w:left w:val="outset" w:color="auto" w:sz="4" w:space="0"/>
              <w:bottom w:val="outset" w:color="auto" w:sz="4" w:space="0"/>
              <w:right w:val="outset" w:color="auto" w:sz="4" w:space="0"/>
            </w:tcBorders>
            <w:vAlign w:val="bottom"/>
          </w:tcPr>
          <w:p w14:paraId="6C2FF845">
            <w:pPr>
              <w:jc w:val="right"/>
              <w:textAlignment w:val="bottom"/>
              <w:rPr>
                <w:rFonts w:cs="Times New Roman"/>
              </w:rPr>
            </w:pPr>
            <w:r>
              <w:rPr>
                <w:rFonts w:eastAsia="Arial Narrow" w:cs="Times New Roman"/>
                <w:color w:val="000000"/>
                <w:lang w:bidi="ar"/>
              </w:rPr>
              <w:t>43,303,235.56</w:t>
            </w:r>
          </w:p>
        </w:tc>
      </w:tr>
      <w:tr w14:paraId="14881F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7C53DFAF">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经营活动现金流入小计</w:t>
            </w:r>
          </w:p>
        </w:tc>
        <w:tc>
          <w:tcPr>
            <w:tcW w:w="569" w:type="pct"/>
            <w:tcBorders>
              <w:top w:val="outset" w:color="auto" w:sz="4" w:space="0"/>
              <w:left w:val="outset" w:color="auto" w:sz="4" w:space="0"/>
              <w:bottom w:val="outset" w:color="auto" w:sz="4" w:space="0"/>
              <w:right w:val="outset" w:color="auto" w:sz="4" w:space="0"/>
            </w:tcBorders>
            <w:vAlign w:val="center"/>
          </w:tcPr>
          <w:p w14:paraId="1359E1B0">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57FD1C1D">
            <w:pPr>
              <w:jc w:val="right"/>
              <w:textAlignment w:val="bottom"/>
              <w:rPr>
                <w:rFonts w:cs="Times New Roman"/>
              </w:rPr>
            </w:pPr>
            <w:r>
              <w:rPr>
                <w:rFonts w:eastAsia="Arial Narrow" w:cs="Times New Roman"/>
                <w:color w:val="000000"/>
                <w:lang w:bidi="ar"/>
              </w:rPr>
              <w:t>36,008,181.24</w:t>
            </w:r>
          </w:p>
        </w:tc>
        <w:tc>
          <w:tcPr>
            <w:tcW w:w="1786" w:type="dxa"/>
            <w:tcBorders>
              <w:top w:val="outset" w:color="auto" w:sz="4" w:space="0"/>
              <w:left w:val="outset" w:color="auto" w:sz="4" w:space="0"/>
              <w:bottom w:val="outset" w:color="auto" w:sz="4" w:space="0"/>
              <w:right w:val="outset" w:color="auto" w:sz="4" w:space="0"/>
            </w:tcBorders>
            <w:vAlign w:val="bottom"/>
          </w:tcPr>
          <w:p w14:paraId="03BC5273">
            <w:pPr>
              <w:jc w:val="right"/>
              <w:textAlignment w:val="bottom"/>
              <w:rPr>
                <w:rFonts w:cs="Times New Roman"/>
              </w:rPr>
            </w:pPr>
            <w:r>
              <w:rPr>
                <w:rFonts w:eastAsia="Arial Narrow" w:cs="Times New Roman"/>
                <w:color w:val="000000"/>
                <w:lang w:bidi="ar"/>
              </w:rPr>
              <w:t>57,063,093.50</w:t>
            </w:r>
          </w:p>
        </w:tc>
      </w:tr>
      <w:tr w14:paraId="1FB86E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218F1472">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购买商品、接受劳务支付的现金</w:t>
            </w:r>
          </w:p>
        </w:tc>
        <w:tc>
          <w:tcPr>
            <w:tcW w:w="569" w:type="pct"/>
            <w:tcBorders>
              <w:top w:val="outset" w:color="auto" w:sz="4" w:space="0"/>
              <w:left w:val="outset" w:color="auto" w:sz="4" w:space="0"/>
              <w:bottom w:val="outset" w:color="auto" w:sz="4" w:space="0"/>
              <w:right w:val="outset" w:color="auto" w:sz="4" w:space="0"/>
            </w:tcBorders>
            <w:vAlign w:val="center"/>
          </w:tcPr>
          <w:p w14:paraId="7EADA049">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376EE2C7">
            <w:pPr>
              <w:jc w:val="right"/>
              <w:textAlignment w:val="bottom"/>
              <w:rPr>
                <w:rFonts w:cs="Times New Roman"/>
              </w:rPr>
            </w:pPr>
            <w:r>
              <w:rPr>
                <w:rFonts w:eastAsia="Arial Narrow" w:cs="Times New Roman"/>
                <w:color w:val="000000"/>
                <w:lang w:bidi="ar"/>
              </w:rPr>
              <w:t>767,963.63</w:t>
            </w:r>
          </w:p>
        </w:tc>
        <w:tc>
          <w:tcPr>
            <w:tcW w:w="1786" w:type="dxa"/>
            <w:tcBorders>
              <w:top w:val="outset" w:color="auto" w:sz="4" w:space="0"/>
              <w:left w:val="outset" w:color="auto" w:sz="4" w:space="0"/>
              <w:bottom w:val="outset" w:color="auto" w:sz="4" w:space="0"/>
              <w:right w:val="outset" w:color="auto" w:sz="4" w:space="0"/>
            </w:tcBorders>
            <w:vAlign w:val="bottom"/>
          </w:tcPr>
          <w:p w14:paraId="438D0068">
            <w:pPr>
              <w:jc w:val="right"/>
              <w:textAlignment w:val="bottom"/>
              <w:rPr>
                <w:rFonts w:cs="Times New Roman"/>
              </w:rPr>
            </w:pPr>
            <w:r>
              <w:rPr>
                <w:rFonts w:eastAsia="Arial Narrow" w:cs="Times New Roman"/>
                <w:color w:val="000000"/>
                <w:lang w:bidi="ar"/>
              </w:rPr>
              <w:t>641,217.19</w:t>
            </w:r>
          </w:p>
        </w:tc>
      </w:tr>
      <w:tr w14:paraId="1D040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5A3C6D02">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支付给职工及为职工支付的现金</w:t>
            </w:r>
          </w:p>
        </w:tc>
        <w:tc>
          <w:tcPr>
            <w:tcW w:w="569" w:type="pct"/>
            <w:tcBorders>
              <w:top w:val="outset" w:color="auto" w:sz="4" w:space="0"/>
              <w:left w:val="outset" w:color="auto" w:sz="4" w:space="0"/>
              <w:bottom w:val="outset" w:color="auto" w:sz="4" w:space="0"/>
              <w:right w:val="outset" w:color="auto" w:sz="4" w:space="0"/>
            </w:tcBorders>
            <w:vAlign w:val="center"/>
          </w:tcPr>
          <w:p w14:paraId="49A34CDF">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5A51F228">
            <w:pPr>
              <w:jc w:val="right"/>
              <w:textAlignment w:val="bottom"/>
              <w:rPr>
                <w:rFonts w:cs="Times New Roman"/>
              </w:rPr>
            </w:pPr>
            <w:r>
              <w:rPr>
                <w:rFonts w:eastAsia="Arial Narrow" w:cs="Times New Roman"/>
                <w:color w:val="000000"/>
                <w:lang w:bidi="ar"/>
              </w:rPr>
              <w:t>52,463,810.67</w:t>
            </w:r>
          </w:p>
        </w:tc>
        <w:tc>
          <w:tcPr>
            <w:tcW w:w="1786" w:type="dxa"/>
            <w:tcBorders>
              <w:top w:val="outset" w:color="auto" w:sz="4" w:space="0"/>
              <w:left w:val="outset" w:color="auto" w:sz="4" w:space="0"/>
              <w:bottom w:val="outset" w:color="auto" w:sz="4" w:space="0"/>
              <w:right w:val="outset" w:color="auto" w:sz="4" w:space="0"/>
            </w:tcBorders>
            <w:vAlign w:val="bottom"/>
          </w:tcPr>
          <w:p w14:paraId="153570FF">
            <w:pPr>
              <w:jc w:val="right"/>
              <w:textAlignment w:val="bottom"/>
              <w:rPr>
                <w:rFonts w:cs="Times New Roman"/>
              </w:rPr>
            </w:pPr>
            <w:r>
              <w:rPr>
                <w:rFonts w:eastAsia="Arial Narrow" w:cs="Times New Roman"/>
                <w:color w:val="000000"/>
                <w:lang w:bidi="ar"/>
              </w:rPr>
              <w:t>47,706,988.15</w:t>
            </w:r>
          </w:p>
        </w:tc>
      </w:tr>
      <w:tr w14:paraId="50A66E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2E06D733">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支付的各项税费</w:t>
            </w:r>
          </w:p>
        </w:tc>
        <w:tc>
          <w:tcPr>
            <w:tcW w:w="569" w:type="pct"/>
            <w:tcBorders>
              <w:top w:val="outset" w:color="auto" w:sz="4" w:space="0"/>
              <w:left w:val="outset" w:color="auto" w:sz="4" w:space="0"/>
              <w:bottom w:val="outset" w:color="auto" w:sz="4" w:space="0"/>
              <w:right w:val="outset" w:color="auto" w:sz="4" w:space="0"/>
            </w:tcBorders>
            <w:vAlign w:val="center"/>
          </w:tcPr>
          <w:p w14:paraId="05EC4B9A">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48EBCB04">
            <w:pPr>
              <w:jc w:val="right"/>
              <w:textAlignment w:val="bottom"/>
              <w:rPr>
                <w:rFonts w:cs="Times New Roman"/>
              </w:rPr>
            </w:pPr>
            <w:r>
              <w:rPr>
                <w:rFonts w:eastAsia="Arial Narrow" w:cs="Times New Roman"/>
                <w:color w:val="000000"/>
                <w:lang w:bidi="ar"/>
              </w:rPr>
              <w:t>3,042,336.66</w:t>
            </w:r>
          </w:p>
        </w:tc>
        <w:tc>
          <w:tcPr>
            <w:tcW w:w="1786" w:type="dxa"/>
            <w:tcBorders>
              <w:top w:val="outset" w:color="auto" w:sz="4" w:space="0"/>
              <w:left w:val="outset" w:color="auto" w:sz="4" w:space="0"/>
              <w:bottom w:val="outset" w:color="auto" w:sz="4" w:space="0"/>
              <w:right w:val="outset" w:color="auto" w:sz="4" w:space="0"/>
            </w:tcBorders>
            <w:vAlign w:val="bottom"/>
          </w:tcPr>
          <w:p w14:paraId="44E0C7A4">
            <w:pPr>
              <w:jc w:val="right"/>
              <w:textAlignment w:val="bottom"/>
              <w:rPr>
                <w:rFonts w:cs="Times New Roman"/>
              </w:rPr>
            </w:pPr>
            <w:r>
              <w:rPr>
                <w:rFonts w:eastAsia="Arial Narrow" w:cs="Times New Roman"/>
                <w:color w:val="000000"/>
                <w:lang w:bidi="ar"/>
              </w:rPr>
              <w:t>4,570,017.25</w:t>
            </w:r>
          </w:p>
        </w:tc>
      </w:tr>
      <w:tr w14:paraId="53352B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3A040987">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支付其他与经营活动有关的现金</w:t>
            </w:r>
          </w:p>
        </w:tc>
        <w:tc>
          <w:tcPr>
            <w:tcW w:w="569" w:type="pct"/>
            <w:tcBorders>
              <w:top w:val="outset" w:color="auto" w:sz="4" w:space="0"/>
              <w:left w:val="outset" w:color="auto" w:sz="4" w:space="0"/>
              <w:bottom w:val="outset" w:color="auto" w:sz="4" w:space="0"/>
              <w:right w:val="outset" w:color="auto" w:sz="4" w:space="0"/>
            </w:tcBorders>
            <w:vAlign w:val="center"/>
          </w:tcPr>
          <w:p w14:paraId="38E69AE3">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02C75A1B">
            <w:pPr>
              <w:jc w:val="right"/>
              <w:textAlignment w:val="bottom"/>
              <w:rPr>
                <w:rFonts w:cs="Times New Roman"/>
              </w:rPr>
            </w:pPr>
            <w:r>
              <w:rPr>
                <w:rFonts w:eastAsia="Arial Narrow" w:cs="Times New Roman"/>
                <w:color w:val="000000"/>
                <w:lang w:bidi="ar"/>
              </w:rPr>
              <w:t>26,985,885.21</w:t>
            </w:r>
          </w:p>
        </w:tc>
        <w:tc>
          <w:tcPr>
            <w:tcW w:w="1786" w:type="dxa"/>
            <w:tcBorders>
              <w:top w:val="outset" w:color="auto" w:sz="4" w:space="0"/>
              <w:left w:val="outset" w:color="auto" w:sz="4" w:space="0"/>
              <w:bottom w:val="outset" w:color="auto" w:sz="4" w:space="0"/>
              <w:right w:val="outset" w:color="auto" w:sz="4" w:space="0"/>
            </w:tcBorders>
            <w:vAlign w:val="bottom"/>
          </w:tcPr>
          <w:p w14:paraId="36A35D0E">
            <w:pPr>
              <w:jc w:val="right"/>
              <w:textAlignment w:val="bottom"/>
              <w:rPr>
                <w:rFonts w:cs="Times New Roman"/>
              </w:rPr>
            </w:pPr>
            <w:r>
              <w:rPr>
                <w:rFonts w:eastAsia="Arial Narrow" w:cs="Times New Roman"/>
                <w:color w:val="000000"/>
                <w:lang w:bidi="ar"/>
              </w:rPr>
              <w:t>26,272,498.85</w:t>
            </w:r>
          </w:p>
        </w:tc>
      </w:tr>
      <w:tr w14:paraId="65539E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2A280B43">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经营活动现金流出小计</w:t>
            </w:r>
          </w:p>
        </w:tc>
        <w:tc>
          <w:tcPr>
            <w:tcW w:w="569" w:type="pct"/>
            <w:tcBorders>
              <w:top w:val="outset" w:color="auto" w:sz="4" w:space="0"/>
              <w:left w:val="outset" w:color="auto" w:sz="4" w:space="0"/>
              <w:bottom w:val="outset" w:color="auto" w:sz="4" w:space="0"/>
              <w:right w:val="outset" w:color="auto" w:sz="4" w:space="0"/>
            </w:tcBorders>
            <w:vAlign w:val="center"/>
          </w:tcPr>
          <w:p w14:paraId="1C921853">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301A0D82">
            <w:pPr>
              <w:jc w:val="right"/>
              <w:textAlignment w:val="bottom"/>
              <w:rPr>
                <w:rFonts w:cs="Times New Roman"/>
              </w:rPr>
            </w:pPr>
            <w:r>
              <w:rPr>
                <w:rFonts w:eastAsia="Arial Narrow" w:cs="Times New Roman"/>
                <w:color w:val="000000"/>
                <w:lang w:bidi="ar"/>
              </w:rPr>
              <w:t>83,259,996.17</w:t>
            </w:r>
          </w:p>
        </w:tc>
        <w:tc>
          <w:tcPr>
            <w:tcW w:w="1786" w:type="dxa"/>
            <w:tcBorders>
              <w:top w:val="outset" w:color="auto" w:sz="4" w:space="0"/>
              <w:left w:val="outset" w:color="auto" w:sz="4" w:space="0"/>
              <w:bottom w:val="outset" w:color="auto" w:sz="4" w:space="0"/>
              <w:right w:val="outset" w:color="auto" w:sz="4" w:space="0"/>
            </w:tcBorders>
            <w:vAlign w:val="bottom"/>
          </w:tcPr>
          <w:p w14:paraId="214DBA80">
            <w:pPr>
              <w:jc w:val="right"/>
              <w:textAlignment w:val="bottom"/>
              <w:rPr>
                <w:rFonts w:cs="Times New Roman"/>
              </w:rPr>
            </w:pPr>
            <w:r>
              <w:rPr>
                <w:rFonts w:eastAsia="Arial Narrow" w:cs="Times New Roman"/>
                <w:color w:val="000000"/>
                <w:lang w:bidi="ar"/>
              </w:rPr>
              <w:t>79,190,721.44</w:t>
            </w:r>
          </w:p>
        </w:tc>
      </w:tr>
      <w:tr w14:paraId="7EE16A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057845A8">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经营活动产生的现金流量净额</w:t>
            </w:r>
          </w:p>
        </w:tc>
        <w:tc>
          <w:tcPr>
            <w:tcW w:w="569" w:type="pct"/>
            <w:tcBorders>
              <w:top w:val="outset" w:color="auto" w:sz="4" w:space="0"/>
              <w:left w:val="outset" w:color="auto" w:sz="4" w:space="0"/>
              <w:bottom w:val="outset" w:color="auto" w:sz="4" w:space="0"/>
              <w:right w:val="outset" w:color="auto" w:sz="4" w:space="0"/>
            </w:tcBorders>
            <w:vAlign w:val="center"/>
          </w:tcPr>
          <w:p w14:paraId="52CB3CFF">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66633E90">
            <w:pPr>
              <w:jc w:val="right"/>
              <w:textAlignment w:val="bottom"/>
              <w:rPr>
                <w:rFonts w:cs="Times New Roman"/>
              </w:rPr>
            </w:pPr>
            <w:r>
              <w:rPr>
                <w:rFonts w:eastAsia="Arial Narrow" w:cs="Times New Roman"/>
                <w:color w:val="000000"/>
                <w:lang w:bidi="ar"/>
              </w:rPr>
              <w:t>-47,251,814.93</w:t>
            </w:r>
          </w:p>
        </w:tc>
        <w:tc>
          <w:tcPr>
            <w:tcW w:w="1786" w:type="dxa"/>
            <w:tcBorders>
              <w:top w:val="outset" w:color="auto" w:sz="4" w:space="0"/>
              <w:left w:val="outset" w:color="auto" w:sz="4" w:space="0"/>
              <w:bottom w:val="outset" w:color="auto" w:sz="4" w:space="0"/>
              <w:right w:val="outset" w:color="auto" w:sz="4" w:space="0"/>
            </w:tcBorders>
            <w:vAlign w:val="bottom"/>
          </w:tcPr>
          <w:p w14:paraId="3DF58BBA">
            <w:pPr>
              <w:jc w:val="right"/>
              <w:textAlignment w:val="bottom"/>
              <w:rPr>
                <w:rFonts w:cs="Times New Roman"/>
              </w:rPr>
            </w:pPr>
            <w:r>
              <w:rPr>
                <w:rFonts w:eastAsia="Arial Narrow" w:cs="Times New Roman"/>
                <w:color w:val="000000"/>
                <w:lang w:bidi="ar"/>
              </w:rPr>
              <w:t>-22,127,627.94</w:t>
            </w:r>
          </w:p>
        </w:tc>
      </w:tr>
      <w:tr w14:paraId="4767C6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cs="Times New Roman"/>
            </w:rPr>
            <w:tag w:val="_PLD_8f9190ce4227402ab02ac6431a00b46e"/>
            <w:id w:val="147450945"/>
          </w:sdtPr>
          <w:sdtEndPr>
            <w:rPr>
              <w:rFonts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10336884">
                <w:pPr>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二、投资活动产生的现金流量：</w:t>
                </w:r>
              </w:p>
            </w:tc>
          </w:sdtContent>
        </w:sdt>
      </w:tr>
      <w:tr w14:paraId="1F9541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07C26230">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收到其他与投资活动有关的现金</w:t>
            </w:r>
          </w:p>
        </w:tc>
        <w:tc>
          <w:tcPr>
            <w:tcW w:w="569" w:type="pct"/>
            <w:tcBorders>
              <w:top w:val="outset" w:color="auto" w:sz="4" w:space="0"/>
              <w:left w:val="outset" w:color="auto" w:sz="4" w:space="0"/>
              <w:bottom w:val="outset" w:color="auto" w:sz="4" w:space="0"/>
              <w:right w:val="outset" w:color="auto" w:sz="4" w:space="0"/>
            </w:tcBorders>
            <w:vAlign w:val="center"/>
          </w:tcPr>
          <w:p w14:paraId="4DA9B173">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10223A21">
            <w:pPr>
              <w:jc w:val="right"/>
              <w:textAlignment w:val="bottom"/>
              <w:rPr>
                <w:rFonts w:cs="Times New Roman"/>
              </w:rPr>
            </w:pPr>
            <w:r>
              <w:rPr>
                <w:rFonts w:eastAsia="Arial Narrow" w:cs="Times New Roman"/>
                <w:color w:val="000000"/>
                <w:lang w:bidi="ar"/>
              </w:rPr>
              <w:t>518,845,774.17</w:t>
            </w:r>
          </w:p>
        </w:tc>
        <w:tc>
          <w:tcPr>
            <w:tcW w:w="1786" w:type="dxa"/>
            <w:tcBorders>
              <w:top w:val="outset" w:color="auto" w:sz="4" w:space="0"/>
              <w:left w:val="outset" w:color="auto" w:sz="4" w:space="0"/>
              <w:bottom w:val="outset" w:color="auto" w:sz="4" w:space="0"/>
              <w:right w:val="outset" w:color="auto" w:sz="4" w:space="0"/>
            </w:tcBorders>
            <w:vAlign w:val="bottom"/>
          </w:tcPr>
          <w:p w14:paraId="70F01291">
            <w:pPr>
              <w:jc w:val="right"/>
              <w:textAlignment w:val="bottom"/>
              <w:rPr>
                <w:rFonts w:cs="Times New Roman"/>
              </w:rPr>
            </w:pPr>
            <w:r>
              <w:rPr>
                <w:rFonts w:eastAsia="Arial Narrow" w:cs="Times New Roman"/>
                <w:color w:val="000000"/>
                <w:lang w:bidi="ar"/>
              </w:rPr>
              <w:t>464,335,005.85</w:t>
            </w:r>
          </w:p>
        </w:tc>
      </w:tr>
      <w:tr w14:paraId="29DCD8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01958954">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投资活动现金流入小计</w:t>
            </w:r>
          </w:p>
        </w:tc>
        <w:tc>
          <w:tcPr>
            <w:tcW w:w="569" w:type="pct"/>
            <w:tcBorders>
              <w:top w:val="outset" w:color="auto" w:sz="4" w:space="0"/>
              <w:left w:val="outset" w:color="auto" w:sz="4" w:space="0"/>
              <w:bottom w:val="outset" w:color="auto" w:sz="4" w:space="0"/>
              <w:right w:val="outset" w:color="auto" w:sz="4" w:space="0"/>
            </w:tcBorders>
            <w:vAlign w:val="center"/>
          </w:tcPr>
          <w:p w14:paraId="149639B5">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4F260DF5">
            <w:pPr>
              <w:jc w:val="right"/>
              <w:textAlignment w:val="bottom"/>
              <w:rPr>
                <w:rFonts w:cs="Times New Roman"/>
              </w:rPr>
            </w:pPr>
            <w:r>
              <w:rPr>
                <w:rFonts w:eastAsia="Arial Narrow" w:cs="Times New Roman"/>
                <w:color w:val="000000"/>
                <w:lang w:bidi="ar"/>
              </w:rPr>
              <w:t>518,845,774.17</w:t>
            </w:r>
          </w:p>
        </w:tc>
        <w:tc>
          <w:tcPr>
            <w:tcW w:w="1786" w:type="dxa"/>
            <w:tcBorders>
              <w:top w:val="outset" w:color="auto" w:sz="4" w:space="0"/>
              <w:left w:val="outset" w:color="auto" w:sz="4" w:space="0"/>
              <w:bottom w:val="outset" w:color="auto" w:sz="4" w:space="0"/>
              <w:right w:val="outset" w:color="auto" w:sz="4" w:space="0"/>
            </w:tcBorders>
            <w:vAlign w:val="bottom"/>
          </w:tcPr>
          <w:p w14:paraId="6C7C3A1F">
            <w:pPr>
              <w:jc w:val="right"/>
              <w:textAlignment w:val="bottom"/>
              <w:rPr>
                <w:rFonts w:cs="Times New Roman"/>
              </w:rPr>
            </w:pPr>
            <w:r>
              <w:rPr>
                <w:rFonts w:eastAsia="Arial Narrow" w:cs="Times New Roman"/>
                <w:color w:val="000000"/>
                <w:lang w:bidi="ar"/>
              </w:rPr>
              <w:t>464,335,005.85</w:t>
            </w:r>
          </w:p>
        </w:tc>
      </w:tr>
      <w:tr w14:paraId="544CBE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0A46C26E">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购建固定资产、无形资产和其他长期资产支付的现金</w:t>
            </w:r>
          </w:p>
        </w:tc>
        <w:tc>
          <w:tcPr>
            <w:tcW w:w="569" w:type="pct"/>
            <w:tcBorders>
              <w:top w:val="outset" w:color="auto" w:sz="4" w:space="0"/>
              <w:left w:val="outset" w:color="auto" w:sz="4" w:space="0"/>
              <w:bottom w:val="outset" w:color="auto" w:sz="4" w:space="0"/>
              <w:right w:val="outset" w:color="auto" w:sz="4" w:space="0"/>
            </w:tcBorders>
            <w:vAlign w:val="center"/>
          </w:tcPr>
          <w:p w14:paraId="53937D89">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center"/>
          </w:tcPr>
          <w:p w14:paraId="40F5CC8C">
            <w:pPr>
              <w:jc w:val="right"/>
              <w:textAlignment w:val="bottom"/>
              <w:rPr>
                <w:rFonts w:cs="Times New Roman"/>
              </w:rPr>
            </w:pPr>
            <w:r>
              <w:rPr>
                <w:rFonts w:eastAsia="Arial Narrow" w:cs="Times New Roman"/>
                <w:color w:val="000000"/>
                <w:lang w:bidi="ar"/>
              </w:rPr>
              <w:t>3,277,834.15</w:t>
            </w:r>
          </w:p>
        </w:tc>
        <w:tc>
          <w:tcPr>
            <w:tcW w:w="1786" w:type="dxa"/>
            <w:tcBorders>
              <w:top w:val="outset" w:color="auto" w:sz="4" w:space="0"/>
              <w:left w:val="outset" w:color="auto" w:sz="4" w:space="0"/>
              <w:bottom w:val="outset" w:color="auto" w:sz="4" w:space="0"/>
              <w:right w:val="outset" w:color="auto" w:sz="4" w:space="0"/>
            </w:tcBorders>
            <w:vAlign w:val="center"/>
          </w:tcPr>
          <w:p w14:paraId="6D65312C">
            <w:pPr>
              <w:jc w:val="right"/>
              <w:textAlignment w:val="bottom"/>
              <w:rPr>
                <w:rFonts w:cs="Times New Roman"/>
              </w:rPr>
            </w:pPr>
            <w:r>
              <w:rPr>
                <w:rFonts w:eastAsia="Arial Narrow" w:cs="Times New Roman"/>
                <w:color w:val="000000"/>
                <w:lang w:bidi="ar"/>
              </w:rPr>
              <w:t>7,935,934.48</w:t>
            </w:r>
          </w:p>
        </w:tc>
      </w:tr>
      <w:tr w14:paraId="7BF726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131BB61B">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投资支付的现金</w:t>
            </w:r>
          </w:p>
        </w:tc>
        <w:tc>
          <w:tcPr>
            <w:tcW w:w="569" w:type="pct"/>
            <w:tcBorders>
              <w:top w:val="outset" w:color="auto" w:sz="4" w:space="0"/>
              <w:left w:val="outset" w:color="auto" w:sz="4" w:space="0"/>
              <w:bottom w:val="outset" w:color="auto" w:sz="4" w:space="0"/>
              <w:right w:val="outset" w:color="auto" w:sz="4" w:space="0"/>
            </w:tcBorders>
            <w:vAlign w:val="center"/>
          </w:tcPr>
          <w:p w14:paraId="296FA03A">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4D657750">
            <w:pPr>
              <w:jc w:val="right"/>
              <w:textAlignment w:val="bottom"/>
              <w:rPr>
                <w:rFonts w:cs="Times New Roman"/>
              </w:rPr>
            </w:pPr>
            <w:r>
              <w:rPr>
                <w:rFonts w:eastAsia="Arial Narrow" w:cs="Times New Roman"/>
                <w:color w:val="000000"/>
                <w:lang w:bidi="ar"/>
              </w:rPr>
              <w:t>5,000,000.00</w:t>
            </w:r>
          </w:p>
        </w:tc>
        <w:tc>
          <w:tcPr>
            <w:tcW w:w="1786" w:type="dxa"/>
            <w:tcBorders>
              <w:top w:val="outset" w:color="auto" w:sz="4" w:space="0"/>
              <w:left w:val="outset" w:color="auto" w:sz="4" w:space="0"/>
              <w:bottom w:val="outset" w:color="auto" w:sz="4" w:space="0"/>
              <w:right w:val="outset" w:color="auto" w:sz="4" w:space="0"/>
            </w:tcBorders>
            <w:vAlign w:val="bottom"/>
          </w:tcPr>
          <w:p w14:paraId="0CD47F45">
            <w:pPr>
              <w:jc w:val="right"/>
              <w:rPr>
                <w:rFonts w:cs="Times New Roman"/>
              </w:rPr>
            </w:pPr>
          </w:p>
        </w:tc>
      </w:tr>
      <w:tr w14:paraId="47398D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00135B40">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支付其他与投资活动有关的现金</w:t>
            </w:r>
          </w:p>
        </w:tc>
        <w:tc>
          <w:tcPr>
            <w:tcW w:w="569" w:type="pct"/>
            <w:tcBorders>
              <w:top w:val="outset" w:color="auto" w:sz="4" w:space="0"/>
              <w:left w:val="outset" w:color="auto" w:sz="4" w:space="0"/>
              <w:bottom w:val="outset" w:color="auto" w:sz="4" w:space="0"/>
              <w:right w:val="outset" w:color="auto" w:sz="4" w:space="0"/>
            </w:tcBorders>
            <w:vAlign w:val="center"/>
          </w:tcPr>
          <w:p w14:paraId="72F1A3B7">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6131290B">
            <w:pPr>
              <w:jc w:val="right"/>
              <w:textAlignment w:val="bottom"/>
              <w:rPr>
                <w:rFonts w:cs="Times New Roman"/>
              </w:rPr>
            </w:pPr>
            <w:r>
              <w:rPr>
                <w:rFonts w:eastAsia="Arial Narrow" w:cs="Times New Roman"/>
                <w:color w:val="000000"/>
                <w:lang w:bidi="ar"/>
              </w:rPr>
              <w:t>827,748,990.56</w:t>
            </w:r>
          </w:p>
        </w:tc>
        <w:tc>
          <w:tcPr>
            <w:tcW w:w="1786" w:type="dxa"/>
            <w:tcBorders>
              <w:top w:val="outset" w:color="auto" w:sz="4" w:space="0"/>
              <w:left w:val="outset" w:color="auto" w:sz="4" w:space="0"/>
              <w:bottom w:val="outset" w:color="auto" w:sz="4" w:space="0"/>
              <w:right w:val="outset" w:color="auto" w:sz="4" w:space="0"/>
            </w:tcBorders>
            <w:vAlign w:val="bottom"/>
          </w:tcPr>
          <w:p w14:paraId="05BD3E8E">
            <w:pPr>
              <w:jc w:val="right"/>
              <w:textAlignment w:val="bottom"/>
              <w:rPr>
                <w:rFonts w:cs="Times New Roman"/>
              </w:rPr>
            </w:pPr>
            <w:r>
              <w:rPr>
                <w:rFonts w:eastAsia="Arial Narrow" w:cs="Times New Roman"/>
                <w:color w:val="000000"/>
                <w:lang w:bidi="ar"/>
              </w:rPr>
              <w:t>340,031,454.35</w:t>
            </w:r>
          </w:p>
        </w:tc>
      </w:tr>
      <w:tr w14:paraId="111A93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671E30EC">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投资活动现金流出小计</w:t>
            </w:r>
          </w:p>
        </w:tc>
        <w:tc>
          <w:tcPr>
            <w:tcW w:w="569" w:type="pct"/>
            <w:tcBorders>
              <w:top w:val="outset" w:color="auto" w:sz="4" w:space="0"/>
              <w:left w:val="outset" w:color="auto" w:sz="4" w:space="0"/>
              <w:bottom w:val="outset" w:color="auto" w:sz="4" w:space="0"/>
              <w:right w:val="outset" w:color="auto" w:sz="4" w:space="0"/>
            </w:tcBorders>
            <w:vAlign w:val="center"/>
          </w:tcPr>
          <w:p w14:paraId="47F603A6">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4D5BD554">
            <w:pPr>
              <w:jc w:val="right"/>
              <w:textAlignment w:val="bottom"/>
              <w:rPr>
                <w:rFonts w:cs="Times New Roman"/>
              </w:rPr>
            </w:pPr>
            <w:r>
              <w:rPr>
                <w:rFonts w:eastAsia="Arial Narrow" w:cs="Times New Roman"/>
                <w:color w:val="000000"/>
                <w:lang w:bidi="ar"/>
              </w:rPr>
              <w:t>836,026,824.71</w:t>
            </w:r>
          </w:p>
        </w:tc>
        <w:tc>
          <w:tcPr>
            <w:tcW w:w="1786" w:type="dxa"/>
            <w:tcBorders>
              <w:top w:val="outset" w:color="auto" w:sz="4" w:space="0"/>
              <w:left w:val="outset" w:color="auto" w:sz="4" w:space="0"/>
              <w:bottom w:val="outset" w:color="auto" w:sz="4" w:space="0"/>
              <w:right w:val="outset" w:color="auto" w:sz="4" w:space="0"/>
            </w:tcBorders>
            <w:vAlign w:val="bottom"/>
          </w:tcPr>
          <w:p w14:paraId="1C373394">
            <w:pPr>
              <w:jc w:val="right"/>
              <w:textAlignment w:val="bottom"/>
              <w:rPr>
                <w:rFonts w:cs="Times New Roman"/>
              </w:rPr>
            </w:pPr>
            <w:r>
              <w:rPr>
                <w:rFonts w:eastAsia="Arial Narrow" w:cs="Times New Roman"/>
                <w:color w:val="000000"/>
                <w:lang w:bidi="ar"/>
              </w:rPr>
              <w:t>347,967,388.83</w:t>
            </w:r>
          </w:p>
        </w:tc>
      </w:tr>
      <w:tr w14:paraId="585A67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0A66C85F">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投资活动产生的现金流量净额</w:t>
            </w:r>
          </w:p>
        </w:tc>
        <w:tc>
          <w:tcPr>
            <w:tcW w:w="569" w:type="pct"/>
            <w:tcBorders>
              <w:top w:val="outset" w:color="auto" w:sz="4" w:space="0"/>
              <w:left w:val="outset" w:color="auto" w:sz="4" w:space="0"/>
              <w:bottom w:val="outset" w:color="auto" w:sz="4" w:space="0"/>
              <w:right w:val="outset" w:color="auto" w:sz="4" w:space="0"/>
            </w:tcBorders>
            <w:vAlign w:val="center"/>
          </w:tcPr>
          <w:p w14:paraId="0160F689">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4869B0BC">
            <w:pPr>
              <w:jc w:val="right"/>
              <w:textAlignment w:val="bottom"/>
              <w:rPr>
                <w:rFonts w:cs="Times New Roman"/>
              </w:rPr>
            </w:pPr>
            <w:r>
              <w:rPr>
                <w:rFonts w:eastAsia="Arial Narrow" w:cs="Times New Roman"/>
                <w:color w:val="000000"/>
                <w:lang w:bidi="ar"/>
              </w:rPr>
              <w:t>-317,181,050.54</w:t>
            </w:r>
          </w:p>
        </w:tc>
        <w:tc>
          <w:tcPr>
            <w:tcW w:w="1786" w:type="dxa"/>
            <w:tcBorders>
              <w:top w:val="outset" w:color="auto" w:sz="4" w:space="0"/>
              <w:left w:val="outset" w:color="auto" w:sz="4" w:space="0"/>
              <w:bottom w:val="outset" w:color="auto" w:sz="4" w:space="0"/>
              <w:right w:val="outset" w:color="auto" w:sz="4" w:space="0"/>
            </w:tcBorders>
            <w:vAlign w:val="bottom"/>
          </w:tcPr>
          <w:p w14:paraId="61535D8D">
            <w:pPr>
              <w:jc w:val="right"/>
              <w:textAlignment w:val="bottom"/>
              <w:rPr>
                <w:rFonts w:cs="Times New Roman"/>
              </w:rPr>
            </w:pPr>
            <w:r>
              <w:rPr>
                <w:rFonts w:eastAsia="Arial Narrow" w:cs="Times New Roman"/>
                <w:color w:val="000000"/>
                <w:lang w:bidi="ar"/>
              </w:rPr>
              <w:t>116,367,617.02</w:t>
            </w:r>
          </w:p>
        </w:tc>
      </w:tr>
      <w:tr w14:paraId="3C1996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cs="Times New Roman"/>
            </w:rPr>
            <w:tag w:val="_PLD_7d68e34216d04af0934267b3078d3c35"/>
            <w:id w:val="147471309"/>
          </w:sdtPr>
          <w:sdtEndPr>
            <w:rPr>
              <w:rFonts w:cs="Times New Roman"/>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19870FFE">
                <w:pPr>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三、筹资活动产生的现金流量：</w:t>
                </w:r>
              </w:p>
            </w:tc>
          </w:sdtContent>
        </w:sdt>
      </w:tr>
      <w:tr w14:paraId="4FEDED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25E5DEC8">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取得借款收到的现金</w:t>
            </w:r>
          </w:p>
        </w:tc>
        <w:tc>
          <w:tcPr>
            <w:tcW w:w="569" w:type="pct"/>
            <w:tcBorders>
              <w:top w:val="outset" w:color="auto" w:sz="4" w:space="0"/>
              <w:left w:val="outset" w:color="auto" w:sz="4" w:space="0"/>
              <w:bottom w:val="outset" w:color="auto" w:sz="4" w:space="0"/>
              <w:right w:val="outset" w:color="auto" w:sz="4" w:space="0"/>
            </w:tcBorders>
            <w:vAlign w:val="center"/>
          </w:tcPr>
          <w:p w14:paraId="128E181A">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425279CE">
            <w:pPr>
              <w:jc w:val="right"/>
              <w:textAlignment w:val="bottom"/>
              <w:rPr>
                <w:rFonts w:cs="Times New Roman"/>
              </w:rPr>
            </w:pPr>
            <w:r>
              <w:rPr>
                <w:rFonts w:eastAsia="Arial Narrow" w:cs="Times New Roman"/>
                <w:color w:val="000000"/>
                <w:lang w:bidi="ar"/>
              </w:rPr>
              <w:t>2,025,000,000.00</w:t>
            </w:r>
          </w:p>
        </w:tc>
        <w:tc>
          <w:tcPr>
            <w:tcW w:w="1786" w:type="dxa"/>
            <w:tcBorders>
              <w:top w:val="outset" w:color="auto" w:sz="4" w:space="0"/>
              <w:left w:val="outset" w:color="auto" w:sz="4" w:space="0"/>
              <w:bottom w:val="outset" w:color="auto" w:sz="4" w:space="0"/>
              <w:right w:val="outset" w:color="auto" w:sz="4" w:space="0"/>
            </w:tcBorders>
            <w:vAlign w:val="bottom"/>
          </w:tcPr>
          <w:p w14:paraId="139C8BEE">
            <w:pPr>
              <w:jc w:val="right"/>
              <w:textAlignment w:val="bottom"/>
              <w:rPr>
                <w:rFonts w:cs="Times New Roman"/>
              </w:rPr>
            </w:pPr>
            <w:r>
              <w:rPr>
                <w:rFonts w:eastAsia="Arial Narrow" w:cs="Times New Roman"/>
                <w:color w:val="000000"/>
                <w:lang w:bidi="ar"/>
              </w:rPr>
              <w:t>335,000,000.00</w:t>
            </w:r>
          </w:p>
        </w:tc>
      </w:tr>
      <w:tr w14:paraId="7C963B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2B0113CD">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收到其他与筹资活动有关的现金</w:t>
            </w:r>
          </w:p>
        </w:tc>
        <w:tc>
          <w:tcPr>
            <w:tcW w:w="569" w:type="pct"/>
            <w:tcBorders>
              <w:top w:val="outset" w:color="auto" w:sz="4" w:space="0"/>
              <w:left w:val="outset" w:color="auto" w:sz="4" w:space="0"/>
              <w:bottom w:val="outset" w:color="auto" w:sz="4" w:space="0"/>
              <w:right w:val="outset" w:color="auto" w:sz="4" w:space="0"/>
            </w:tcBorders>
            <w:vAlign w:val="center"/>
          </w:tcPr>
          <w:p w14:paraId="4B0037DC">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3B334853">
            <w:pPr>
              <w:jc w:val="right"/>
              <w:rPr>
                <w:rFonts w:cs="Times New Roman"/>
              </w:rPr>
            </w:pPr>
          </w:p>
        </w:tc>
        <w:tc>
          <w:tcPr>
            <w:tcW w:w="1786" w:type="dxa"/>
            <w:tcBorders>
              <w:top w:val="outset" w:color="auto" w:sz="4" w:space="0"/>
              <w:left w:val="outset" w:color="auto" w:sz="4" w:space="0"/>
              <w:bottom w:val="outset" w:color="auto" w:sz="4" w:space="0"/>
              <w:right w:val="outset" w:color="auto" w:sz="4" w:space="0"/>
            </w:tcBorders>
            <w:vAlign w:val="bottom"/>
          </w:tcPr>
          <w:p w14:paraId="23C943AE">
            <w:pPr>
              <w:jc w:val="right"/>
              <w:rPr>
                <w:rFonts w:cs="Times New Roman"/>
              </w:rPr>
            </w:pPr>
          </w:p>
        </w:tc>
      </w:tr>
      <w:tr w14:paraId="6BE0D2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5D47F5B7">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筹资活动现金流入小计</w:t>
            </w:r>
          </w:p>
        </w:tc>
        <w:tc>
          <w:tcPr>
            <w:tcW w:w="569" w:type="pct"/>
            <w:tcBorders>
              <w:top w:val="outset" w:color="auto" w:sz="4" w:space="0"/>
              <w:left w:val="outset" w:color="auto" w:sz="4" w:space="0"/>
              <w:bottom w:val="outset" w:color="auto" w:sz="4" w:space="0"/>
              <w:right w:val="outset" w:color="auto" w:sz="4" w:space="0"/>
            </w:tcBorders>
            <w:vAlign w:val="center"/>
          </w:tcPr>
          <w:p w14:paraId="37C79830">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7804A912">
            <w:pPr>
              <w:jc w:val="right"/>
              <w:textAlignment w:val="bottom"/>
              <w:rPr>
                <w:rFonts w:cs="Times New Roman"/>
              </w:rPr>
            </w:pPr>
            <w:r>
              <w:rPr>
                <w:rFonts w:eastAsia="Arial Narrow" w:cs="Times New Roman"/>
                <w:color w:val="000000"/>
                <w:lang w:bidi="ar"/>
              </w:rPr>
              <w:t>2,025,000,000.00</w:t>
            </w:r>
          </w:p>
        </w:tc>
        <w:tc>
          <w:tcPr>
            <w:tcW w:w="1786" w:type="dxa"/>
            <w:tcBorders>
              <w:top w:val="outset" w:color="auto" w:sz="4" w:space="0"/>
              <w:left w:val="outset" w:color="auto" w:sz="4" w:space="0"/>
              <w:bottom w:val="outset" w:color="auto" w:sz="4" w:space="0"/>
              <w:right w:val="outset" w:color="auto" w:sz="4" w:space="0"/>
            </w:tcBorders>
            <w:vAlign w:val="bottom"/>
          </w:tcPr>
          <w:p w14:paraId="72703523">
            <w:pPr>
              <w:jc w:val="right"/>
              <w:textAlignment w:val="bottom"/>
              <w:rPr>
                <w:rFonts w:cs="Times New Roman"/>
              </w:rPr>
            </w:pPr>
            <w:r>
              <w:rPr>
                <w:rFonts w:eastAsia="Arial Narrow" w:cs="Times New Roman"/>
                <w:color w:val="000000"/>
                <w:lang w:bidi="ar"/>
              </w:rPr>
              <w:t>335,000,000.00</w:t>
            </w:r>
          </w:p>
        </w:tc>
      </w:tr>
      <w:tr w14:paraId="49041F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21662825">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偿还债务支付的现金</w:t>
            </w:r>
          </w:p>
        </w:tc>
        <w:tc>
          <w:tcPr>
            <w:tcW w:w="569" w:type="pct"/>
            <w:tcBorders>
              <w:top w:val="outset" w:color="auto" w:sz="4" w:space="0"/>
              <w:left w:val="outset" w:color="auto" w:sz="4" w:space="0"/>
              <w:bottom w:val="outset" w:color="auto" w:sz="4" w:space="0"/>
              <w:right w:val="outset" w:color="auto" w:sz="4" w:space="0"/>
            </w:tcBorders>
            <w:vAlign w:val="center"/>
          </w:tcPr>
          <w:p w14:paraId="3DFCB9A0">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2CA22D69">
            <w:pPr>
              <w:jc w:val="right"/>
              <w:textAlignment w:val="bottom"/>
              <w:rPr>
                <w:rFonts w:cs="Times New Roman"/>
              </w:rPr>
            </w:pPr>
            <w:r>
              <w:rPr>
                <w:rFonts w:eastAsia="Arial Narrow" w:cs="Times New Roman"/>
                <w:color w:val="000000"/>
                <w:lang w:bidi="ar"/>
              </w:rPr>
              <w:t>56,550,000.00</w:t>
            </w:r>
          </w:p>
        </w:tc>
        <w:tc>
          <w:tcPr>
            <w:tcW w:w="1786" w:type="dxa"/>
            <w:tcBorders>
              <w:top w:val="outset" w:color="auto" w:sz="4" w:space="0"/>
              <w:left w:val="outset" w:color="auto" w:sz="4" w:space="0"/>
              <w:bottom w:val="outset" w:color="auto" w:sz="4" w:space="0"/>
              <w:right w:val="outset" w:color="auto" w:sz="4" w:space="0"/>
            </w:tcBorders>
            <w:vAlign w:val="bottom"/>
          </w:tcPr>
          <w:p w14:paraId="7644DCBC">
            <w:pPr>
              <w:jc w:val="right"/>
              <w:textAlignment w:val="bottom"/>
              <w:rPr>
                <w:rFonts w:cs="Times New Roman"/>
              </w:rPr>
            </w:pPr>
            <w:r>
              <w:rPr>
                <w:rFonts w:eastAsia="Arial Narrow" w:cs="Times New Roman"/>
                <w:color w:val="000000"/>
                <w:lang w:bidi="ar"/>
              </w:rPr>
              <w:t>832,000,000.00</w:t>
            </w:r>
          </w:p>
        </w:tc>
      </w:tr>
      <w:tr w14:paraId="5C6A71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424E1C2E">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分配股利、利润或偿付利息支付的现金</w:t>
            </w:r>
          </w:p>
        </w:tc>
        <w:tc>
          <w:tcPr>
            <w:tcW w:w="569" w:type="pct"/>
            <w:tcBorders>
              <w:top w:val="outset" w:color="auto" w:sz="4" w:space="0"/>
              <w:left w:val="outset" w:color="auto" w:sz="4" w:space="0"/>
              <w:bottom w:val="outset" w:color="auto" w:sz="4" w:space="0"/>
              <w:right w:val="outset" w:color="auto" w:sz="4" w:space="0"/>
            </w:tcBorders>
            <w:vAlign w:val="center"/>
          </w:tcPr>
          <w:p w14:paraId="4BCBCA66">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3EA37A99">
            <w:pPr>
              <w:jc w:val="right"/>
              <w:textAlignment w:val="bottom"/>
              <w:rPr>
                <w:rFonts w:cs="Times New Roman"/>
              </w:rPr>
            </w:pPr>
            <w:r>
              <w:rPr>
                <w:rFonts w:eastAsia="Arial Narrow" w:cs="Times New Roman"/>
                <w:color w:val="000000"/>
                <w:lang w:bidi="ar"/>
              </w:rPr>
              <w:t>44,793,760.27</w:t>
            </w:r>
          </w:p>
        </w:tc>
        <w:tc>
          <w:tcPr>
            <w:tcW w:w="1786" w:type="dxa"/>
            <w:tcBorders>
              <w:top w:val="outset" w:color="auto" w:sz="4" w:space="0"/>
              <w:left w:val="outset" w:color="auto" w:sz="4" w:space="0"/>
              <w:bottom w:val="outset" w:color="auto" w:sz="4" w:space="0"/>
              <w:right w:val="outset" w:color="auto" w:sz="4" w:space="0"/>
            </w:tcBorders>
            <w:vAlign w:val="bottom"/>
          </w:tcPr>
          <w:p w14:paraId="1BD01EF7">
            <w:pPr>
              <w:jc w:val="right"/>
              <w:textAlignment w:val="bottom"/>
              <w:rPr>
                <w:rFonts w:cs="Times New Roman"/>
              </w:rPr>
            </w:pPr>
            <w:r>
              <w:rPr>
                <w:rFonts w:eastAsia="Arial Narrow" w:cs="Times New Roman"/>
                <w:color w:val="000000"/>
                <w:lang w:bidi="ar"/>
              </w:rPr>
              <w:t>29,489,413.33</w:t>
            </w:r>
          </w:p>
        </w:tc>
      </w:tr>
      <w:tr w14:paraId="7FBC91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12F50CF0">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支付其他与筹资活动有关的现金</w:t>
            </w:r>
          </w:p>
        </w:tc>
        <w:tc>
          <w:tcPr>
            <w:tcW w:w="569" w:type="pct"/>
            <w:tcBorders>
              <w:top w:val="outset" w:color="auto" w:sz="4" w:space="0"/>
              <w:left w:val="outset" w:color="auto" w:sz="4" w:space="0"/>
              <w:bottom w:val="outset" w:color="auto" w:sz="4" w:space="0"/>
              <w:right w:val="outset" w:color="auto" w:sz="4" w:space="0"/>
            </w:tcBorders>
            <w:vAlign w:val="center"/>
          </w:tcPr>
          <w:p w14:paraId="75DC1D20">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564ABAB8">
            <w:pPr>
              <w:jc w:val="right"/>
              <w:textAlignment w:val="bottom"/>
              <w:rPr>
                <w:rFonts w:cs="Times New Roman"/>
              </w:rPr>
            </w:pPr>
            <w:r>
              <w:rPr>
                <w:rFonts w:eastAsia="Arial Narrow" w:cs="Times New Roman"/>
                <w:color w:val="000000"/>
                <w:lang w:bidi="ar"/>
              </w:rPr>
              <w:t>261,938,040.72</w:t>
            </w:r>
          </w:p>
        </w:tc>
        <w:tc>
          <w:tcPr>
            <w:tcW w:w="1786" w:type="dxa"/>
            <w:tcBorders>
              <w:top w:val="outset" w:color="auto" w:sz="4" w:space="0"/>
              <w:left w:val="outset" w:color="auto" w:sz="4" w:space="0"/>
              <w:bottom w:val="outset" w:color="auto" w:sz="4" w:space="0"/>
              <w:right w:val="outset" w:color="auto" w:sz="4" w:space="0"/>
            </w:tcBorders>
            <w:vAlign w:val="bottom"/>
          </w:tcPr>
          <w:p w14:paraId="4E9580BA">
            <w:pPr>
              <w:jc w:val="right"/>
              <w:textAlignment w:val="bottom"/>
              <w:rPr>
                <w:rFonts w:cs="Times New Roman"/>
              </w:rPr>
            </w:pPr>
            <w:r>
              <w:rPr>
                <w:rFonts w:eastAsia="Arial Narrow" w:cs="Times New Roman"/>
                <w:color w:val="000000"/>
                <w:lang w:bidi="ar"/>
              </w:rPr>
              <w:t>353,000,000.00</w:t>
            </w:r>
          </w:p>
        </w:tc>
      </w:tr>
      <w:tr w14:paraId="49B041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2A91691E">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筹资活动现金流出小计</w:t>
            </w:r>
          </w:p>
        </w:tc>
        <w:tc>
          <w:tcPr>
            <w:tcW w:w="569" w:type="pct"/>
            <w:tcBorders>
              <w:top w:val="outset" w:color="auto" w:sz="4" w:space="0"/>
              <w:left w:val="outset" w:color="auto" w:sz="4" w:space="0"/>
              <w:bottom w:val="outset" w:color="auto" w:sz="4" w:space="0"/>
              <w:right w:val="outset" w:color="auto" w:sz="4" w:space="0"/>
            </w:tcBorders>
            <w:vAlign w:val="center"/>
          </w:tcPr>
          <w:p w14:paraId="25CF3B59">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49928BF4">
            <w:pPr>
              <w:jc w:val="right"/>
              <w:textAlignment w:val="bottom"/>
              <w:rPr>
                <w:rFonts w:cs="Times New Roman"/>
              </w:rPr>
            </w:pPr>
            <w:r>
              <w:rPr>
                <w:rFonts w:eastAsia="Arial Narrow" w:cs="Times New Roman"/>
                <w:color w:val="000000"/>
                <w:lang w:bidi="ar"/>
              </w:rPr>
              <w:t>363,281,800.99</w:t>
            </w:r>
          </w:p>
        </w:tc>
        <w:tc>
          <w:tcPr>
            <w:tcW w:w="1786" w:type="dxa"/>
            <w:tcBorders>
              <w:top w:val="outset" w:color="auto" w:sz="4" w:space="0"/>
              <w:left w:val="outset" w:color="auto" w:sz="4" w:space="0"/>
              <w:bottom w:val="outset" w:color="auto" w:sz="4" w:space="0"/>
              <w:right w:val="outset" w:color="auto" w:sz="4" w:space="0"/>
            </w:tcBorders>
            <w:vAlign w:val="bottom"/>
          </w:tcPr>
          <w:p w14:paraId="23950E9E">
            <w:pPr>
              <w:jc w:val="right"/>
              <w:textAlignment w:val="bottom"/>
              <w:rPr>
                <w:rFonts w:cs="Times New Roman"/>
              </w:rPr>
            </w:pPr>
            <w:r>
              <w:rPr>
                <w:rFonts w:eastAsia="Arial Narrow" w:cs="Times New Roman"/>
                <w:color w:val="000000"/>
                <w:lang w:bidi="ar"/>
              </w:rPr>
              <w:t>1,214,489,413.33</w:t>
            </w:r>
          </w:p>
        </w:tc>
      </w:tr>
      <w:tr w14:paraId="7894CE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2E2444C8">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筹资活动产生的现金流量净额</w:t>
            </w:r>
          </w:p>
        </w:tc>
        <w:tc>
          <w:tcPr>
            <w:tcW w:w="569" w:type="pct"/>
            <w:tcBorders>
              <w:top w:val="outset" w:color="auto" w:sz="4" w:space="0"/>
              <w:left w:val="outset" w:color="auto" w:sz="4" w:space="0"/>
              <w:bottom w:val="outset" w:color="auto" w:sz="4" w:space="0"/>
              <w:right w:val="outset" w:color="auto" w:sz="4" w:space="0"/>
            </w:tcBorders>
            <w:vAlign w:val="center"/>
          </w:tcPr>
          <w:p w14:paraId="55A4E50A">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17DF296D">
            <w:pPr>
              <w:jc w:val="right"/>
              <w:textAlignment w:val="bottom"/>
              <w:rPr>
                <w:rFonts w:cs="Times New Roman"/>
              </w:rPr>
            </w:pPr>
            <w:r>
              <w:rPr>
                <w:rFonts w:eastAsia="Arial Narrow" w:cs="Times New Roman"/>
                <w:color w:val="000000"/>
                <w:lang w:bidi="ar"/>
              </w:rPr>
              <w:t>1,661,718,199.01</w:t>
            </w:r>
          </w:p>
        </w:tc>
        <w:tc>
          <w:tcPr>
            <w:tcW w:w="1786" w:type="dxa"/>
            <w:tcBorders>
              <w:top w:val="outset" w:color="auto" w:sz="4" w:space="0"/>
              <w:left w:val="outset" w:color="auto" w:sz="4" w:space="0"/>
              <w:bottom w:val="outset" w:color="auto" w:sz="4" w:space="0"/>
              <w:right w:val="outset" w:color="auto" w:sz="4" w:space="0"/>
            </w:tcBorders>
            <w:vAlign w:val="bottom"/>
          </w:tcPr>
          <w:p w14:paraId="3B801079">
            <w:pPr>
              <w:jc w:val="right"/>
              <w:textAlignment w:val="bottom"/>
              <w:rPr>
                <w:rFonts w:cs="Times New Roman"/>
              </w:rPr>
            </w:pPr>
            <w:r>
              <w:rPr>
                <w:rFonts w:eastAsia="Arial Narrow" w:cs="Times New Roman"/>
                <w:color w:val="000000"/>
                <w:lang w:bidi="ar"/>
              </w:rPr>
              <w:t>-879,489,413.33</w:t>
            </w:r>
          </w:p>
        </w:tc>
      </w:tr>
      <w:tr w14:paraId="4C4659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5D99CF0B">
            <w:pPr>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四、汇率变动对现金及现金等价物的影响</w:t>
            </w:r>
          </w:p>
        </w:tc>
        <w:tc>
          <w:tcPr>
            <w:tcW w:w="569" w:type="pct"/>
            <w:tcBorders>
              <w:top w:val="outset" w:color="auto" w:sz="4" w:space="0"/>
              <w:left w:val="outset" w:color="auto" w:sz="4" w:space="0"/>
              <w:bottom w:val="outset" w:color="auto" w:sz="4" w:space="0"/>
              <w:right w:val="outset" w:color="auto" w:sz="4" w:space="0"/>
            </w:tcBorders>
            <w:vAlign w:val="center"/>
          </w:tcPr>
          <w:p w14:paraId="17B652E1">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25DD0ACA">
            <w:pPr>
              <w:jc w:val="right"/>
              <w:rPr>
                <w:rFonts w:cs="Times New Roman"/>
              </w:rPr>
            </w:pPr>
          </w:p>
        </w:tc>
        <w:tc>
          <w:tcPr>
            <w:tcW w:w="1786" w:type="dxa"/>
            <w:tcBorders>
              <w:top w:val="outset" w:color="auto" w:sz="4" w:space="0"/>
              <w:left w:val="outset" w:color="auto" w:sz="4" w:space="0"/>
              <w:bottom w:val="outset" w:color="auto" w:sz="4" w:space="0"/>
              <w:right w:val="outset" w:color="auto" w:sz="4" w:space="0"/>
            </w:tcBorders>
            <w:vAlign w:val="bottom"/>
          </w:tcPr>
          <w:p w14:paraId="5A6FBB68">
            <w:pPr>
              <w:jc w:val="right"/>
              <w:rPr>
                <w:rFonts w:cs="Times New Roman"/>
              </w:rPr>
            </w:pPr>
          </w:p>
        </w:tc>
      </w:tr>
      <w:tr w14:paraId="0751AC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097CA320">
            <w:pPr>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五、现金及现金等价物净增加额</w:t>
            </w:r>
          </w:p>
        </w:tc>
        <w:tc>
          <w:tcPr>
            <w:tcW w:w="569" w:type="pct"/>
            <w:tcBorders>
              <w:top w:val="outset" w:color="auto" w:sz="4" w:space="0"/>
              <w:left w:val="outset" w:color="auto" w:sz="4" w:space="0"/>
              <w:bottom w:val="outset" w:color="auto" w:sz="4" w:space="0"/>
              <w:right w:val="outset" w:color="auto" w:sz="4" w:space="0"/>
            </w:tcBorders>
            <w:vAlign w:val="center"/>
          </w:tcPr>
          <w:p w14:paraId="7EA27B35">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12A0DC8C">
            <w:pPr>
              <w:jc w:val="right"/>
              <w:textAlignment w:val="bottom"/>
              <w:rPr>
                <w:rFonts w:cs="Times New Roman"/>
              </w:rPr>
            </w:pPr>
            <w:r>
              <w:rPr>
                <w:rFonts w:eastAsia="Arial Narrow" w:cs="Times New Roman"/>
                <w:color w:val="000000"/>
                <w:lang w:bidi="ar"/>
              </w:rPr>
              <w:t>1,297,285,333.54</w:t>
            </w:r>
          </w:p>
        </w:tc>
        <w:tc>
          <w:tcPr>
            <w:tcW w:w="1786" w:type="dxa"/>
            <w:tcBorders>
              <w:top w:val="outset" w:color="auto" w:sz="4" w:space="0"/>
              <w:left w:val="outset" w:color="auto" w:sz="4" w:space="0"/>
              <w:bottom w:val="outset" w:color="auto" w:sz="4" w:space="0"/>
              <w:right w:val="outset" w:color="auto" w:sz="4" w:space="0"/>
            </w:tcBorders>
            <w:vAlign w:val="bottom"/>
          </w:tcPr>
          <w:p w14:paraId="427552CE">
            <w:pPr>
              <w:jc w:val="right"/>
              <w:textAlignment w:val="bottom"/>
              <w:rPr>
                <w:rFonts w:cs="Times New Roman"/>
              </w:rPr>
            </w:pPr>
            <w:r>
              <w:rPr>
                <w:rFonts w:eastAsia="Arial Narrow" w:cs="Times New Roman"/>
                <w:color w:val="000000"/>
                <w:lang w:bidi="ar"/>
              </w:rPr>
              <w:t>-785,249,424.25</w:t>
            </w:r>
          </w:p>
        </w:tc>
      </w:tr>
      <w:tr w14:paraId="32A8A8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68EB491C">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加：期初现金及现金等价物余额</w:t>
            </w:r>
          </w:p>
        </w:tc>
        <w:tc>
          <w:tcPr>
            <w:tcW w:w="569" w:type="pct"/>
            <w:tcBorders>
              <w:top w:val="outset" w:color="auto" w:sz="4" w:space="0"/>
              <w:left w:val="outset" w:color="auto" w:sz="4" w:space="0"/>
              <w:bottom w:val="outset" w:color="auto" w:sz="4" w:space="0"/>
              <w:right w:val="outset" w:color="auto" w:sz="4" w:space="0"/>
            </w:tcBorders>
            <w:vAlign w:val="center"/>
          </w:tcPr>
          <w:p w14:paraId="6D0070A9">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03265957">
            <w:pPr>
              <w:jc w:val="right"/>
              <w:textAlignment w:val="bottom"/>
              <w:rPr>
                <w:rFonts w:cs="Times New Roman"/>
              </w:rPr>
            </w:pPr>
            <w:r>
              <w:rPr>
                <w:rFonts w:eastAsia="Arial Narrow" w:cs="Times New Roman"/>
                <w:color w:val="000000"/>
                <w:lang w:bidi="ar"/>
              </w:rPr>
              <w:t>1,936,480,869.63</w:t>
            </w:r>
          </w:p>
        </w:tc>
        <w:tc>
          <w:tcPr>
            <w:tcW w:w="1786" w:type="dxa"/>
            <w:tcBorders>
              <w:top w:val="outset" w:color="auto" w:sz="4" w:space="0"/>
              <w:left w:val="outset" w:color="auto" w:sz="4" w:space="0"/>
              <w:bottom w:val="outset" w:color="auto" w:sz="4" w:space="0"/>
              <w:right w:val="outset" w:color="auto" w:sz="4" w:space="0"/>
            </w:tcBorders>
            <w:vAlign w:val="bottom"/>
          </w:tcPr>
          <w:p w14:paraId="5E30BA97">
            <w:pPr>
              <w:jc w:val="right"/>
              <w:textAlignment w:val="bottom"/>
              <w:rPr>
                <w:rFonts w:cs="Times New Roman"/>
              </w:rPr>
            </w:pPr>
            <w:r>
              <w:rPr>
                <w:rFonts w:eastAsia="Arial Narrow" w:cs="Times New Roman"/>
                <w:color w:val="000000"/>
                <w:lang w:bidi="ar"/>
              </w:rPr>
              <w:t>3,026,644,117.34</w:t>
            </w:r>
          </w:p>
        </w:tc>
      </w:tr>
      <w:tr w14:paraId="28CA5C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59" w:type="pct"/>
            <w:tcBorders>
              <w:top w:val="outset" w:color="auto" w:sz="4" w:space="0"/>
              <w:left w:val="outset" w:color="auto" w:sz="4" w:space="0"/>
              <w:bottom w:val="outset" w:color="auto" w:sz="4" w:space="0"/>
              <w:right w:val="outset" w:color="auto" w:sz="4" w:space="0"/>
            </w:tcBorders>
            <w:vAlign w:val="center"/>
          </w:tcPr>
          <w:p w14:paraId="3F131462">
            <w:pPr>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六、期末现金及现金等价物余额</w:t>
            </w:r>
          </w:p>
        </w:tc>
        <w:tc>
          <w:tcPr>
            <w:tcW w:w="569" w:type="pct"/>
            <w:tcBorders>
              <w:top w:val="outset" w:color="auto" w:sz="4" w:space="0"/>
              <w:left w:val="outset" w:color="auto" w:sz="4" w:space="0"/>
              <w:bottom w:val="outset" w:color="auto" w:sz="4" w:space="0"/>
              <w:right w:val="outset" w:color="auto" w:sz="4" w:space="0"/>
            </w:tcBorders>
            <w:vAlign w:val="center"/>
          </w:tcPr>
          <w:p w14:paraId="3E40E0EE">
            <w:pPr>
              <w:pStyle w:val="55"/>
              <w:spacing w:after="0" w:line="240" w:lineRule="auto"/>
              <w:rPr>
                <w:rFonts w:cs="Times New Roman"/>
              </w:rPr>
            </w:pPr>
          </w:p>
        </w:tc>
        <w:tc>
          <w:tcPr>
            <w:tcW w:w="1602" w:type="dxa"/>
            <w:tcBorders>
              <w:top w:val="outset" w:color="auto" w:sz="4" w:space="0"/>
              <w:left w:val="outset" w:color="auto" w:sz="4" w:space="0"/>
              <w:bottom w:val="outset" w:color="auto" w:sz="4" w:space="0"/>
              <w:right w:val="outset" w:color="auto" w:sz="4" w:space="0"/>
            </w:tcBorders>
            <w:vAlign w:val="bottom"/>
          </w:tcPr>
          <w:p w14:paraId="505BFEF6">
            <w:pPr>
              <w:jc w:val="right"/>
              <w:textAlignment w:val="bottom"/>
              <w:rPr>
                <w:rFonts w:cs="Times New Roman"/>
              </w:rPr>
            </w:pPr>
            <w:r>
              <w:rPr>
                <w:rFonts w:eastAsia="Arial Narrow" w:cs="Times New Roman"/>
                <w:color w:val="000000"/>
                <w:lang w:bidi="ar"/>
              </w:rPr>
              <w:t>3,233,766,203.17</w:t>
            </w:r>
          </w:p>
        </w:tc>
        <w:tc>
          <w:tcPr>
            <w:tcW w:w="1786" w:type="dxa"/>
            <w:tcBorders>
              <w:top w:val="outset" w:color="auto" w:sz="4" w:space="0"/>
              <w:left w:val="outset" w:color="auto" w:sz="4" w:space="0"/>
              <w:bottom w:val="outset" w:color="auto" w:sz="4" w:space="0"/>
              <w:right w:val="outset" w:color="auto" w:sz="4" w:space="0"/>
            </w:tcBorders>
            <w:vAlign w:val="bottom"/>
          </w:tcPr>
          <w:p w14:paraId="0FA31F4E">
            <w:pPr>
              <w:jc w:val="right"/>
              <w:textAlignment w:val="bottom"/>
              <w:rPr>
                <w:rFonts w:cs="Times New Roman"/>
              </w:rPr>
            </w:pPr>
            <w:r>
              <w:rPr>
                <w:rFonts w:eastAsia="Arial Narrow" w:cs="Times New Roman"/>
                <w:color w:val="000000"/>
                <w:lang w:bidi="ar"/>
              </w:rPr>
              <w:t>2,241,394,693.09</w:t>
            </w:r>
          </w:p>
        </w:tc>
      </w:tr>
    </w:tbl>
    <w:p w14:paraId="5BA695CB">
      <w:pPr>
        <w:snapToGrid w:val="0"/>
        <w:spacing w:line="240" w:lineRule="atLeast"/>
        <w:ind w:right="-153" w:rightChars="-73"/>
        <w:rPr>
          <w:color w:val="000000" w:themeColor="text1"/>
          <w14:textFill>
            <w14:solidFill>
              <w14:schemeClr w14:val="tx1"/>
            </w14:solidFill>
          </w14:textFill>
        </w:rPr>
      </w:pPr>
    </w:p>
    <w:p w14:paraId="79E429CF">
      <w:pPr>
        <w:snapToGrid w:val="0"/>
        <w:spacing w:line="240" w:lineRule="atLeast"/>
        <w:ind w:right="-153" w:rightChars="-73"/>
        <w:rPr>
          <w:b/>
          <w:bCs w:val="0"/>
          <w:color w:val="000000" w:themeColor="text1"/>
          <w14:textFill>
            <w14:solidFill>
              <w14:schemeClr w14:val="tx1"/>
            </w14:solidFill>
          </w14:textFill>
        </w:rPr>
      </w:pPr>
      <w:r>
        <w:rPr>
          <w:color w:val="000000" w:themeColor="text1"/>
          <w14:textFill>
            <w14:solidFill>
              <w14:schemeClr w14:val="tx1"/>
            </w14:solidFill>
          </w14:textFill>
        </w:rPr>
        <w:t>公司负责人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公司负责人"/>
          <w:tag w:val="_GBC_b872f4b10a12453987b2d73dfe2a5ff9"/>
          <w:id w:val="147454717"/>
          <w:placeholder>
            <w:docPart w:val="GBC22222222222222222222222222222"/>
          </w:placeholder>
          <w:dataBinding w:prefixMappings="xmlns:clcid-mr='clcid-mr'" w:xpath="/*/clcid-mr:GongSi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夏前军</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主管会计工作负责人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主管会计工作负责人姓名"/>
          <w:tag w:val="_GBC_29443dd8858043c68f8217b05d1e3346"/>
          <w:id w:val="147475716"/>
          <w:placeholder>
            <w:docPart w:val="GBC22222222222222222222222222222"/>
          </w:placeholder>
          <w:dataBinding w:prefixMappings="xmlns:clcid-mr='clcid-mr'" w:xpath="/*/clcid-mr:ZhuGuanKuaiJiGongZuo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刘改平</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会计机构负责人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会计机构负责人姓名"/>
          <w:tag w:val="_GBC_952065710c0f41709539d877935c1903"/>
          <w:id w:val="147463418"/>
          <w:placeholder>
            <w:docPart w:val="GBC22222222222222222222222222222"/>
          </w:placeholder>
          <w:dataBinding w:prefixMappings="xmlns:clcid-mr='clcid-mr'" w:xpath="/*/clcid-mr:KuaiJiJiGou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冯晓</w:t>
          </w:r>
        </w:sdtContent>
      </w:sdt>
    </w:p>
    <w:p w14:paraId="79ACECCA">
      <w:pPr>
        <w:rPr>
          <w:b/>
          <w:bCs w:val="0"/>
          <w:color w:val="000000" w:themeColor="text1"/>
          <w14:textFill>
            <w14:solidFill>
              <w14:schemeClr w14:val="tx1"/>
            </w14:solidFill>
          </w14:textFill>
        </w:rPr>
      </w:pPr>
    </w:p>
    <w:bookmarkEnd w:id="154"/>
    <w:p w14:paraId="27CE4F4C">
      <w:pPr>
        <w:rPr>
          <w:color w:val="000000" w:themeColor="text1"/>
          <w14:textFill>
            <w14:solidFill>
              <w14:schemeClr w14:val="tx1"/>
            </w14:solidFill>
          </w14:textFill>
        </w:rPr>
        <w:sectPr>
          <w:pgSz w:w="11906" w:h="16838"/>
          <w:pgMar w:top="1525" w:right="1276" w:bottom="1440" w:left="1797" w:header="851" w:footer="992" w:gutter="0"/>
          <w:cols w:space="425" w:num="1"/>
          <w:docGrid w:linePitch="312" w:charSpace="0"/>
        </w:sectPr>
      </w:pPr>
      <w:bookmarkStart w:id="155" w:name="_Hlk10211660"/>
      <w:bookmarkEnd w:id="155"/>
    </w:p>
    <w:p w14:paraId="0856619F">
      <w:pPr>
        <w:pStyle w:val="57"/>
        <w:jc w:val="center"/>
        <w:rPr>
          <w:rFonts w:ascii="宋体" w:hAnsi="宋体"/>
          <w:color w:val="000000" w:themeColor="text1"/>
          <w14:textFill>
            <w14:solidFill>
              <w14:schemeClr w14:val="tx1"/>
            </w14:solidFill>
          </w14:textFill>
        </w:rPr>
      </w:pPr>
      <w:bookmarkStart w:id="156" w:name="_Hlk10211858"/>
      <w:r>
        <w:rPr>
          <w:rFonts w:ascii="宋体" w:hAnsi="宋体"/>
          <w:color w:val="000000" w:themeColor="text1"/>
          <w14:textFill>
            <w14:solidFill>
              <w14:schemeClr w14:val="tx1"/>
            </w14:solidFill>
          </w14:textFill>
        </w:rPr>
        <w:t>合并</w:t>
      </w:r>
      <w:r>
        <w:rPr>
          <w:rFonts w:hint="eastAsia" w:ascii="宋体" w:hAnsi="宋体"/>
          <w:color w:val="000000" w:themeColor="text1"/>
          <w14:textFill>
            <w14:solidFill>
              <w14:schemeClr w14:val="tx1"/>
            </w14:solidFill>
          </w14:textFill>
        </w:rPr>
        <w:t>所有者权益变动表</w:t>
      </w:r>
    </w:p>
    <w:p w14:paraId="0E296EE9">
      <w:pPr>
        <w:tabs>
          <w:tab w:val="left" w:pos="10080"/>
        </w:tabs>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2025年</w:t>
      </w:r>
      <w:r>
        <w:rPr>
          <w:rFonts w:hint="eastAsia"/>
          <w:color w:val="000000" w:themeColor="text1"/>
          <w14:textFill>
            <w14:solidFill>
              <w14:schemeClr w14:val="tx1"/>
            </w14:solidFill>
          </w14:textFill>
        </w:rPr>
        <w:t>1—6月</w:t>
      </w:r>
    </w:p>
    <w:p w14:paraId="73AF6AA6">
      <w:pPr>
        <w:tabs>
          <w:tab w:val="left" w:pos="10080"/>
        </w:tabs>
        <w:snapToGrid w:val="0"/>
        <w:spacing w:line="240" w:lineRule="atLeast"/>
        <w:jc w:val="right"/>
        <w:rPr>
          <w:color w:val="000000" w:themeColor="text1"/>
          <w14:textFill>
            <w14:solidFill>
              <w14:schemeClr w14:val="tx1"/>
            </w14:solidFill>
          </w14:textFill>
        </w:rPr>
      </w:pPr>
      <w:r>
        <w:rPr>
          <w:color w:val="000000" w:themeColor="text1"/>
          <w14:textFill>
            <w14:solidFill>
              <w14:schemeClr w14:val="tx1"/>
            </w14:solidFill>
          </w14:textFill>
        </w:rPr>
        <w:t>单位：</w:t>
      </w:r>
      <w:sdt>
        <w:sdtPr>
          <w:rPr>
            <w:color w:val="000000" w:themeColor="text1"/>
            <w14:textFill>
              <w14:solidFill>
                <w14:schemeClr w14:val="tx1"/>
              </w14:solidFill>
            </w14:textFill>
          </w:rPr>
          <w:alias w:val="单位：合并股东权益调节表"/>
          <w:tag w:val="_GBC_57faea4e453e49ad93821b7dd6ce8bc4"/>
          <w:id w:val="1474714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color w:val="000000" w:themeColor="text1"/>
          <w14:textFill>
            <w14:solidFill>
              <w14:schemeClr w14:val="tx1"/>
            </w14:solidFill>
          </w14:textFill>
        </w:rPr>
        <w:t xml:space="preserve">  币种：</w:t>
      </w:r>
      <w:sdt>
        <w:sdtPr>
          <w:rPr>
            <w:color w:val="000000" w:themeColor="text1"/>
            <w14:textFill>
              <w14:solidFill>
                <w14:schemeClr w14:val="tx1"/>
              </w14:solidFill>
            </w14:textFill>
          </w:rPr>
          <w:alias w:val="币种：合并股东权益调节表"/>
          <w:tag w:val="_GBC_cef77704267643d794145c73763360e5"/>
          <w:id w:val="1474751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人民币</w:t>
          </w:r>
        </w:sdtContent>
      </w:sdt>
    </w:p>
    <w:tbl>
      <w:tblPr>
        <w:tblStyle w:val="3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9"/>
        <w:gridCol w:w="1452"/>
        <w:gridCol w:w="1211"/>
        <w:gridCol w:w="1135"/>
        <w:gridCol w:w="1329"/>
        <w:gridCol w:w="1208"/>
        <w:gridCol w:w="1178"/>
        <w:gridCol w:w="1254"/>
        <w:gridCol w:w="1218"/>
        <w:gridCol w:w="1431"/>
      </w:tblGrid>
      <w:tr w14:paraId="12B92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pct"/>
            <w:vMerge w:val="restart"/>
            <w:vAlign w:val="center"/>
          </w:tcPr>
          <w:sdt>
            <w:sdtPr>
              <w:tag w:val="_PLD_5bd68ed5796041328d1a003c1362ceaf"/>
              <w:id w:val="147474130"/>
            </w:sdtPr>
            <w:sdtContent>
              <w:p w14:paraId="4A57369A">
                <w:pPr>
                  <w:snapToGrid w:val="0"/>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项目</w:t>
                </w:r>
              </w:p>
            </w:sdtContent>
          </w:sdt>
        </w:tc>
        <w:tc>
          <w:tcPr>
            <w:tcW w:w="4052" w:type="pct"/>
            <w:gridSpan w:val="9"/>
            <w:vAlign w:val="center"/>
          </w:tcPr>
          <w:p w14:paraId="67A80824">
            <w:pPr>
              <w:snapToGrid w:val="0"/>
              <w:spacing w:line="240" w:lineRule="atLeast"/>
              <w:ind w:right="-1594" w:rightChars="-759"/>
              <w:jc w:val="center"/>
              <w:rPr>
                <w:color w:val="000000" w:themeColor="text1"/>
                <w14:textFill>
                  <w14:solidFill>
                    <w14:schemeClr w14:val="tx1"/>
                  </w14:solidFill>
                </w14:textFill>
              </w:rPr>
            </w:pPr>
            <w:sdt>
              <w:sdtPr>
                <w:tag w:val="_PLD_70c71cd0427542b1b96a0fa943173d3d"/>
                <w:id w:val="147477454"/>
              </w:sdtPr>
              <w:sdtContent>
                <w:r>
                  <w:rPr>
                    <w:rFonts w:hint="eastAsia"/>
                    <w:color w:val="000000" w:themeColor="text1"/>
                    <w:sz w:val="18"/>
                    <w:szCs w:val="18"/>
                    <w14:textFill>
                      <w14:solidFill>
                        <w14:schemeClr w14:val="tx1"/>
                      </w14:solidFill>
                    </w14:textFill>
                  </w:rPr>
                  <w:t>2025年半年度</w:t>
                </w:r>
              </w:sdtContent>
            </w:sdt>
          </w:p>
        </w:tc>
      </w:tr>
      <w:tr w14:paraId="7708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47" w:type="pct"/>
            <w:vMerge w:val="continue"/>
            <w:vAlign w:val="center"/>
          </w:tcPr>
          <w:p w14:paraId="00845346">
            <w:pPr>
              <w:snapToGrid w:val="0"/>
              <w:spacing w:line="240" w:lineRule="atLeast"/>
              <w:ind w:right="-1594" w:rightChars="-759"/>
              <w:rPr>
                <w:color w:val="000000" w:themeColor="text1"/>
                <w:sz w:val="18"/>
                <w:szCs w:val="18"/>
                <w14:textFill>
                  <w14:solidFill>
                    <w14:schemeClr w14:val="tx1"/>
                  </w14:solidFill>
                </w14:textFill>
              </w:rPr>
            </w:pPr>
          </w:p>
        </w:tc>
        <w:sdt>
          <w:sdtPr>
            <w:tag w:val="_PLD_e146ec74496c4c03a714dcef40faa972"/>
            <w:id w:val="147458326"/>
          </w:sdtPr>
          <w:sdtContent>
            <w:tc>
              <w:tcPr>
                <w:tcW w:w="3112" w:type="pct"/>
                <w:gridSpan w:val="7"/>
                <w:vAlign w:val="center"/>
              </w:tcPr>
              <w:p w14:paraId="3422BF93">
                <w:pPr>
                  <w:jc w:val="center"/>
                  <w:rPr>
                    <w:color w:val="000000" w:themeColor="text1"/>
                    <w14:textFill>
                      <w14:solidFill>
                        <w14:schemeClr w14:val="tx1"/>
                      </w14:solidFill>
                    </w14:textFill>
                  </w:rPr>
                </w:pPr>
                <w:r>
                  <w:rPr>
                    <w:color w:val="000000" w:themeColor="text1"/>
                    <w:sz w:val="18"/>
                    <w:szCs w:val="18"/>
                    <w14:textFill>
                      <w14:solidFill>
                        <w14:schemeClr w14:val="tx1"/>
                      </w14:solidFill>
                    </w14:textFill>
                  </w:rPr>
                  <w:t>归属于母公司所有者权益</w:t>
                </w:r>
              </w:p>
            </w:tc>
          </w:sdtContent>
        </w:sdt>
        <w:sdt>
          <w:sdtPr>
            <w:tag w:val="_PLD_b1ca85c50c1341e59b4b412e92d87f2f"/>
            <w:id w:val="147454166"/>
          </w:sdtPr>
          <w:sdtContent>
            <w:tc>
              <w:tcPr>
                <w:tcW w:w="432" w:type="pct"/>
                <w:vMerge w:val="restart"/>
                <w:vAlign w:val="center"/>
              </w:tcPr>
              <w:p w14:paraId="0A712A48">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少数股东</w:t>
                </w:r>
              </w:p>
              <w:p w14:paraId="0455E74F">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权益</w:t>
                </w:r>
              </w:p>
            </w:tc>
          </w:sdtContent>
        </w:sdt>
        <w:sdt>
          <w:sdtPr>
            <w:tag w:val="_PLD_0e252e0d00f04386b93d4e3064ba423d"/>
            <w:id w:val="147475929"/>
          </w:sdtPr>
          <w:sdtContent>
            <w:tc>
              <w:tcPr>
                <w:tcW w:w="507" w:type="pct"/>
                <w:vMerge w:val="restart"/>
                <w:vAlign w:val="center"/>
              </w:tcPr>
              <w:p w14:paraId="06C46E7E">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所有者权益</w:t>
                </w:r>
              </w:p>
              <w:p w14:paraId="1138FF6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合计</w:t>
                </w:r>
              </w:p>
            </w:tc>
          </w:sdtContent>
        </w:sdt>
      </w:tr>
      <w:tr w14:paraId="3E38B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947" w:type="pct"/>
            <w:vMerge w:val="continue"/>
            <w:vAlign w:val="center"/>
          </w:tcPr>
          <w:p w14:paraId="73DB986E">
            <w:pPr>
              <w:snapToGrid w:val="0"/>
              <w:spacing w:line="240" w:lineRule="atLeast"/>
              <w:ind w:right="-1594" w:rightChars="-759"/>
              <w:rPr>
                <w:color w:val="000000" w:themeColor="text1"/>
                <w:sz w:val="18"/>
                <w:szCs w:val="18"/>
                <w14:textFill>
                  <w14:solidFill>
                    <w14:schemeClr w14:val="tx1"/>
                  </w14:solidFill>
                </w14:textFill>
              </w:rPr>
            </w:pPr>
          </w:p>
        </w:tc>
        <w:sdt>
          <w:sdtPr>
            <w:tag w:val="_PLD_1605afb5a60946a9ba86cca783d492d3"/>
            <w:id w:val="147466454"/>
          </w:sdtPr>
          <w:sdtContent>
            <w:tc>
              <w:tcPr>
                <w:tcW w:w="515" w:type="pct"/>
                <w:vAlign w:val="center"/>
              </w:tcPr>
              <w:p w14:paraId="3A16BC9E">
                <w:pPr>
                  <w:snapToGrid w:val="0"/>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实收资本</w:t>
                </w:r>
                <w:r>
                  <w:rPr>
                    <w:color w:val="000000" w:themeColor="text1"/>
                    <w:sz w:val="18"/>
                    <w:szCs w:val="18"/>
                    <w14:textFill>
                      <w14:solidFill>
                        <w14:schemeClr w14:val="tx1"/>
                      </w14:solidFill>
                    </w14:textFill>
                  </w:rPr>
                  <w:t xml:space="preserve"> (或股本)</w:t>
                </w:r>
              </w:p>
            </w:tc>
          </w:sdtContent>
        </w:sdt>
        <w:sdt>
          <w:sdtPr>
            <w:tag w:val="_PLD_f67d05ac9f6f4daaafdf90084911dcee"/>
            <w:id w:val="147453278"/>
          </w:sdtPr>
          <w:sdtContent>
            <w:tc>
              <w:tcPr>
                <w:tcW w:w="430" w:type="pct"/>
                <w:vAlign w:val="center"/>
              </w:tcPr>
              <w:p w14:paraId="725301CD">
                <w:pPr>
                  <w:snapToGrid w:val="0"/>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资本公积</w:t>
                </w:r>
              </w:p>
            </w:tc>
          </w:sdtContent>
        </w:sdt>
        <w:sdt>
          <w:sdtPr>
            <w:tag w:val="_PLD_21df11f52b3443acacf7dd8421b5cc67"/>
            <w:id w:val="147453081"/>
          </w:sdtPr>
          <w:sdtContent>
            <w:tc>
              <w:tcPr>
                <w:tcW w:w="403" w:type="pct"/>
                <w:vAlign w:val="center"/>
              </w:tcPr>
              <w:p w14:paraId="55FA7819">
                <w:pPr>
                  <w:snapToGrid w:val="0"/>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减：库存股</w:t>
                </w:r>
              </w:p>
            </w:tc>
          </w:sdtContent>
        </w:sdt>
        <w:sdt>
          <w:sdtPr>
            <w:tag w:val="_PLD_bdc12fd277ea4fbe9c90f9480d9ecddb"/>
            <w:id w:val="147460224"/>
          </w:sdtPr>
          <w:sdtContent>
            <w:tc>
              <w:tcPr>
                <w:tcW w:w="472" w:type="pct"/>
                <w:vAlign w:val="center"/>
              </w:tcPr>
              <w:p w14:paraId="34052CC7">
                <w:pPr>
                  <w:snapToGrid w:val="0"/>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其他综合收益</w:t>
                </w:r>
              </w:p>
            </w:tc>
          </w:sdtContent>
        </w:sdt>
        <w:sdt>
          <w:sdtPr>
            <w:tag w:val="_PLD_1ee8f47ee38e4000af64e781a1a0e729"/>
            <w:id w:val="147478485"/>
          </w:sdtPr>
          <w:sdtContent>
            <w:tc>
              <w:tcPr>
                <w:tcW w:w="429" w:type="pct"/>
                <w:vAlign w:val="center"/>
              </w:tcPr>
              <w:p w14:paraId="09D27A1A">
                <w:pPr>
                  <w:snapToGrid w:val="0"/>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盈余公积</w:t>
                </w:r>
              </w:p>
            </w:tc>
          </w:sdtContent>
        </w:sdt>
        <w:sdt>
          <w:sdtPr>
            <w:tag w:val="_PLD_f20054bead0a491aafe7bb5a5952f48f"/>
            <w:id w:val="147470668"/>
          </w:sdtPr>
          <w:sdtContent>
            <w:tc>
              <w:tcPr>
                <w:tcW w:w="418" w:type="pct"/>
                <w:vAlign w:val="center"/>
              </w:tcPr>
              <w:p w14:paraId="1415AB1E">
                <w:pPr>
                  <w:snapToGrid w:val="0"/>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未分配利润</w:t>
                </w:r>
              </w:p>
            </w:tc>
          </w:sdtContent>
        </w:sdt>
        <w:tc>
          <w:tcPr>
            <w:tcW w:w="442" w:type="pct"/>
            <w:vAlign w:val="center"/>
          </w:tcPr>
          <w:sdt>
            <w:sdtPr>
              <w:tag w:val="_PLD_97c92cf2be1e4f36880a16a2c16704b4"/>
              <w:id w:val="147461334"/>
            </w:sdtPr>
            <w:sdtContent>
              <w:p w14:paraId="496DEED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小计</w:t>
                </w:r>
              </w:p>
            </w:sdtContent>
          </w:sdt>
        </w:tc>
        <w:tc>
          <w:tcPr>
            <w:tcW w:w="432" w:type="pct"/>
            <w:vMerge w:val="continue"/>
            <w:vAlign w:val="center"/>
          </w:tcPr>
          <w:p w14:paraId="71495CBB">
            <w:pPr>
              <w:jc w:val="center"/>
              <w:rPr>
                <w:color w:val="000000" w:themeColor="text1"/>
                <w:sz w:val="18"/>
                <w:szCs w:val="18"/>
                <w14:textFill>
                  <w14:solidFill>
                    <w14:schemeClr w14:val="tx1"/>
                  </w14:solidFill>
                </w14:textFill>
              </w:rPr>
            </w:pPr>
          </w:p>
        </w:tc>
        <w:tc>
          <w:tcPr>
            <w:tcW w:w="507" w:type="pct"/>
            <w:vMerge w:val="continue"/>
            <w:vAlign w:val="center"/>
          </w:tcPr>
          <w:p w14:paraId="1987C7DE">
            <w:pPr>
              <w:jc w:val="center"/>
              <w:rPr>
                <w:color w:val="000000" w:themeColor="text1"/>
                <w:sz w:val="18"/>
                <w:szCs w:val="18"/>
                <w14:textFill>
                  <w14:solidFill>
                    <w14:schemeClr w14:val="tx1"/>
                  </w14:solidFill>
                </w14:textFill>
              </w:rPr>
            </w:pPr>
          </w:p>
        </w:tc>
      </w:tr>
      <w:tr w14:paraId="1ED3E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f22f69e67ea4292afb08dec65f863c7"/>
            <w:id w:val="147476346"/>
          </w:sdtPr>
          <w:sdtContent>
            <w:tc>
              <w:tcPr>
                <w:tcW w:w="947" w:type="pct"/>
                <w:vAlign w:val="center"/>
              </w:tcPr>
              <w:p w14:paraId="120EB082">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一、上年</w:t>
                </w:r>
                <w:r>
                  <w:rPr>
                    <w:rFonts w:hint="eastAsia"/>
                    <w:color w:val="000000" w:themeColor="text1"/>
                    <w:sz w:val="18"/>
                    <w:szCs w:val="18"/>
                    <w14:textFill>
                      <w14:solidFill>
                        <w14:schemeClr w14:val="tx1"/>
                      </w14:solidFill>
                    </w14:textFill>
                  </w:rPr>
                  <w:t>期</w:t>
                </w:r>
                <w:r>
                  <w:rPr>
                    <w:color w:val="000000" w:themeColor="text1"/>
                    <w:sz w:val="18"/>
                    <w:szCs w:val="18"/>
                    <w14:textFill>
                      <w14:solidFill>
                        <w14:schemeClr w14:val="tx1"/>
                      </w14:solidFill>
                    </w14:textFill>
                  </w:rPr>
                  <w:t>末余额</w:t>
                </w:r>
              </w:p>
            </w:tc>
          </w:sdtContent>
        </w:sdt>
        <w:tc>
          <w:tcPr>
            <w:tcW w:w="515" w:type="pct"/>
            <w:vAlign w:val="center"/>
          </w:tcPr>
          <w:p w14:paraId="22271BB6">
            <w:pPr>
              <w:jc w:val="right"/>
              <w:textAlignment w:val="bottom"/>
              <w:rPr>
                <w:rFonts w:cs="Times New Roman"/>
                <w:sz w:val="13"/>
                <w:szCs w:val="13"/>
              </w:rPr>
            </w:pPr>
            <w:r>
              <w:rPr>
                <w:rFonts w:eastAsia="Arial Narrow" w:cs="Times New Roman"/>
                <w:color w:val="000000"/>
                <w:sz w:val="13"/>
                <w:szCs w:val="13"/>
                <w:lang w:bidi="ar"/>
              </w:rPr>
              <w:t>4,391,629,404.00</w:t>
            </w:r>
          </w:p>
        </w:tc>
        <w:tc>
          <w:tcPr>
            <w:tcW w:w="430" w:type="pct"/>
            <w:vAlign w:val="center"/>
          </w:tcPr>
          <w:p w14:paraId="0EAB4CEA">
            <w:pPr>
              <w:jc w:val="right"/>
              <w:textAlignment w:val="bottom"/>
              <w:rPr>
                <w:rFonts w:cs="Times New Roman"/>
                <w:sz w:val="13"/>
                <w:szCs w:val="13"/>
              </w:rPr>
            </w:pPr>
            <w:r>
              <w:rPr>
                <w:rFonts w:eastAsia="Arial Narrow" w:cs="Times New Roman"/>
                <w:color w:val="000000"/>
                <w:sz w:val="13"/>
                <w:szCs w:val="13"/>
                <w:lang w:bidi="ar"/>
              </w:rPr>
              <w:t>8,067,766,137.08</w:t>
            </w:r>
          </w:p>
        </w:tc>
        <w:tc>
          <w:tcPr>
            <w:tcW w:w="403" w:type="pct"/>
            <w:vAlign w:val="center"/>
          </w:tcPr>
          <w:p w14:paraId="60D7D11E">
            <w:pPr>
              <w:jc w:val="right"/>
              <w:rPr>
                <w:rFonts w:cs="Times New Roman"/>
                <w:sz w:val="13"/>
                <w:szCs w:val="13"/>
              </w:rPr>
            </w:pPr>
          </w:p>
        </w:tc>
        <w:tc>
          <w:tcPr>
            <w:tcW w:w="472" w:type="pct"/>
            <w:vAlign w:val="center"/>
          </w:tcPr>
          <w:p w14:paraId="468EC909">
            <w:pPr>
              <w:jc w:val="right"/>
              <w:textAlignment w:val="bottom"/>
              <w:rPr>
                <w:rFonts w:cs="Times New Roman"/>
                <w:sz w:val="13"/>
                <w:szCs w:val="13"/>
              </w:rPr>
            </w:pPr>
            <w:r>
              <w:rPr>
                <w:rFonts w:eastAsia="Arial Narrow" w:cs="Times New Roman"/>
                <w:color w:val="000000"/>
                <w:sz w:val="13"/>
                <w:szCs w:val="13"/>
                <w:lang w:bidi="ar"/>
              </w:rPr>
              <w:t>-318,634,689.43</w:t>
            </w:r>
          </w:p>
        </w:tc>
        <w:tc>
          <w:tcPr>
            <w:tcW w:w="429" w:type="pct"/>
            <w:vAlign w:val="center"/>
          </w:tcPr>
          <w:p w14:paraId="582C83D2">
            <w:pPr>
              <w:jc w:val="right"/>
              <w:textAlignment w:val="bottom"/>
              <w:rPr>
                <w:rFonts w:cs="Times New Roman"/>
                <w:sz w:val="13"/>
                <w:szCs w:val="13"/>
              </w:rPr>
            </w:pPr>
            <w:r>
              <w:rPr>
                <w:rFonts w:eastAsia="Arial Narrow" w:cs="Times New Roman"/>
                <w:color w:val="000000"/>
                <w:sz w:val="13"/>
                <w:szCs w:val="13"/>
                <w:lang w:bidi="ar"/>
              </w:rPr>
              <w:t>369,677,423.82</w:t>
            </w:r>
          </w:p>
        </w:tc>
        <w:tc>
          <w:tcPr>
            <w:tcW w:w="418" w:type="pct"/>
            <w:vAlign w:val="center"/>
          </w:tcPr>
          <w:p w14:paraId="214B3D98">
            <w:pPr>
              <w:jc w:val="right"/>
              <w:textAlignment w:val="bottom"/>
              <w:rPr>
                <w:rFonts w:cs="Times New Roman"/>
                <w:sz w:val="13"/>
                <w:szCs w:val="13"/>
              </w:rPr>
            </w:pPr>
            <w:r>
              <w:rPr>
                <w:rFonts w:eastAsia="Arial Narrow" w:cs="Times New Roman"/>
                <w:color w:val="000000"/>
                <w:sz w:val="13"/>
                <w:szCs w:val="13"/>
                <w:lang w:bidi="ar"/>
              </w:rPr>
              <w:t>103,250,332.59</w:t>
            </w:r>
          </w:p>
        </w:tc>
        <w:tc>
          <w:tcPr>
            <w:tcW w:w="442" w:type="pct"/>
            <w:vAlign w:val="center"/>
          </w:tcPr>
          <w:p w14:paraId="5D727AC8">
            <w:pPr>
              <w:jc w:val="right"/>
              <w:textAlignment w:val="bottom"/>
              <w:rPr>
                <w:rFonts w:cs="Times New Roman"/>
                <w:sz w:val="13"/>
                <w:szCs w:val="13"/>
              </w:rPr>
            </w:pPr>
            <w:r>
              <w:rPr>
                <w:rFonts w:eastAsia="Arial Narrow" w:cs="Times New Roman"/>
                <w:color w:val="000000"/>
                <w:sz w:val="13"/>
                <w:szCs w:val="13"/>
                <w:lang w:bidi="ar"/>
              </w:rPr>
              <w:t>12,613,688,608.06</w:t>
            </w:r>
          </w:p>
        </w:tc>
        <w:tc>
          <w:tcPr>
            <w:tcW w:w="432" w:type="pct"/>
            <w:vAlign w:val="center"/>
          </w:tcPr>
          <w:p w14:paraId="6920405A">
            <w:pPr>
              <w:jc w:val="right"/>
              <w:textAlignment w:val="bottom"/>
              <w:rPr>
                <w:rFonts w:cs="Times New Roman"/>
                <w:sz w:val="13"/>
                <w:szCs w:val="13"/>
              </w:rPr>
            </w:pPr>
            <w:r>
              <w:rPr>
                <w:rFonts w:eastAsia="Arial Narrow" w:cs="Times New Roman"/>
                <w:color w:val="000000"/>
                <w:sz w:val="13"/>
                <w:szCs w:val="13"/>
                <w:lang w:bidi="ar"/>
              </w:rPr>
              <w:t>-98,740,594.34</w:t>
            </w:r>
          </w:p>
        </w:tc>
        <w:tc>
          <w:tcPr>
            <w:tcW w:w="507" w:type="pct"/>
            <w:vAlign w:val="center"/>
          </w:tcPr>
          <w:p w14:paraId="2867FF2E">
            <w:pPr>
              <w:jc w:val="right"/>
              <w:textAlignment w:val="bottom"/>
              <w:rPr>
                <w:rFonts w:cs="Times New Roman"/>
                <w:sz w:val="13"/>
                <w:szCs w:val="13"/>
              </w:rPr>
            </w:pPr>
            <w:r>
              <w:rPr>
                <w:rFonts w:eastAsia="Arial Narrow" w:cs="Times New Roman"/>
                <w:color w:val="000000"/>
                <w:sz w:val="13"/>
                <w:szCs w:val="13"/>
                <w:lang w:bidi="ar"/>
              </w:rPr>
              <w:t>12,514,948,013.72</w:t>
            </w:r>
          </w:p>
        </w:tc>
      </w:tr>
      <w:tr w14:paraId="2CD00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6d601e73dc14990b60ca53acf1371ba"/>
            <w:id w:val="147460253"/>
          </w:sdtPr>
          <w:sdtContent>
            <w:tc>
              <w:tcPr>
                <w:tcW w:w="947" w:type="pct"/>
                <w:vAlign w:val="center"/>
              </w:tcPr>
              <w:p w14:paraId="007D87CA">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二、本年</w:t>
                </w:r>
                <w:r>
                  <w:rPr>
                    <w:rFonts w:hint="eastAsia"/>
                    <w:color w:val="000000" w:themeColor="text1"/>
                    <w:sz w:val="18"/>
                    <w:szCs w:val="18"/>
                    <w14:textFill>
                      <w14:solidFill>
                        <w14:schemeClr w14:val="tx1"/>
                      </w14:solidFill>
                    </w14:textFill>
                  </w:rPr>
                  <w:t>期</w:t>
                </w:r>
                <w:r>
                  <w:rPr>
                    <w:color w:val="000000" w:themeColor="text1"/>
                    <w:sz w:val="18"/>
                    <w:szCs w:val="18"/>
                    <w14:textFill>
                      <w14:solidFill>
                        <w14:schemeClr w14:val="tx1"/>
                      </w14:solidFill>
                    </w14:textFill>
                  </w:rPr>
                  <w:t>初余额</w:t>
                </w:r>
              </w:p>
            </w:tc>
          </w:sdtContent>
        </w:sdt>
        <w:tc>
          <w:tcPr>
            <w:tcW w:w="515" w:type="pct"/>
            <w:vAlign w:val="center"/>
          </w:tcPr>
          <w:p w14:paraId="5828904F">
            <w:pPr>
              <w:jc w:val="right"/>
              <w:textAlignment w:val="bottom"/>
              <w:rPr>
                <w:rFonts w:cs="Times New Roman"/>
                <w:sz w:val="13"/>
                <w:szCs w:val="13"/>
              </w:rPr>
            </w:pPr>
            <w:r>
              <w:rPr>
                <w:rFonts w:eastAsia="Arial Narrow" w:cs="Times New Roman"/>
                <w:color w:val="000000"/>
                <w:sz w:val="13"/>
                <w:szCs w:val="13"/>
                <w:lang w:bidi="ar"/>
              </w:rPr>
              <w:t>4,391,629,404.00</w:t>
            </w:r>
          </w:p>
        </w:tc>
        <w:tc>
          <w:tcPr>
            <w:tcW w:w="430" w:type="pct"/>
            <w:vAlign w:val="center"/>
          </w:tcPr>
          <w:p w14:paraId="3C8DAEAD">
            <w:pPr>
              <w:jc w:val="right"/>
              <w:textAlignment w:val="bottom"/>
              <w:rPr>
                <w:rFonts w:cs="Times New Roman"/>
                <w:sz w:val="13"/>
                <w:szCs w:val="13"/>
              </w:rPr>
            </w:pPr>
            <w:r>
              <w:rPr>
                <w:rFonts w:eastAsia="Arial Narrow" w:cs="Times New Roman"/>
                <w:color w:val="000000"/>
                <w:sz w:val="13"/>
                <w:szCs w:val="13"/>
                <w:lang w:bidi="ar"/>
              </w:rPr>
              <w:t>8,067,766,137.08</w:t>
            </w:r>
          </w:p>
        </w:tc>
        <w:tc>
          <w:tcPr>
            <w:tcW w:w="403" w:type="pct"/>
            <w:vAlign w:val="center"/>
          </w:tcPr>
          <w:p w14:paraId="0E243A47">
            <w:pPr>
              <w:jc w:val="right"/>
              <w:rPr>
                <w:rFonts w:cs="Times New Roman"/>
                <w:sz w:val="13"/>
                <w:szCs w:val="13"/>
              </w:rPr>
            </w:pPr>
          </w:p>
        </w:tc>
        <w:tc>
          <w:tcPr>
            <w:tcW w:w="472" w:type="pct"/>
            <w:vAlign w:val="center"/>
          </w:tcPr>
          <w:p w14:paraId="74C2DD28">
            <w:pPr>
              <w:jc w:val="right"/>
              <w:textAlignment w:val="bottom"/>
              <w:rPr>
                <w:rFonts w:cs="Times New Roman"/>
                <w:sz w:val="13"/>
                <w:szCs w:val="13"/>
              </w:rPr>
            </w:pPr>
            <w:r>
              <w:rPr>
                <w:rFonts w:eastAsia="Arial Narrow" w:cs="Times New Roman"/>
                <w:color w:val="000000"/>
                <w:sz w:val="13"/>
                <w:szCs w:val="13"/>
                <w:lang w:bidi="ar"/>
              </w:rPr>
              <w:t>-318,634,689.43</w:t>
            </w:r>
          </w:p>
        </w:tc>
        <w:tc>
          <w:tcPr>
            <w:tcW w:w="429" w:type="pct"/>
            <w:vAlign w:val="center"/>
          </w:tcPr>
          <w:p w14:paraId="4F2A83CE">
            <w:pPr>
              <w:jc w:val="right"/>
              <w:textAlignment w:val="bottom"/>
              <w:rPr>
                <w:rFonts w:cs="Times New Roman"/>
                <w:sz w:val="13"/>
                <w:szCs w:val="13"/>
              </w:rPr>
            </w:pPr>
            <w:r>
              <w:rPr>
                <w:rFonts w:eastAsia="Arial Narrow" w:cs="Times New Roman"/>
                <w:color w:val="000000"/>
                <w:sz w:val="13"/>
                <w:szCs w:val="13"/>
                <w:lang w:bidi="ar"/>
              </w:rPr>
              <w:t>369,677,423.82</w:t>
            </w:r>
          </w:p>
        </w:tc>
        <w:tc>
          <w:tcPr>
            <w:tcW w:w="418" w:type="pct"/>
            <w:vAlign w:val="center"/>
          </w:tcPr>
          <w:p w14:paraId="1EBC3B43">
            <w:pPr>
              <w:jc w:val="right"/>
              <w:textAlignment w:val="bottom"/>
              <w:rPr>
                <w:rFonts w:cs="Times New Roman"/>
                <w:sz w:val="13"/>
                <w:szCs w:val="13"/>
              </w:rPr>
            </w:pPr>
            <w:r>
              <w:rPr>
                <w:rFonts w:eastAsia="Arial Narrow" w:cs="Times New Roman"/>
                <w:color w:val="000000"/>
                <w:sz w:val="13"/>
                <w:szCs w:val="13"/>
                <w:lang w:bidi="ar"/>
              </w:rPr>
              <w:t>103,250,332.59</w:t>
            </w:r>
          </w:p>
        </w:tc>
        <w:tc>
          <w:tcPr>
            <w:tcW w:w="442" w:type="pct"/>
            <w:vAlign w:val="center"/>
          </w:tcPr>
          <w:p w14:paraId="78DADA88">
            <w:pPr>
              <w:jc w:val="right"/>
              <w:textAlignment w:val="bottom"/>
              <w:rPr>
                <w:rFonts w:cs="Times New Roman"/>
                <w:sz w:val="13"/>
                <w:szCs w:val="13"/>
              </w:rPr>
            </w:pPr>
            <w:r>
              <w:rPr>
                <w:rFonts w:eastAsia="Arial Narrow" w:cs="Times New Roman"/>
                <w:color w:val="000000"/>
                <w:sz w:val="13"/>
                <w:szCs w:val="13"/>
                <w:lang w:bidi="ar"/>
              </w:rPr>
              <w:t>12,613,688,608.06</w:t>
            </w:r>
          </w:p>
        </w:tc>
        <w:tc>
          <w:tcPr>
            <w:tcW w:w="432" w:type="pct"/>
            <w:vAlign w:val="center"/>
          </w:tcPr>
          <w:p w14:paraId="23B2A089">
            <w:pPr>
              <w:jc w:val="right"/>
              <w:textAlignment w:val="bottom"/>
              <w:rPr>
                <w:rFonts w:cs="Times New Roman"/>
                <w:sz w:val="13"/>
                <w:szCs w:val="13"/>
              </w:rPr>
            </w:pPr>
            <w:r>
              <w:rPr>
                <w:rFonts w:eastAsia="Arial Narrow" w:cs="Times New Roman"/>
                <w:color w:val="000000"/>
                <w:sz w:val="13"/>
                <w:szCs w:val="13"/>
                <w:lang w:bidi="ar"/>
              </w:rPr>
              <w:t>-98,740,594.34</w:t>
            </w:r>
          </w:p>
        </w:tc>
        <w:tc>
          <w:tcPr>
            <w:tcW w:w="507" w:type="pct"/>
            <w:vAlign w:val="center"/>
          </w:tcPr>
          <w:p w14:paraId="2CC48162">
            <w:pPr>
              <w:jc w:val="right"/>
              <w:textAlignment w:val="bottom"/>
              <w:rPr>
                <w:rFonts w:cs="Times New Roman"/>
                <w:sz w:val="13"/>
                <w:szCs w:val="13"/>
              </w:rPr>
            </w:pPr>
            <w:r>
              <w:rPr>
                <w:rFonts w:eastAsia="Arial Narrow" w:cs="Times New Roman"/>
                <w:color w:val="000000"/>
                <w:sz w:val="13"/>
                <w:szCs w:val="13"/>
                <w:lang w:bidi="ar"/>
              </w:rPr>
              <w:t>12,514,948,013.72</w:t>
            </w:r>
          </w:p>
        </w:tc>
      </w:tr>
      <w:tr w14:paraId="16383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0156dcb8ac241a7929015e75c8eef16"/>
            <w:id w:val="147468178"/>
          </w:sdtPr>
          <w:sdtContent>
            <w:tc>
              <w:tcPr>
                <w:tcW w:w="947" w:type="pct"/>
                <w:vAlign w:val="center"/>
              </w:tcPr>
              <w:p w14:paraId="30E168A3">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三、本</w:t>
                </w:r>
                <w:r>
                  <w:rPr>
                    <w:rFonts w:hint="eastAsia"/>
                    <w:color w:val="000000" w:themeColor="text1"/>
                    <w:sz w:val="18"/>
                    <w:szCs w:val="18"/>
                    <w14:textFill>
                      <w14:solidFill>
                        <w14:schemeClr w14:val="tx1"/>
                      </w14:solidFill>
                    </w14:textFill>
                  </w:rPr>
                  <w:t>期</w:t>
                </w:r>
                <w:r>
                  <w:rPr>
                    <w:color w:val="000000" w:themeColor="text1"/>
                    <w:sz w:val="18"/>
                    <w:szCs w:val="18"/>
                    <w14:textFill>
                      <w14:solidFill>
                        <w14:schemeClr w14:val="tx1"/>
                      </w14:solidFill>
                    </w14:textFill>
                  </w:rPr>
                  <w:t>增减变动金额（减少以“－”号填列）</w:t>
                </w:r>
              </w:p>
            </w:tc>
          </w:sdtContent>
        </w:sdt>
        <w:tc>
          <w:tcPr>
            <w:tcW w:w="515" w:type="pct"/>
            <w:vAlign w:val="center"/>
          </w:tcPr>
          <w:p w14:paraId="7BCCE188">
            <w:pPr>
              <w:jc w:val="right"/>
              <w:rPr>
                <w:rFonts w:cs="Times New Roman"/>
                <w:sz w:val="13"/>
                <w:szCs w:val="13"/>
              </w:rPr>
            </w:pPr>
          </w:p>
        </w:tc>
        <w:tc>
          <w:tcPr>
            <w:tcW w:w="430" w:type="pct"/>
            <w:vAlign w:val="center"/>
          </w:tcPr>
          <w:p w14:paraId="0F5BD731">
            <w:pPr>
              <w:jc w:val="right"/>
              <w:rPr>
                <w:rFonts w:cs="Times New Roman"/>
                <w:sz w:val="13"/>
                <w:szCs w:val="13"/>
              </w:rPr>
            </w:pPr>
          </w:p>
        </w:tc>
        <w:tc>
          <w:tcPr>
            <w:tcW w:w="403" w:type="pct"/>
            <w:vAlign w:val="center"/>
          </w:tcPr>
          <w:p w14:paraId="48037007">
            <w:pPr>
              <w:jc w:val="right"/>
              <w:textAlignment w:val="bottom"/>
              <w:rPr>
                <w:rFonts w:cs="Times New Roman"/>
                <w:sz w:val="13"/>
                <w:szCs w:val="13"/>
              </w:rPr>
            </w:pPr>
            <w:r>
              <w:rPr>
                <w:rFonts w:eastAsia="Arial Narrow" w:cs="Times New Roman"/>
                <w:color w:val="000000"/>
                <w:sz w:val="13"/>
                <w:szCs w:val="13"/>
                <w:lang w:bidi="ar"/>
              </w:rPr>
              <w:t>39,938,040.72</w:t>
            </w:r>
          </w:p>
        </w:tc>
        <w:tc>
          <w:tcPr>
            <w:tcW w:w="472" w:type="pct"/>
            <w:vAlign w:val="center"/>
          </w:tcPr>
          <w:p w14:paraId="3A01F90E">
            <w:pPr>
              <w:jc w:val="right"/>
              <w:textAlignment w:val="bottom"/>
              <w:rPr>
                <w:rFonts w:cs="Times New Roman"/>
                <w:sz w:val="13"/>
                <w:szCs w:val="13"/>
              </w:rPr>
            </w:pPr>
            <w:r>
              <w:rPr>
                <w:rFonts w:eastAsia="Arial Narrow" w:cs="Times New Roman"/>
                <w:color w:val="000000"/>
                <w:sz w:val="13"/>
                <w:szCs w:val="13"/>
                <w:lang w:bidi="ar"/>
              </w:rPr>
              <w:t>-628,649.05</w:t>
            </w:r>
          </w:p>
        </w:tc>
        <w:tc>
          <w:tcPr>
            <w:tcW w:w="429" w:type="pct"/>
            <w:vAlign w:val="center"/>
          </w:tcPr>
          <w:p w14:paraId="05DCE219">
            <w:pPr>
              <w:jc w:val="right"/>
              <w:rPr>
                <w:rFonts w:cs="Times New Roman"/>
                <w:sz w:val="13"/>
                <w:szCs w:val="13"/>
              </w:rPr>
            </w:pPr>
          </w:p>
        </w:tc>
        <w:tc>
          <w:tcPr>
            <w:tcW w:w="418" w:type="pct"/>
            <w:vAlign w:val="center"/>
          </w:tcPr>
          <w:p w14:paraId="2790E1DF">
            <w:pPr>
              <w:jc w:val="right"/>
              <w:textAlignment w:val="bottom"/>
              <w:rPr>
                <w:rFonts w:cs="Times New Roman"/>
                <w:sz w:val="13"/>
                <w:szCs w:val="13"/>
              </w:rPr>
            </w:pPr>
            <w:r>
              <w:rPr>
                <w:rFonts w:eastAsia="Arial Narrow" w:cs="Times New Roman"/>
                <w:color w:val="000000"/>
                <w:sz w:val="13"/>
                <w:szCs w:val="13"/>
                <w:lang w:bidi="ar"/>
              </w:rPr>
              <w:t>-79,031,846.24</w:t>
            </w:r>
          </w:p>
        </w:tc>
        <w:tc>
          <w:tcPr>
            <w:tcW w:w="442" w:type="pct"/>
            <w:vAlign w:val="center"/>
          </w:tcPr>
          <w:p w14:paraId="643DD457">
            <w:pPr>
              <w:jc w:val="right"/>
              <w:textAlignment w:val="bottom"/>
              <w:rPr>
                <w:rFonts w:cs="Times New Roman"/>
                <w:sz w:val="13"/>
                <w:szCs w:val="13"/>
              </w:rPr>
            </w:pPr>
            <w:r>
              <w:rPr>
                <w:rFonts w:eastAsia="Arial Narrow" w:cs="Times New Roman"/>
                <w:color w:val="000000"/>
                <w:sz w:val="13"/>
                <w:szCs w:val="13"/>
                <w:lang w:bidi="ar"/>
              </w:rPr>
              <w:t>-119,598,536.01</w:t>
            </w:r>
          </w:p>
        </w:tc>
        <w:tc>
          <w:tcPr>
            <w:tcW w:w="432" w:type="pct"/>
            <w:vAlign w:val="center"/>
          </w:tcPr>
          <w:p w14:paraId="65074125">
            <w:pPr>
              <w:jc w:val="right"/>
              <w:textAlignment w:val="bottom"/>
              <w:rPr>
                <w:rFonts w:cs="Times New Roman"/>
                <w:sz w:val="13"/>
                <w:szCs w:val="13"/>
              </w:rPr>
            </w:pPr>
            <w:r>
              <w:rPr>
                <w:rFonts w:eastAsia="Arial Narrow" w:cs="Times New Roman"/>
                <w:color w:val="000000"/>
                <w:sz w:val="13"/>
                <w:szCs w:val="13"/>
                <w:lang w:bidi="ar"/>
              </w:rPr>
              <w:t>-636,750.38</w:t>
            </w:r>
          </w:p>
        </w:tc>
        <w:tc>
          <w:tcPr>
            <w:tcW w:w="507" w:type="pct"/>
            <w:vAlign w:val="center"/>
          </w:tcPr>
          <w:p w14:paraId="6DAB01FB">
            <w:pPr>
              <w:jc w:val="right"/>
              <w:textAlignment w:val="bottom"/>
              <w:rPr>
                <w:rFonts w:cs="Times New Roman"/>
                <w:sz w:val="13"/>
                <w:szCs w:val="13"/>
              </w:rPr>
            </w:pPr>
            <w:r>
              <w:rPr>
                <w:rFonts w:eastAsia="Arial Narrow" w:cs="Times New Roman"/>
                <w:color w:val="000000"/>
                <w:sz w:val="13"/>
                <w:szCs w:val="13"/>
                <w:lang w:bidi="ar"/>
              </w:rPr>
              <w:t>-120,235,286.39</w:t>
            </w:r>
          </w:p>
        </w:tc>
      </w:tr>
      <w:tr w14:paraId="7CD5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05dacde51ff43abaf7ec73bf9668d99"/>
            <w:id w:val="147475174"/>
          </w:sdtPr>
          <w:sdtContent>
            <w:tc>
              <w:tcPr>
                <w:tcW w:w="947" w:type="pct"/>
                <w:vAlign w:val="center"/>
              </w:tcPr>
              <w:p w14:paraId="3ECD1AB8">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（一）综合收益总额</w:t>
                </w:r>
              </w:p>
            </w:tc>
          </w:sdtContent>
        </w:sdt>
        <w:tc>
          <w:tcPr>
            <w:tcW w:w="515" w:type="pct"/>
            <w:vAlign w:val="center"/>
          </w:tcPr>
          <w:p w14:paraId="309DF67B">
            <w:pPr>
              <w:jc w:val="right"/>
              <w:rPr>
                <w:rFonts w:cs="Times New Roman"/>
                <w:sz w:val="13"/>
                <w:szCs w:val="13"/>
              </w:rPr>
            </w:pPr>
          </w:p>
        </w:tc>
        <w:tc>
          <w:tcPr>
            <w:tcW w:w="430" w:type="pct"/>
            <w:vAlign w:val="center"/>
          </w:tcPr>
          <w:p w14:paraId="51798BE0">
            <w:pPr>
              <w:jc w:val="right"/>
              <w:rPr>
                <w:rFonts w:cs="Times New Roman"/>
                <w:sz w:val="13"/>
                <w:szCs w:val="13"/>
              </w:rPr>
            </w:pPr>
          </w:p>
        </w:tc>
        <w:tc>
          <w:tcPr>
            <w:tcW w:w="403" w:type="pct"/>
            <w:vAlign w:val="center"/>
          </w:tcPr>
          <w:p w14:paraId="420ACB18">
            <w:pPr>
              <w:jc w:val="right"/>
              <w:rPr>
                <w:rFonts w:cs="Times New Roman"/>
                <w:sz w:val="13"/>
                <w:szCs w:val="13"/>
              </w:rPr>
            </w:pPr>
          </w:p>
        </w:tc>
        <w:tc>
          <w:tcPr>
            <w:tcW w:w="472" w:type="pct"/>
            <w:vAlign w:val="center"/>
          </w:tcPr>
          <w:p w14:paraId="4C39921B">
            <w:pPr>
              <w:jc w:val="right"/>
              <w:textAlignment w:val="bottom"/>
              <w:rPr>
                <w:rFonts w:cs="Times New Roman"/>
                <w:sz w:val="13"/>
                <w:szCs w:val="13"/>
              </w:rPr>
            </w:pPr>
            <w:r>
              <w:rPr>
                <w:rFonts w:eastAsia="Arial Narrow" w:cs="Times New Roman"/>
                <w:color w:val="000000"/>
                <w:sz w:val="13"/>
                <w:szCs w:val="13"/>
                <w:lang w:bidi="ar"/>
              </w:rPr>
              <w:t>-628,649.05</w:t>
            </w:r>
          </w:p>
        </w:tc>
        <w:tc>
          <w:tcPr>
            <w:tcW w:w="429" w:type="pct"/>
            <w:vAlign w:val="center"/>
          </w:tcPr>
          <w:p w14:paraId="20587FC8">
            <w:pPr>
              <w:jc w:val="right"/>
              <w:rPr>
                <w:rFonts w:cs="Times New Roman"/>
                <w:sz w:val="13"/>
                <w:szCs w:val="13"/>
              </w:rPr>
            </w:pPr>
          </w:p>
        </w:tc>
        <w:tc>
          <w:tcPr>
            <w:tcW w:w="418" w:type="pct"/>
            <w:vAlign w:val="center"/>
          </w:tcPr>
          <w:p w14:paraId="18497133">
            <w:pPr>
              <w:jc w:val="right"/>
              <w:textAlignment w:val="bottom"/>
              <w:rPr>
                <w:rFonts w:cs="Times New Roman"/>
                <w:sz w:val="13"/>
                <w:szCs w:val="13"/>
              </w:rPr>
            </w:pPr>
            <w:r>
              <w:rPr>
                <w:rFonts w:eastAsia="Arial Narrow" w:cs="Times New Roman"/>
                <w:color w:val="000000"/>
                <w:sz w:val="13"/>
                <w:szCs w:val="13"/>
                <w:lang w:bidi="ar"/>
              </w:rPr>
              <w:t>-79,031,846.24</w:t>
            </w:r>
          </w:p>
        </w:tc>
        <w:tc>
          <w:tcPr>
            <w:tcW w:w="442" w:type="pct"/>
            <w:vAlign w:val="center"/>
          </w:tcPr>
          <w:p w14:paraId="4EFC0C72">
            <w:pPr>
              <w:jc w:val="right"/>
              <w:textAlignment w:val="bottom"/>
              <w:rPr>
                <w:rFonts w:cs="Times New Roman"/>
                <w:sz w:val="13"/>
                <w:szCs w:val="13"/>
              </w:rPr>
            </w:pPr>
            <w:r>
              <w:rPr>
                <w:rFonts w:eastAsia="Arial Narrow" w:cs="Times New Roman"/>
                <w:color w:val="000000"/>
                <w:sz w:val="13"/>
                <w:szCs w:val="13"/>
                <w:lang w:bidi="ar"/>
              </w:rPr>
              <w:t>-79,660,495.29</w:t>
            </w:r>
          </w:p>
        </w:tc>
        <w:tc>
          <w:tcPr>
            <w:tcW w:w="432" w:type="pct"/>
            <w:vAlign w:val="center"/>
          </w:tcPr>
          <w:p w14:paraId="16ADF5AE">
            <w:pPr>
              <w:jc w:val="right"/>
              <w:textAlignment w:val="bottom"/>
              <w:rPr>
                <w:rFonts w:cs="Times New Roman"/>
                <w:sz w:val="13"/>
                <w:szCs w:val="13"/>
              </w:rPr>
            </w:pPr>
            <w:r>
              <w:rPr>
                <w:rFonts w:eastAsia="Arial Narrow" w:cs="Times New Roman"/>
                <w:color w:val="000000"/>
                <w:sz w:val="13"/>
                <w:szCs w:val="13"/>
                <w:lang w:bidi="ar"/>
              </w:rPr>
              <w:t>-636,750.38</w:t>
            </w:r>
          </w:p>
        </w:tc>
        <w:tc>
          <w:tcPr>
            <w:tcW w:w="507" w:type="pct"/>
            <w:vAlign w:val="center"/>
          </w:tcPr>
          <w:p w14:paraId="66E9D5F1">
            <w:pPr>
              <w:jc w:val="right"/>
              <w:textAlignment w:val="bottom"/>
              <w:rPr>
                <w:rFonts w:cs="Times New Roman"/>
                <w:sz w:val="13"/>
                <w:szCs w:val="13"/>
              </w:rPr>
            </w:pPr>
            <w:r>
              <w:rPr>
                <w:rFonts w:eastAsia="Arial Narrow" w:cs="Times New Roman"/>
                <w:color w:val="000000"/>
                <w:sz w:val="13"/>
                <w:szCs w:val="13"/>
                <w:lang w:bidi="ar"/>
              </w:rPr>
              <w:t>-80,297,245.67</w:t>
            </w:r>
          </w:p>
        </w:tc>
      </w:tr>
      <w:tr w14:paraId="7B10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17921fb207340239c73a056e615d773"/>
            <w:id w:val="147452516"/>
          </w:sdtPr>
          <w:sdtContent>
            <w:tc>
              <w:tcPr>
                <w:tcW w:w="947" w:type="pct"/>
                <w:vAlign w:val="center"/>
              </w:tcPr>
              <w:p w14:paraId="2E84864C">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二</w:t>
                </w:r>
                <w:r>
                  <w:rPr>
                    <w:color w:val="000000" w:themeColor="text1"/>
                    <w:sz w:val="18"/>
                    <w:szCs w:val="18"/>
                    <w14:textFill>
                      <w14:solidFill>
                        <w14:schemeClr w14:val="tx1"/>
                      </w14:solidFill>
                    </w14:textFill>
                  </w:rPr>
                  <w:t>）所有者投入和减少资本</w:t>
                </w:r>
              </w:p>
            </w:tc>
          </w:sdtContent>
        </w:sdt>
        <w:tc>
          <w:tcPr>
            <w:tcW w:w="515" w:type="pct"/>
            <w:vAlign w:val="center"/>
          </w:tcPr>
          <w:p w14:paraId="26EE503A">
            <w:pPr>
              <w:jc w:val="right"/>
              <w:rPr>
                <w:rFonts w:cs="Times New Roman"/>
                <w:sz w:val="13"/>
                <w:szCs w:val="13"/>
              </w:rPr>
            </w:pPr>
          </w:p>
        </w:tc>
        <w:tc>
          <w:tcPr>
            <w:tcW w:w="430" w:type="pct"/>
            <w:vAlign w:val="center"/>
          </w:tcPr>
          <w:p w14:paraId="5A21E4C5">
            <w:pPr>
              <w:jc w:val="right"/>
              <w:rPr>
                <w:rFonts w:cs="Times New Roman"/>
                <w:sz w:val="13"/>
                <w:szCs w:val="13"/>
              </w:rPr>
            </w:pPr>
          </w:p>
        </w:tc>
        <w:tc>
          <w:tcPr>
            <w:tcW w:w="403" w:type="pct"/>
            <w:vAlign w:val="center"/>
          </w:tcPr>
          <w:p w14:paraId="3BE3AA27">
            <w:pPr>
              <w:jc w:val="right"/>
              <w:textAlignment w:val="bottom"/>
              <w:rPr>
                <w:rFonts w:cs="Times New Roman"/>
                <w:sz w:val="13"/>
                <w:szCs w:val="13"/>
              </w:rPr>
            </w:pPr>
            <w:r>
              <w:rPr>
                <w:rFonts w:eastAsia="Arial Narrow" w:cs="Times New Roman"/>
                <w:color w:val="000000"/>
                <w:sz w:val="13"/>
                <w:szCs w:val="13"/>
                <w:lang w:bidi="ar"/>
              </w:rPr>
              <w:t>39,938,040.72</w:t>
            </w:r>
          </w:p>
        </w:tc>
        <w:tc>
          <w:tcPr>
            <w:tcW w:w="472" w:type="pct"/>
            <w:vAlign w:val="center"/>
          </w:tcPr>
          <w:p w14:paraId="1F4D2BC0">
            <w:pPr>
              <w:jc w:val="right"/>
              <w:rPr>
                <w:rFonts w:cs="Times New Roman"/>
                <w:sz w:val="13"/>
                <w:szCs w:val="13"/>
              </w:rPr>
            </w:pPr>
          </w:p>
        </w:tc>
        <w:tc>
          <w:tcPr>
            <w:tcW w:w="429" w:type="pct"/>
            <w:vAlign w:val="center"/>
          </w:tcPr>
          <w:p w14:paraId="0570FE5A">
            <w:pPr>
              <w:jc w:val="right"/>
              <w:rPr>
                <w:rFonts w:cs="Times New Roman"/>
                <w:sz w:val="13"/>
                <w:szCs w:val="13"/>
              </w:rPr>
            </w:pPr>
          </w:p>
        </w:tc>
        <w:tc>
          <w:tcPr>
            <w:tcW w:w="418" w:type="pct"/>
            <w:vAlign w:val="center"/>
          </w:tcPr>
          <w:p w14:paraId="5F8927EA">
            <w:pPr>
              <w:jc w:val="right"/>
              <w:rPr>
                <w:rFonts w:cs="Times New Roman"/>
                <w:sz w:val="13"/>
                <w:szCs w:val="13"/>
              </w:rPr>
            </w:pPr>
          </w:p>
        </w:tc>
        <w:tc>
          <w:tcPr>
            <w:tcW w:w="442" w:type="pct"/>
            <w:vAlign w:val="center"/>
          </w:tcPr>
          <w:p w14:paraId="7226C487">
            <w:pPr>
              <w:jc w:val="right"/>
              <w:textAlignment w:val="bottom"/>
              <w:rPr>
                <w:rFonts w:cs="Times New Roman"/>
                <w:sz w:val="13"/>
                <w:szCs w:val="13"/>
              </w:rPr>
            </w:pPr>
            <w:r>
              <w:rPr>
                <w:rFonts w:eastAsia="Arial Narrow" w:cs="Times New Roman"/>
                <w:color w:val="000000"/>
                <w:sz w:val="13"/>
                <w:szCs w:val="13"/>
                <w:lang w:bidi="ar"/>
              </w:rPr>
              <w:t>-39,938,040.72</w:t>
            </w:r>
          </w:p>
        </w:tc>
        <w:tc>
          <w:tcPr>
            <w:tcW w:w="432" w:type="pct"/>
            <w:vAlign w:val="center"/>
          </w:tcPr>
          <w:p w14:paraId="70234659">
            <w:pPr>
              <w:jc w:val="right"/>
              <w:rPr>
                <w:rFonts w:cs="Times New Roman"/>
                <w:sz w:val="13"/>
                <w:szCs w:val="13"/>
              </w:rPr>
            </w:pPr>
          </w:p>
        </w:tc>
        <w:tc>
          <w:tcPr>
            <w:tcW w:w="507" w:type="pct"/>
            <w:vAlign w:val="center"/>
          </w:tcPr>
          <w:p w14:paraId="24563274">
            <w:pPr>
              <w:jc w:val="right"/>
              <w:textAlignment w:val="bottom"/>
              <w:rPr>
                <w:rFonts w:cs="Times New Roman"/>
                <w:sz w:val="13"/>
                <w:szCs w:val="13"/>
              </w:rPr>
            </w:pPr>
            <w:r>
              <w:rPr>
                <w:rFonts w:eastAsia="Arial Narrow" w:cs="Times New Roman"/>
                <w:color w:val="000000"/>
                <w:sz w:val="13"/>
                <w:szCs w:val="13"/>
                <w:lang w:bidi="ar"/>
              </w:rPr>
              <w:t>-39,938,040.72</w:t>
            </w:r>
          </w:p>
        </w:tc>
      </w:tr>
      <w:tr w14:paraId="510E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6538f5d06744ca9be65b0b439b17643"/>
            <w:id w:val="147475750"/>
          </w:sdtPr>
          <w:sdtContent>
            <w:tc>
              <w:tcPr>
                <w:tcW w:w="947" w:type="pct"/>
                <w:vAlign w:val="center"/>
              </w:tcPr>
              <w:p w14:paraId="1A2736BF">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w:t>
                </w:r>
                <w:r>
                  <w:rPr>
                    <w:color w:val="000000" w:themeColor="text1"/>
                    <w:sz w:val="18"/>
                    <w:szCs w:val="18"/>
                    <w14:textFill>
                      <w14:solidFill>
                        <w14:schemeClr w14:val="tx1"/>
                      </w14:solidFill>
                    </w14:textFill>
                  </w:rPr>
                  <w:t>．其他</w:t>
                </w:r>
              </w:p>
            </w:tc>
          </w:sdtContent>
        </w:sdt>
        <w:tc>
          <w:tcPr>
            <w:tcW w:w="515" w:type="pct"/>
            <w:vAlign w:val="center"/>
          </w:tcPr>
          <w:p w14:paraId="3D2CD8BB">
            <w:pPr>
              <w:jc w:val="right"/>
              <w:rPr>
                <w:rFonts w:cs="Times New Roman"/>
                <w:sz w:val="13"/>
                <w:szCs w:val="13"/>
              </w:rPr>
            </w:pPr>
          </w:p>
        </w:tc>
        <w:tc>
          <w:tcPr>
            <w:tcW w:w="430" w:type="pct"/>
            <w:vAlign w:val="center"/>
          </w:tcPr>
          <w:p w14:paraId="05B69118">
            <w:pPr>
              <w:jc w:val="right"/>
              <w:rPr>
                <w:rFonts w:cs="Times New Roman"/>
                <w:sz w:val="13"/>
                <w:szCs w:val="13"/>
              </w:rPr>
            </w:pPr>
          </w:p>
        </w:tc>
        <w:tc>
          <w:tcPr>
            <w:tcW w:w="403" w:type="pct"/>
            <w:vAlign w:val="center"/>
          </w:tcPr>
          <w:p w14:paraId="3B6B1E24">
            <w:pPr>
              <w:jc w:val="right"/>
              <w:textAlignment w:val="bottom"/>
              <w:rPr>
                <w:rFonts w:cs="Times New Roman"/>
                <w:sz w:val="13"/>
                <w:szCs w:val="13"/>
              </w:rPr>
            </w:pPr>
            <w:r>
              <w:rPr>
                <w:rFonts w:eastAsia="Arial Narrow" w:cs="Times New Roman"/>
                <w:color w:val="000000"/>
                <w:sz w:val="13"/>
                <w:szCs w:val="13"/>
                <w:lang w:bidi="ar"/>
              </w:rPr>
              <w:t>39,938,040.72</w:t>
            </w:r>
          </w:p>
        </w:tc>
        <w:tc>
          <w:tcPr>
            <w:tcW w:w="472" w:type="pct"/>
            <w:vAlign w:val="center"/>
          </w:tcPr>
          <w:p w14:paraId="6E6152B1">
            <w:pPr>
              <w:jc w:val="right"/>
              <w:rPr>
                <w:rFonts w:cs="Times New Roman"/>
                <w:sz w:val="13"/>
                <w:szCs w:val="13"/>
              </w:rPr>
            </w:pPr>
          </w:p>
        </w:tc>
        <w:tc>
          <w:tcPr>
            <w:tcW w:w="429" w:type="pct"/>
            <w:vAlign w:val="center"/>
          </w:tcPr>
          <w:p w14:paraId="0309F6B3">
            <w:pPr>
              <w:jc w:val="right"/>
              <w:rPr>
                <w:rFonts w:cs="Times New Roman"/>
                <w:sz w:val="13"/>
                <w:szCs w:val="13"/>
              </w:rPr>
            </w:pPr>
          </w:p>
        </w:tc>
        <w:tc>
          <w:tcPr>
            <w:tcW w:w="418" w:type="pct"/>
            <w:vAlign w:val="center"/>
          </w:tcPr>
          <w:p w14:paraId="356EAF50">
            <w:pPr>
              <w:jc w:val="right"/>
              <w:rPr>
                <w:rFonts w:cs="Times New Roman"/>
                <w:sz w:val="13"/>
                <w:szCs w:val="13"/>
              </w:rPr>
            </w:pPr>
          </w:p>
        </w:tc>
        <w:tc>
          <w:tcPr>
            <w:tcW w:w="442" w:type="pct"/>
            <w:vAlign w:val="center"/>
          </w:tcPr>
          <w:p w14:paraId="416AEDC7">
            <w:pPr>
              <w:jc w:val="right"/>
              <w:textAlignment w:val="bottom"/>
              <w:rPr>
                <w:rFonts w:cs="Times New Roman"/>
                <w:sz w:val="13"/>
                <w:szCs w:val="13"/>
              </w:rPr>
            </w:pPr>
            <w:r>
              <w:rPr>
                <w:rFonts w:eastAsia="Arial Narrow" w:cs="Times New Roman"/>
                <w:color w:val="000000"/>
                <w:sz w:val="13"/>
                <w:szCs w:val="13"/>
                <w:lang w:bidi="ar"/>
              </w:rPr>
              <w:t>-39,938,040.72</w:t>
            </w:r>
          </w:p>
        </w:tc>
        <w:tc>
          <w:tcPr>
            <w:tcW w:w="432" w:type="pct"/>
            <w:vAlign w:val="center"/>
          </w:tcPr>
          <w:p w14:paraId="682A3EC0">
            <w:pPr>
              <w:jc w:val="right"/>
              <w:rPr>
                <w:rFonts w:cs="Times New Roman"/>
                <w:sz w:val="13"/>
                <w:szCs w:val="13"/>
              </w:rPr>
            </w:pPr>
          </w:p>
        </w:tc>
        <w:tc>
          <w:tcPr>
            <w:tcW w:w="507" w:type="pct"/>
            <w:vAlign w:val="center"/>
          </w:tcPr>
          <w:p w14:paraId="34403C39">
            <w:pPr>
              <w:jc w:val="right"/>
              <w:textAlignment w:val="bottom"/>
              <w:rPr>
                <w:rFonts w:cs="Times New Roman"/>
                <w:sz w:val="13"/>
                <w:szCs w:val="13"/>
              </w:rPr>
            </w:pPr>
            <w:r>
              <w:rPr>
                <w:rFonts w:eastAsia="Arial Narrow" w:cs="Times New Roman"/>
                <w:color w:val="000000"/>
                <w:sz w:val="13"/>
                <w:szCs w:val="13"/>
                <w:lang w:bidi="ar"/>
              </w:rPr>
              <w:t>-39,938,040.72</w:t>
            </w:r>
          </w:p>
        </w:tc>
      </w:tr>
      <w:tr w14:paraId="58F2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fb1d678e8ca4e3ba31e34bed05e6c58"/>
            <w:id w:val="147471884"/>
          </w:sdtPr>
          <w:sdtContent>
            <w:tc>
              <w:tcPr>
                <w:tcW w:w="947" w:type="pct"/>
                <w:vAlign w:val="center"/>
              </w:tcPr>
              <w:p w14:paraId="2425E4A8">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三</w:t>
                </w:r>
                <w:r>
                  <w:rPr>
                    <w:color w:val="000000" w:themeColor="text1"/>
                    <w:sz w:val="18"/>
                    <w:szCs w:val="18"/>
                    <w14:textFill>
                      <w14:solidFill>
                        <w14:schemeClr w14:val="tx1"/>
                      </w14:solidFill>
                    </w14:textFill>
                  </w:rPr>
                  <w:t>）利润分配</w:t>
                </w:r>
              </w:p>
            </w:tc>
          </w:sdtContent>
        </w:sdt>
        <w:tc>
          <w:tcPr>
            <w:tcW w:w="515" w:type="pct"/>
            <w:vAlign w:val="center"/>
          </w:tcPr>
          <w:p w14:paraId="62745DFA">
            <w:pPr>
              <w:jc w:val="right"/>
              <w:rPr>
                <w:rFonts w:cs="Times New Roman"/>
                <w:sz w:val="13"/>
                <w:szCs w:val="13"/>
              </w:rPr>
            </w:pPr>
          </w:p>
        </w:tc>
        <w:tc>
          <w:tcPr>
            <w:tcW w:w="430" w:type="pct"/>
            <w:vAlign w:val="center"/>
          </w:tcPr>
          <w:p w14:paraId="6DCC75B0">
            <w:pPr>
              <w:jc w:val="right"/>
              <w:rPr>
                <w:rFonts w:cs="Times New Roman"/>
                <w:sz w:val="13"/>
                <w:szCs w:val="13"/>
              </w:rPr>
            </w:pPr>
          </w:p>
        </w:tc>
        <w:tc>
          <w:tcPr>
            <w:tcW w:w="403" w:type="pct"/>
            <w:vAlign w:val="center"/>
          </w:tcPr>
          <w:p w14:paraId="72420CA4">
            <w:pPr>
              <w:jc w:val="right"/>
              <w:rPr>
                <w:rFonts w:cs="Times New Roman"/>
                <w:sz w:val="13"/>
                <w:szCs w:val="13"/>
              </w:rPr>
            </w:pPr>
          </w:p>
        </w:tc>
        <w:tc>
          <w:tcPr>
            <w:tcW w:w="472" w:type="pct"/>
            <w:vAlign w:val="center"/>
          </w:tcPr>
          <w:p w14:paraId="1593ED44">
            <w:pPr>
              <w:jc w:val="right"/>
              <w:rPr>
                <w:rFonts w:cs="Times New Roman"/>
                <w:sz w:val="13"/>
                <w:szCs w:val="13"/>
              </w:rPr>
            </w:pPr>
          </w:p>
        </w:tc>
        <w:tc>
          <w:tcPr>
            <w:tcW w:w="429" w:type="pct"/>
            <w:vAlign w:val="center"/>
          </w:tcPr>
          <w:p w14:paraId="12C5C843">
            <w:pPr>
              <w:jc w:val="right"/>
              <w:rPr>
                <w:rFonts w:cs="Times New Roman"/>
                <w:sz w:val="13"/>
                <w:szCs w:val="13"/>
              </w:rPr>
            </w:pPr>
          </w:p>
        </w:tc>
        <w:tc>
          <w:tcPr>
            <w:tcW w:w="418" w:type="pct"/>
            <w:vAlign w:val="center"/>
          </w:tcPr>
          <w:p w14:paraId="3BEC8DFA">
            <w:pPr>
              <w:jc w:val="right"/>
              <w:rPr>
                <w:rFonts w:cs="Times New Roman"/>
                <w:sz w:val="13"/>
                <w:szCs w:val="13"/>
              </w:rPr>
            </w:pPr>
          </w:p>
        </w:tc>
        <w:tc>
          <w:tcPr>
            <w:tcW w:w="442" w:type="pct"/>
            <w:vAlign w:val="center"/>
          </w:tcPr>
          <w:p w14:paraId="4CA55192">
            <w:pPr>
              <w:jc w:val="right"/>
              <w:rPr>
                <w:rFonts w:cs="Times New Roman"/>
                <w:sz w:val="13"/>
                <w:szCs w:val="13"/>
              </w:rPr>
            </w:pPr>
          </w:p>
        </w:tc>
        <w:tc>
          <w:tcPr>
            <w:tcW w:w="432" w:type="pct"/>
            <w:vAlign w:val="center"/>
          </w:tcPr>
          <w:p w14:paraId="439F4CEE">
            <w:pPr>
              <w:jc w:val="right"/>
              <w:rPr>
                <w:rFonts w:cs="Times New Roman"/>
                <w:sz w:val="13"/>
                <w:szCs w:val="13"/>
              </w:rPr>
            </w:pPr>
          </w:p>
        </w:tc>
        <w:tc>
          <w:tcPr>
            <w:tcW w:w="507" w:type="pct"/>
            <w:vAlign w:val="center"/>
          </w:tcPr>
          <w:p w14:paraId="64B5CCDD">
            <w:pPr>
              <w:jc w:val="right"/>
              <w:rPr>
                <w:rFonts w:cs="Times New Roman"/>
                <w:sz w:val="13"/>
                <w:szCs w:val="13"/>
              </w:rPr>
            </w:pPr>
          </w:p>
        </w:tc>
      </w:tr>
      <w:tr w14:paraId="69B8D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3ab84b7536c4ddcaaad4c99a2dd5fd3"/>
            <w:id w:val="147457874"/>
          </w:sdtPr>
          <w:sdtContent>
            <w:tc>
              <w:tcPr>
                <w:tcW w:w="947" w:type="pct"/>
                <w:vAlign w:val="center"/>
              </w:tcPr>
              <w:p w14:paraId="046E854E">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四</w:t>
                </w:r>
                <w:r>
                  <w:rPr>
                    <w:color w:val="000000" w:themeColor="text1"/>
                    <w:sz w:val="18"/>
                    <w:szCs w:val="18"/>
                    <w14:textFill>
                      <w14:solidFill>
                        <w14:schemeClr w14:val="tx1"/>
                      </w14:solidFill>
                    </w14:textFill>
                  </w:rPr>
                  <w:t>）所有者权益内部结转</w:t>
                </w:r>
              </w:p>
            </w:tc>
          </w:sdtContent>
        </w:sdt>
        <w:tc>
          <w:tcPr>
            <w:tcW w:w="515" w:type="pct"/>
            <w:vAlign w:val="center"/>
          </w:tcPr>
          <w:p w14:paraId="59B800C6">
            <w:pPr>
              <w:jc w:val="right"/>
              <w:rPr>
                <w:rFonts w:cs="Times New Roman"/>
                <w:sz w:val="13"/>
                <w:szCs w:val="13"/>
              </w:rPr>
            </w:pPr>
          </w:p>
        </w:tc>
        <w:tc>
          <w:tcPr>
            <w:tcW w:w="430" w:type="pct"/>
            <w:vAlign w:val="center"/>
          </w:tcPr>
          <w:p w14:paraId="5A17FA8B">
            <w:pPr>
              <w:jc w:val="right"/>
              <w:rPr>
                <w:rFonts w:cs="Times New Roman"/>
                <w:sz w:val="13"/>
                <w:szCs w:val="13"/>
              </w:rPr>
            </w:pPr>
          </w:p>
        </w:tc>
        <w:tc>
          <w:tcPr>
            <w:tcW w:w="403" w:type="pct"/>
            <w:vAlign w:val="center"/>
          </w:tcPr>
          <w:p w14:paraId="7E37142D">
            <w:pPr>
              <w:jc w:val="right"/>
              <w:rPr>
                <w:rFonts w:cs="Times New Roman"/>
                <w:sz w:val="13"/>
                <w:szCs w:val="13"/>
              </w:rPr>
            </w:pPr>
          </w:p>
        </w:tc>
        <w:tc>
          <w:tcPr>
            <w:tcW w:w="472" w:type="pct"/>
            <w:vAlign w:val="center"/>
          </w:tcPr>
          <w:p w14:paraId="233F88D5">
            <w:pPr>
              <w:jc w:val="right"/>
              <w:rPr>
                <w:rFonts w:cs="Times New Roman"/>
                <w:sz w:val="13"/>
                <w:szCs w:val="13"/>
              </w:rPr>
            </w:pPr>
          </w:p>
        </w:tc>
        <w:tc>
          <w:tcPr>
            <w:tcW w:w="429" w:type="pct"/>
            <w:vAlign w:val="center"/>
          </w:tcPr>
          <w:p w14:paraId="4421B141">
            <w:pPr>
              <w:jc w:val="right"/>
              <w:rPr>
                <w:rFonts w:cs="Times New Roman"/>
                <w:sz w:val="13"/>
                <w:szCs w:val="13"/>
              </w:rPr>
            </w:pPr>
          </w:p>
        </w:tc>
        <w:tc>
          <w:tcPr>
            <w:tcW w:w="418" w:type="pct"/>
            <w:vAlign w:val="center"/>
          </w:tcPr>
          <w:p w14:paraId="17B98809">
            <w:pPr>
              <w:jc w:val="right"/>
              <w:rPr>
                <w:rFonts w:cs="Times New Roman"/>
                <w:sz w:val="13"/>
                <w:szCs w:val="13"/>
              </w:rPr>
            </w:pPr>
          </w:p>
        </w:tc>
        <w:tc>
          <w:tcPr>
            <w:tcW w:w="442" w:type="pct"/>
            <w:vAlign w:val="center"/>
          </w:tcPr>
          <w:p w14:paraId="1CA3B74F">
            <w:pPr>
              <w:jc w:val="right"/>
              <w:rPr>
                <w:rFonts w:cs="Times New Roman"/>
                <w:sz w:val="13"/>
                <w:szCs w:val="13"/>
              </w:rPr>
            </w:pPr>
          </w:p>
        </w:tc>
        <w:tc>
          <w:tcPr>
            <w:tcW w:w="432" w:type="pct"/>
            <w:vAlign w:val="center"/>
          </w:tcPr>
          <w:p w14:paraId="6EF20E10">
            <w:pPr>
              <w:jc w:val="right"/>
              <w:rPr>
                <w:rFonts w:cs="Times New Roman"/>
                <w:sz w:val="13"/>
                <w:szCs w:val="13"/>
              </w:rPr>
            </w:pPr>
          </w:p>
        </w:tc>
        <w:tc>
          <w:tcPr>
            <w:tcW w:w="507" w:type="pct"/>
            <w:vAlign w:val="center"/>
          </w:tcPr>
          <w:p w14:paraId="7B9B150B">
            <w:pPr>
              <w:jc w:val="right"/>
              <w:rPr>
                <w:rFonts w:cs="Times New Roman"/>
                <w:sz w:val="13"/>
                <w:szCs w:val="13"/>
              </w:rPr>
            </w:pPr>
          </w:p>
        </w:tc>
      </w:tr>
      <w:tr w14:paraId="66E29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4d25c6e75074c52a0f884581cc84dba"/>
            <w:id w:val="147457738"/>
          </w:sdtPr>
          <w:sdtContent>
            <w:tc>
              <w:tcPr>
                <w:tcW w:w="947" w:type="pct"/>
                <w:vAlign w:val="center"/>
              </w:tcPr>
              <w:p w14:paraId="5BEAF171">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（五）专项储备</w:t>
                </w:r>
              </w:p>
            </w:tc>
          </w:sdtContent>
        </w:sdt>
        <w:tc>
          <w:tcPr>
            <w:tcW w:w="515" w:type="pct"/>
            <w:vAlign w:val="center"/>
          </w:tcPr>
          <w:p w14:paraId="5F009F3A">
            <w:pPr>
              <w:jc w:val="right"/>
              <w:rPr>
                <w:rFonts w:cs="Times New Roman"/>
                <w:sz w:val="13"/>
                <w:szCs w:val="13"/>
              </w:rPr>
            </w:pPr>
          </w:p>
        </w:tc>
        <w:tc>
          <w:tcPr>
            <w:tcW w:w="430" w:type="pct"/>
            <w:vAlign w:val="center"/>
          </w:tcPr>
          <w:p w14:paraId="57DDB07A">
            <w:pPr>
              <w:jc w:val="right"/>
              <w:rPr>
                <w:rFonts w:cs="Times New Roman"/>
                <w:sz w:val="13"/>
                <w:szCs w:val="13"/>
              </w:rPr>
            </w:pPr>
          </w:p>
        </w:tc>
        <w:tc>
          <w:tcPr>
            <w:tcW w:w="403" w:type="pct"/>
            <w:vAlign w:val="center"/>
          </w:tcPr>
          <w:p w14:paraId="63875A91">
            <w:pPr>
              <w:jc w:val="right"/>
              <w:rPr>
                <w:rFonts w:cs="Times New Roman"/>
                <w:sz w:val="13"/>
                <w:szCs w:val="13"/>
              </w:rPr>
            </w:pPr>
          </w:p>
        </w:tc>
        <w:tc>
          <w:tcPr>
            <w:tcW w:w="472" w:type="pct"/>
            <w:vAlign w:val="center"/>
          </w:tcPr>
          <w:p w14:paraId="6E8A9DF1">
            <w:pPr>
              <w:jc w:val="right"/>
              <w:rPr>
                <w:rFonts w:cs="Times New Roman"/>
                <w:sz w:val="13"/>
                <w:szCs w:val="13"/>
              </w:rPr>
            </w:pPr>
          </w:p>
        </w:tc>
        <w:tc>
          <w:tcPr>
            <w:tcW w:w="429" w:type="pct"/>
            <w:vAlign w:val="center"/>
          </w:tcPr>
          <w:p w14:paraId="553FCF12">
            <w:pPr>
              <w:jc w:val="right"/>
              <w:rPr>
                <w:rFonts w:cs="Times New Roman"/>
                <w:sz w:val="13"/>
                <w:szCs w:val="13"/>
              </w:rPr>
            </w:pPr>
          </w:p>
        </w:tc>
        <w:tc>
          <w:tcPr>
            <w:tcW w:w="418" w:type="pct"/>
            <w:vAlign w:val="center"/>
          </w:tcPr>
          <w:p w14:paraId="71B6F42F">
            <w:pPr>
              <w:jc w:val="right"/>
              <w:rPr>
                <w:rFonts w:cs="Times New Roman"/>
                <w:sz w:val="13"/>
                <w:szCs w:val="13"/>
              </w:rPr>
            </w:pPr>
          </w:p>
        </w:tc>
        <w:tc>
          <w:tcPr>
            <w:tcW w:w="442" w:type="pct"/>
            <w:vAlign w:val="center"/>
          </w:tcPr>
          <w:p w14:paraId="04BA3F5F">
            <w:pPr>
              <w:jc w:val="right"/>
              <w:rPr>
                <w:rFonts w:cs="Times New Roman"/>
                <w:sz w:val="13"/>
                <w:szCs w:val="13"/>
              </w:rPr>
            </w:pPr>
          </w:p>
        </w:tc>
        <w:tc>
          <w:tcPr>
            <w:tcW w:w="432" w:type="pct"/>
            <w:vAlign w:val="center"/>
          </w:tcPr>
          <w:p w14:paraId="0B7BDB51">
            <w:pPr>
              <w:jc w:val="right"/>
              <w:rPr>
                <w:rFonts w:cs="Times New Roman"/>
                <w:sz w:val="13"/>
                <w:szCs w:val="13"/>
              </w:rPr>
            </w:pPr>
          </w:p>
        </w:tc>
        <w:tc>
          <w:tcPr>
            <w:tcW w:w="507" w:type="pct"/>
            <w:vAlign w:val="center"/>
          </w:tcPr>
          <w:p w14:paraId="0A3ABE9F">
            <w:pPr>
              <w:jc w:val="right"/>
              <w:rPr>
                <w:rFonts w:cs="Times New Roman"/>
                <w:sz w:val="13"/>
                <w:szCs w:val="13"/>
              </w:rPr>
            </w:pPr>
          </w:p>
        </w:tc>
      </w:tr>
      <w:tr w14:paraId="67696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4bc69f9c7d34151a4b7a0d89088f0ee"/>
            <w:id w:val="147467403"/>
          </w:sdtPr>
          <w:sdtContent>
            <w:tc>
              <w:tcPr>
                <w:tcW w:w="947" w:type="pct"/>
                <w:vAlign w:val="center"/>
              </w:tcPr>
              <w:p w14:paraId="2BD85D29">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（六）其他</w:t>
                </w:r>
              </w:p>
            </w:tc>
          </w:sdtContent>
        </w:sdt>
        <w:tc>
          <w:tcPr>
            <w:tcW w:w="515" w:type="pct"/>
            <w:vAlign w:val="center"/>
          </w:tcPr>
          <w:p w14:paraId="3A338AA5">
            <w:pPr>
              <w:jc w:val="right"/>
              <w:rPr>
                <w:rFonts w:cs="Times New Roman"/>
                <w:sz w:val="13"/>
                <w:szCs w:val="13"/>
              </w:rPr>
            </w:pPr>
          </w:p>
        </w:tc>
        <w:tc>
          <w:tcPr>
            <w:tcW w:w="430" w:type="pct"/>
            <w:vAlign w:val="center"/>
          </w:tcPr>
          <w:p w14:paraId="648C6959">
            <w:pPr>
              <w:jc w:val="right"/>
              <w:rPr>
                <w:rFonts w:cs="Times New Roman"/>
                <w:sz w:val="13"/>
                <w:szCs w:val="13"/>
              </w:rPr>
            </w:pPr>
          </w:p>
        </w:tc>
        <w:tc>
          <w:tcPr>
            <w:tcW w:w="403" w:type="pct"/>
            <w:vAlign w:val="center"/>
          </w:tcPr>
          <w:p w14:paraId="7A3B4E6C">
            <w:pPr>
              <w:jc w:val="right"/>
              <w:rPr>
                <w:rFonts w:cs="Times New Roman"/>
                <w:sz w:val="13"/>
                <w:szCs w:val="13"/>
              </w:rPr>
            </w:pPr>
          </w:p>
        </w:tc>
        <w:tc>
          <w:tcPr>
            <w:tcW w:w="472" w:type="pct"/>
            <w:vAlign w:val="center"/>
          </w:tcPr>
          <w:p w14:paraId="503AD222">
            <w:pPr>
              <w:jc w:val="right"/>
              <w:rPr>
                <w:rFonts w:cs="Times New Roman"/>
                <w:sz w:val="13"/>
                <w:szCs w:val="13"/>
              </w:rPr>
            </w:pPr>
          </w:p>
        </w:tc>
        <w:tc>
          <w:tcPr>
            <w:tcW w:w="429" w:type="pct"/>
            <w:vAlign w:val="center"/>
          </w:tcPr>
          <w:p w14:paraId="0AF87D2B">
            <w:pPr>
              <w:jc w:val="right"/>
              <w:rPr>
                <w:rFonts w:cs="Times New Roman"/>
                <w:sz w:val="13"/>
                <w:szCs w:val="13"/>
              </w:rPr>
            </w:pPr>
          </w:p>
        </w:tc>
        <w:tc>
          <w:tcPr>
            <w:tcW w:w="418" w:type="pct"/>
            <w:vAlign w:val="center"/>
          </w:tcPr>
          <w:p w14:paraId="62D3C578">
            <w:pPr>
              <w:jc w:val="right"/>
              <w:rPr>
                <w:rFonts w:cs="Times New Roman"/>
                <w:sz w:val="13"/>
                <w:szCs w:val="13"/>
              </w:rPr>
            </w:pPr>
          </w:p>
        </w:tc>
        <w:tc>
          <w:tcPr>
            <w:tcW w:w="442" w:type="pct"/>
            <w:vAlign w:val="center"/>
          </w:tcPr>
          <w:p w14:paraId="18749601">
            <w:pPr>
              <w:jc w:val="right"/>
              <w:rPr>
                <w:rFonts w:cs="Times New Roman"/>
                <w:sz w:val="13"/>
                <w:szCs w:val="13"/>
              </w:rPr>
            </w:pPr>
          </w:p>
        </w:tc>
        <w:tc>
          <w:tcPr>
            <w:tcW w:w="432" w:type="pct"/>
            <w:vAlign w:val="center"/>
          </w:tcPr>
          <w:p w14:paraId="5A7782E8">
            <w:pPr>
              <w:jc w:val="right"/>
              <w:rPr>
                <w:rFonts w:cs="Times New Roman"/>
                <w:sz w:val="13"/>
                <w:szCs w:val="13"/>
              </w:rPr>
            </w:pPr>
          </w:p>
        </w:tc>
        <w:tc>
          <w:tcPr>
            <w:tcW w:w="507" w:type="pct"/>
            <w:vAlign w:val="center"/>
          </w:tcPr>
          <w:p w14:paraId="0F3F211C">
            <w:pPr>
              <w:jc w:val="right"/>
              <w:rPr>
                <w:rFonts w:cs="Times New Roman"/>
                <w:sz w:val="13"/>
                <w:szCs w:val="13"/>
              </w:rPr>
            </w:pPr>
          </w:p>
        </w:tc>
      </w:tr>
      <w:tr w14:paraId="60FD3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33ca7ec3c1d4c1b905d0af57ca8a614"/>
            <w:id w:val="147458973"/>
          </w:sdtPr>
          <w:sdtContent>
            <w:tc>
              <w:tcPr>
                <w:tcW w:w="947" w:type="pct"/>
                <w:vAlign w:val="center"/>
              </w:tcPr>
              <w:p w14:paraId="20C098A7">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四、本期期末余额</w:t>
                </w:r>
              </w:p>
            </w:tc>
          </w:sdtContent>
        </w:sdt>
        <w:tc>
          <w:tcPr>
            <w:tcW w:w="515" w:type="pct"/>
            <w:vAlign w:val="center"/>
          </w:tcPr>
          <w:p w14:paraId="4C4ADC03">
            <w:pPr>
              <w:jc w:val="right"/>
              <w:textAlignment w:val="bottom"/>
              <w:rPr>
                <w:rFonts w:cs="Times New Roman"/>
                <w:sz w:val="13"/>
                <w:szCs w:val="13"/>
              </w:rPr>
            </w:pPr>
            <w:r>
              <w:rPr>
                <w:rFonts w:eastAsia="Arial Narrow" w:cs="Times New Roman"/>
                <w:color w:val="000000"/>
                <w:sz w:val="13"/>
                <w:szCs w:val="13"/>
                <w:lang w:bidi="ar"/>
              </w:rPr>
              <w:t>4,391,629,404.00</w:t>
            </w:r>
          </w:p>
        </w:tc>
        <w:tc>
          <w:tcPr>
            <w:tcW w:w="430" w:type="pct"/>
            <w:vAlign w:val="center"/>
          </w:tcPr>
          <w:p w14:paraId="62EEB9AE">
            <w:pPr>
              <w:jc w:val="right"/>
              <w:textAlignment w:val="bottom"/>
              <w:rPr>
                <w:rFonts w:cs="Times New Roman"/>
                <w:sz w:val="13"/>
                <w:szCs w:val="13"/>
              </w:rPr>
            </w:pPr>
            <w:r>
              <w:rPr>
                <w:rFonts w:eastAsia="Arial Narrow" w:cs="Times New Roman"/>
                <w:color w:val="000000"/>
                <w:sz w:val="13"/>
                <w:szCs w:val="13"/>
                <w:lang w:bidi="ar"/>
              </w:rPr>
              <w:t>8,067,766,137.08</w:t>
            </w:r>
          </w:p>
        </w:tc>
        <w:tc>
          <w:tcPr>
            <w:tcW w:w="403" w:type="pct"/>
            <w:vAlign w:val="center"/>
          </w:tcPr>
          <w:p w14:paraId="67D185E0">
            <w:pPr>
              <w:jc w:val="right"/>
              <w:textAlignment w:val="bottom"/>
              <w:rPr>
                <w:rFonts w:cs="Times New Roman"/>
                <w:sz w:val="13"/>
                <w:szCs w:val="13"/>
              </w:rPr>
            </w:pPr>
            <w:r>
              <w:rPr>
                <w:rFonts w:eastAsia="Arial Narrow" w:cs="Times New Roman"/>
                <w:color w:val="000000"/>
                <w:sz w:val="13"/>
                <w:szCs w:val="13"/>
                <w:lang w:bidi="ar"/>
              </w:rPr>
              <w:t>39,938,040.72</w:t>
            </w:r>
          </w:p>
        </w:tc>
        <w:tc>
          <w:tcPr>
            <w:tcW w:w="472" w:type="pct"/>
            <w:vAlign w:val="center"/>
          </w:tcPr>
          <w:p w14:paraId="5F6B9928">
            <w:pPr>
              <w:jc w:val="right"/>
              <w:textAlignment w:val="bottom"/>
              <w:rPr>
                <w:rFonts w:cs="Times New Roman"/>
                <w:sz w:val="13"/>
                <w:szCs w:val="13"/>
              </w:rPr>
            </w:pPr>
            <w:r>
              <w:rPr>
                <w:rFonts w:eastAsia="Arial Narrow" w:cs="Times New Roman"/>
                <w:color w:val="000000"/>
                <w:sz w:val="13"/>
                <w:szCs w:val="13"/>
                <w:lang w:bidi="ar"/>
              </w:rPr>
              <w:t>-319,263,338.48</w:t>
            </w:r>
          </w:p>
        </w:tc>
        <w:tc>
          <w:tcPr>
            <w:tcW w:w="429" w:type="pct"/>
            <w:vAlign w:val="center"/>
          </w:tcPr>
          <w:p w14:paraId="41E2E259">
            <w:pPr>
              <w:jc w:val="right"/>
              <w:textAlignment w:val="bottom"/>
              <w:rPr>
                <w:rFonts w:cs="Times New Roman"/>
                <w:sz w:val="13"/>
                <w:szCs w:val="13"/>
              </w:rPr>
            </w:pPr>
            <w:r>
              <w:rPr>
                <w:rFonts w:eastAsia="Arial Narrow" w:cs="Times New Roman"/>
                <w:color w:val="000000"/>
                <w:sz w:val="13"/>
                <w:szCs w:val="13"/>
                <w:lang w:bidi="ar"/>
              </w:rPr>
              <w:t>369,677,423.82</w:t>
            </w:r>
          </w:p>
        </w:tc>
        <w:tc>
          <w:tcPr>
            <w:tcW w:w="418" w:type="pct"/>
            <w:vAlign w:val="center"/>
          </w:tcPr>
          <w:p w14:paraId="243539F8">
            <w:pPr>
              <w:jc w:val="right"/>
              <w:textAlignment w:val="bottom"/>
              <w:rPr>
                <w:rFonts w:cs="Times New Roman"/>
                <w:sz w:val="13"/>
                <w:szCs w:val="13"/>
              </w:rPr>
            </w:pPr>
            <w:r>
              <w:rPr>
                <w:rFonts w:eastAsia="Arial Narrow" w:cs="Times New Roman"/>
                <w:color w:val="000000"/>
                <w:sz w:val="13"/>
                <w:szCs w:val="13"/>
                <w:lang w:bidi="ar"/>
              </w:rPr>
              <w:t>24,218,486.35</w:t>
            </w:r>
          </w:p>
        </w:tc>
        <w:tc>
          <w:tcPr>
            <w:tcW w:w="442" w:type="pct"/>
            <w:vAlign w:val="center"/>
          </w:tcPr>
          <w:p w14:paraId="524D7617">
            <w:pPr>
              <w:jc w:val="right"/>
              <w:textAlignment w:val="bottom"/>
              <w:rPr>
                <w:rFonts w:cs="Times New Roman"/>
                <w:sz w:val="13"/>
                <w:szCs w:val="13"/>
              </w:rPr>
            </w:pPr>
            <w:r>
              <w:rPr>
                <w:rFonts w:eastAsia="Arial Narrow" w:cs="Times New Roman"/>
                <w:color w:val="000000"/>
                <w:sz w:val="13"/>
                <w:szCs w:val="13"/>
                <w:lang w:bidi="ar"/>
              </w:rPr>
              <w:t>12,494,090,072.05</w:t>
            </w:r>
          </w:p>
        </w:tc>
        <w:tc>
          <w:tcPr>
            <w:tcW w:w="432" w:type="pct"/>
            <w:vAlign w:val="center"/>
          </w:tcPr>
          <w:p w14:paraId="43618C6D">
            <w:pPr>
              <w:jc w:val="right"/>
              <w:textAlignment w:val="bottom"/>
              <w:rPr>
                <w:rFonts w:cs="Times New Roman"/>
                <w:sz w:val="13"/>
                <w:szCs w:val="13"/>
              </w:rPr>
            </w:pPr>
            <w:r>
              <w:rPr>
                <w:rFonts w:eastAsia="Arial Narrow" w:cs="Times New Roman"/>
                <w:color w:val="000000"/>
                <w:sz w:val="13"/>
                <w:szCs w:val="13"/>
                <w:lang w:bidi="ar"/>
              </w:rPr>
              <w:t>-99,377,344.72</w:t>
            </w:r>
          </w:p>
        </w:tc>
        <w:tc>
          <w:tcPr>
            <w:tcW w:w="507" w:type="pct"/>
            <w:vAlign w:val="center"/>
          </w:tcPr>
          <w:p w14:paraId="53CBCE4F">
            <w:pPr>
              <w:jc w:val="right"/>
              <w:textAlignment w:val="bottom"/>
              <w:rPr>
                <w:rFonts w:cs="Times New Roman"/>
                <w:sz w:val="13"/>
                <w:szCs w:val="13"/>
              </w:rPr>
            </w:pPr>
            <w:r>
              <w:rPr>
                <w:rFonts w:eastAsia="Arial Narrow" w:cs="Times New Roman"/>
                <w:color w:val="000000"/>
                <w:sz w:val="13"/>
                <w:szCs w:val="13"/>
                <w:lang w:bidi="ar"/>
              </w:rPr>
              <w:t>12,394,712,727.33</w:t>
            </w:r>
          </w:p>
        </w:tc>
      </w:tr>
    </w:tbl>
    <w:p w14:paraId="3BAE045A"/>
    <w:p w14:paraId="55AE55D5">
      <w:pPr>
        <w:snapToGrid w:val="0"/>
        <w:spacing w:line="240" w:lineRule="atLeast"/>
        <w:ind w:right="-1594" w:rightChars="-759"/>
        <w:rPr>
          <w:color w:val="000000" w:themeColor="text1"/>
          <w14:textFill>
            <w14:solidFill>
              <w14:schemeClr w14:val="tx1"/>
            </w14:solidFill>
          </w14:textFill>
        </w:rPr>
      </w:pP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9"/>
        <w:gridCol w:w="1509"/>
        <w:gridCol w:w="1178"/>
        <w:gridCol w:w="1150"/>
        <w:gridCol w:w="1301"/>
        <w:gridCol w:w="1223"/>
        <w:gridCol w:w="1162"/>
        <w:gridCol w:w="1273"/>
        <w:gridCol w:w="1209"/>
        <w:gridCol w:w="1415"/>
      </w:tblGrid>
      <w:tr w14:paraId="5542E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69" w:type="dxa"/>
            <w:vMerge w:val="restart"/>
            <w:vAlign w:val="center"/>
          </w:tcPr>
          <w:sdt>
            <w:sdtPr>
              <w:tag w:val="_PLD_20eb9c9dd1e14fb0a0790f87b63a489d"/>
              <w:id w:val="147457784"/>
            </w:sdtPr>
            <w:sdtContent>
              <w:p w14:paraId="5773677E">
                <w:pPr>
                  <w:snapToGrid w:val="0"/>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项目</w:t>
                </w:r>
              </w:p>
            </w:sdtContent>
          </w:sdt>
        </w:tc>
        <w:tc>
          <w:tcPr>
            <w:tcW w:w="11420" w:type="dxa"/>
            <w:gridSpan w:val="9"/>
            <w:vAlign w:val="center"/>
          </w:tcPr>
          <w:p w14:paraId="544F8524">
            <w:pPr>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sdt>
              <w:sdtPr>
                <w:tag w:val="_PLD_95c0e6e5f75a49daa1b601f67b7dd704"/>
                <w:id w:val="147451524"/>
              </w:sdtPr>
              <w:sdtContent>
                <w:r>
                  <w:rPr>
                    <w:rFonts w:hint="eastAsia"/>
                    <w:color w:val="000000" w:themeColor="text1"/>
                    <w:sz w:val="18"/>
                    <w:szCs w:val="18"/>
                    <w14:textFill>
                      <w14:solidFill>
                        <w14:schemeClr w14:val="tx1"/>
                      </w14:solidFill>
                    </w14:textFill>
                  </w:rPr>
                  <w:t>2024年半年度</w:t>
                </w:r>
              </w:sdtContent>
            </w:sdt>
          </w:p>
        </w:tc>
      </w:tr>
      <w:tr w14:paraId="1B1B8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blHeader/>
        </w:trPr>
        <w:tc>
          <w:tcPr>
            <w:tcW w:w="2669" w:type="dxa"/>
            <w:vMerge w:val="continue"/>
            <w:vAlign w:val="center"/>
          </w:tcPr>
          <w:p w14:paraId="18EA48D5">
            <w:pPr>
              <w:snapToGrid w:val="0"/>
              <w:spacing w:line="240" w:lineRule="atLeast"/>
              <w:ind w:right="-1594" w:rightChars="-759"/>
              <w:rPr>
                <w:color w:val="000000" w:themeColor="text1"/>
                <w:sz w:val="18"/>
                <w:szCs w:val="18"/>
                <w14:textFill>
                  <w14:solidFill>
                    <w14:schemeClr w14:val="tx1"/>
                  </w14:solidFill>
                </w14:textFill>
              </w:rPr>
            </w:pPr>
          </w:p>
        </w:tc>
        <w:sdt>
          <w:sdtPr>
            <w:tag w:val="_PLD_3c5d65171933469ea16eac46afc03a54"/>
            <w:id w:val="147456279"/>
          </w:sdtPr>
          <w:sdtContent>
            <w:tc>
              <w:tcPr>
                <w:tcW w:w="8796" w:type="dxa"/>
                <w:gridSpan w:val="7"/>
                <w:vAlign w:val="center"/>
              </w:tcPr>
              <w:p w14:paraId="022A9E67">
                <w:pPr>
                  <w:jc w:val="center"/>
                  <w:rPr>
                    <w:color w:val="000000" w:themeColor="text1"/>
                    <w14:textFill>
                      <w14:solidFill>
                        <w14:schemeClr w14:val="tx1"/>
                      </w14:solidFill>
                    </w14:textFill>
                  </w:rPr>
                </w:pPr>
                <w:r>
                  <w:rPr>
                    <w:color w:val="000000" w:themeColor="text1"/>
                    <w:sz w:val="18"/>
                    <w:szCs w:val="18"/>
                    <w14:textFill>
                      <w14:solidFill>
                        <w14:schemeClr w14:val="tx1"/>
                      </w14:solidFill>
                    </w14:textFill>
                  </w:rPr>
                  <w:t>归属于母公司所有者权益</w:t>
                </w:r>
              </w:p>
            </w:tc>
          </w:sdtContent>
        </w:sdt>
        <w:sdt>
          <w:sdtPr>
            <w:tag w:val="_PLD_ba7b1c99b1634f48939c500d6c46ce09"/>
            <w:id w:val="147467149"/>
          </w:sdtPr>
          <w:sdtContent>
            <w:tc>
              <w:tcPr>
                <w:tcW w:w="1209" w:type="dxa"/>
                <w:vMerge w:val="restart"/>
                <w:vAlign w:val="center"/>
              </w:tcPr>
              <w:p w14:paraId="48E8C6B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少数股东</w:t>
                </w:r>
              </w:p>
              <w:p w14:paraId="2851B881">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权益</w:t>
                </w:r>
              </w:p>
            </w:tc>
          </w:sdtContent>
        </w:sdt>
        <w:sdt>
          <w:sdtPr>
            <w:tag w:val="_PLD_fb367567c5f141a5863649df07435b71"/>
            <w:id w:val="147459114"/>
          </w:sdtPr>
          <w:sdtContent>
            <w:tc>
              <w:tcPr>
                <w:tcW w:w="1415" w:type="dxa"/>
                <w:vMerge w:val="restart"/>
                <w:vAlign w:val="center"/>
              </w:tcPr>
              <w:p w14:paraId="07DCAFB6">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所有者权益</w:t>
                </w:r>
              </w:p>
              <w:p w14:paraId="19EAC73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合计</w:t>
                </w:r>
              </w:p>
            </w:tc>
          </w:sdtContent>
        </w:sdt>
      </w:tr>
      <w:tr w14:paraId="2401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trPr>
        <w:tc>
          <w:tcPr>
            <w:tcW w:w="2669" w:type="dxa"/>
            <w:vMerge w:val="continue"/>
            <w:vAlign w:val="center"/>
          </w:tcPr>
          <w:p w14:paraId="58223333">
            <w:pPr>
              <w:snapToGrid w:val="0"/>
              <w:spacing w:line="240" w:lineRule="atLeast"/>
              <w:ind w:right="-1594" w:rightChars="-759"/>
              <w:rPr>
                <w:color w:val="000000" w:themeColor="text1"/>
                <w:sz w:val="18"/>
                <w:szCs w:val="18"/>
                <w14:textFill>
                  <w14:solidFill>
                    <w14:schemeClr w14:val="tx1"/>
                  </w14:solidFill>
                </w14:textFill>
              </w:rPr>
            </w:pPr>
          </w:p>
        </w:tc>
        <w:sdt>
          <w:sdtPr>
            <w:tag w:val="_PLD_36b3a5c009c04b53b0bd25afc2596e7e"/>
            <w:id w:val="147453608"/>
          </w:sdtPr>
          <w:sdtContent>
            <w:tc>
              <w:tcPr>
                <w:tcW w:w="1509" w:type="dxa"/>
                <w:vAlign w:val="center"/>
              </w:tcPr>
              <w:p w14:paraId="4B369887">
                <w:pPr>
                  <w:snapToGrid w:val="0"/>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实收资本</w:t>
                </w:r>
                <w:r>
                  <w:rPr>
                    <w:color w:val="000000" w:themeColor="text1"/>
                    <w:sz w:val="18"/>
                    <w:szCs w:val="18"/>
                    <w14:textFill>
                      <w14:solidFill>
                        <w14:schemeClr w14:val="tx1"/>
                      </w14:solidFill>
                    </w14:textFill>
                  </w:rPr>
                  <w:t>(或股本)</w:t>
                </w:r>
              </w:p>
            </w:tc>
          </w:sdtContent>
        </w:sdt>
        <w:sdt>
          <w:sdtPr>
            <w:tag w:val="_PLD_f728bf12d1d64c4fa04dfc828a7a0411"/>
            <w:id w:val="147475778"/>
          </w:sdtPr>
          <w:sdtContent>
            <w:tc>
              <w:tcPr>
                <w:tcW w:w="1178" w:type="dxa"/>
                <w:vAlign w:val="center"/>
              </w:tcPr>
              <w:p w14:paraId="34A65097">
                <w:pPr>
                  <w:snapToGrid w:val="0"/>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资本公积</w:t>
                </w:r>
              </w:p>
            </w:tc>
          </w:sdtContent>
        </w:sdt>
        <w:sdt>
          <w:sdtPr>
            <w:tag w:val="_PLD_8c191e0685ac4367b113504c484a11e9"/>
            <w:id w:val="147461636"/>
          </w:sdtPr>
          <w:sdtContent>
            <w:tc>
              <w:tcPr>
                <w:tcW w:w="1150" w:type="dxa"/>
                <w:vAlign w:val="center"/>
              </w:tcPr>
              <w:p w14:paraId="09C79699">
                <w:pPr>
                  <w:snapToGrid w:val="0"/>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减：库存股</w:t>
                </w:r>
              </w:p>
            </w:tc>
          </w:sdtContent>
        </w:sdt>
        <w:sdt>
          <w:sdtPr>
            <w:tag w:val="_PLD_68ae3206209542ea8491f40d49bafeb7"/>
            <w:id w:val="147483040"/>
          </w:sdtPr>
          <w:sdtContent>
            <w:tc>
              <w:tcPr>
                <w:tcW w:w="1301" w:type="dxa"/>
                <w:vAlign w:val="center"/>
              </w:tcPr>
              <w:p w14:paraId="5349503C">
                <w:pPr>
                  <w:snapToGrid w:val="0"/>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其他综合收益</w:t>
                </w:r>
              </w:p>
            </w:tc>
          </w:sdtContent>
        </w:sdt>
        <w:sdt>
          <w:sdtPr>
            <w:tag w:val="_PLD_b1d22d8686164205bfa14ef647cebfcd"/>
            <w:id w:val="147483257"/>
          </w:sdtPr>
          <w:sdtContent>
            <w:tc>
              <w:tcPr>
                <w:tcW w:w="1223" w:type="dxa"/>
                <w:vAlign w:val="center"/>
              </w:tcPr>
              <w:p w14:paraId="348801E0">
                <w:pPr>
                  <w:snapToGrid w:val="0"/>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盈余公积</w:t>
                </w:r>
              </w:p>
            </w:tc>
          </w:sdtContent>
        </w:sdt>
        <w:sdt>
          <w:sdtPr>
            <w:tag w:val="_PLD_c9bffd2027d24ca1955db036ad79f5ea"/>
            <w:id w:val="147465463"/>
          </w:sdtPr>
          <w:sdtContent>
            <w:tc>
              <w:tcPr>
                <w:tcW w:w="1162" w:type="dxa"/>
                <w:vAlign w:val="center"/>
              </w:tcPr>
              <w:p w14:paraId="2232BDEF">
                <w:pPr>
                  <w:snapToGrid w:val="0"/>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未分配利润</w:t>
                </w:r>
              </w:p>
            </w:tc>
          </w:sdtContent>
        </w:sdt>
        <w:tc>
          <w:tcPr>
            <w:tcW w:w="1273" w:type="dxa"/>
            <w:vAlign w:val="center"/>
          </w:tcPr>
          <w:sdt>
            <w:sdtPr>
              <w:tag w:val="_PLD_e6df9793a438430a8df9730b2cdd8a99"/>
              <w:id w:val="147451439"/>
            </w:sdtPr>
            <w:sdtContent>
              <w:p w14:paraId="0159234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小计</w:t>
                </w:r>
              </w:p>
            </w:sdtContent>
          </w:sdt>
        </w:tc>
        <w:tc>
          <w:tcPr>
            <w:tcW w:w="1209" w:type="dxa"/>
            <w:vMerge w:val="continue"/>
            <w:vAlign w:val="center"/>
          </w:tcPr>
          <w:p w14:paraId="2A2B7232">
            <w:pPr>
              <w:jc w:val="center"/>
              <w:rPr>
                <w:color w:val="000000" w:themeColor="text1"/>
                <w:sz w:val="18"/>
                <w:szCs w:val="18"/>
                <w14:textFill>
                  <w14:solidFill>
                    <w14:schemeClr w14:val="tx1"/>
                  </w14:solidFill>
                </w14:textFill>
              </w:rPr>
            </w:pPr>
          </w:p>
        </w:tc>
        <w:tc>
          <w:tcPr>
            <w:tcW w:w="1415" w:type="dxa"/>
            <w:vMerge w:val="continue"/>
            <w:vAlign w:val="center"/>
          </w:tcPr>
          <w:p w14:paraId="632C7B9A">
            <w:pPr>
              <w:jc w:val="center"/>
              <w:rPr>
                <w:color w:val="000000" w:themeColor="text1"/>
                <w:sz w:val="18"/>
                <w:szCs w:val="18"/>
                <w14:textFill>
                  <w14:solidFill>
                    <w14:schemeClr w14:val="tx1"/>
                  </w14:solidFill>
                </w14:textFill>
              </w:rPr>
            </w:pPr>
          </w:p>
        </w:tc>
      </w:tr>
      <w:tr w14:paraId="2771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e9607e7cfb34d74bf0fce08e0866d34"/>
            <w:id w:val="147478781"/>
          </w:sdtPr>
          <w:sdtContent>
            <w:tc>
              <w:tcPr>
                <w:tcW w:w="2669" w:type="dxa"/>
                <w:vAlign w:val="center"/>
              </w:tcPr>
              <w:p w14:paraId="32787233">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一、上年</w:t>
                </w:r>
                <w:r>
                  <w:rPr>
                    <w:rFonts w:hint="eastAsia"/>
                    <w:color w:val="000000" w:themeColor="text1"/>
                    <w:sz w:val="18"/>
                    <w:szCs w:val="18"/>
                    <w14:textFill>
                      <w14:solidFill>
                        <w14:schemeClr w14:val="tx1"/>
                      </w14:solidFill>
                    </w14:textFill>
                  </w:rPr>
                  <w:t>期</w:t>
                </w:r>
                <w:r>
                  <w:rPr>
                    <w:color w:val="000000" w:themeColor="text1"/>
                    <w:sz w:val="18"/>
                    <w:szCs w:val="18"/>
                    <w14:textFill>
                      <w14:solidFill>
                        <w14:schemeClr w14:val="tx1"/>
                      </w14:solidFill>
                    </w14:textFill>
                  </w:rPr>
                  <w:t>末余额</w:t>
                </w:r>
              </w:p>
            </w:tc>
          </w:sdtContent>
        </w:sdt>
        <w:tc>
          <w:tcPr>
            <w:tcW w:w="1509" w:type="dxa"/>
            <w:vAlign w:val="center"/>
          </w:tcPr>
          <w:p w14:paraId="3247F059">
            <w:pPr>
              <w:jc w:val="right"/>
              <w:rPr>
                <w:rFonts w:cs="Times New Roman"/>
                <w:sz w:val="13"/>
                <w:szCs w:val="13"/>
              </w:rPr>
            </w:pPr>
            <w:r>
              <w:rPr>
                <w:rFonts w:cs="Times New Roman"/>
                <w:color w:val="000000"/>
                <w:sz w:val="13"/>
                <w:szCs w:val="13"/>
              </w:rPr>
              <w:t>4,391,629,404.00</w:t>
            </w:r>
          </w:p>
        </w:tc>
        <w:tc>
          <w:tcPr>
            <w:tcW w:w="1178" w:type="dxa"/>
            <w:vAlign w:val="center"/>
          </w:tcPr>
          <w:p w14:paraId="11A272EA">
            <w:pPr>
              <w:jc w:val="right"/>
              <w:rPr>
                <w:rFonts w:cs="Times New Roman"/>
                <w:sz w:val="13"/>
                <w:szCs w:val="13"/>
              </w:rPr>
            </w:pPr>
            <w:r>
              <w:rPr>
                <w:rFonts w:cs="Times New Roman"/>
                <w:color w:val="000000"/>
                <w:sz w:val="13"/>
                <w:szCs w:val="13"/>
              </w:rPr>
              <w:t>8,067,766,137.08</w:t>
            </w:r>
          </w:p>
        </w:tc>
        <w:tc>
          <w:tcPr>
            <w:tcW w:w="1150" w:type="dxa"/>
            <w:vAlign w:val="center"/>
          </w:tcPr>
          <w:p w14:paraId="18DD350A">
            <w:pPr>
              <w:jc w:val="right"/>
              <w:rPr>
                <w:rFonts w:cs="Times New Roman"/>
                <w:sz w:val="13"/>
                <w:szCs w:val="13"/>
              </w:rPr>
            </w:pPr>
          </w:p>
        </w:tc>
        <w:tc>
          <w:tcPr>
            <w:tcW w:w="1301" w:type="dxa"/>
            <w:vAlign w:val="center"/>
          </w:tcPr>
          <w:p w14:paraId="1D95EA63">
            <w:pPr>
              <w:jc w:val="right"/>
              <w:rPr>
                <w:rFonts w:cs="Times New Roman"/>
                <w:sz w:val="13"/>
                <w:szCs w:val="13"/>
              </w:rPr>
            </w:pPr>
            <w:r>
              <w:rPr>
                <w:rFonts w:cs="Times New Roman"/>
                <w:color w:val="000000"/>
                <w:sz w:val="13"/>
                <w:szCs w:val="13"/>
              </w:rPr>
              <w:t>-188,407,871.25</w:t>
            </w:r>
          </w:p>
        </w:tc>
        <w:tc>
          <w:tcPr>
            <w:tcW w:w="1223" w:type="dxa"/>
            <w:vAlign w:val="center"/>
          </w:tcPr>
          <w:p w14:paraId="52E1278E">
            <w:pPr>
              <w:jc w:val="right"/>
              <w:rPr>
                <w:rFonts w:cs="Times New Roman"/>
                <w:sz w:val="13"/>
                <w:szCs w:val="13"/>
              </w:rPr>
            </w:pPr>
            <w:r>
              <w:rPr>
                <w:rFonts w:cs="Times New Roman"/>
                <w:color w:val="000000"/>
                <w:sz w:val="13"/>
                <w:szCs w:val="13"/>
              </w:rPr>
              <w:t>369,657,198.90</w:t>
            </w:r>
          </w:p>
        </w:tc>
        <w:tc>
          <w:tcPr>
            <w:tcW w:w="1162" w:type="dxa"/>
            <w:vAlign w:val="center"/>
          </w:tcPr>
          <w:p w14:paraId="4D94EACA">
            <w:pPr>
              <w:jc w:val="right"/>
              <w:rPr>
                <w:rFonts w:cs="Times New Roman"/>
                <w:sz w:val="13"/>
                <w:szCs w:val="13"/>
              </w:rPr>
            </w:pPr>
            <w:r>
              <w:rPr>
                <w:rFonts w:cs="Times New Roman"/>
                <w:color w:val="000000"/>
                <w:sz w:val="13"/>
                <w:szCs w:val="13"/>
              </w:rPr>
              <w:t>4,463,369,702.05</w:t>
            </w:r>
          </w:p>
        </w:tc>
        <w:tc>
          <w:tcPr>
            <w:tcW w:w="1273" w:type="dxa"/>
            <w:vAlign w:val="center"/>
          </w:tcPr>
          <w:p w14:paraId="70F7ECBC">
            <w:pPr>
              <w:jc w:val="right"/>
              <w:rPr>
                <w:rFonts w:cs="Times New Roman"/>
                <w:sz w:val="13"/>
                <w:szCs w:val="13"/>
              </w:rPr>
            </w:pPr>
            <w:r>
              <w:rPr>
                <w:rFonts w:cs="Times New Roman"/>
                <w:color w:val="000000"/>
                <w:sz w:val="13"/>
                <w:szCs w:val="13"/>
              </w:rPr>
              <w:t>17,104,014,570.78</w:t>
            </w:r>
          </w:p>
        </w:tc>
        <w:tc>
          <w:tcPr>
            <w:tcW w:w="1209" w:type="dxa"/>
            <w:vAlign w:val="center"/>
          </w:tcPr>
          <w:p w14:paraId="5F00E700">
            <w:pPr>
              <w:jc w:val="right"/>
              <w:rPr>
                <w:rFonts w:cs="Times New Roman"/>
                <w:sz w:val="13"/>
                <w:szCs w:val="13"/>
              </w:rPr>
            </w:pPr>
            <w:r>
              <w:rPr>
                <w:rFonts w:cs="Times New Roman"/>
                <w:color w:val="000000"/>
                <w:sz w:val="13"/>
                <w:szCs w:val="13"/>
              </w:rPr>
              <w:t>-65,174,646.01</w:t>
            </w:r>
          </w:p>
        </w:tc>
        <w:tc>
          <w:tcPr>
            <w:tcW w:w="1415" w:type="dxa"/>
            <w:vAlign w:val="center"/>
          </w:tcPr>
          <w:p w14:paraId="186080C0">
            <w:pPr>
              <w:jc w:val="right"/>
              <w:rPr>
                <w:rFonts w:cs="Times New Roman"/>
                <w:sz w:val="13"/>
                <w:szCs w:val="13"/>
              </w:rPr>
            </w:pPr>
            <w:r>
              <w:rPr>
                <w:rFonts w:cs="Times New Roman"/>
                <w:color w:val="000000"/>
                <w:sz w:val="13"/>
                <w:szCs w:val="13"/>
              </w:rPr>
              <w:t>17,038,839,924.77</w:t>
            </w:r>
          </w:p>
        </w:tc>
      </w:tr>
      <w:tr w14:paraId="5DFEC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579c38070f04b86951daea3037af89c"/>
            <w:id w:val="147452797"/>
          </w:sdtPr>
          <w:sdtContent>
            <w:tc>
              <w:tcPr>
                <w:tcW w:w="2669" w:type="dxa"/>
                <w:vAlign w:val="center"/>
              </w:tcPr>
              <w:p w14:paraId="098BB2D6">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二、本年</w:t>
                </w:r>
                <w:r>
                  <w:rPr>
                    <w:rFonts w:hint="eastAsia"/>
                    <w:color w:val="000000" w:themeColor="text1"/>
                    <w:sz w:val="18"/>
                    <w:szCs w:val="18"/>
                    <w14:textFill>
                      <w14:solidFill>
                        <w14:schemeClr w14:val="tx1"/>
                      </w14:solidFill>
                    </w14:textFill>
                  </w:rPr>
                  <w:t>期</w:t>
                </w:r>
                <w:r>
                  <w:rPr>
                    <w:color w:val="000000" w:themeColor="text1"/>
                    <w:sz w:val="18"/>
                    <w:szCs w:val="18"/>
                    <w14:textFill>
                      <w14:solidFill>
                        <w14:schemeClr w14:val="tx1"/>
                      </w14:solidFill>
                    </w14:textFill>
                  </w:rPr>
                  <w:t>初余额</w:t>
                </w:r>
              </w:p>
            </w:tc>
          </w:sdtContent>
        </w:sdt>
        <w:tc>
          <w:tcPr>
            <w:tcW w:w="1509" w:type="dxa"/>
            <w:vAlign w:val="center"/>
          </w:tcPr>
          <w:p w14:paraId="2A8816DD">
            <w:pPr>
              <w:jc w:val="right"/>
              <w:rPr>
                <w:rFonts w:cs="Times New Roman"/>
                <w:sz w:val="13"/>
                <w:szCs w:val="13"/>
              </w:rPr>
            </w:pPr>
            <w:r>
              <w:rPr>
                <w:rFonts w:cs="Times New Roman"/>
                <w:color w:val="000000"/>
                <w:sz w:val="13"/>
                <w:szCs w:val="13"/>
              </w:rPr>
              <w:t>4,391,629,404.00</w:t>
            </w:r>
          </w:p>
        </w:tc>
        <w:tc>
          <w:tcPr>
            <w:tcW w:w="1178" w:type="dxa"/>
            <w:vAlign w:val="center"/>
          </w:tcPr>
          <w:p w14:paraId="6CAA2DEB">
            <w:pPr>
              <w:jc w:val="right"/>
              <w:rPr>
                <w:rFonts w:cs="Times New Roman"/>
                <w:sz w:val="13"/>
                <w:szCs w:val="13"/>
              </w:rPr>
            </w:pPr>
            <w:r>
              <w:rPr>
                <w:rFonts w:cs="Times New Roman"/>
                <w:color w:val="000000"/>
                <w:sz w:val="13"/>
                <w:szCs w:val="13"/>
              </w:rPr>
              <w:t>8,067,766,137.08</w:t>
            </w:r>
          </w:p>
        </w:tc>
        <w:tc>
          <w:tcPr>
            <w:tcW w:w="1150" w:type="dxa"/>
            <w:vAlign w:val="center"/>
          </w:tcPr>
          <w:p w14:paraId="51463C93">
            <w:pPr>
              <w:jc w:val="right"/>
              <w:rPr>
                <w:rFonts w:cs="Times New Roman"/>
                <w:sz w:val="13"/>
                <w:szCs w:val="13"/>
              </w:rPr>
            </w:pPr>
          </w:p>
        </w:tc>
        <w:tc>
          <w:tcPr>
            <w:tcW w:w="1301" w:type="dxa"/>
            <w:vAlign w:val="center"/>
          </w:tcPr>
          <w:p w14:paraId="0E4A7D5B">
            <w:pPr>
              <w:jc w:val="right"/>
              <w:rPr>
                <w:rFonts w:cs="Times New Roman"/>
                <w:sz w:val="13"/>
                <w:szCs w:val="13"/>
              </w:rPr>
            </w:pPr>
            <w:r>
              <w:rPr>
                <w:rFonts w:cs="Times New Roman"/>
                <w:color w:val="000000"/>
                <w:sz w:val="13"/>
                <w:szCs w:val="13"/>
              </w:rPr>
              <w:t>-188,407,871.25</w:t>
            </w:r>
          </w:p>
        </w:tc>
        <w:tc>
          <w:tcPr>
            <w:tcW w:w="1223" w:type="dxa"/>
            <w:vAlign w:val="center"/>
          </w:tcPr>
          <w:p w14:paraId="0AE6733F">
            <w:pPr>
              <w:jc w:val="right"/>
              <w:rPr>
                <w:rFonts w:cs="Times New Roman"/>
                <w:sz w:val="13"/>
                <w:szCs w:val="13"/>
              </w:rPr>
            </w:pPr>
            <w:r>
              <w:rPr>
                <w:rFonts w:cs="Times New Roman"/>
                <w:color w:val="000000"/>
                <w:sz w:val="13"/>
                <w:szCs w:val="13"/>
              </w:rPr>
              <w:t>369,657,198.90</w:t>
            </w:r>
          </w:p>
        </w:tc>
        <w:tc>
          <w:tcPr>
            <w:tcW w:w="1162" w:type="dxa"/>
            <w:vAlign w:val="center"/>
          </w:tcPr>
          <w:p w14:paraId="57B94865">
            <w:pPr>
              <w:jc w:val="right"/>
              <w:rPr>
                <w:rFonts w:cs="Times New Roman"/>
                <w:sz w:val="13"/>
                <w:szCs w:val="13"/>
              </w:rPr>
            </w:pPr>
            <w:r>
              <w:rPr>
                <w:rFonts w:cs="Times New Roman"/>
                <w:color w:val="000000"/>
                <w:sz w:val="13"/>
                <w:szCs w:val="13"/>
              </w:rPr>
              <w:t>4,463,369,702.05</w:t>
            </w:r>
          </w:p>
        </w:tc>
        <w:tc>
          <w:tcPr>
            <w:tcW w:w="1273" w:type="dxa"/>
            <w:vAlign w:val="center"/>
          </w:tcPr>
          <w:p w14:paraId="61A3E722">
            <w:pPr>
              <w:jc w:val="right"/>
              <w:rPr>
                <w:rFonts w:cs="Times New Roman"/>
                <w:sz w:val="13"/>
                <w:szCs w:val="13"/>
              </w:rPr>
            </w:pPr>
            <w:r>
              <w:rPr>
                <w:rFonts w:cs="Times New Roman"/>
                <w:color w:val="000000"/>
                <w:sz w:val="13"/>
                <w:szCs w:val="13"/>
              </w:rPr>
              <w:t>17,104,014,570.78</w:t>
            </w:r>
          </w:p>
        </w:tc>
        <w:tc>
          <w:tcPr>
            <w:tcW w:w="1209" w:type="dxa"/>
            <w:vAlign w:val="center"/>
          </w:tcPr>
          <w:p w14:paraId="3331C1BB">
            <w:pPr>
              <w:jc w:val="right"/>
              <w:rPr>
                <w:rFonts w:cs="Times New Roman"/>
                <w:sz w:val="13"/>
                <w:szCs w:val="13"/>
              </w:rPr>
            </w:pPr>
            <w:r>
              <w:rPr>
                <w:rFonts w:cs="Times New Roman"/>
                <w:color w:val="000000"/>
                <w:sz w:val="13"/>
                <w:szCs w:val="13"/>
              </w:rPr>
              <w:t>-65,174,646.01</w:t>
            </w:r>
          </w:p>
        </w:tc>
        <w:tc>
          <w:tcPr>
            <w:tcW w:w="1415" w:type="dxa"/>
            <w:vAlign w:val="center"/>
          </w:tcPr>
          <w:p w14:paraId="43CB5007">
            <w:pPr>
              <w:jc w:val="right"/>
              <w:rPr>
                <w:rFonts w:cs="Times New Roman"/>
                <w:sz w:val="13"/>
                <w:szCs w:val="13"/>
              </w:rPr>
            </w:pPr>
            <w:r>
              <w:rPr>
                <w:rFonts w:cs="Times New Roman"/>
                <w:color w:val="000000"/>
                <w:sz w:val="13"/>
                <w:szCs w:val="13"/>
              </w:rPr>
              <w:t>17,038,839,924.77</w:t>
            </w:r>
          </w:p>
        </w:tc>
      </w:tr>
      <w:tr w14:paraId="79648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86aec2424a047ee9af21797aa0ee0d8"/>
            <w:id w:val="147474512"/>
          </w:sdtPr>
          <w:sdtContent>
            <w:tc>
              <w:tcPr>
                <w:tcW w:w="2669" w:type="dxa"/>
                <w:vAlign w:val="center"/>
              </w:tcPr>
              <w:p w14:paraId="0B918C7F">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三、本</w:t>
                </w:r>
                <w:r>
                  <w:rPr>
                    <w:rFonts w:hint="eastAsia"/>
                    <w:color w:val="000000" w:themeColor="text1"/>
                    <w:sz w:val="18"/>
                    <w:szCs w:val="18"/>
                    <w14:textFill>
                      <w14:solidFill>
                        <w14:schemeClr w14:val="tx1"/>
                      </w14:solidFill>
                    </w14:textFill>
                  </w:rPr>
                  <w:t>期</w:t>
                </w:r>
                <w:r>
                  <w:rPr>
                    <w:color w:val="000000" w:themeColor="text1"/>
                    <w:sz w:val="18"/>
                    <w:szCs w:val="18"/>
                    <w14:textFill>
                      <w14:solidFill>
                        <w14:schemeClr w14:val="tx1"/>
                      </w14:solidFill>
                    </w14:textFill>
                  </w:rPr>
                  <w:t>增减变动金额（减少以“－”号填列）</w:t>
                </w:r>
              </w:p>
            </w:tc>
          </w:sdtContent>
        </w:sdt>
        <w:tc>
          <w:tcPr>
            <w:tcW w:w="1509" w:type="dxa"/>
            <w:vAlign w:val="center"/>
          </w:tcPr>
          <w:p w14:paraId="51EECFFE">
            <w:pPr>
              <w:jc w:val="right"/>
              <w:rPr>
                <w:rFonts w:cs="Times New Roman"/>
                <w:sz w:val="13"/>
                <w:szCs w:val="13"/>
              </w:rPr>
            </w:pPr>
          </w:p>
        </w:tc>
        <w:tc>
          <w:tcPr>
            <w:tcW w:w="1178" w:type="dxa"/>
            <w:vAlign w:val="center"/>
          </w:tcPr>
          <w:p w14:paraId="50459DDE">
            <w:pPr>
              <w:jc w:val="right"/>
              <w:rPr>
                <w:rFonts w:cs="Times New Roman"/>
                <w:sz w:val="13"/>
                <w:szCs w:val="13"/>
              </w:rPr>
            </w:pPr>
          </w:p>
        </w:tc>
        <w:tc>
          <w:tcPr>
            <w:tcW w:w="1150" w:type="dxa"/>
            <w:vAlign w:val="center"/>
          </w:tcPr>
          <w:p w14:paraId="6D131E46">
            <w:pPr>
              <w:jc w:val="right"/>
              <w:rPr>
                <w:rFonts w:cs="Times New Roman"/>
                <w:sz w:val="13"/>
                <w:szCs w:val="13"/>
              </w:rPr>
            </w:pPr>
          </w:p>
        </w:tc>
        <w:tc>
          <w:tcPr>
            <w:tcW w:w="1301" w:type="dxa"/>
            <w:vAlign w:val="center"/>
          </w:tcPr>
          <w:p w14:paraId="39BA0521">
            <w:pPr>
              <w:jc w:val="right"/>
              <w:rPr>
                <w:rFonts w:cs="Times New Roman"/>
                <w:sz w:val="13"/>
                <w:szCs w:val="13"/>
              </w:rPr>
            </w:pPr>
            <w:r>
              <w:rPr>
                <w:rFonts w:cs="Times New Roman"/>
                <w:color w:val="000000"/>
                <w:sz w:val="13"/>
                <w:szCs w:val="13"/>
              </w:rPr>
              <w:t>143,252.31</w:t>
            </w:r>
          </w:p>
        </w:tc>
        <w:tc>
          <w:tcPr>
            <w:tcW w:w="1223" w:type="dxa"/>
            <w:vAlign w:val="center"/>
          </w:tcPr>
          <w:p w14:paraId="20938EC4">
            <w:pPr>
              <w:jc w:val="right"/>
              <w:rPr>
                <w:rFonts w:cs="Times New Roman"/>
                <w:sz w:val="13"/>
                <w:szCs w:val="13"/>
              </w:rPr>
            </w:pPr>
          </w:p>
        </w:tc>
        <w:tc>
          <w:tcPr>
            <w:tcW w:w="1162" w:type="dxa"/>
            <w:vAlign w:val="center"/>
          </w:tcPr>
          <w:p w14:paraId="222DA01C">
            <w:pPr>
              <w:jc w:val="right"/>
              <w:rPr>
                <w:rFonts w:cs="Times New Roman"/>
                <w:sz w:val="13"/>
                <w:szCs w:val="13"/>
              </w:rPr>
            </w:pPr>
            <w:r>
              <w:rPr>
                <w:rFonts w:cs="Times New Roman"/>
                <w:color w:val="000000"/>
                <w:sz w:val="13"/>
                <w:szCs w:val="13"/>
              </w:rPr>
              <w:t>-150,577,272.97</w:t>
            </w:r>
          </w:p>
        </w:tc>
        <w:tc>
          <w:tcPr>
            <w:tcW w:w="1273" w:type="dxa"/>
            <w:vAlign w:val="center"/>
          </w:tcPr>
          <w:p w14:paraId="324A215E">
            <w:pPr>
              <w:jc w:val="right"/>
              <w:rPr>
                <w:rFonts w:cs="Times New Roman"/>
                <w:sz w:val="13"/>
                <w:szCs w:val="13"/>
              </w:rPr>
            </w:pPr>
            <w:r>
              <w:rPr>
                <w:rFonts w:cs="Times New Roman"/>
                <w:color w:val="000000"/>
                <w:sz w:val="13"/>
                <w:szCs w:val="13"/>
              </w:rPr>
              <w:t>-150,434,020.66</w:t>
            </w:r>
          </w:p>
        </w:tc>
        <w:tc>
          <w:tcPr>
            <w:tcW w:w="1209" w:type="dxa"/>
            <w:vAlign w:val="center"/>
          </w:tcPr>
          <w:p w14:paraId="7757C12A">
            <w:pPr>
              <w:jc w:val="right"/>
              <w:rPr>
                <w:rFonts w:cs="Times New Roman"/>
                <w:sz w:val="13"/>
                <w:szCs w:val="13"/>
              </w:rPr>
            </w:pPr>
            <w:r>
              <w:rPr>
                <w:rFonts w:cs="Times New Roman"/>
                <w:color w:val="000000"/>
                <w:sz w:val="13"/>
                <w:szCs w:val="13"/>
              </w:rPr>
              <w:t>-31,557,440.82</w:t>
            </w:r>
          </w:p>
        </w:tc>
        <w:tc>
          <w:tcPr>
            <w:tcW w:w="1415" w:type="dxa"/>
            <w:vAlign w:val="center"/>
          </w:tcPr>
          <w:p w14:paraId="2ED326C1">
            <w:pPr>
              <w:jc w:val="right"/>
              <w:rPr>
                <w:rFonts w:cs="Times New Roman"/>
                <w:sz w:val="13"/>
                <w:szCs w:val="13"/>
              </w:rPr>
            </w:pPr>
            <w:r>
              <w:rPr>
                <w:rFonts w:cs="Times New Roman"/>
                <w:color w:val="000000"/>
                <w:sz w:val="13"/>
                <w:szCs w:val="13"/>
              </w:rPr>
              <w:t>-181,991,461.48</w:t>
            </w:r>
          </w:p>
        </w:tc>
      </w:tr>
      <w:tr w14:paraId="7CAD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7bf1a1d144b41e18dbd63758cccc7b5"/>
            <w:id w:val="147455411"/>
          </w:sdtPr>
          <w:sdtContent>
            <w:tc>
              <w:tcPr>
                <w:tcW w:w="2669" w:type="dxa"/>
                <w:vAlign w:val="center"/>
              </w:tcPr>
              <w:p w14:paraId="21B9CDA4">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（一）综合收益总额</w:t>
                </w:r>
              </w:p>
            </w:tc>
          </w:sdtContent>
        </w:sdt>
        <w:tc>
          <w:tcPr>
            <w:tcW w:w="1509" w:type="dxa"/>
            <w:vAlign w:val="center"/>
          </w:tcPr>
          <w:p w14:paraId="1F517FEE">
            <w:pPr>
              <w:jc w:val="right"/>
              <w:rPr>
                <w:rFonts w:cs="Times New Roman"/>
                <w:sz w:val="13"/>
                <w:szCs w:val="13"/>
              </w:rPr>
            </w:pPr>
          </w:p>
        </w:tc>
        <w:tc>
          <w:tcPr>
            <w:tcW w:w="1178" w:type="dxa"/>
            <w:vAlign w:val="center"/>
          </w:tcPr>
          <w:p w14:paraId="4A89C1FD">
            <w:pPr>
              <w:jc w:val="right"/>
              <w:rPr>
                <w:rFonts w:cs="Times New Roman"/>
                <w:sz w:val="13"/>
                <w:szCs w:val="13"/>
              </w:rPr>
            </w:pPr>
          </w:p>
        </w:tc>
        <w:tc>
          <w:tcPr>
            <w:tcW w:w="1150" w:type="dxa"/>
            <w:vAlign w:val="center"/>
          </w:tcPr>
          <w:p w14:paraId="40377ABD">
            <w:pPr>
              <w:jc w:val="right"/>
              <w:rPr>
                <w:rFonts w:cs="Times New Roman"/>
                <w:sz w:val="13"/>
                <w:szCs w:val="13"/>
              </w:rPr>
            </w:pPr>
          </w:p>
        </w:tc>
        <w:tc>
          <w:tcPr>
            <w:tcW w:w="1301" w:type="dxa"/>
            <w:vAlign w:val="center"/>
          </w:tcPr>
          <w:p w14:paraId="4E99B9DF">
            <w:pPr>
              <w:jc w:val="right"/>
              <w:rPr>
                <w:rFonts w:cs="Times New Roman"/>
                <w:sz w:val="13"/>
                <w:szCs w:val="13"/>
              </w:rPr>
            </w:pPr>
            <w:r>
              <w:rPr>
                <w:rFonts w:cs="Times New Roman"/>
                <w:color w:val="000000"/>
                <w:sz w:val="13"/>
                <w:szCs w:val="13"/>
              </w:rPr>
              <w:t>143,252.31</w:t>
            </w:r>
          </w:p>
        </w:tc>
        <w:tc>
          <w:tcPr>
            <w:tcW w:w="1223" w:type="dxa"/>
            <w:vAlign w:val="center"/>
          </w:tcPr>
          <w:p w14:paraId="0D7F63A3">
            <w:pPr>
              <w:jc w:val="right"/>
              <w:rPr>
                <w:rFonts w:cs="Times New Roman"/>
                <w:sz w:val="13"/>
                <w:szCs w:val="13"/>
              </w:rPr>
            </w:pPr>
          </w:p>
        </w:tc>
        <w:tc>
          <w:tcPr>
            <w:tcW w:w="1162" w:type="dxa"/>
            <w:vAlign w:val="center"/>
          </w:tcPr>
          <w:p w14:paraId="74DE0BD6">
            <w:pPr>
              <w:jc w:val="right"/>
              <w:rPr>
                <w:rFonts w:cs="Times New Roman"/>
                <w:sz w:val="13"/>
                <w:szCs w:val="13"/>
              </w:rPr>
            </w:pPr>
            <w:r>
              <w:rPr>
                <w:rFonts w:cs="Times New Roman"/>
                <w:color w:val="000000"/>
                <w:sz w:val="13"/>
                <w:szCs w:val="13"/>
              </w:rPr>
              <w:t>-18,828,390.85</w:t>
            </w:r>
          </w:p>
        </w:tc>
        <w:tc>
          <w:tcPr>
            <w:tcW w:w="1273" w:type="dxa"/>
            <w:vAlign w:val="center"/>
          </w:tcPr>
          <w:p w14:paraId="43A9396B">
            <w:pPr>
              <w:jc w:val="right"/>
              <w:rPr>
                <w:rFonts w:cs="Times New Roman"/>
                <w:sz w:val="13"/>
                <w:szCs w:val="13"/>
              </w:rPr>
            </w:pPr>
            <w:r>
              <w:rPr>
                <w:rFonts w:cs="Times New Roman"/>
                <w:color w:val="000000"/>
                <w:sz w:val="13"/>
                <w:szCs w:val="13"/>
              </w:rPr>
              <w:t>-18,685,138.54</w:t>
            </w:r>
          </w:p>
        </w:tc>
        <w:tc>
          <w:tcPr>
            <w:tcW w:w="1209" w:type="dxa"/>
            <w:vAlign w:val="center"/>
          </w:tcPr>
          <w:p w14:paraId="0308D463">
            <w:pPr>
              <w:jc w:val="right"/>
              <w:rPr>
                <w:rFonts w:cs="Times New Roman"/>
                <w:sz w:val="13"/>
                <w:szCs w:val="13"/>
              </w:rPr>
            </w:pPr>
            <w:r>
              <w:rPr>
                <w:rFonts w:cs="Times New Roman"/>
                <w:color w:val="000000"/>
                <w:sz w:val="13"/>
                <w:szCs w:val="13"/>
              </w:rPr>
              <w:t>-33,557,440.82</w:t>
            </w:r>
          </w:p>
        </w:tc>
        <w:tc>
          <w:tcPr>
            <w:tcW w:w="1415" w:type="dxa"/>
            <w:vAlign w:val="center"/>
          </w:tcPr>
          <w:p w14:paraId="5D96D5B5">
            <w:pPr>
              <w:jc w:val="right"/>
              <w:rPr>
                <w:rFonts w:cs="Times New Roman"/>
                <w:sz w:val="13"/>
                <w:szCs w:val="13"/>
              </w:rPr>
            </w:pPr>
            <w:r>
              <w:rPr>
                <w:rFonts w:cs="Times New Roman"/>
                <w:color w:val="000000"/>
                <w:sz w:val="13"/>
                <w:szCs w:val="13"/>
              </w:rPr>
              <w:t>-52,242,579.36</w:t>
            </w:r>
          </w:p>
        </w:tc>
      </w:tr>
      <w:tr w14:paraId="7B01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55056423dbf4ac187d64bd43c03aca3"/>
            <w:id w:val="147464075"/>
          </w:sdtPr>
          <w:sdtContent>
            <w:tc>
              <w:tcPr>
                <w:tcW w:w="2669" w:type="dxa"/>
                <w:vAlign w:val="center"/>
              </w:tcPr>
              <w:p w14:paraId="6984AADC">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二</w:t>
                </w:r>
                <w:r>
                  <w:rPr>
                    <w:color w:val="000000" w:themeColor="text1"/>
                    <w:sz w:val="18"/>
                    <w:szCs w:val="18"/>
                    <w14:textFill>
                      <w14:solidFill>
                        <w14:schemeClr w14:val="tx1"/>
                      </w14:solidFill>
                    </w14:textFill>
                  </w:rPr>
                  <w:t>）所有者投入和减少资本</w:t>
                </w:r>
              </w:p>
            </w:tc>
          </w:sdtContent>
        </w:sdt>
        <w:tc>
          <w:tcPr>
            <w:tcW w:w="1509" w:type="dxa"/>
            <w:vAlign w:val="center"/>
          </w:tcPr>
          <w:p w14:paraId="248F9D36">
            <w:pPr>
              <w:jc w:val="right"/>
              <w:rPr>
                <w:rFonts w:cs="Times New Roman"/>
                <w:sz w:val="13"/>
                <w:szCs w:val="13"/>
              </w:rPr>
            </w:pPr>
          </w:p>
        </w:tc>
        <w:tc>
          <w:tcPr>
            <w:tcW w:w="1178" w:type="dxa"/>
            <w:vAlign w:val="center"/>
          </w:tcPr>
          <w:p w14:paraId="7481FA7F">
            <w:pPr>
              <w:jc w:val="right"/>
              <w:rPr>
                <w:rFonts w:cs="Times New Roman"/>
                <w:sz w:val="13"/>
                <w:szCs w:val="13"/>
              </w:rPr>
            </w:pPr>
          </w:p>
        </w:tc>
        <w:tc>
          <w:tcPr>
            <w:tcW w:w="1150" w:type="dxa"/>
            <w:vAlign w:val="center"/>
          </w:tcPr>
          <w:p w14:paraId="56CDCCA8">
            <w:pPr>
              <w:jc w:val="right"/>
              <w:rPr>
                <w:rFonts w:cs="Times New Roman"/>
                <w:sz w:val="13"/>
                <w:szCs w:val="13"/>
              </w:rPr>
            </w:pPr>
          </w:p>
        </w:tc>
        <w:tc>
          <w:tcPr>
            <w:tcW w:w="1301" w:type="dxa"/>
            <w:vAlign w:val="center"/>
          </w:tcPr>
          <w:p w14:paraId="031E2482">
            <w:pPr>
              <w:jc w:val="right"/>
              <w:rPr>
                <w:rFonts w:cs="Times New Roman"/>
                <w:sz w:val="13"/>
                <w:szCs w:val="13"/>
              </w:rPr>
            </w:pPr>
          </w:p>
        </w:tc>
        <w:tc>
          <w:tcPr>
            <w:tcW w:w="1223" w:type="dxa"/>
            <w:vAlign w:val="center"/>
          </w:tcPr>
          <w:p w14:paraId="0EB995F7">
            <w:pPr>
              <w:jc w:val="right"/>
              <w:rPr>
                <w:rFonts w:cs="Times New Roman"/>
                <w:sz w:val="13"/>
                <w:szCs w:val="13"/>
              </w:rPr>
            </w:pPr>
          </w:p>
        </w:tc>
        <w:tc>
          <w:tcPr>
            <w:tcW w:w="1162" w:type="dxa"/>
            <w:vAlign w:val="center"/>
          </w:tcPr>
          <w:p w14:paraId="577303E9">
            <w:pPr>
              <w:jc w:val="right"/>
              <w:rPr>
                <w:rFonts w:cs="Times New Roman"/>
                <w:sz w:val="13"/>
                <w:szCs w:val="13"/>
              </w:rPr>
            </w:pPr>
          </w:p>
        </w:tc>
        <w:tc>
          <w:tcPr>
            <w:tcW w:w="1273" w:type="dxa"/>
            <w:vAlign w:val="center"/>
          </w:tcPr>
          <w:p w14:paraId="34550C1E">
            <w:pPr>
              <w:jc w:val="right"/>
              <w:rPr>
                <w:rFonts w:cs="Times New Roman"/>
                <w:sz w:val="13"/>
                <w:szCs w:val="13"/>
              </w:rPr>
            </w:pPr>
          </w:p>
        </w:tc>
        <w:tc>
          <w:tcPr>
            <w:tcW w:w="1209" w:type="dxa"/>
            <w:vAlign w:val="center"/>
          </w:tcPr>
          <w:p w14:paraId="1F653EE1">
            <w:pPr>
              <w:jc w:val="right"/>
              <w:rPr>
                <w:rFonts w:cs="Times New Roman"/>
                <w:sz w:val="13"/>
                <w:szCs w:val="13"/>
              </w:rPr>
            </w:pPr>
            <w:r>
              <w:rPr>
                <w:rFonts w:cs="Times New Roman"/>
                <w:color w:val="000000"/>
                <w:sz w:val="13"/>
                <w:szCs w:val="13"/>
              </w:rPr>
              <w:t>2,000,000.00</w:t>
            </w:r>
          </w:p>
        </w:tc>
        <w:tc>
          <w:tcPr>
            <w:tcW w:w="1415" w:type="dxa"/>
            <w:vAlign w:val="center"/>
          </w:tcPr>
          <w:p w14:paraId="15530DF2">
            <w:pPr>
              <w:jc w:val="right"/>
              <w:rPr>
                <w:rFonts w:cs="Times New Roman"/>
                <w:sz w:val="13"/>
                <w:szCs w:val="13"/>
              </w:rPr>
            </w:pPr>
            <w:r>
              <w:rPr>
                <w:rFonts w:cs="Times New Roman"/>
                <w:color w:val="000000"/>
                <w:sz w:val="13"/>
                <w:szCs w:val="13"/>
              </w:rPr>
              <w:t>2,000,000.00</w:t>
            </w:r>
          </w:p>
        </w:tc>
      </w:tr>
      <w:tr w14:paraId="6C77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84541025868477ca26973c13dd9ff9e"/>
            <w:id w:val="147462991"/>
          </w:sdtPr>
          <w:sdtContent>
            <w:tc>
              <w:tcPr>
                <w:tcW w:w="2669" w:type="dxa"/>
                <w:vAlign w:val="center"/>
              </w:tcPr>
              <w:p w14:paraId="0D9FA1E3">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1．所有者投入的普通股</w:t>
                </w:r>
              </w:p>
            </w:tc>
          </w:sdtContent>
        </w:sdt>
        <w:tc>
          <w:tcPr>
            <w:tcW w:w="1509" w:type="dxa"/>
            <w:vAlign w:val="center"/>
          </w:tcPr>
          <w:p w14:paraId="6CB87860">
            <w:pPr>
              <w:jc w:val="right"/>
              <w:rPr>
                <w:rFonts w:cs="Times New Roman"/>
                <w:sz w:val="13"/>
                <w:szCs w:val="13"/>
              </w:rPr>
            </w:pPr>
          </w:p>
        </w:tc>
        <w:tc>
          <w:tcPr>
            <w:tcW w:w="1178" w:type="dxa"/>
            <w:vAlign w:val="center"/>
          </w:tcPr>
          <w:p w14:paraId="55F5A7F5">
            <w:pPr>
              <w:jc w:val="right"/>
              <w:rPr>
                <w:rFonts w:cs="Times New Roman"/>
                <w:sz w:val="13"/>
                <w:szCs w:val="13"/>
              </w:rPr>
            </w:pPr>
          </w:p>
        </w:tc>
        <w:tc>
          <w:tcPr>
            <w:tcW w:w="1150" w:type="dxa"/>
            <w:vAlign w:val="center"/>
          </w:tcPr>
          <w:p w14:paraId="2D2B8B1F">
            <w:pPr>
              <w:jc w:val="right"/>
              <w:rPr>
                <w:rFonts w:cs="Times New Roman"/>
                <w:sz w:val="13"/>
                <w:szCs w:val="13"/>
              </w:rPr>
            </w:pPr>
          </w:p>
        </w:tc>
        <w:tc>
          <w:tcPr>
            <w:tcW w:w="1301" w:type="dxa"/>
            <w:vAlign w:val="center"/>
          </w:tcPr>
          <w:p w14:paraId="3C5206AD">
            <w:pPr>
              <w:jc w:val="right"/>
              <w:rPr>
                <w:rFonts w:cs="Times New Roman"/>
                <w:sz w:val="13"/>
                <w:szCs w:val="13"/>
              </w:rPr>
            </w:pPr>
          </w:p>
        </w:tc>
        <w:tc>
          <w:tcPr>
            <w:tcW w:w="1223" w:type="dxa"/>
            <w:vAlign w:val="center"/>
          </w:tcPr>
          <w:p w14:paraId="2DD26879">
            <w:pPr>
              <w:jc w:val="right"/>
              <w:rPr>
                <w:rFonts w:cs="Times New Roman"/>
                <w:sz w:val="13"/>
                <w:szCs w:val="13"/>
              </w:rPr>
            </w:pPr>
          </w:p>
        </w:tc>
        <w:tc>
          <w:tcPr>
            <w:tcW w:w="1162" w:type="dxa"/>
            <w:vAlign w:val="center"/>
          </w:tcPr>
          <w:p w14:paraId="3BE115DB">
            <w:pPr>
              <w:jc w:val="right"/>
              <w:rPr>
                <w:rFonts w:cs="Times New Roman"/>
                <w:sz w:val="13"/>
                <w:szCs w:val="13"/>
              </w:rPr>
            </w:pPr>
          </w:p>
        </w:tc>
        <w:tc>
          <w:tcPr>
            <w:tcW w:w="1273" w:type="dxa"/>
            <w:vAlign w:val="center"/>
          </w:tcPr>
          <w:p w14:paraId="13CC138F">
            <w:pPr>
              <w:jc w:val="right"/>
              <w:rPr>
                <w:rFonts w:cs="Times New Roman"/>
                <w:sz w:val="13"/>
                <w:szCs w:val="13"/>
              </w:rPr>
            </w:pPr>
          </w:p>
        </w:tc>
        <w:tc>
          <w:tcPr>
            <w:tcW w:w="1209" w:type="dxa"/>
            <w:vAlign w:val="center"/>
          </w:tcPr>
          <w:p w14:paraId="077402DE">
            <w:pPr>
              <w:jc w:val="right"/>
              <w:rPr>
                <w:rFonts w:cs="Times New Roman"/>
                <w:sz w:val="13"/>
                <w:szCs w:val="13"/>
              </w:rPr>
            </w:pPr>
            <w:r>
              <w:rPr>
                <w:rFonts w:cs="Times New Roman"/>
                <w:color w:val="000000"/>
                <w:sz w:val="13"/>
                <w:szCs w:val="13"/>
              </w:rPr>
              <w:t>2,000,000.00</w:t>
            </w:r>
          </w:p>
        </w:tc>
        <w:tc>
          <w:tcPr>
            <w:tcW w:w="1415" w:type="dxa"/>
            <w:vAlign w:val="center"/>
          </w:tcPr>
          <w:p w14:paraId="1801B07D">
            <w:pPr>
              <w:jc w:val="right"/>
              <w:rPr>
                <w:rFonts w:cs="Times New Roman"/>
                <w:sz w:val="13"/>
                <w:szCs w:val="13"/>
              </w:rPr>
            </w:pPr>
            <w:r>
              <w:rPr>
                <w:rFonts w:cs="Times New Roman"/>
                <w:color w:val="000000"/>
                <w:sz w:val="13"/>
                <w:szCs w:val="13"/>
              </w:rPr>
              <w:t>2,000,000.00</w:t>
            </w:r>
          </w:p>
        </w:tc>
      </w:tr>
      <w:tr w14:paraId="2A5E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7e75a2d1ed049d9bbdb0ef093ac9478"/>
            <w:id w:val="147480485"/>
          </w:sdtPr>
          <w:sdtContent>
            <w:tc>
              <w:tcPr>
                <w:tcW w:w="2669" w:type="dxa"/>
                <w:vAlign w:val="center"/>
              </w:tcPr>
              <w:p w14:paraId="201FA0E6">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三</w:t>
                </w:r>
                <w:r>
                  <w:rPr>
                    <w:color w:val="000000" w:themeColor="text1"/>
                    <w:sz w:val="18"/>
                    <w:szCs w:val="18"/>
                    <w14:textFill>
                      <w14:solidFill>
                        <w14:schemeClr w14:val="tx1"/>
                      </w14:solidFill>
                    </w14:textFill>
                  </w:rPr>
                  <w:t>）利润分配</w:t>
                </w:r>
              </w:p>
            </w:tc>
          </w:sdtContent>
        </w:sdt>
        <w:tc>
          <w:tcPr>
            <w:tcW w:w="1509" w:type="dxa"/>
            <w:vAlign w:val="center"/>
          </w:tcPr>
          <w:p w14:paraId="5033B255">
            <w:pPr>
              <w:jc w:val="right"/>
              <w:rPr>
                <w:rFonts w:cs="Times New Roman"/>
                <w:sz w:val="13"/>
                <w:szCs w:val="13"/>
              </w:rPr>
            </w:pPr>
          </w:p>
        </w:tc>
        <w:tc>
          <w:tcPr>
            <w:tcW w:w="1178" w:type="dxa"/>
            <w:vAlign w:val="center"/>
          </w:tcPr>
          <w:p w14:paraId="5BA080F8">
            <w:pPr>
              <w:jc w:val="right"/>
              <w:rPr>
                <w:rFonts w:cs="Times New Roman"/>
                <w:sz w:val="13"/>
                <w:szCs w:val="13"/>
              </w:rPr>
            </w:pPr>
          </w:p>
        </w:tc>
        <w:tc>
          <w:tcPr>
            <w:tcW w:w="1150" w:type="dxa"/>
            <w:vAlign w:val="center"/>
          </w:tcPr>
          <w:p w14:paraId="6A858D9B">
            <w:pPr>
              <w:jc w:val="right"/>
              <w:rPr>
                <w:rFonts w:cs="Times New Roman"/>
                <w:sz w:val="13"/>
                <w:szCs w:val="13"/>
              </w:rPr>
            </w:pPr>
          </w:p>
        </w:tc>
        <w:tc>
          <w:tcPr>
            <w:tcW w:w="1301" w:type="dxa"/>
            <w:vAlign w:val="center"/>
          </w:tcPr>
          <w:p w14:paraId="63184D56">
            <w:pPr>
              <w:jc w:val="right"/>
              <w:rPr>
                <w:rFonts w:cs="Times New Roman"/>
                <w:sz w:val="13"/>
                <w:szCs w:val="13"/>
              </w:rPr>
            </w:pPr>
          </w:p>
        </w:tc>
        <w:tc>
          <w:tcPr>
            <w:tcW w:w="1223" w:type="dxa"/>
            <w:vAlign w:val="center"/>
          </w:tcPr>
          <w:p w14:paraId="0696DFC9">
            <w:pPr>
              <w:jc w:val="right"/>
              <w:rPr>
                <w:rFonts w:cs="Times New Roman"/>
                <w:sz w:val="13"/>
                <w:szCs w:val="13"/>
              </w:rPr>
            </w:pPr>
          </w:p>
        </w:tc>
        <w:tc>
          <w:tcPr>
            <w:tcW w:w="1162" w:type="dxa"/>
            <w:vAlign w:val="center"/>
          </w:tcPr>
          <w:p w14:paraId="0C88D155">
            <w:pPr>
              <w:jc w:val="right"/>
              <w:rPr>
                <w:rFonts w:cs="Times New Roman"/>
                <w:sz w:val="13"/>
                <w:szCs w:val="13"/>
              </w:rPr>
            </w:pPr>
            <w:r>
              <w:rPr>
                <w:rFonts w:cs="Times New Roman"/>
                <w:color w:val="000000"/>
                <w:sz w:val="13"/>
                <w:szCs w:val="13"/>
              </w:rPr>
              <w:t>-131,748,882.12</w:t>
            </w:r>
          </w:p>
        </w:tc>
        <w:tc>
          <w:tcPr>
            <w:tcW w:w="1273" w:type="dxa"/>
            <w:vAlign w:val="center"/>
          </w:tcPr>
          <w:p w14:paraId="509DBA3E">
            <w:pPr>
              <w:jc w:val="right"/>
              <w:rPr>
                <w:rFonts w:cs="Times New Roman"/>
                <w:sz w:val="13"/>
                <w:szCs w:val="13"/>
              </w:rPr>
            </w:pPr>
            <w:r>
              <w:rPr>
                <w:rFonts w:cs="Times New Roman"/>
                <w:color w:val="000000"/>
                <w:sz w:val="13"/>
                <w:szCs w:val="13"/>
              </w:rPr>
              <w:t>-131,748,882.12</w:t>
            </w:r>
          </w:p>
        </w:tc>
        <w:tc>
          <w:tcPr>
            <w:tcW w:w="1209" w:type="dxa"/>
            <w:vAlign w:val="center"/>
          </w:tcPr>
          <w:p w14:paraId="695217F6">
            <w:pPr>
              <w:jc w:val="right"/>
              <w:rPr>
                <w:rFonts w:cs="Times New Roman"/>
                <w:sz w:val="13"/>
                <w:szCs w:val="13"/>
              </w:rPr>
            </w:pPr>
          </w:p>
        </w:tc>
        <w:tc>
          <w:tcPr>
            <w:tcW w:w="1415" w:type="dxa"/>
            <w:vAlign w:val="center"/>
          </w:tcPr>
          <w:p w14:paraId="07F95368">
            <w:pPr>
              <w:jc w:val="right"/>
              <w:rPr>
                <w:rFonts w:cs="Times New Roman"/>
                <w:sz w:val="13"/>
                <w:szCs w:val="13"/>
              </w:rPr>
            </w:pPr>
            <w:r>
              <w:rPr>
                <w:rFonts w:cs="Times New Roman"/>
                <w:color w:val="000000"/>
                <w:sz w:val="13"/>
                <w:szCs w:val="13"/>
              </w:rPr>
              <w:t>-131,748,882.12</w:t>
            </w:r>
          </w:p>
        </w:tc>
      </w:tr>
      <w:tr w14:paraId="4FD0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5531db3e1d84f3897cb962fdc73ab3d"/>
            <w:id w:val="147452702"/>
          </w:sdtPr>
          <w:sdtContent>
            <w:tc>
              <w:tcPr>
                <w:tcW w:w="2669" w:type="dxa"/>
                <w:vAlign w:val="center"/>
              </w:tcPr>
              <w:p w14:paraId="1AFD56CE">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3．对所有者（或股东）的分配</w:t>
                </w:r>
              </w:p>
            </w:tc>
          </w:sdtContent>
        </w:sdt>
        <w:tc>
          <w:tcPr>
            <w:tcW w:w="1509" w:type="dxa"/>
            <w:vAlign w:val="center"/>
          </w:tcPr>
          <w:p w14:paraId="03FB026A">
            <w:pPr>
              <w:jc w:val="right"/>
              <w:rPr>
                <w:rFonts w:cs="Times New Roman"/>
                <w:sz w:val="13"/>
                <w:szCs w:val="13"/>
              </w:rPr>
            </w:pPr>
          </w:p>
        </w:tc>
        <w:tc>
          <w:tcPr>
            <w:tcW w:w="1178" w:type="dxa"/>
            <w:vAlign w:val="center"/>
          </w:tcPr>
          <w:p w14:paraId="6FE6C9E0">
            <w:pPr>
              <w:jc w:val="right"/>
              <w:rPr>
                <w:rFonts w:cs="Times New Roman"/>
                <w:sz w:val="13"/>
                <w:szCs w:val="13"/>
              </w:rPr>
            </w:pPr>
          </w:p>
        </w:tc>
        <w:tc>
          <w:tcPr>
            <w:tcW w:w="1150" w:type="dxa"/>
            <w:vAlign w:val="center"/>
          </w:tcPr>
          <w:p w14:paraId="1E25C4E0">
            <w:pPr>
              <w:jc w:val="right"/>
              <w:rPr>
                <w:rFonts w:cs="Times New Roman"/>
                <w:sz w:val="13"/>
                <w:szCs w:val="13"/>
              </w:rPr>
            </w:pPr>
          </w:p>
        </w:tc>
        <w:tc>
          <w:tcPr>
            <w:tcW w:w="1301" w:type="dxa"/>
            <w:vAlign w:val="center"/>
          </w:tcPr>
          <w:p w14:paraId="602704D8">
            <w:pPr>
              <w:jc w:val="right"/>
              <w:rPr>
                <w:rFonts w:cs="Times New Roman"/>
                <w:sz w:val="13"/>
                <w:szCs w:val="13"/>
              </w:rPr>
            </w:pPr>
          </w:p>
        </w:tc>
        <w:tc>
          <w:tcPr>
            <w:tcW w:w="1223" w:type="dxa"/>
            <w:vAlign w:val="center"/>
          </w:tcPr>
          <w:p w14:paraId="59F1849F">
            <w:pPr>
              <w:jc w:val="right"/>
              <w:rPr>
                <w:rFonts w:cs="Times New Roman"/>
                <w:sz w:val="13"/>
                <w:szCs w:val="13"/>
              </w:rPr>
            </w:pPr>
          </w:p>
        </w:tc>
        <w:tc>
          <w:tcPr>
            <w:tcW w:w="1162" w:type="dxa"/>
            <w:vAlign w:val="center"/>
          </w:tcPr>
          <w:p w14:paraId="7DBE1394">
            <w:pPr>
              <w:jc w:val="right"/>
              <w:rPr>
                <w:rFonts w:cs="Times New Roman"/>
                <w:sz w:val="13"/>
                <w:szCs w:val="13"/>
              </w:rPr>
            </w:pPr>
            <w:r>
              <w:rPr>
                <w:rFonts w:cs="Times New Roman"/>
                <w:color w:val="000000"/>
                <w:sz w:val="13"/>
                <w:szCs w:val="13"/>
              </w:rPr>
              <w:t>-131,748,882.12</w:t>
            </w:r>
          </w:p>
        </w:tc>
        <w:tc>
          <w:tcPr>
            <w:tcW w:w="1273" w:type="dxa"/>
            <w:vAlign w:val="center"/>
          </w:tcPr>
          <w:p w14:paraId="5E0F6349">
            <w:pPr>
              <w:jc w:val="right"/>
              <w:rPr>
                <w:rFonts w:cs="Times New Roman"/>
                <w:sz w:val="13"/>
                <w:szCs w:val="13"/>
              </w:rPr>
            </w:pPr>
            <w:r>
              <w:rPr>
                <w:rFonts w:cs="Times New Roman"/>
                <w:color w:val="000000"/>
                <w:sz w:val="13"/>
                <w:szCs w:val="13"/>
              </w:rPr>
              <w:t>-131,748,882.12</w:t>
            </w:r>
          </w:p>
        </w:tc>
        <w:tc>
          <w:tcPr>
            <w:tcW w:w="1209" w:type="dxa"/>
            <w:vAlign w:val="center"/>
          </w:tcPr>
          <w:p w14:paraId="5FBA8D90">
            <w:pPr>
              <w:jc w:val="right"/>
              <w:rPr>
                <w:rFonts w:cs="Times New Roman"/>
                <w:sz w:val="13"/>
                <w:szCs w:val="13"/>
              </w:rPr>
            </w:pPr>
          </w:p>
        </w:tc>
        <w:tc>
          <w:tcPr>
            <w:tcW w:w="1415" w:type="dxa"/>
            <w:vAlign w:val="center"/>
          </w:tcPr>
          <w:p w14:paraId="1AD855AE">
            <w:pPr>
              <w:jc w:val="right"/>
              <w:rPr>
                <w:rFonts w:cs="Times New Roman"/>
                <w:sz w:val="13"/>
                <w:szCs w:val="13"/>
              </w:rPr>
            </w:pPr>
            <w:r>
              <w:rPr>
                <w:rFonts w:cs="Times New Roman"/>
                <w:color w:val="000000"/>
                <w:sz w:val="13"/>
                <w:szCs w:val="13"/>
              </w:rPr>
              <w:t>-131,748,882.12</w:t>
            </w:r>
          </w:p>
        </w:tc>
      </w:tr>
      <w:tr w14:paraId="5116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0c9652bd3724ad8b729d3650a0840d4"/>
            <w:id w:val="147470669"/>
          </w:sdtPr>
          <w:sdtContent>
            <w:tc>
              <w:tcPr>
                <w:tcW w:w="2669" w:type="dxa"/>
                <w:vAlign w:val="center"/>
              </w:tcPr>
              <w:p w14:paraId="305E85F7">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四</w:t>
                </w:r>
                <w:r>
                  <w:rPr>
                    <w:color w:val="000000" w:themeColor="text1"/>
                    <w:sz w:val="18"/>
                    <w:szCs w:val="18"/>
                    <w14:textFill>
                      <w14:solidFill>
                        <w14:schemeClr w14:val="tx1"/>
                      </w14:solidFill>
                    </w14:textFill>
                  </w:rPr>
                  <w:t>）所有者权益内部结转</w:t>
                </w:r>
              </w:p>
            </w:tc>
          </w:sdtContent>
        </w:sdt>
        <w:tc>
          <w:tcPr>
            <w:tcW w:w="1509" w:type="dxa"/>
            <w:vAlign w:val="center"/>
          </w:tcPr>
          <w:p w14:paraId="3C17F4CA">
            <w:pPr>
              <w:jc w:val="right"/>
              <w:rPr>
                <w:rFonts w:cs="Times New Roman"/>
                <w:sz w:val="13"/>
                <w:szCs w:val="13"/>
              </w:rPr>
            </w:pPr>
          </w:p>
        </w:tc>
        <w:tc>
          <w:tcPr>
            <w:tcW w:w="1178" w:type="dxa"/>
            <w:vAlign w:val="center"/>
          </w:tcPr>
          <w:p w14:paraId="7CDAA167">
            <w:pPr>
              <w:jc w:val="right"/>
              <w:rPr>
                <w:rFonts w:cs="Times New Roman"/>
                <w:sz w:val="13"/>
                <w:szCs w:val="13"/>
              </w:rPr>
            </w:pPr>
          </w:p>
        </w:tc>
        <w:tc>
          <w:tcPr>
            <w:tcW w:w="1150" w:type="dxa"/>
            <w:vAlign w:val="center"/>
          </w:tcPr>
          <w:p w14:paraId="2F38268F">
            <w:pPr>
              <w:jc w:val="right"/>
              <w:rPr>
                <w:rFonts w:cs="Times New Roman"/>
                <w:sz w:val="13"/>
                <w:szCs w:val="13"/>
              </w:rPr>
            </w:pPr>
          </w:p>
        </w:tc>
        <w:tc>
          <w:tcPr>
            <w:tcW w:w="1301" w:type="dxa"/>
            <w:vAlign w:val="center"/>
          </w:tcPr>
          <w:p w14:paraId="2FD271E8">
            <w:pPr>
              <w:jc w:val="right"/>
              <w:rPr>
                <w:rFonts w:cs="Times New Roman"/>
                <w:sz w:val="13"/>
                <w:szCs w:val="13"/>
              </w:rPr>
            </w:pPr>
          </w:p>
        </w:tc>
        <w:tc>
          <w:tcPr>
            <w:tcW w:w="1223" w:type="dxa"/>
            <w:vAlign w:val="center"/>
          </w:tcPr>
          <w:p w14:paraId="6B477F89">
            <w:pPr>
              <w:jc w:val="right"/>
              <w:rPr>
                <w:rFonts w:cs="Times New Roman"/>
                <w:sz w:val="13"/>
                <w:szCs w:val="13"/>
              </w:rPr>
            </w:pPr>
          </w:p>
        </w:tc>
        <w:tc>
          <w:tcPr>
            <w:tcW w:w="1162" w:type="dxa"/>
            <w:vAlign w:val="center"/>
          </w:tcPr>
          <w:p w14:paraId="089A42E7">
            <w:pPr>
              <w:jc w:val="right"/>
              <w:rPr>
                <w:rFonts w:cs="Times New Roman"/>
                <w:sz w:val="13"/>
                <w:szCs w:val="13"/>
              </w:rPr>
            </w:pPr>
          </w:p>
        </w:tc>
        <w:tc>
          <w:tcPr>
            <w:tcW w:w="1273" w:type="dxa"/>
            <w:vAlign w:val="center"/>
          </w:tcPr>
          <w:p w14:paraId="064B66B1">
            <w:pPr>
              <w:jc w:val="right"/>
              <w:rPr>
                <w:rFonts w:cs="Times New Roman"/>
                <w:sz w:val="13"/>
                <w:szCs w:val="13"/>
              </w:rPr>
            </w:pPr>
          </w:p>
        </w:tc>
        <w:tc>
          <w:tcPr>
            <w:tcW w:w="1209" w:type="dxa"/>
            <w:vAlign w:val="center"/>
          </w:tcPr>
          <w:p w14:paraId="09ED4689">
            <w:pPr>
              <w:jc w:val="right"/>
              <w:rPr>
                <w:rFonts w:cs="Times New Roman"/>
                <w:sz w:val="13"/>
                <w:szCs w:val="13"/>
              </w:rPr>
            </w:pPr>
          </w:p>
        </w:tc>
        <w:tc>
          <w:tcPr>
            <w:tcW w:w="1415" w:type="dxa"/>
            <w:vAlign w:val="center"/>
          </w:tcPr>
          <w:p w14:paraId="0423C5C9">
            <w:pPr>
              <w:jc w:val="right"/>
              <w:rPr>
                <w:rFonts w:cs="Times New Roman"/>
                <w:sz w:val="13"/>
                <w:szCs w:val="13"/>
              </w:rPr>
            </w:pPr>
          </w:p>
        </w:tc>
      </w:tr>
      <w:tr w14:paraId="528A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c2ffccd1b8247f8b48874b508665dc1"/>
            <w:id w:val="147452462"/>
          </w:sdtPr>
          <w:sdtContent>
            <w:tc>
              <w:tcPr>
                <w:tcW w:w="2669" w:type="dxa"/>
                <w:vAlign w:val="center"/>
              </w:tcPr>
              <w:p w14:paraId="707B4CF9">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（五）专项储备</w:t>
                </w:r>
              </w:p>
            </w:tc>
          </w:sdtContent>
        </w:sdt>
        <w:tc>
          <w:tcPr>
            <w:tcW w:w="1509" w:type="dxa"/>
            <w:vAlign w:val="center"/>
          </w:tcPr>
          <w:p w14:paraId="34BDD3EA">
            <w:pPr>
              <w:jc w:val="right"/>
              <w:rPr>
                <w:rFonts w:cs="Times New Roman"/>
                <w:sz w:val="13"/>
                <w:szCs w:val="13"/>
              </w:rPr>
            </w:pPr>
          </w:p>
        </w:tc>
        <w:tc>
          <w:tcPr>
            <w:tcW w:w="1178" w:type="dxa"/>
            <w:vAlign w:val="center"/>
          </w:tcPr>
          <w:p w14:paraId="129E8B9A">
            <w:pPr>
              <w:jc w:val="right"/>
              <w:rPr>
                <w:rFonts w:cs="Times New Roman"/>
                <w:sz w:val="13"/>
                <w:szCs w:val="13"/>
              </w:rPr>
            </w:pPr>
          </w:p>
        </w:tc>
        <w:tc>
          <w:tcPr>
            <w:tcW w:w="1150" w:type="dxa"/>
            <w:vAlign w:val="center"/>
          </w:tcPr>
          <w:p w14:paraId="6362088C">
            <w:pPr>
              <w:jc w:val="right"/>
              <w:rPr>
                <w:rFonts w:cs="Times New Roman"/>
                <w:sz w:val="13"/>
                <w:szCs w:val="13"/>
              </w:rPr>
            </w:pPr>
          </w:p>
        </w:tc>
        <w:tc>
          <w:tcPr>
            <w:tcW w:w="1301" w:type="dxa"/>
            <w:vAlign w:val="center"/>
          </w:tcPr>
          <w:p w14:paraId="18805D0B">
            <w:pPr>
              <w:jc w:val="right"/>
              <w:rPr>
                <w:rFonts w:cs="Times New Roman"/>
                <w:sz w:val="13"/>
                <w:szCs w:val="13"/>
              </w:rPr>
            </w:pPr>
          </w:p>
        </w:tc>
        <w:tc>
          <w:tcPr>
            <w:tcW w:w="1223" w:type="dxa"/>
            <w:vAlign w:val="center"/>
          </w:tcPr>
          <w:p w14:paraId="2304F9A1">
            <w:pPr>
              <w:jc w:val="right"/>
              <w:rPr>
                <w:rFonts w:cs="Times New Roman"/>
                <w:sz w:val="13"/>
                <w:szCs w:val="13"/>
              </w:rPr>
            </w:pPr>
          </w:p>
        </w:tc>
        <w:tc>
          <w:tcPr>
            <w:tcW w:w="1162" w:type="dxa"/>
            <w:vAlign w:val="center"/>
          </w:tcPr>
          <w:p w14:paraId="75E912F4">
            <w:pPr>
              <w:jc w:val="right"/>
              <w:rPr>
                <w:rFonts w:cs="Times New Roman"/>
                <w:sz w:val="13"/>
                <w:szCs w:val="13"/>
              </w:rPr>
            </w:pPr>
          </w:p>
        </w:tc>
        <w:tc>
          <w:tcPr>
            <w:tcW w:w="1273" w:type="dxa"/>
            <w:vAlign w:val="center"/>
          </w:tcPr>
          <w:p w14:paraId="0764C513">
            <w:pPr>
              <w:jc w:val="right"/>
              <w:rPr>
                <w:rFonts w:cs="Times New Roman"/>
                <w:sz w:val="13"/>
                <w:szCs w:val="13"/>
              </w:rPr>
            </w:pPr>
          </w:p>
        </w:tc>
        <w:tc>
          <w:tcPr>
            <w:tcW w:w="1209" w:type="dxa"/>
            <w:vAlign w:val="center"/>
          </w:tcPr>
          <w:p w14:paraId="17ACB9DB">
            <w:pPr>
              <w:jc w:val="right"/>
              <w:rPr>
                <w:rFonts w:cs="Times New Roman"/>
                <w:sz w:val="13"/>
                <w:szCs w:val="13"/>
              </w:rPr>
            </w:pPr>
          </w:p>
        </w:tc>
        <w:tc>
          <w:tcPr>
            <w:tcW w:w="1415" w:type="dxa"/>
            <w:vAlign w:val="center"/>
          </w:tcPr>
          <w:p w14:paraId="3292A9E1">
            <w:pPr>
              <w:jc w:val="right"/>
              <w:rPr>
                <w:rFonts w:cs="Times New Roman"/>
                <w:sz w:val="13"/>
                <w:szCs w:val="13"/>
              </w:rPr>
            </w:pPr>
          </w:p>
        </w:tc>
      </w:tr>
      <w:tr w14:paraId="30AC6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49e92980f334c9cae023bb1dba136fc"/>
            <w:id w:val="147475283"/>
          </w:sdtPr>
          <w:sdtContent>
            <w:tc>
              <w:tcPr>
                <w:tcW w:w="2669" w:type="dxa"/>
                <w:vAlign w:val="center"/>
              </w:tcPr>
              <w:p w14:paraId="301FE7E2">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（六）其他</w:t>
                </w:r>
              </w:p>
            </w:tc>
          </w:sdtContent>
        </w:sdt>
        <w:tc>
          <w:tcPr>
            <w:tcW w:w="1509" w:type="dxa"/>
            <w:vAlign w:val="center"/>
          </w:tcPr>
          <w:p w14:paraId="7E20991A">
            <w:pPr>
              <w:jc w:val="right"/>
              <w:rPr>
                <w:rFonts w:cs="Times New Roman"/>
                <w:sz w:val="13"/>
                <w:szCs w:val="13"/>
              </w:rPr>
            </w:pPr>
          </w:p>
        </w:tc>
        <w:tc>
          <w:tcPr>
            <w:tcW w:w="1178" w:type="dxa"/>
            <w:vAlign w:val="center"/>
          </w:tcPr>
          <w:p w14:paraId="1500B3C2">
            <w:pPr>
              <w:jc w:val="right"/>
              <w:rPr>
                <w:rFonts w:cs="Times New Roman"/>
                <w:sz w:val="13"/>
                <w:szCs w:val="13"/>
              </w:rPr>
            </w:pPr>
          </w:p>
        </w:tc>
        <w:tc>
          <w:tcPr>
            <w:tcW w:w="1150" w:type="dxa"/>
            <w:vAlign w:val="center"/>
          </w:tcPr>
          <w:p w14:paraId="4EC59988">
            <w:pPr>
              <w:jc w:val="right"/>
              <w:rPr>
                <w:rFonts w:cs="Times New Roman"/>
                <w:sz w:val="13"/>
                <w:szCs w:val="13"/>
              </w:rPr>
            </w:pPr>
          </w:p>
        </w:tc>
        <w:tc>
          <w:tcPr>
            <w:tcW w:w="1301" w:type="dxa"/>
            <w:vAlign w:val="center"/>
          </w:tcPr>
          <w:p w14:paraId="7D011923">
            <w:pPr>
              <w:jc w:val="right"/>
              <w:rPr>
                <w:rFonts w:cs="Times New Roman"/>
                <w:sz w:val="13"/>
                <w:szCs w:val="13"/>
              </w:rPr>
            </w:pPr>
          </w:p>
        </w:tc>
        <w:tc>
          <w:tcPr>
            <w:tcW w:w="1223" w:type="dxa"/>
            <w:vAlign w:val="center"/>
          </w:tcPr>
          <w:p w14:paraId="1B307825">
            <w:pPr>
              <w:jc w:val="right"/>
              <w:rPr>
                <w:rFonts w:cs="Times New Roman"/>
                <w:sz w:val="13"/>
                <w:szCs w:val="13"/>
              </w:rPr>
            </w:pPr>
          </w:p>
        </w:tc>
        <w:tc>
          <w:tcPr>
            <w:tcW w:w="1162" w:type="dxa"/>
            <w:vAlign w:val="center"/>
          </w:tcPr>
          <w:p w14:paraId="16735EE8">
            <w:pPr>
              <w:jc w:val="right"/>
              <w:rPr>
                <w:rFonts w:cs="Times New Roman"/>
                <w:sz w:val="13"/>
                <w:szCs w:val="13"/>
              </w:rPr>
            </w:pPr>
          </w:p>
        </w:tc>
        <w:tc>
          <w:tcPr>
            <w:tcW w:w="1273" w:type="dxa"/>
            <w:vAlign w:val="center"/>
          </w:tcPr>
          <w:p w14:paraId="6E802E84">
            <w:pPr>
              <w:jc w:val="right"/>
              <w:rPr>
                <w:rFonts w:cs="Times New Roman"/>
                <w:sz w:val="13"/>
                <w:szCs w:val="13"/>
              </w:rPr>
            </w:pPr>
          </w:p>
        </w:tc>
        <w:tc>
          <w:tcPr>
            <w:tcW w:w="1209" w:type="dxa"/>
            <w:vAlign w:val="center"/>
          </w:tcPr>
          <w:p w14:paraId="75BE38E6">
            <w:pPr>
              <w:jc w:val="right"/>
              <w:rPr>
                <w:rFonts w:cs="Times New Roman"/>
                <w:sz w:val="13"/>
                <w:szCs w:val="13"/>
              </w:rPr>
            </w:pPr>
          </w:p>
        </w:tc>
        <w:tc>
          <w:tcPr>
            <w:tcW w:w="1415" w:type="dxa"/>
            <w:vAlign w:val="center"/>
          </w:tcPr>
          <w:p w14:paraId="4B9B3795">
            <w:pPr>
              <w:jc w:val="right"/>
              <w:rPr>
                <w:rFonts w:cs="Times New Roman"/>
                <w:sz w:val="13"/>
                <w:szCs w:val="13"/>
              </w:rPr>
            </w:pPr>
          </w:p>
        </w:tc>
      </w:tr>
      <w:tr w14:paraId="13C44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9c8435b637745858c6ad855ad7bbea0"/>
            <w:id w:val="147463582"/>
          </w:sdtPr>
          <w:sdtContent>
            <w:tc>
              <w:tcPr>
                <w:tcW w:w="2669" w:type="dxa"/>
                <w:vAlign w:val="center"/>
              </w:tcPr>
              <w:p w14:paraId="6B6CBB9D">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四、本期期末余额</w:t>
                </w:r>
              </w:p>
            </w:tc>
          </w:sdtContent>
        </w:sdt>
        <w:tc>
          <w:tcPr>
            <w:tcW w:w="1509" w:type="dxa"/>
            <w:vAlign w:val="center"/>
          </w:tcPr>
          <w:p w14:paraId="27B03F21">
            <w:pPr>
              <w:jc w:val="right"/>
              <w:rPr>
                <w:rFonts w:cs="Times New Roman"/>
                <w:sz w:val="13"/>
                <w:szCs w:val="13"/>
              </w:rPr>
            </w:pPr>
            <w:r>
              <w:rPr>
                <w:rFonts w:cs="Times New Roman"/>
                <w:color w:val="000000"/>
                <w:sz w:val="13"/>
                <w:szCs w:val="13"/>
              </w:rPr>
              <w:t>4,391,629,404.00</w:t>
            </w:r>
          </w:p>
        </w:tc>
        <w:tc>
          <w:tcPr>
            <w:tcW w:w="1178" w:type="dxa"/>
            <w:vAlign w:val="center"/>
          </w:tcPr>
          <w:p w14:paraId="44518127">
            <w:pPr>
              <w:jc w:val="right"/>
              <w:rPr>
                <w:rFonts w:cs="Times New Roman"/>
                <w:sz w:val="13"/>
                <w:szCs w:val="13"/>
              </w:rPr>
            </w:pPr>
            <w:r>
              <w:rPr>
                <w:rFonts w:cs="Times New Roman"/>
                <w:color w:val="000000"/>
                <w:sz w:val="13"/>
                <w:szCs w:val="13"/>
              </w:rPr>
              <w:t>8,067,766,137.08</w:t>
            </w:r>
          </w:p>
        </w:tc>
        <w:tc>
          <w:tcPr>
            <w:tcW w:w="1150" w:type="dxa"/>
            <w:vAlign w:val="center"/>
          </w:tcPr>
          <w:p w14:paraId="5ED97693">
            <w:pPr>
              <w:jc w:val="right"/>
              <w:rPr>
                <w:rFonts w:cs="Times New Roman"/>
                <w:sz w:val="13"/>
                <w:szCs w:val="13"/>
              </w:rPr>
            </w:pPr>
          </w:p>
        </w:tc>
        <w:tc>
          <w:tcPr>
            <w:tcW w:w="1301" w:type="dxa"/>
            <w:vAlign w:val="center"/>
          </w:tcPr>
          <w:p w14:paraId="5BEAA05A">
            <w:pPr>
              <w:jc w:val="right"/>
              <w:rPr>
                <w:rFonts w:cs="Times New Roman"/>
                <w:sz w:val="13"/>
                <w:szCs w:val="13"/>
              </w:rPr>
            </w:pPr>
            <w:r>
              <w:rPr>
                <w:rFonts w:cs="Times New Roman"/>
                <w:color w:val="000000"/>
                <w:sz w:val="13"/>
                <w:szCs w:val="13"/>
              </w:rPr>
              <w:t>-188,264,618.94</w:t>
            </w:r>
          </w:p>
        </w:tc>
        <w:tc>
          <w:tcPr>
            <w:tcW w:w="1223" w:type="dxa"/>
            <w:vAlign w:val="center"/>
          </w:tcPr>
          <w:p w14:paraId="40BC98F1">
            <w:pPr>
              <w:jc w:val="right"/>
              <w:rPr>
                <w:rFonts w:cs="Times New Roman"/>
                <w:sz w:val="13"/>
                <w:szCs w:val="13"/>
              </w:rPr>
            </w:pPr>
            <w:r>
              <w:rPr>
                <w:rFonts w:cs="Times New Roman"/>
                <w:color w:val="000000"/>
                <w:sz w:val="13"/>
                <w:szCs w:val="13"/>
              </w:rPr>
              <w:t>369,657,198.90</w:t>
            </w:r>
          </w:p>
        </w:tc>
        <w:tc>
          <w:tcPr>
            <w:tcW w:w="1162" w:type="dxa"/>
            <w:vAlign w:val="center"/>
          </w:tcPr>
          <w:p w14:paraId="37BA7CEE">
            <w:pPr>
              <w:jc w:val="right"/>
              <w:rPr>
                <w:rFonts w:cs="Times New Roman"/>
                <w:sz w:val="13"/>
                <w:szCs w:val="13"/>
              </w:rPr>
            </w:pPr>
            <w:r>
              <w:rPr>
                <w:rFonts w:cs="Times New Roman"/>
                <w:color w:val="000000"/>
                <w:sz w:val="13"/>
                <w:szCs w:val="13"/>
              </w:rPr>
              <w:t>4,312,792,429.08</w:t>
            </w:r>
          </w:p>
        </w:tc>
        <w:tc>
          <w:tcPr>
            <w:tcW w:w="1273" w:type="dxa"/>
            <w:vAlign w:val="center"/>
          </w:tcPr>
          <w:p w14:paraId="43067794">
            <w:pPr>
              <w:jc w:val="right"/>
              <w:rPr>
                <w:rFonts w:cs="Times New Roman"/>
                <w:sz w:val="13"/>
                <w:szCs w:val="13"/>
              </w:rPr>
            </w:pPr>
            <w:r>
              <w:rPr>
                <w:rFonts w:cs="Times New Roman"/>
                <w:color w:val="000000"/>
                <w:sz w:val="13"/>
                <w:szCs w:val="13"/>
              </w:rPr>
              <w:t>16,953,580,550.12</w:t>
            </w:r>
          </w:p>
        </w:tc>
        <w:tc>
          <w:tcPr>
            <w:tcW w:w="1209" w:type="dxa"/>
            <w:vAlign w:val="center"/>
          </w:tcPr>
          <w:p w14:paraId="18E29106">
            <w:pPr>
              <w:jc w:val="right"/>
              <w:rPr>
                <w:rFonts w:cs="Times New Roman"/>
                <w:sz w:val="13"/>
                <w:szCs w:val="13"/>
              </w:rPr>
            </w:pPr>
            <w:r>
              <w:rPr>
                <w:rFonts w:cs="Times New Roman"/>
                <w:color w:val="000000"/>
                <w:sz w:val="13"/>
                <w:szCs w:val="13"/>
              </w:rPr>
              <w:t>-96,732,086.83</w:t>
            </w:r>
          </w:p>
        </w:tc>
        <w:tc>
          <w:tcPr>
            <w:tcW w:w="1415" w:type="dxa"/>
            <w:vAlign w:val="center"/>
          </w:tcPr>
          <w:p w14:paraId="5E20CD02">
            <w:pPr>
              <w:jc w:val="right"/>
              <w:rPr>
                <w:rFonts w:cs="Times New Roman"/>
                <w:sz w:val="13"/>
                <w:szCs w:val="13"/>
              </w:rPr>
            </w:pPr>
            <w:r>
              <w:rPr>
                <w:rFonts w:cs="Times New Roman"/>
                <w:color w:val="000000"/>
                <w:sz w:val="13"/>
                <w:szCs w:val="13"/>
              </w:rPr>
              <w:t>16,856,848,463.29</w:t>
            </w:r>
          </w:p>
        </w:tc>
      </w:tr>
    </w:tbl>
    <w:p w14:paraId="4F69A67D"/>
    <w:p w14:paraId="569669AC">
      <w:pPr>
        <w:snapToGrid w:val="0"/>
        <w:spacing w:line="240" w:lineRule="atLeast"/>
        <w:rPr>
          <w:b/>
          <w:bCs w:val="0"/>
          <w:color w:val="000000" w:themeColor="text1"/>
          <w14:textFill>
            <w14:solidFill>
              <w14:schemeClr w14:val="tx1"/>
            </w14:solidFill>
          </w14:textFill>
        </w:rPr>
      </w:pPr>
      <w:r>
        <w:rPr>
          <w:color w:val="000000" w:themeColor="text1"/>
          <w14:textFill>
            <w14:solidFill>
              <w14:schemeClr w14:val="tx1"/>
            </w14:solidFill>
          </w14:textFill>
        </w:rPr>
        <w:t>公司负责人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公司负责人"/>
          <w:tag w:val="_GBC_076a4a0998a840bab20f0ed83e5bab3d"/>
          <w:id w:val="147460699"/>
          <w:placeholder>
            <w:docPart w:val="GBC22222222222222222222222222222"/>
          </w:placeholder>
          <w:dataBinding w:prefixMappings="xmlns:clcid-mr='clcid-mr'" w:xpath="/*/clcid-mr:GongSi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夏前军</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主管会计工作负责人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主管会计工作负责人姓名"/>
          <w:tag w:val="_GBC_5b21002df9e248fa81a6770579ce76cd"/>
          <w:id w:val="147464919"/>
          <w:placeholder>
            <w:docPart w:val="GBC22222222222222222222222222222"/>
          </w:placeholder>
          <w:dataBinding w:prefixMappings="xmlns:clcid-mr='clcid-mr'" w:xpath="/*/clcid-mr:ZhuGuanKuaiJiGongZuo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刘改平</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会计机构负责人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会计机构负责人姓名"/>
          <w:tag w:val="_GBC_6a446d6543174dc48c72d440eefb0b71"/>
          <w:id w:val="147476635"/>
          <w:placeholder>
            <w:docPart w:val="GBC22222222222222222222222222222"/>
          </w:placeholder>
          <w:dataBinding w:prefixMappings="xmlns:clcid-mr='clcid-mr'" w:xpath="/*/clcid-mr:KuaiJiJiGou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冯晓</w:t>
          </w:r>
        </w:sdtContent>
      </w:sdt>
    </w:p>
    <w:p w14:paraId="3AB1397E">
      <w:pPr>
        <w:rPr>
          <w:color w:val="000000" w:themeColor="text1"/>
          <w14:textFill>
            <w14:solidFill>
              <w14:schemeClr w14:val="tx1"/>
            </w14:solidFill>
          </w14:textFill>
        </w:rPr>
      </w:pPr>
    </w:p>
    <w:p w14:paraId="5587228D">
      <w:pPr>
        <w:rPr>
          <w:color w:val="000000" w:themeColor="text1"/>
          <w14:textFill>
            <w14:solidFill>
              <w14:schemeClr w14:val="tx1"/>
            </w14:solidFill>
          </w14:textFill>
        </w:rPr>
      </w:pPr>
    </w:p>
    <w:p w14:paraId="52BBBD07">
      <w:pPr>
        <w:rPr>
          <w:color w:val="000000" w:themeColor="text1"/>
          <w14:textFill>
            <w14:solidFill>
              <w14:schemeClr w14:val="tx1"/>
            </w14:solidFill>
          </w14:textFill>
        </w:rPr>
      </w:pPr>
    </w:p>
    <w:p w14:paraId="6BDEDB5D">
      <w:pPr>
        <w:pStyle w:val="57"/>
        <w:jc w:val="cente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母公司</w:t>
      </w:r>
      <w:r>
        <w:rPr>
          <w:rFonts w:hint="eastAsia" w:ascii="宋体" w:hAnsi="宋体"/>
          <w:color w:val="000000" w:themeColor="text1"/>
          <w14:textFill>
            <w14:solidFill>
              <w14:schemeClr w14:val="tx1"/>
            </w14:solidFill>
          </w14:textFill>
        </w:rPr>
        <w:t>所有者权益变动表</w:t>
      </w:r>
    </w:p>
    <w:p w14:paraId="437E9918">
      <w:pPr>
        <w:tabs>
          <w:tab w:val="left" w:pos="10080"/>
        </w:tabs>
        <w:snapToGrid w:val="0"/>
        <w:spacing w:line="240" w:lineRule="atLeast"/>
        <w:ind w:right="25" w:rightChars="12"/>
        <w:jc w:val="center"/>
        <w:rPr>
          <w:b/>
          <w:bCs w:val="0"/>
          <w:color w:val="000000" w:themeColor="text1"/>
          <w14:textFill>
            <w14:solidFill>
              <w14:schemeClr w14:val="tx1"/>
            </w14:solidFill>
          </w14:textFill>
        </w:rPr>
      </w:pPr>
      <w:r>
        <w:rPr>
          <w:color w:val="000000" w:themeColor="text1"/>
          <w14:textFill>
            <w14:solidFill>
              <w14:schemeClr w14:val="tx1"/>
            </w14:solidFill>
          </w14:textFill>
        </w:rPr>
        <w:t>2025年</w:t>
      </w:r>
      <w:r>
        <w:rPr>
          <w:rFonts w:hint="eastAsia"/>
          <w:color w:val="000000" w:themeColor="text1"/>
          <w14:textFill>
            <w14:solidFill>
              <w14:schemeClr w14:val="tx1"/>
            </w14:solidFill>
          </w14:textFill>
        </w:rPr>
        <w:t>1—6</w:t>
      </w:r>
      <w:r>
        <w:rPr>
          <w:color w:val="000000" w:themeColor="text1"/>
          <w14:textFill>
            <w14:solidFill>
              <w14:schemeClr w14:val="tx1"/>
            </w14:solidFill>
          </w14:textFill>
        </w:rPr>
        <w:t>月</w:t>
      </w:r>
    </w:p>
    <w:p w14:paraId="09C3F759">
      <w:pPr>
        <w:snapToGrid w:val="0"/>
        <w:spacing w:line="240" w:lineRule="atLeast"/>
        <w:jc w:val="right"/>
        <w:rPr>
          <w:color w:val="000000" w:themeColor="text1"/>
          <w14:textFill>
            <w14:solidFill>
              <w14:schemeClr w14:val="tx1"/>
            </w14:solidFill>
          </w14:textFill>
        </w:rPr>
      </w:pPr>
      <w:r>
        <w:rPr>
          <w:color w:val="000000" w:themeColor="text1"/>
          <w14:textFill>
            <w14:solidFill>
              <w14:schemeClr w14:val="tx1"/>
            </w14:solidFill>
          </w14:textFill>
        </w:rPr>
        <w:t>单位：</w:t>
      </w:r>
      <w:sdt>
        <w:sdtPr>
          <w:rPr>
            <w:color w:val="000000" w:themeColor="text1"/>
            <w14:textFill>
              <w14:solidFill>
                <w14:schemeClr w14:val="tx1"/>
              </w14:solidFill>
            </w14:textFill>
          </w:rPr>
          <w:alias w:val="单位：母公司股东权益调节表"/>
          <w:tag w:val="_GBC_048773409e614c6bb753000b028316a5"/>
          <w:id w:val="1474825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color w:val="000000" w:themeColor="text1"/>
          <w14:textFill>
            <w14:solidFill>
              <w14:schemeClr w14:val="tx1"/>
            </w14:solidFill>
          </w14:textFill>
        </w:rPr>
        <w:t xml:space="preserve">  币种：</w:t>
      </w:r>
      <w:sdt>
        <w:sdtPr>
          <w:rPr>
            <w:color w:val="000000" w:themeColor="text1"/>
            <w14:textFill>
              <w14:solidFill>
                <w14:schemeClr w14:val="tx1"/>
              </w14:solidFill>
            </w14:textFill>
          </w:rPr>
          <w:alias w:val="币种：母公司股东权益调节表"/>
          <w:tag w:val="_GBC_5214b7a188334da286fc3038d017d072"/>
          <w:id w:val="1474741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人民币</w:t>
          </w:r>
        </w:sdtContent>
      </w:sdt>
    </w:p>
    <w:tbl>
      <w:tblPr>
        <w:tblStyle w:val="37"/>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14"/>
        <w:gridCol w:w="1639"/>
        <w:gridCol w:w="1606"/>
        <w:gridCol w:w="1631"/>
        <w:gridCol w:w="1594"/>
        <w:gridCol w:w="1594"/>
        <w:gridCol w:w="1583"/>
        <w:gridCol w:w="1620"/>
      </w:tblGrid>
      <w:tr w14:paraId="3AF60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blHeader/>
        </w:trPr>
        <w:sdt>
          <w:sdtPr>
            <w:tag w:val="_PLD_e16babcb874e4410be91226aac3d24db"/>
            <w:id w:val="147483122"/>
          </w:sdtPr>
          <w:sdtContent>
            <w:tc>
              <w:tcPr>
                <w:tcW w:w="999" w:type="pct"/>
                <w:vMerge w:val="restart"/>
                <w:vAlign w:val="center"/>
              </w:tcPr>
              <w:p w14:paraId="2ABE7F84">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项目</w:t>
                </w:r>
              </w:p>
            </w:tc>
          </w:sdtContent>
        </w:sdt>
        <w:tc>
          <w:tcPr>
            <w:tcW w:w="4000" w:type="pct"/>
            <w:gridSpan w:val="7"/>
            <w:vAlign w:val="center"/>
          </w:tcPr>
          <w:p w14:paraId="7BE5A11F">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sdt>
              <w:sdtPr>
                <w:tag w:val="_PLD_f6e21c3ce66d4e148eea3bf743a653b8"/>
                <w:id w:val="147452700"/>
              </w:sdtPr>
              <w:sdtContent>
                <w:r>
                  <w:rPr>
                    <w:rFonts w:hint="eastAsia"/>
                    <w:color w:val="000000" w:themeColor="text1"/>
                    <w:sz w:val="18"/>
                    <w14:textFill>
                      <w14:solidFill>
                        <w14:schemeClr w14:val="tx1"/>
                      </w14:solidFill>
                    </w14:textFill>
                  </w:rPr>
                  <w:t>2025年半年度</w:t>
                </w:r>
              </w:sdtContent>
            </w:sdt>
          </w:p>
        </w:tc>
      </w:tr>
      <w:tr w14:paraId="7C620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blHeader/>
        </w:trPr>
        <w:tc>
          <w:tcPr>
            <w:tcW w:w="999" w:type="pct"/>
            <w:vMerge w:val="continue"/>
            <w:vAlign w:val="center"/>
          </w:tcPr>
          <w:p w14:paraId="47C16435">
            <w:pPr>
              <w:adjustRightInd w:val="0"/>
              <w:snapToGrid w:val="0"/>
              <w:rPr>
                <w:color w:val="000000" w:themeColor="text1"/>
                <w:sz w:val="18"/>
                <w:szCs w:val="18"/>
                <w14:textFill>
                  <w14:solidFill>
                    <w14:schemeClr w14:val="tx1"/>
                  </w14:solidFill>
                </w14:textFill>
              </w:rPr>
            </w:pPr>
          </w:p>
        </w:tc>
        <w:sdt>
          <w:sdtPr>
            <w:tag w:val="_PLD_0b6e9703ed65458cb162afd47e6cc9f5"/>
            <w:id w:val="147465349"/>
          </w:sdtPr>
          <w:sdtContent>
            <w:tc>
              <w:tcPr>
                <w:tcW w:w="582" w:type="pct"/>
                <w:vMerge w:val="restart"/>
                <w:tcBorders>
                  <w:right w:val="single" w:color="auto" w:sz="4" w:space="0"/>
                </w:tcBorders>
                <w:vAlign w:val="center"/>
              </w:tcPr>
              <w:p w14:paraId="0036C9E8">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实收资本</w:t>
                </w:r>
                <w:r>
                  <w:rPr>
                    <w:color w:val="000000" w:themeColor="text1"/>
                    <w:sz w:val="18"/>
                    <w:szCs w:val="18"/>
                    <w14:textFill>
                      <w14:solidFill>
                        <w14:schemeClr w14:val="tx1"/>
                      </w14:solidFill>
                    </w14:textFill>
                  </w:rPr>
                  <w:t xml:space="preserve"> (或股本)</w:t>
                </w:r>
              </w:p>
            </w:tc>
          </w:sdtContent>
        </w:sdt>
        <w:sdt>
          <w:sdtPr>
            <w:tag w:val="_PLD_670488de432c4150880353e82f6ebb21"/>
            <w:id w:val="147456099"/>
          </w:sdtPr>
          <w:sdtContent>
            <w:tc>
              <w:tcPr>
                <w:tcW w:w="570" w:type="pct"/>
                <w:vMerge w:val="restart"/>
                <w:vAlign w:val="center"/>
              </w:tcPr>
              <w:p w14:paraId="5449EF17">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资本公积</w:t>
                </w:r>
              </w:p>
            </w:tc>
          </w:sdtContent>
        </w:sdt>
        <w:sdt>
          <w:sdtPr>
            <w:tag w:val="_PLD_c1c25c4e521b4e8aba5ccfef16a558c5"/>
            <w:id w:val="147478541"/>
          </w:sdtPr>
          <w:sdtContent>
            <w:tc>
              <w:tcPr>
                <w:tcW w:w="579" w:type="pct"/>
                <w:vMerge w:val="restart"/>
                <w:vAlign w:val="center"/>
              </w:tcPr>
              <w:p w14:paraId="4F941C62">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减：库存股</w:t>
                </w:r>
              </w:p>
            </w:tc>
          </w:sdtContent>
        </w:sdt>
        <w:sdt>
          <w:sdtPr>
            <w:tag w:val="_PLD_4ef83c170ca54a08ac6fcebc6a487dcd"/>
            <w:id w:val="147463317"/>
          </w:sdtPr>
          <w:sdtContent>
            <w:tc>
              <w:tcPr>
                <w:tcW w:w="566" w:type="pct"/>
                <w:vMerge w:val="restart"/>
                <w:vAlign w:val="center"/>
              </w:tcPr>
              <w:p w14:paraId="652EEE6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其他综合收益</w:t>
                </w:r>
              </w:p>
            </w:tc>
          </w:sdtContent>
        </w:sdt>
        <w:sdt>
          <w:sdtPr>
            <w:tag w:val="_PLD_dbef0e1514f54b8ab8b43e975d3451b6"/>
            <w:id w:val="147457143"/>
          </w:sdtPr>
          <w:sdtContent>
            <w:tc>
              <w:tcPr>
                <w:tcW w:w="566" w:type="pct"/>
                <w:vMerge w:val="restart"/>
                <w:vAlign w:val="center"/>
              </w:tcPr>
              <w:p w14:paraId="33F13158">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盈余公积</w:t>
                </w:r>
              </w:p>
            </w:tc>
          </w:sdtContent>
        </w:sdt>
        <w:sdt>
          <w:sdtPr>
            <w:tag w:val="_PLD_63b6c2969ec64e7abb1802f027c1069a"/>
            <w:id w:val="147465263"/>
          </w:sdtPr>
          <w:sdtContent>
            <w:tc>
              <w:tcPr>
                <w:tcW w:w="562" w:type="pct"/>
                <w:vMerge w:val="restart"/>
                <w:vAlign w:val="center"/>
              </w:tcPr>
              <w:p w14:paraId="6BDBCBCB">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未分配利润</w:t>
                </w:r>
              </w:p>
            </w:tc>
          </w:sdtContent>
        </w:sdt>
        <w:sdt>
          <w:sdtPr>
            <w:tag w:val="_PLD_cdd38492b3a84e28b52c6700432babfd"/>
            <w:id w:val="147462017"/>
          </w:sdtPr>
          <w:sdtContent>
            <w:tc>
              <w:tcPr>
                <w:tcW w:w="574" w:type="pct"/>
                <w:vMerge w:val="restart"/>
                <w:vAlign w:val="center"/>
              </w:tcPr>
              <w:p w14:paraId="3107F2EC">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所有者权益合计</w:t>
                </w:r>
              </w:p>
            </w:tc>
          </w:sdtContent>
        </w:sdt>
      </w:tr>
      <w:tr w14:paraId="09A25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b5131b53bda244fcbd76916797d6b666"/>
            <w:id w:val="147455085"/>
          </w:sdtPr>
          <w:sdtContent>
            <w:tc>
              <w:tcPr>
                <w:tcW w:w="999" w:type="pct"/>
                <w:vAlign w:val="center"/>
              </w:tcPr>
              <w:p w14:paraId="79533204">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一、上年</w:t>
                </w:r>
                <w:r>
                  <w:rPr>
                    <w:rFonts w:hint="eastAsia"/>
                    <w:color w:val="000000" w:themeColor="text1"/>
                    <w:sz w:val="18"/>
                    <w:szCs w:val="18"/>
                    <w14:textFill>
                      <w14:solidFill>
                        <w14:schemeClr w14:val="tx1"/>
                      </w14:solidFill>
                    </w14:textFill>
                  </w:rPr>
                  <w:t>期</w:t>
                </w:r>
                <w:r>
                  <w:rPr>
                    <w:color w:val="000000" w:themeColor="text1"/>
                    <w:sz w:val="18"/>
                    <w:szCs w:val="18"/>
                    <w14:textFill>
                      <w14:solidFill>
                        <w14:schemeClr w14:val="tx1"/>
                      </w14:solidFill>
                    </w14:textFill>
                  </w:rPr>
                  <w:t>末余额</w:t>
                </w:r>
              </w:p>
            </w:tc>
          </w:sdtContent>
        </w:sdt>
        <w:tc>
          <w:tcPr>
            <w:tcW w:w="582" w:type="pct"/>
            <w:tcBorders>
              <w:right w:val="single" w:color="auto" w:sz="4" w:space="0"/>
            </w:tcBorders>
            <w:vAlign w:val="center"/>
          </w:tcPr>
          <w:p w14:paraId="0C0F41CC">
            <w:pPr>
              <w:jc w:val="right"/>
              <w:textAlignment w:val="bottom"/>
              <w:rPr>
                <w:rFonts w:cs="Times New Roman"/>
                <w:sz w:val="18"/>
                <w:szCs w:val="18"/>
              </w:rPr>
            </w:pPr>
            <w:r>
              <w:rPr>
                <w:rFonts w:eastAsia="Arial Narrow" w:cs="Times New Roman"/>
                <w:color w:val="000000"/>
                <w:sz w:val="18"/>
                <w:szCs w:val="18"/>
                <w:lang w:bidi="ar"/>
              </w:rPr>
              <w:t>4,391,629,404.00</w:t>
            </w:r>
          </w:p>
        </w:tc>
        <w:tc>
          <w:tcPr>
            <w:tcW w:w="570" w:type="pct"/>
            <w:tcBorders>
              <w:left w:val="single" w:color="auto" w:sz="4" w:space="0"/>
            </w:tcBorders>
            <w:vAlign w:val="center"/>
          </w:tcPr>
          <w:p w14:paraId="37E01BB2">
            <w:pPr>
              <w:jc w:val="right"/>
              <w:textAlignment w:val="bottom"/>
              <w:rPr>
                <w:rFonts w:cs="Times New Roman"/>
                <w:sz w:val="18"/>
                <w:szCs w:val="18"/>
              </w:rPr>
            </w:pPr>
            <w:r>
              <w:rPr>
                <w:rFonts w:eastAsia="Arial Narrow" w:cs="Times New Roman"/>
                <w:color w:val="000000"/>
                <w:sz w:val="18"/>
                <w:szCs w:val="18"/>
                <w:lang w:bidi="ar"/>
              </w:rPr>
              <w:t>7,852,925,237.95</w:t>
            </w:r>
          </w:p>
        </w:tc>
        <w:tc>
          <w:tcPr>
            <w:tcW w:w="579" w:type="pct"/>
            <w:vAlign w:val="center"/>
          </w:tcPr>
          <w:p w14:paraId="61825C6A">
            <w:pPr>
              <w:jc w:val="right"/>
              <w:rPr>
                <w:rFonts w:cs="Times New Roman"/>
                <w:sz w:val="18"/>
                <w:szCs w:val="18"/>
              </w:rPr>
            </w:pPr>
          </w:p>
        </w:tc>
        <w:tc>
          <w:tcPr>
            <w:tcW w:w="566" w:type="pct"/>
            <w:vAlign w:val="center"/>
          </w:tcPr>
          <w:p w14:paraId="0EA7DAD9">
            <w:pPr>
              <w:jc w:val="right"/>
              <w:textAlignment w:val="bottom"/>
              <w:rPr>
                <w:rFonts w:cs="Times New Roman"/>
                <w:sz w:val="18"/>
                <w:szCs w:val="18"/>
              </w:rPr>
            </w:pPr>
            <w:r>
              <w:rPr>
                <w:rFonts w:eastAsia="Arial Narrow" w:cs="Times New Roman"/>
                <w:color w:val="000000"/>
                <w:sz w:val="18"/>
                <w:szCs w:val="18"/>
                <w:lang w:bidi="ar"/>
              </w:rPr>
              <w:t>-225,999,968.83</w:t>
            </w:r>
          </w:p>
        </w:tc>
        <w:tc>
          <w:tcPr>
            <w:tcW w:w="566" w:type="pct"/>
            <w:vAlign w:val="center"/>
          </w:tcPr>
          <w:p w14:paraId="6DC0BE0E">
            <w:pPr>
              <w:jc w:val="right"/>
              <w:textAlignment w:val="bottom"/>
              <w:rPr>
                <w:rFonts w:cs="Times New Roman"/>
                <w:sz w:val="18"/>
                <w:szCs w:val="18"/>
              </w:rPr>
            </w:pPr>
            <w:r>
              <w:rPr>
                <w:rFonts w:eastAsia="Arial Narrow" w:cs="Times New Roman"/>
                <w:color w:val="000000"/>
                <w:sz w:val="18"/>
                <w:szCs w:val="18"/>
                <w:lang w:bidi="ar"/>
              </w:rPr>
              <w:t>369,677,423.82</w:t>
            </w:r>
          </w:p>
        </w:tc>
        <w:tc>
          <w:tcPr>
            <w:tcW w:w="562" w:type="pct"/>
            <w:vAlign w:val="center"/>
          </w:tcPr>
          <w:p w14:paraId="07AA1FED">
            <w:pPr>
              <w:jc w:val="right"/>
              <w:textAlignment w:val="bottom"/>
              <w:rPr>
                <w:rFonts w:cs="Times New Roman"/>
                <w:sz w:val="18"/>
                <w:szCs w:val="18"/>
              </w:rPr>
            </w:pPr>
            <w:r>
              <w:rPr>
                <w:rFonts w:eastAsia="Arial Narrow" w:cs="Times New Roman"/>
                <w:color w:val="000000"/>
                <w:sz w:val="18"/>
                <w:szCs w:val="18"/>
                <w:lang w:bidi="ar"/>
              </w:rPr>
              <w:t>36,192,464.08</w:t>
            </w:r>
          </w:p>
        </w:tc>
        <w:tc>
          <w:tcPr>
            <w:tcW w:w="574" w:type="pct"/>
            <w:vAlign w:val="center"/>
          </w:tcPr>
          <w:p w14:paraId="60A10792">
            <w:pPr>
              <w:jc w:val="right"/>
              <w:textAlignment w:val="bottom"/>
              <w:rPr>
                <w:rFonts w:cs="Times New Roman"/>
                <w:sz w:val="18"/>
                <w:szCs w:val="18"/>
              </w:rPr>
            </w:pPr>
            <w:r>
              <w:rPr>
                <w:rFonts w:eastAsia="Arial Narrow" w:cs="Times New Roman"/>
                <w:color w:val="000000"/>
                <w:sz w:val="18"/>
                <w:szCs w:val="18"/>
                <w:lang w:bidi="ar"/>
              </w:rPr>
              <w:t>12,424,424,561.02</w:t>
            </w:r>
          </w:p>
        </w:tc>
      </w:tr>
      <w:tr w14:paraId="3EF40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345919472b384d0eb13471ef5f2f5e92"/>
            <w:id w:val="147467790"/>
          </w:sdtPr>
          <w:sdtContent>
            <w:tc>
              <w:tcPr>
                <w:tcW w:w="999" w:type="pct"/>
                <w:vAlign w:val="center"/>
              </w:tcPr>
              <w:p w14:paraId="657DECBE">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二、本年</w:t>
                </w:r>
                <w:r>
                  <w:rPr>
                    <w:rFonts w:hint="eastAsia"/>
                    <w:color w:val="000000" w:themeColor="text1"/>
                    <w:sz w:val="18"/>
                    <w:szCs w:val="18"/>
                    <w14:textFill>
                      <w14:solidFill>
                        <w14:schemeClr w14:val="tx1"/>
                      </w14:solidFill>
                    </w14:textFill>
                  </w:rPr>
                  <w:t>期</w:t>
                </w:r>
                <w:r>
                  <w:rPr>
                    <w:color w:val="000000" w:themeColor="text1"/>
                    <w:sz w:val="18"/>
                    <w:szCs w:val="18"/>
                    <w14:textFill>
                      <w14:solidFill>
                        <w14:schemeClr w14:val="tx1"/>
                      </w14:solidFill>
                    </w14:textFill>
                  </w:rPr>
                  <w:t>初余额</w:t>
                </w:r>
              </w:p>
            </w:tc>
          </w:sdtContent>
        </w:sdt>
        <w:tc>
          <w:tcPr>
            <w:tcW w:w="582" w:type="pct"/>
            <w:tcBorders>
              <w:right w:val="single" w:color="auto" w:sz="4" w:space="0"/>
            </w:tcBorders>
            <w:vAlign w:val="center"/>
          </w:tcPr>
          <w:p w14:paraId="643DD4A1">
            <w:pPr>
              <w:jc w:val="right"/>
              <w:textAlignment w:val="bottom"/>
              <w:rPr>
                <w:rFonts w:cs="Times New Roman"/>
                <w:sz w:val="18"/>
                <w:szCs w:val="18"/>
              </w:rPr>
            </w:pPr>
            <w:r>
              <w:rPr>
                <w:rFonts w:eastAsia="Arial Narrow" w:cs="Times New Roman"/>
                <w:color w:val="000000"/>
                <w:sz w:val="18"/>
                <w:szCs w:val="18"/>
                <w:lang w:bidi="ar"/>
              </w:rPr>
              <w:t>4,391,629,404.00</w:t>
            </w:r>
          </w:p>
        </w:tc>
        <w:tc>
          <w:tcPr>
            <w:tcW w:w="570" w:type="pct"/>
            <w:tcBorders>
              <w:left w:val="single" w:color="auto" w:sz="4" w:space="0"/>
            </w:tcBorders>
            <w:vAlign w:val="center"/>
          </w:tcPr>
          <w:p w14:paraId="51009ABA">
            <w:pPr>
              <w:jc w:val="right"/>
              <w:textAlignment w:val="bottom"/>
              <w:rPr>
                <w:rFonts w:cs="Times New Roman"/>
                <w:sz w:val="18"/>
                <w:szCs w:val="18"/>
              </w:rPr>
            </w:pPr>
            <w:r>
              <w:rPr>
                <w:rFonts w:eastAsia="Arial Narrow" w:cs="Times New Roman"/>
                <w:color w:val="000000"/>
                <w:sz w:val="18"/>
                <w:szCs w:val="18"/>
                <w:lang w:bidi="ar"/>
              </w:rPr>
              <w:t>7,852,925,237.95</w:t>
            </w:r>
          </w:p>
        </w:tc>
        <w:tc>
          <w:tcPr>
            <w:tcW w:w="579" w:type="pct"/>
            <w:vAlign w:val="center"/>
          </w:tcPr>
          <w:p w14:paraId="311BD683">
            <w:pPr>
              <w:jc w:val="right"/>
              <w:rPr>
                <w:rFonts w:cs="Times New Roman"/>
                <w:sz w:val="18"/>
                <w:szCs w:val="18"/>
              </w:rPr>
            </w:pPr>
          </w:p>
        </w:tc>
        <w:tc>
          <w:tcPr>
            <w:tcW w:w="566" w:type="pct"/>
            <w:vAlign w:val="center"/>
          </w:tcPr>
          <w:p w14:paraId="13B5259E">
            <w:pPr>
              <w:jc w:val="right"/>
              <w:textAlignment w:val="bottom"/>
              <w:rPr>
                <w:rFonts w:cs="Times New Roman"/>
                <w:sz w:val="18"/>
                <w:szCs w:val="18"/>
              </w:rPr>
            </w:pPr>
            <w:r>
              <w:rPr>
                <w:rFonts w:eastAsia="Arial Narrow" w:cs="Times New Roman"/>
                <w:color w:val="000000"/>
                <w:sz w:val="18"/>
                <w:szCs w:val="18"/>
                <w:lang w:bidi="ar"/>
              </w:rPr>
              <w:t>-225,999,968.83</w:t>
            </w:r>
          </w:p>
        </w:tc>
        <w:tc>
          <w:tcPr>
            <w:tcW w:w="566" w:type="pct"/>
            <w:vAlign w:val="center"/>
          </w:tcPr>
          <w:p w14:paraId="717CFB5B">
            <w:pPr>
              <w:jc w:val="right"/>
              <w:textAlignment w:val="bottom"/>
              <w:rPr>
                <w:rFonts w:cs="Times New Roman"/>
                <w:sz w:val="18"/>
                <w:szCs w:val="18"/>
              </w:rPr>
            </w:pPr>
            <w:r>
              <w:rPr>
                <w:rFonts w:eastAsia="Arial Narrow" w:cs="Times New Roman"/>
                <w:color w:val="000000"/>
                <w:sz w:val="18"/>
                <w:szCs w:val="18"/>
                <w:lang w:bidi="ar"/>
              </w:rPr>
              <w:t>369,677,423.82</w:t>
            </w:r>
          </w:p>
        </w:tc>
        <w:tc>
          <w:tcPr>
            <w:tcW w:w="562" w:type="pct"/>
            <w:vAlign w:val="center"/>
          </w:tcPr>
          <w:p w14:paraId="089BA7B0">
            <w:pPr>
              <w:jc w:val="right"/>
              <w:textAlignment w:val="bottom"/>
              <w:rPr>
                <w:rFonts w:cs="Times New Roman"/>
                <w:sz w:val="18"/>
                <w:szCs w:val="18"/>
              </w:rPr>
            </w:pPr>
            <w:r>
              <w:rPr>
                <w:rFonts w:eastAsia="Arial Narrow" w:cs="Times New Roman"/>
                <w:color w:val="000000"/>
                <w:sz w:val="18"/>
                <w:szCs w:val="18"/>
                <w:lang w:bidi="ar"/>
              </w:rPr>
              <w:t>36,192,464.08</w:t>
            </w:r>
          </w:p>
        </w:tc>
        <w:tc>
          <w:tcPr>
            <w:tcW w:w="574" w:type="pct"/>
            <w:vAlign w:val="center"/>
          </w:tcPr>
          <w:p w14:paraId="2B6F5EEC">
            <w:pPr>
              <w:jc w:val="right"/>
              <w:textAlignment w:val="bottom"/>
              <w:rPr>
                <w:rFonts w:cs="Times New Roman"/>
                <w:sz w:val="18"/>
                <w:szCs w:val="18"/>
              </w:rPr>
            </w:pPr>
            <w:r>
              <w:rPr>
                <w:rFonts w:eastAsia="Arial Narrow" w:cs="Times New Roman"/>
                <w:color w:val="000000"/>
                <w:sz w:val="18"/>
                <w:szCs w:val="18"/>
                <w:lang w:bidi="ar"/>
              </w:rPr>
              <w:t>12,424,424,561.02</w:t>
            </w:r>
          </w:p>
        </w:tc>
      </w:tr>
      <w:tr w14:paraId="37CC3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4eea4cc259884a6ab5f2fe018aec3d4e"/>
            <w:id w:val="147480784"/>
          </w:sdtPr>
          <w:sdtContent>
            <w:tc>
              <w:tcPr>
                <w:tcW w:w="999" w:type="pct"/>
                <w:vAlign w:val="center"/>
              </w:tcPr>
              <w:p w14:paraId="33AC6EC6">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三、本</w:t>
                </w:r>
                <w:r>
                  <w:rPr>
                    <w:rFonts w:hint="eastAsia"/>
                    <w:color w:val="000000" w:themeColor="text1"/>
                    <w:sz w:val="18"/>
                    <w:szCs w:val="18"/>
                    <w14:textFill>
                      <w14:solidFill>
                        <w14:schemeClr w14:val="tx1"/>
                      </w14:solidFill>
                    </w14:textFill>
                  </w:rPr>
                  <w:t>期</w:t>
                </w:r>
                <w:r>
                  <w:rPr>
                    <w:color w:val="000000" w:themeColor="text1"/>
                    <w:sz w:val="18"/>
                    <w:szCs w:val="18"/>
                    <w14:textFill>
                      <w14:solidFill>
                        <w14:schemeClr w14:val="tx1"/>
                      </w14:solidFill>
                    </w14:textFill>
                  </w:rPr>
                  <w:t>增减变动金额（减少以“－”号填列）</w:t>
                </w:r>
              </w:p>
            </w:tc>
          </w:sdtContent>
        </w:sdt>
        <w:tc>
          <w:tcPr>
            <w:tcW w:w="582" w:type="pct"/>
            <w:tcBorders>
              <w:right w:val="single" w:color="auto" w:sz="4" w:space="0"/>
            </w:tcBorders>
            <w:vAlign w:val="center"/>
          </w:tcPr>
          <w:p w14:paraId="41B88108">
            <w:pPr>
              <w:jc w:val="right"/>
              <w:rPr>
                <w:rFonts w:cs="Times New Roman"/>
                <w:sz w:val="18"/>
                <w:szCs w:val="18"/>
              </w:rPr>
            </w:pPr>
          </w:p>
        </w:tc>
        <w:tc>
          <w:tcPr>
            <w:tcW w:w="570" w:type="pct"/>
            <w:vAlign w:val="center"/>
          </w:tcPr>
          <w:p w14:paraId="416A312C">
            <w:pPr>
              <w:jc w:val="right"/>
              <w:rPr>
                <w:rFonts w:cs="Times New Roman"/>
                <w:sz w:val="18"/>
                <w:szCs w:val="18"/>
              </w:rPr>
            </w:pPr>
          </w:p>
        </w:tc>
        <w:tc>
          <w:tcPr>
            <w:tcW w:w="579" w:type="pct"/>
            <w:vAlign w:val="center"/>
          </w:tcPr>
          <w:p w14:paraId="79460C15">
            <w:pPr>
              <w:jc w:val="right"/>
              <w:textAlignment w:val="bottom"/>
              <w:rPr>
                <w:rFonts w:cs="Times New Roman"/>
                <w:sz w:val="18"/>
                <w:szCs w:val="18"/>
              </w:rPr>
            </w:pPr>
            <w:r>
              <w:rPr>
                <w:rFonts w:eastAsia="Arial Narrow" w:cs="Times New Roman"/>
                <w:color w:val="000000"/>
                <w:sz w:val="18"/>
                <w:szCs w:val="18"/>
                <w:lang w:bidi="ar"/>
              </w:rPr>
              <w:t>39,938,040.72</w:t>
            </w:r>
          </w:p>
        </w:tc>
        <w:tc>
          <w:tcPr>
            <w:tcW w:w="566" w:type="pct"/>
            <w:vAlign w:val="center"/>
          </w:tcPr>
          <w:p w14:paraId="653E8174">
            <w:pPr>
              <w:jc w:val="right"/>
              <w:rPr>
                <w:rFonts w:cs="Times New Roman"/>
                <w:sz w:val="18"/>
                <w:szCs w:val="18"/>
              </w:rPr>
            </w:pPr>
          </w:p>
        </w:tc>
        <w:tc>
          <w:tcPr>
            <w:tcW w:w="566" w:type="pct"/>
            <w:vAlign w:val="center"/>
          </w:tcPr>
          <w:p w14:paraId="775B3D88">
            <w:pPr>
              <w:jc w:val="right"/>
              <w:rPr>
                <w:rFonts w:cs="Times New Roman"/>
                <w:sz w:val="18"/>
                <w:szCs w:val="18"/>
              </w:rPr>
            </w:pPr>
          </w:p>
        </w:tc>
        <w:tc>
          <w:tcPr>
            <w:tcW w:w="562" w:type="pct"/>
            <w:vAlign w:val="center"/>
          </w:tcPr>
          <w:p w14:paraId="288639B3">
            <w:pPr>
              <w:jc w:val="right"/>
              <w:textAlignment w:val="bottom"/>
              <w:rPr>
                <w:rFonts w:cs="Times New Roman"/>
                <w:sz w:val="18"/>
                <w:szCs w:val="18"/>
              </w:rPr>
            </w:pPr>
            <w:r>
              <w:rPr>
                <w:rFonts w:eastAsia="Arial Narrow" w:cs="Times New Roman"/>
                <w:color w:val="000000"/>
                <w:sz w:val="18"/>
                <w:szCs w:val="18"/>
                <w:lang w:bidi="ar"/>
              </w:rPr>
              <w:t>73,375,867.76</w:t>
            </w:r>
          </w:p>
        </w:tc>
        <w:tc>
          <w:tcPr>
            <w:tcW w:w="574" w:type="pct"/>
            <w:vAlign w:val="center"/>
          </w:tcPr>
          <w:p w14:paraId="5DE0C94F">
            <w:pPr>
              <w:jc w:val="right"/>
              <w:textAlignment w:val="bottom"/>
              <w:rPr>
                <w:rFonts w:cs="Times New Roman"/>
                <w:sz w:val="18"/>
                <w:szCs w:val="18"/>
              </w:rPr>
            </w:pPr>
            <w:r>
              <w:rPr>
                <w:rFonts w:eastAsia="Arial Narrow" w:cs="Times New Roman"/>
                <w:color w:val="000000"/>
                <w:sz w:val="18"/>
                <w:szCs w:val="18"/>
                <w:lang w:bidi="ar"/>
              </w:rPr>
              <w:t>33,437,827.04</w:t>
            </w:r>
          </w:p>
        </w:tc>
      </w:tr>
      <w:tr w14:paraId="7EBCA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c2eb317db9474ea9b9513a40ba81d9f7"/>
            <w:id w:val="147453741"/>
          </w:sdtPr>
          <w:sdtContent>
            <w:tc>
              <w:tcPr>
                <w:tcW w:w="999" w:type="pct"/>
                <w:vAlign w:val="center"/>
              </w:tcPr>
              <w:p w14:paraId="36175058">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（一）综合收益总额</w:t>
                </w:r>
              </w:p>
            </w:tc>
          </w:sdtContent>
        </w:sdt>
        <w:tc>
          <w:tcPr>
            <w:tcW w:w="582" w:type="pct"/>
            <w:tcBorders>
              <w:right w:val="single" w:color="auto" w:sz="4" w:space="0"/>
            </w:tcBorders>
            <w:vAlign w:val="center"/>
          </w:tcPr>
          <w:p w14:paraId="4B6D05A5">
            <w:pPr>
              <w:jc w:val="right"/>
              <w:rPr>
                <w:rFonts w:cs="Times New Roman"/>
                <w:sz w:val="18"/>
                <w:szCs w:val="18"/>
              </w:rPr>
            </w:pPr>
          </w:p>
        </w:tc>
        <w:tc>
          <w:tcPr>
            <w:tcW w:w="570" w:type="pct"/>
            <w:vAlign w:val="center"/>
          </w:tcPr>
          <w:p w14:paraId="45A1E92D">
            <w:pPr>
              <w:jc w:val="right"/>
              <w:rPr>
                <w:rFonts w:cs="Times New Roman"/>
                <w:sz w:val="18"/>
                <w:szCs w:val="18"/>
              </w:rPr>
            </w:pPr>
          </w:p>
        </w:tc>
        <w:tc>
          <w:tcPr>
            <w:tcW w:w="579" w:type="pct"/>
            <w:vAlign w:val="center"/>
          </w:tcPr>
          <w:p w14:paraId="3A7A522E">
            <w:pPr>
              <w:jc w:val="right"/>
              <w:rPr>
                <w:rFonts w:cs="Times New Roman"/>
                <w:sz w:val="18"/>
                <w:szCs w:val="18"/>
              </w:rPr>
            </w:pPr>
          </w:p>
        </w:tc>
        <w:tc>
          <w:tcPr>
            <w:tcW w:w="566" w:type="pct"/>
            <w:vAlign w:val="center"/>
          </w:tcPr>
          <w:p w14:paraId="6CDA1333">
            <w:pPr>
              <w:jc w:val="right"/>
              <w:rPr>
                <w:rFonts w:cs="Times New Roman"/>
                <w:sz w:val="18"/>
                <w:szCs w:val="18"/>
              </w:rPr>
            </w:pPr>
          </w:p>
        </w:tc>
        <w:tc>
          <w:tcPr>
            <w:tcW w:w="566" w:type="pct"/>
            <w:vAlign w:val="center"/>
          </w:tcPr>
          <w:p w14:paraId="2AEC0F14">
            <w:pPr>
              <w:jc w:val="right"/>
              <w:rPr>
                <w:rFonts w:cs="Times New Roman"/>
                <w:sz w:val="18"/>
                <w:szCs w:val="18"/>
              </w:rPr>
            </w:pPr>
          </w:p>
        </w:tc>
        <w:tc>
          <w:tcPr>
            <w:tcW w:w="562" w:type="pct"/>
            <w:vAlign w:val="center"/>
          </w:tcPr>
          <w:p w14:paraId="322B648C">
            <w:pPr>
              <w:jc w:val="right"/>
              <w:textAlignment w:val="bottom"/>
              <w:rPr>
                <w:rFonts w:cs="Times New Roman"/>
                <w:sz w:val="18"/>
                <w:szCs w:val="18"/>
              </w:rPr>
            </w:pPr>
            <w:r>
              <w:rPr>
                <w:rFonts w:eastAsia="Arial Narrow" w:cs="Times New Roman"/>
                <w:color w:val="000000"/>
                <w:sz w:val="18"/>
                <w:szCs w:val="18"/>
                <w:lang w:bidi="ar"/>
              </w:rPr>
              <w:t>73,375,867.76</w:t>
            </w:r>
          </w:p>
        </w:tc>
        <w:tc>
          <w:tcPr>
            <w:tcW w:w="574" w:type="pct"/>
            <w:vAlign w:val="center"/>
          </w:tcPr>
          <w:p w14:paraId="06CCCCA0">
            <w:pPr>
              <w:jc w:val="right"/>
              <w:textAlignment w:val="bottom"/>
              <w:rPr>
                <w:rFonts w:cs="Times New Roman"/>
                <w:sz w:val="18"/>
                <w:szCs w:val="18"/>
              </w:rPr>
            </w:pPr>
            <w:r>
              <w:rPr>
                <w:rFonts w:eastAsia="Arial Narrow" w:cs="Times New Roman"/>
                <w:color w:val="000000"/>
                <w:sz w:val="18"/>
                <w:szCs w:val="18"/>
                <w:lang w:bidi="ar"/>
              </w:rPr>
              <w:t>73,375,867.76</w:t>
            </w:r>
          </w:p>
        </w:tc>
      </w:tr>
      <w:tr w14:paraId="15268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2c2c42255e12419d81111ac5d28c5859"/>
            <w:id w:val="147478394"/>
          </w:sdtPr>
          <w:sdtContent>
            <w:tc>
              <w:tcPr>
                <w:tcW w:w="999" w:type="pct"/>
                <w:vAlign w:val="center"/>
              </w:tcPr>
              <w:p w14:paraId="79E7FC5C">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二</w:t>
                </w:r>
                <w:r>
                  <w:rPr>
                    <w:color w:val="000000" w:themeColor="text1"/>
                    <w:sz w:val="18"/>
                    <w:szCs w:val="18"/>
                    <w14:textFill>
                      <w14:solidFill>
                        <w14:schemeClr w14:val="tx1"/>
                      </w14:solidFill>
                    </w14:textFill>
                  </w:rPr>
                  <w:t>）所有者投入和减少资本</w:t>
                </w:r>
              </w:p>
            </w:tc>
          </w:sdtContent>
        </w:sdt>
        <w:tc>
          <w:tcPr>
            <w:tcW w:w="582" w:type="pct"/>
            <w:tcBorders>
              <w:right w:val="single" w:color="auto" w:sz="4" w:space="0"/>
            </w:tcBorders>
            <w:vAlign w:val="center"/>
          </w:tcPr>
          <w:p w14:paraId="1BEAB08E">
            <w:pPr>
              <w:jc w:val="right"/>
              <w:rPr>
                <w:rFonts w:cs="Times New Roman"/>
                <w:sz w:val="18"/>
                <w:szCs w:val="18"/>
              </w:rPr>
            </w:pPr>
          </w:p>
        </w:tc>
        <w:tc>
          <w:tcPr>
            <w:tcW w:w="570" w:type="pct"/>
            <w:vAlign w:val="center"/>
          </w:tcPr>
          <w:p w14:paraId="63892C0D">
            <w:pPr>
              <w:jc w:val="right"/>
              <w:rPr>
                <w:rFonts w:cs="Times New Roman"/>
                <w:sz w:val="18"/>
                <w:szCs w:val="18"/>
              </w:rPr>
            </w:pPr>
          </w:p>
        </w:tc>
        <w:tc>
          <w:tcPr>
            <w:tcW w:w="579" w:type="pct"/>
            <w:vAlign w:val="center"/>
          </w:tcPr>
          <w:p w14:paraId="2407B59B">
            <w:pPr>
              <w:jc w:val="right"/>
              <w:textAlignment w:val="bottom"/>
              <w:rPr>
                <w:rFonts w:cs="Times New Roman"/>
                <w:sz w:val="18"/>
                <w:szCs w:val="18"/>
              </w:rPr>
            </w:pPr>
            <w:r>
              <w:rPr>
                <w:rFonts w:eastAsia="Arial Narrow" w:cs="Times New Roman"/>
                <w:color w:val="000000"/>
                <w:sz w:val="18"/>
                <w:szCs w:val="18"/>
                <w:lang w:bidi="ar"/>
              </w:rPr>
              <w:t>39,938,040.72</w:t>
            </w:r>
          </w:p>
        </w:tc>
        <w:tc>
          <w:tcPr>
            <w:tcW w:w="566" w:type="pct"/>
            <w:vAlign w:val="center"/>
          </w:tcPr>
          <w:p w14:paraId="356EC568">
            <w:pPr>
              <w:jc w:val="right"/>
              <w:rPr>
                <w:rFonts w:cs="Times New Roman"/>
                <w:sz w:val="18"/>
                <w:szCs w:val="18"/>
              </w:rPr>
            </w:pPr>
          </w:p>
        </w:tc>
        <w:tc>
          <w:tcPr>
            <w:tcW w:w="566" w:type="pct"/>
            <w:vAlign w:val="center"/>
          </w:tcPr>
          <w:p w14:paraId="1623881D">
            <w:pPr>
              <w:jc w:val="right"/>
              <w:rPr>
                <w:rFonts w:cs="Times New Roman"/>
                <w:sz w:val="18"/>
                <w:szCs w:val="18"/>
              </w:rPr>
            </w:pPr>
          </w:p>
        </w:tc>
        <w:tc>
          <w:tcPr>
            <w:tcW w:w="562" w:type="pct"/>
            <w:vAlign w:val="center"/>
          </w:tcPr>
          <w:p w14:paraId="560AFD85">
            <w:pPr>
              <w:jc w:val="right"/>
              <w:rPr>
                <w:rFonts w:cs="Times New Roman"/>
                <w:sz w:val="18"/>
                <w:szCs w:val="18"/>
              </w:rPr>
            </w:pPr>
          </w:p>
        </w:tc>
        <w:tc>
          <w:tcPr>
            <w:tcW w:w="574" w:type="pct"/>
            <w:vAlign w:val="center"/>
          </w:tcPr>
          <w:p w14:paraId="18B35914">
            <w:pPr>
              <w:jc w:val="right"/>
              <w:textAlignment w:val="bottom"/>
              <w:rPr>
                <w:rFonts w:cs="Times New Roman"/>
                <w:sz w:val="18"/>
                <w:szCs w:val="18"/>
              </w:rPr>
            </w:pPr>
            <w:r>
              <w:rPr>
                <w:rFonts w:eastAsia="Arial Narrow" w:cs="Times New Roman"/>
                <w:color w:val="000000"/>
                <w:sz w:val="18"/>
                <w:szCs w:val="18"/>
                <w:lang w:bidi="ar"/>
              </w:rPr>
              <w:t>-39,938,040.72</w:t>
            </w:r>
          </w:p>
        </w:tc>
      </w:tr>
      <w:tr w14:paraId="4438A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4815225e85794febad32622528b72229"/>
            <w:id w:val="147457938"/>
          </w:sdtPr>
          <w:sdtContent>
            <w:tc>
              <w:tcPr>
                <w:tcW w:w="999" w:type="pct"/>
                <w:vAlign w:val="center"/>
              </w:tcPr>
              <w:p w14:paraId="1B07A9A8">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w:t>
                </w:r>
                <w:r>
                  <w:rPr>
                    <w:color w:val="000000" w:themeColor="text1"/>
                    <w:sz w:val="18"/>
                    <w:szCs w:val="18"/>
                    <w14:textFill>
                      <w14:solidFill>
                        <w14:schemeClr w14:val="tx1"/>
                      </w14:solidFill>
                    </w14:textFill>
                  </w:rPr>
                  <w:t>．其他</w:t>
                </w:r>
              </w:p>
            </w:tc>
          </w:sdtContent>
        </w:sdt>
        <w:tc>
          <w:tcPr>
            <w:tcW w:w="582" w:type="pct"/>
            <w:tcBorders>
              <w:right w:val="single" w:color="auto" w:sz="4" w:space="0"/>
            </w:tcBorders>
            <w:vAlign w:val="center"/>
          </w:tcPr>
          <w:p w14:paraId="58FACB0A">
            <w:pPr>
              <w:jc w:val="right"/>
              <w:rPr>
                <w:rFonts w:cs="Times New Roman"/>
                <w:sz w:val="18"/>
                <w:szCs w:val="18"/>
              </w:rPr>
            </w:pPr>
          </w:p>
        </w:tc>
        <w:tc>
          <w:tcPr>
            <w:tcW w:w="570" w:type="pct"/>
            <w:vAlign w:val="center"/>
          </w:tcPr>
          <w:p w14:paraId="6997921B">
            <w:pPr>
              <w:jc w:val="right"/>
              <w:rPr>
                <w:rFonts w:cs="Times New Roman"/>
                <w:sz w:val="18"/>
                <w:szCs w:val="18"/>
              </w:rPr>
            </w:pPr>
          </w:p>
        </w:tc>
        <w:tc>
          <w:tcPr>
            <w:tcW w:w="579" w:type="pct"/>
            <w:vAlign w:val="center"/>
          </w:tcPr>
          <w:p w14:paraId="044B5C0E">
            <w:pPr>
              <w:jc w:val="right"/>
              <w:textAlignment w:val="bottom"/>
              <w:rPr>
                <w:rFonts w:cs="Times New Roman"/>
                <w:sz w:val="18"/>
                <w:szCs w:val="18"/>
              </w:rPr>
            </w:pPr>
            <w:r>
              <w:rPr>
                <w:rFonts w:eastAsia="Arial Narrow" w:cs="Times New Roman"/>
                <w:color w:val="000000"/>
                <w:sz w:val="18"/>
                <w:szCs w:val="18"/>
                <w:lang w:bidi="ar"/>
              </w:rPr>
              <w:t>39,938,040.72</w:t>
            </w:r>
          </w:p>
        </w:tc>
        <w:tc>
          <w:tcPr>
            <w:tcW w:w="566" w:type="pct"/>
            <w:vAlign w:val="center"/>
          </w:tcPr>
          <w:p w14:paraId="26E761DF">
            <w:pPr>
              <w:jc w:val="right"/>
              <w:rPr>
                <w:rFonts w:cs="Times New Roman"/>
                <w:sz w:val="18"/>
                <w:szCs w:val="18"/>
              </w:rPr>
            </w:pPr>
          </w:p>
        </w:tc>
        <w:tc>
          <w:tcPr>
            <w:tcW w:w="566" w:type="pct"/>
            <w:vAlign w:val="center"/>
          </w:tcPr>
          <w:p w14:paraId="7E5DF0C0">
            <w:pPr>
              <w:jc w:val="right"/>
              <w:rPr>
                <w:rFonts w:cs="Times New Roman"/>
                <w:sz w:val="18"/>
                <w:szCs w:val="18"/>
              </w:rPr>
            </w:pPr>
          </w:p>
        </w:tc>
        <w:tc>
          <w:tcPr>
            <w:tcW w:w="562" w:type="pct"/>
            <w:vAlign w:val="center"/>
          </w:tcPr>
          <w:p w14:paraId="2A580535">
            <w:pPr>
              <w:jc w:val="right"/>
              <w:rPr>
                <w:rFonts w:cs="Times New Roman"/>
                <w:sz w:val="18"/>
                <w:szCs w:val="18"/>
              </w:rPr>
            </w:pPr>
          </w:p>
        </w:tc>
        <w:tc>
          <w:tcPr>
            <w:tcW w:w="574" w:type="pct"/>
            <w:vAlign w:val="center"/>
          </w:tcPr>
          <w:p w14:paraId="54F170B8">
            <w:pPr>
              <w:jc w:val="right"/>
              <w:textAlignment w:val="bottom"/>
              <w:rPr>
                <w:rFonts w:cs="Times New Roman"/>
                <w:sz w:val="18"/>
                <w:szCs w:val="18"/>
              </w:rPr>
            </w:pPr>
            <w:r>
              <w:rPr>
                <w:rFonts w:eastAsia="Arial Narrow" w:cs="Times New Roman"/>
                <w:color w:val="000000"/>
                <w:sz w:val="18"/>
                <w:szCs w:val="18"/>
                <w:lang w:bidi="ar"/>
              </w:rPr>
              <w:t>-39,938,040.72</w:t>
            </w:r>
          </w:p>
        </w:tc>
      </w:tr>
      <w:tr w14:paraId="3300F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1277678c10f343d5a55853e3552c21df"/>
            <w:id w:val="147471066"/>
          </w:sdtPr>
          <w:sdtContent>
            <w:tc>
              <w:tcPr>
                <w:tcW w:w="999" w:type="pct"/>
                <w:vAlign w:val="center"/>
              </w:tcPr>
              <w:p w14:paraId="1E4BB7AE">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三</w:t>
                </w:r>
                <w:r>
                  <w:rPr>
                    <w:color w:val="000000" w:themeColor="text1"/>
                    <w:sz w:val="18"/>
                    <w:szCs w:val="18"/>
                    <w14:textFill>
                      <w14:solidFill>
                        <w14:schemeClr w14:val="tx1"/>
                      </w14:solidFill>
                    </w14:textFill>
                  </w:rPr>
                  <w:t>）利润分配</w:t>
                </w:r>
              </w:p>
            </w:tc>
          </w:sdtContent>
        </w:sdt>
        <w:tc>
          <w:tcPr>
            <w:tcW w:w="582" w:type="pct"/>
            <w:tcBorders>
              <w:right w:val="single" w:color="auto" w:sz="4" w:space="0"/>
            </w:tcBorders>
            <w:vAlign w:val="center"/>
          </w:tcPr>
          <w:p w14:paraId="1183F4A2">
            <w:pPr>
              <w:jc w:val="right"/>
              <w:rPr>
                <w:rFonts w:cs="Times New Roman"/>
                <w:sz w:val="18"/>
                <w:szCs w:val="18"/>
              </w:rPr>
            </w:pPr>
          </w:p>
        </w:tc>
        <w:tc>
          <w:tcPr>
            <w:tcW w:w="570" w:type="pct"/>
            <w:vAlign w:val="center"/>
          </w:tcPr>
          <w:p w14:paraId="4E1481BA">
            <w:pPr>
              <w:jc w:val="right"/>
              <w:rPr>
                <w:rFonts w:cs="Times New Roman"/>
                <w:sz w:val="18"/>
                <w:szCs w:val="18"/>
              </w:rPr>
            </w:pPr>
          </w:p>
        </w:tc>
        <w:tc>
          <w:tcPr>
            <w:tcW w:w="579" w:type="pct"/>
            <w:vAlign w:val="center"/>
          </w:tcPr>
          <w:p w14:paraId="58741963">
            <w:pPr>
              <w:jc w:val="right"/>
              <w:rPr>
                <w:rFonts w:cs="Times New Roman"/>
                <w:sz w:val="18"/>
                <w:szCs w:val="18"/>
              </w:rPr>
            </w:pPr>
          </w:p>
        </w:tc>
        <w:tc>
          <w:tcPr>
            <w:tcW w:w="566" w:type="pct"/>
            <w:vAlign w:val="center"/>
          </w:tcPr>
          <w:p w14:paraId="5710DFFE">
            <w:pPr>
              <w:jc w:val="right"/>
              <w:rPr>
                <w:rFonts w:cs="Times New Roman"/>
                <w:sz w:val="18"/>
                <w:szCs w:val="18"/>
              </w:rPr>
            </w:pPr>
          </w:p>
        </w:tc>
        <w:tc>
          <w:tcPr>
            <w:tcW w:w="566" w:type="pct"/>
            <w:vAlign w:val="center"/>
          </w:tcPr>
          <w:p w14:paraId="55378F39">
            <w:pPr>
              <w:jc w:val="right"/>
              <w:rPr>
                <w:rFonts w:cs="Times New Roman"/>
                <w:sz w:val="18"/>
                <w:szCs w:val="18"/>
              </w:rPr>
            </w:pPr>
          </w:p>
        </w:tc>
        <w:tc>
          <w:tcPr>
            <w:tcW w:w="562" w:type="pct"/>
            <w:vAlign w:val="center"/>
          </w:tcPr>
          <w:p w14:paraId="1F00D537">
            <w:pPr>
              <w:jc w:val="right"/>
              <w:rPr>
                <w:rFonts w:cs="Times New Roman"/>
                <w:sz w:val="18"/>
                <w:szCs w:val="18"/>
              </w:rPr>
            </w:pPr>
          </w:p>
        </w:tc>
        <w:tc>
          <w:tcPr>
            <w:tcW w:w="574" w:type="pct"/>
            <w:vAlign w:val="center"/>
          </w:tcPr>
          <w:p w14:paraId="124B9D31">
            <w:pPr>
              <w:jc w:val="right"/>
              <w:rPr>
                <w:rFonts w:cs="Times New Roman"/>
                <w:sz w:val="18"/>
                <w:szCs w:val="18"/>
              </w:rPr>
            </w:pPr>
          </w:p>
        </w:tc>
      </w:tr>
      <w:tr w14:paraId="1DD59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377c539e51b74e8689b49d91a30d6a9f"/>
            <w:id w:val="147461727"/>
          </w:sdtPr>
          <w:sdtContent>
            <w:tc>
              <w:tcPr>
                <w:tcW w:w="999" w:type="pct"/>
                <w:vAlign w:val="center"/>
              </w:tcPr>
              <w:p w14:paraId="03677028">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四</w:t>
                </w:r>
                <w:r>
                  <w:rPr>
                    <w:color w:val="000000" w:themeColor="text1"/>
                    <w:sz w:val="18"/>
                    <w:szCs w:val="18"/>
                    <w14:textFill>
                      <w14:solidFill>
                        <w14:schemeClr w14:val="tx1"/>
                      </w14:solidFill>
                    </w14:textFill>
                  </w:rPr>
                  <w:t>）所有者权益内部结转</w:t>
                </w:r>
              </w:p>
            </w:tc>
          </w:sdtContent>
        </w:sdt>
        <w:tc>
          <w:tcPr>
            <w:tcW w:w="582" w:type="pct"/>
            <w:tcBorders>
              <w:right w:val="single" w:color="auto" w:sz="4" w:space="0"/>
            </w:tcBorders>
            <w:vAlign w:val="center"/>
          </w:tcPr>
          <w:p w14:paraId="3843C9B8">
            <w:pPr>
              <w:jc w:val="right"/>
              <w:rPr>
                <w:rFonts w:cs="Times New Roman"/>
                <w:sz w:val="18"/>
                <w:szCs w:val="18"/>
              </w:rPr>
            </w:pPr>
          </w:p>
        </w:tc>
        <w:tc>
          <w:tcPr>
            <w:tcW w:w="570" w:type="pct"/>
            <w:vAlign w:val="center"/>
          </w:tcPr>
          <w:p w14:paraId="090C8C7B">
            <w:pPr>
              <w:jc w:val="right"/>
              <w:rPr>
                <w:rFonts w:cs="Times New Roman"/>
                <w:sz w:val="18"/>
                <w:szCs w:val="18"/>
              </w:rPr>
            </w:pPr>
          </w:p>
        </w:tc>
        <w:tc>
          <w:tcPr>
            <w:tcW w:w="579" w:type="pct"/>
            <w:vAlign w:val="center"/>
          </w:tcPr>
          <w:p w14:paraId="549C9688">
            <w:pPr>
              <w:jc w:val="right"/>
              <w:rPr>
                <w:rFonts w:cs="Times New Roman"/>
                <w:sz w:val="18"/>
                <w:szCs w:val="18"/>
              </w:rPr>
            </w:pPr>
          </w:p>
        </w:tc>
        <w:tc>
          <w:tcPr>
            <w:tcW w:w="566" w:type="pct"/>
            <w:vAlign w:val="center"/>
          </w:tcPr>
          <w:p w14:paraId="5D56E141">
            <w:pPr>
              <w:jc w:val="right"/>
              <w:rPr>
                <w:rFonts w:cs="Times New Roman"/>
                <w:sz w:val="18"/>
                <w:szCs w:val="18"/>
              </w:rPr>
            </w:pPr>
          </w:p>
        </w:tc>
        <w:tc>
          <w:tcPr>
            <w:tcW w:w="566" w:type="pct"/>
            <w:vAlign w:val="center"/>
          </w:tcPr>
          <w:p w14:paraId="23A64033">
            <w:pPr>
              <w:jc w:val="right"/>
              <w:rPr>
                <w:rFonts w:cs="Times New Roman"/>
                <w:sz w:val="18"/>
                <w:szCs w:val="18"/>
              </w:rPr>
            </w:pPr>
          </w:p>
        </w:tc>
        <w:tc>
          <w:tcPr>
            <w:tcW w:w="562" w:type="pct"/>
            <w:vAlign w:val="center"/>
          </w:tcPr>
          <w:p w14:paraId="72EEAD87">
            <w:pPr>
              <w:jc w:val="right"/>
              <w:rPr>
                <w:rFonts w:cs="Times New Roman"/>
                <w:sz w:val="18"/>
                <w:szCs w:val="18"/>
              </w:rPr>
            </w:pPr>
          </w:p>
        </w:tc>
        <w:tc>
          <w:tcPr>
            <w:tcW w:w="574" w:type="pct"/>
            <w:vAlign w:val="center"/>
          </w:tcPr>
          <w:p w14:paraId="21470D1A">
            <w:pPr>
              <w:jc w:val="right"/>
              <w:rPr>
                <w:rFonts w:cs="Times New Roman"/>
                <w:sz w:val="18"/>
                <w:szCs w:val="18"/>
              </w:rPr>
            </w:pPr>
          </w:p>
        </w:tc>
      </w:tr>
      <w:tr w14:paraId="7CDE6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2ae06251c01740e284196240776af550"/>
            <w:id w:val="147455576"/>
          </w:sdtPr>
          <w:sdtContent>
            <w:tc>
              <w:tcPr>
                <w:tcW w:w="999" w:type="pct"/>
                <w:vAlign w:val="center"/>
              </w:tcPr>
              <w:p w14:paraId="3BD30E66">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（五）专项储备</w:t>
                </w:r>
              </w:p>
            </w:tc>
          </w:sdtContent>
        </w:sdt>
        <w:tc>
          <w:tcPr>
            <w:tcW w:w="582" w:type="pct"/>
            <w:tcBorders>
              <w:right w:val="single" w:color="auto" w:sz="4" w:space="0"/>
            </w:tcBorders>
            <w:vAlign w:val="center"/>
          </w:tcPr>
          <w:p w14:paraId="25667F8B">
            <w:pPr>
              <w:jc w:val="right"/>
              <w:rPr>
                <w:rFonts w:cs="Times New Roman"/>
                <w:sz w:val="18"/>
                <w:szCs w:val="18"/>
              </w:rPr>
            </w:pPr>
          </w:p>
        </w:tc>
        <w:tc>
          <w:tcPr>
            <w:tcW w:w="570" w:type="pct"/>
            <w:vAlign w:val="center"/>
          </w:tcPr>
          <w:p w14:paraId="45976A88">
            <w:pPr>
              <w:jc w:val="right"/>
              <w:rPr>
                <w:rFonts w:cs="Times New Roman"/>
                <w:sz w:val="18"/>
                <w:szCs w:val="18"/>
              </w:rPr>
            </w:pPr>
          </w:p>
        </w:tc>
        <w:tc>
          <w:tcPr>
            <w:tcW w:w="579" w:type="pct"/>
            <w:vAlign w:val="center"/>
          </w:tcPr>
          <w:p w14:paraId="7380AA13">
            <w:pPr>
              <w:jc w:val="right"/>
              <w:rPr>
                <w:rFonts w:cs="Times New Roman"/>
                <w:sz w:val="18"/>
                <w:szCs w:val="18"/>
              </w:rPr>
            </w:pPr>
          </w:p>
        </w:tc>
        <w:tc>
          <w:tcPr>
            <w:tcW w:w="566" w:type="pct"/>
            <w:vAlign w:val="center"/>
          </w:tcPr>
          <w:p w14:paraId="2A2B668F">
            <w:pPr>
              <w:jc w:val="right"/>
              <w:rPr>
                <w:rFonts w:cs="Times New Roman"/>
                <w:sz w:val="18"/>
                <w:szCs w:val="18"/>
              </w:rPr>
            </w:pPr>
          </w:p>
        </w:tc>
        <w:tc>
          <w:tcPr>
            <w:tcW w:w="566" w:type="pct"/>
            <w:vAlign w:val="center"/>
          </w:tcPr>
          <w:p w14:paraId="2E156F40">
            <w:pPr>
              <w:jc w:val="right"/>
              <w:rPr>
                <w:rFonts w:cs="Times New Roman"/>
                <w:sz w:val="18"/>
                <w:szCs w:val="18"/>
              </w:rPr>
            </w:pPr>
          </w:p>
        </w:tc>
        <w:tc>
          <w:tcPr>
            <w:tcW w:w="562" w:type="pct"/>
            <w:vAlign w:val="center"/>
          </w:tcPr>
          <w:p w14:paraId="2FD81802">
            <w:pPr>
              <w:jc w:val="right"/>
              <w:rPr>
                <w:rFonts w:cs="Times New Roman"/>
                <w:sz w:val="18"/>
                <w:szCs w:val="18"/>
              </w:rPr>
            </w:pPr>
          </w:p>
        </w:tc>
        <w:tc>
          <w:tcPr>
            <w:tcW w:w="574" w:type="pct"/>
            <w:vAlign w:val="center"/>
          </w:tcPr>
          <w:p w14:paraId="74F8AC61">
            <w:pPr>
              <w:jc w:val="right"/>
              <w:rPr>
                <w:rFonts w:cs="Times New Roman"/>
                <w:sz w:val="18"/>
                <w:szCs w:val="18"/>
              </w:rPr>
            </w:pPr>
          </w:p>
        </w:tc>
      </w:tr>
      <w:tr w14:paraId="7456F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224fa1ebe84a4d40b88b89a97997e311"/>
            <w:id w:val="147464879"/>
          </w:sdtPr>
          <w:sdtContent>
            <w:tc>
              <w:tcPr>
                <w:tcW w:w="999" w:type="pct"/>
                <w:vAlign w:val="center"/>
              </w:tcPr>
              <w:p w14:paraId="0B6FDB45">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（六）其他</w:t>
                </w:r>
              </w:p>
            </w:tc>
          </w:sdtContent>
        </w:sdt>
        <w:tc>
          <w:tcPr>
            <w:tcW w:w="582" w:type="pct"/>
            <w:tcBorders>
              <w:right w:val="single" w:color="auto" w:sz="4" w:space="0"/>
            </w:tcBorders>
            <w:vAlign w:val="center"/>
          </w:tcPr>
          <w:p w14:paraId="16A0A0B7">
            <w:pPr>
              <w:jc w:val="right"/>
              <w:rPr>
                <w:rFonts w:cs="Times New Roman"/>
                <w:sz w:val="18"/>
                <w:szCs w:val="18"/>
              </w:rPr>
            </w:pPr>
          </w:p>
        </w:tc>
        <w:tc>
          <w:tcPr>
            <w:tcW w:w="570" w:type="pct"/>
            <w:vAlign w:val="center"/>
          </w:tcPr>
          <w:p w14:paraId="5634D491">
            <w:pPr>
              <w:jc w:val="right"/>
              <w:rPr>
                <w:rFonts w:cs="Times New Roman"/>
                <w:sz w:val="18"/>
                <w:szCs w:val="18"/>
              </w:rPr>
            </w:pPr>
          </w:p>
        </w:tc>
        <w:tc>
          <w:tcPr>
            <w:tcW w:w="579" w:type="pct"/>
            <w:vAlign w:val="center"/>
          </w:tcPr>
          <w:p w14:paraId="3616FD63">
            <w:pPr>
              <w:jc w:val="right"/>
              <w:rPr>
                <w:rFonts w:cs="Times New Roman"/>
                <w:sz w:val="18"/>
                <w:szCs w:val="18"/>
              </w:rPr>
            </w:pPr>
          </w:p>
        </w:tc>
        <w:tc>
          <w:tcPr>
            <w:tcW w:w="566" w:type="pct"/>
            <w:vAlign w:val="center"/>
          </w:tcPr>
          <w:p w14:paraId="6FDFDCB4">
            <w:pPr>
              <w:jc w:val="right"/>
              <w:rPr>
                <w:rFonts w:cs="Times New Roman"/>
                <w:sz w:val="18"/>
                <w:szCs w:val="18"/>
              </w:rPr>
            </w:pPr>
          </w:p>
        </w:tc>
        <w:tc>
          <w:tcPr>
            <w:tcW w:w="566" w:type="pct"/>
            <w:vAlign w:val="center"/>
          </w:tcPr>
          <w:p w14:paraId="46E84726">
            <w:pPr>
              <w:jc w:val="right"/>
              <w:rPr>
                <w:rFonts w:cs="Times New Roman"/>
                <w:sz w:val="18"/>
                <w:szCs w:val="18"/>
              </w:rPr>
            </w:pPr>
          </w:p>
        </w:tc>
        <w:tc>
          <w:tcPr>
            <w:tcW w:w="562" w:type="pct"/>
            <w:vAlign w:val="center"/>
          </w:tcPr>
          <w:p w14:paraId="12FA2650">
            <w:pPr>
              <w:jc w:val="right"/>
              <w:rPr>
                <w:rFonts w:cs="Times New Roman"/>
                <w:sz w:val="18"/>
                <w:szCs w:val="18"/>
              </w:rPr>
            </w:pPr>
          </w:p>
        </w:tc>
        <w:tc>
          <w:tcPr>
            <w:tcW w:w="574" w:type="pct"/>
            <w:vAlign w:val="center"/>
          </w:tcPr>
          <w:p w14:paraId="22CDF70D">
            <w:pPr>
              <w:jc w:val="right"/>
              <w:rPr>
                <w:rFonts w:cs="Times New Roman"/>
                <w:sz w:val="18"/>
                <w:szCs w:val="18"/>
              </w:rPr>
            </w:pPr>
          </w:p>
        </w:tc>
      </w:tr>
      <w:tr w14:paraId="182C2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fe962ef732004aec94edafee7e0bef94"/>
            <w:id w:val="147452405"/>
          </w:sdtPr>
          <w:sdtContent>
            <w:tc>
              <w:tcPr>
                <w:tcW w:w="999" w:type="pct"/>
                <w:vAlign w:val="center"/>
              </w:tcPr>
              <w:p w14:paraId="1C1D40B8">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四、本期期末余额</w:t>
                </w:r>
              </w:p>
            </w:tc>
          </w:sdtContent>
        </w:sdt>
        <w:tc>
          <w:tcPr>
            <w:tcW w:w="582" w:type="pct"/>
            <w:tcBorders>
              <w:right w:val="single" w:color="auto" w:sz="4" w:space="0"/>
            </w:tcBorders>
            <w:vAlign w:val="center"/>
          </w:tcPr>
          <w:p w14:paraId="760ACC6C">
            <w:pPr>
              <w:jc w:val="right"/>
              <w:textAlignment w:val="bottom"/>
              <w:rPr>
                <w:rFonts w:cs="Times New Roman"/>
                <w:sz w:val="18"/>
                <w:szCs w:val="18"/>
              </w:rPr>
            </w:pPr>
            <w:r>
              <w:rPr>
                <w:rFonts w:eastAsia="Arial Narrow" w:cs="Times New Roman"/>
                <w:color w:val="000000"/>
                <w:sz w:val="18"/>
                <w:szCs w:val="18"/>
                <w:lang w:bidi="ar"/>
              </w:rPr>
              <w:t>4,391,629,404.00</w:t>
            </w:r>
          </w:p>
        </w:tc>
        <w:tc>
          <w:tcPr>
            <w:tcW w:w="570" w:type="pct"/>
            <w:vAlign w:val="center"/>
          </w:tcPr>
          <w:p w14:paraId="63A33FE7">
            <w:pPr>
              <w:jc w:val="right"/>
              <w:textAlignment w:val="bottom"/>
              <w:rPr>
                <w:rFonts w:cs="Times New Roman"/>
                <w:sz w:val="18"/>
                <w:szCs w:val="18"/>
              </w:rPr>
            </w:pPr>
            <w:r>
              <w:rPr>
                <w:rFonts w:eastAsia="Arial Narrow" w:cs="Times New Roman"/>
                <w:color w:val="000000"/>
                <w:sz w:val="18"/>
                <w:szCs w:val="18"/>
                <w:lang w:bidi="ar"/>
              </w:rPr>
              <w:t>7,852,925,237.95</w:t>
            </w:r>
          </w:p>
        </w:tc>
        <w:tc>
          <w:tcPr>
            <w:tcW w:w="579" w:type="pct"/>
            <w:vAlign w:val="center"/>
          </w:tcPr>
          <w:p w14:paraId="7BA902F9">
            <w:pPr>
              <w:jc w:val="right"/>
              <w:textAlignment w:val="bottom"/>
              <w:rPr>
                <w:rFonts w:cs="Times New Roman"/>
                <w:sz w:val="18"/>
                <w:szCs w:val="18"/>
              </w:rPr>
            </w:pPr>
            <w:r>
              <w:rPr>
                <w:rFonts w:eastAsia="Arial Narrow" w:cs="Times New Roman"/>
                <w:color w:val="000000"/>
                <w:sz w:val="18"/>
                <w:szCs w:val="18"/>
                <w:lang w:bidi="ar"/>
              </w:rPr>
              <w:t>39,938,040.72</w:t>
            </w:r>
          </w:p>
        </w:tc>
        <w:tc>
          <w:tcPr>
            <w:tcW w:w="566" w:type="pct"/>
            <w:vAlign w:val="center"/>
          </w:tcPr>
          <w:p w14:paraId="10ED615A">
            <w:pPr>
              <w:jc w:val="right"/>
              <w:textAlignment w:val="bottom"/>
              <w:rPr>
                <w:rFonts w:cs="Times New Roman"/>
                <w:sz w:val="18"/>
                <w:szCs w:val="18"/>
              </w:rPr>
            </w:pPr>
            <w:r>
              <w:rPr>
                <w:rFonts w:eastAsia="Arial Narrow" w:cs="Times New Roman"/>
                <w:color w:val="000000"/>
                <w:sz w:val="18"/>
                <w:szCs w:val="18"/>
                <w:lang w:bidi="ar"/>
              </w:rPr>
              <w:t>-225,999,968.83</w:t>
            </w:r>
          </w:p>
        </w:tc>
        <w:tc>
          <w:tcPr>
            <w:tcW w:w="566" w:type="pct"/>
            <w:vAlign w:val="center"/>
          </w:tcPr>
          <w:p w14:paraId="21BD67A3">
            <w:pPr>
              <w:jc w:val="right"/>
              <w:textAlignment w:val="bottom"/>
              <w:rPr>
                <w:rFonts w:cs="Times New Roman"/>
                <w:sz w:val="18"/>
                <w:szCs w:val="18"/>
              </w:rPr>
            </w:pPr>
            <w:r>
              <w:rPr>
                <w:rFonts w:eastAsia="Arial Narrow" w:cs="Times New Roman"/>
                <w:color w:val="000000"/>
                <w:sz w:val="18"/>
                <w:szCs w:val="18"/>
                <w:lang w:bidi="ar"/>
              </w:rPr>
              <w:t>369,677,423.82</w:t>
            </w:r>
          </w:p>
        </w:tc>
        <w:tc>
          <w:tcPr>
            <w:tcW w:w="562" w:type="pct"/>
            <w:vAlign w:val="center"/>
          </w:tcPr>
          <w:p w14:paraId="4CF0A9C6">
            <w:pPr>
              <w:jc w:val="right"/>
              <w:textAlignment w:val="bottom"/>
              <w:rPr>
                <w:rFonts w:cs="Times New Roman"/>
                <w:sz w:val="18"/>
                <w:szCs w:val="18"/>
              </w:rPr>
            </w:pPr>
            <w:r>
              <w:rPr>
                <w:rFonts w:eastAsia="Arial Narrow" w:cs="Times New Roman"/>
                <w:color w:val="000000"/>
                <w:sz w:val="18"/>
                <w:szCs w:val="18"/>
                <w:lang w:bidi="ar"/>
              </w:rPr>
              <w:t>109,568,331.84</w:t>
            </w:r>
          </w:p>
        </w:tc>
        <w:tc>
          <w:tcPr>
            <w:tcW w:w="574" w:type="pct"/>
            <w:vAlign w:val="center"/>
          </w:tcPr>
          <w:p w14:paraId="686E0798">
            <w:pPr>
              <w:jc w:val="right"/>
              <w:textAlignment w:val="bottom"/>
              <w:rPr>
                <w:rFonts w:cs="Times New Roman"/>
                <w:sz w:val="18"/>
                <w:szCs w:val="18"/>
              </w:rPr>
            </w:pPr>
            <w:r>
              <w:rPr>
                <w:rFonts w:eastAsia="Arial Narrow" w:cs="Times New Roman"/>
                <w:color w:val="000000"/>
                <w:sz w:val="18"/>
                <w:szCs w:val="18"/>
                <w:lang w:bidi="ar"/>
              </w:rPr>
              <w:t>12,457,862,388.06</w:t>
            </w:r>
          </w:p>
        </w:tc>
      </w:tr>
    </w:tbl>
    <w:p w14:paraId="3BDEAA14"/>
    <w:p w14:paraId="6C84050C">
      <w:pPr>
        <w:rPr>
          <w:color w:val="000000" w:themeColor="text1"/>
          <w14:textFill>
            <w14:solidFill>
              <w14:schemeClr w14:val="tx1"/>
            </w14:solidFill>
          </w14:textFill>
        </w:rPr>
      </w:pPr>
    </w:p>
    <w:tbl>
      <w:tblPr>
        <w:tblStyle w:val="37"/>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783"/>
        <w:gridCol w:w="1648"/>
        <w:gridCol w:w="1612"/>
        <w:gridCol w:w="1637"/>
        <w:gridCol w:w="1601"/>
        <w:gridCol w:w="1601"/>
        <w:gridCol w:w="1589"/>
        <w:gridCol w:w="1615"/>
      </w:tblGrid>
      <w:tr w14:paraId="58A95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988" w:type="pct"/>
            <w:vMerge w:val="restart"/>
            <w:vAlign w:val="center"/>
          </w:tcPr>
          <w:sdt>
            <w:sdtPr>
              <w:tag w:val="_PLD_312727f4b56147c2b646c0fb68a4b58b"/>
              <w:id w:val="147463181"/>
            </w:sdtPr>
            <w:sdtContent>
              <w:p w14:paraId="35B2C6F3">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项目</w:t>
                </w:r>
              </w:p>
            </w:sdtContent>
          </w:sdt>
        </w:tc>
        <w:tc>
          <w:tcPr>
            <w:tcW w:w="4011" w:type="pct"/>
            <w:gridSpan w:val="7"/>
            <w:vAlign w:val="center"/>
          </w:tcPr>
          <w:p w14:paraId="5F0305B8">
            <w:pPr>
              <w:adjustRightInd w:val="0"/>
              <w:snapToGrid w:val="0"/>
              <w:jc w:val="center"/>
              <w:rPr>
                <w:color w:val="000000" w:themeColor="text1"/>
                <w:sz w:val="18"/>
                <w14:textFill>
                  <w14:solidFill>
                    <w14:schemeClr w14:val="tx1"/>
                  </w14:solidFill>
                </w14:textFill>
              </w:rPr>
            </w:pPr>
            <w:r>
              <w:rPr>
                <w:rFonts w:hint="eastAsia"/>
                <w:color w:val="000000" w:themeColor="text1"/>
                <w:sz w:val="18"/>
                <w14:textFill>
                  <w14:solidFill>
                    <w14:schemeClr w14:val="tx1"/>
                  </w14:solidFill>
                </w14:textFill>
              </w:rPr>
              <w:t xml:space="preserve"> </w:t>
            </w:r>
            <w:sdt>
              <w:sdtPr>
                <w:tag w:val="_PLD_35246b22171846ac8ef46c5dfa1d1663"/>
                <w:id w:val="147468188"/>
              </w:sdtPr>
              <w:sdtContent>
                <w:r>
                  <w:rPr>
                    <w:rFonts w:hint="eastAsia"/>
                    <w:color w:val="000000" w:themeColor="text1"/>
                    <w:sz w:val="18"/>
                    <w14:textFill>
                      <w14:solidFill>
                        <w14:schemeClr w14:val="tx1"/>
                      </w14:solidFill>
                    </w14:textFill>
                  </w:rPr>
                  <w:t>2024年半年度</w:t>
                </w:r>
              </w:sdtContent>
            </w:sdt>
          </w:p>
        </w:tc>
      </w:tr>
      <w:tr w14:paraId="368E7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988" w:type="pct"/>
            <w:vMerge w:val="continue"/>
            <w:vAlign w:val="center"/>
          </w:tcPr>
          <w:p w14:paraId="026A9976">
            <w:pPr>
              <w:adjustRightInd w:val="0"/>
              <w:snapToGrid w:val="0"/>
              <w:rPr>
                <w:color w:val="000000" w:themeColor="text1"/>
                <w:sz w:val="18"/>
                <w:szCs w:val="18"/>
                <w14:textFill>
                  <w14:solidFill>
                    <w14:schemeClr w14:val="tx1"/>
                  </w14:solidFill>
                </w14:textFill>
              </w:rPr>
            </w:pPr>
          </w:p>
        </w:tc>
        <w:sdt>
          <w:sdtPr>
            <w:tag w:val="_PLD_5da9900c5a9e46a085487ea972f44796"/>
            <w:id w:val="147452609"/>
          </w:sdtPr>
          <w:sdtContent>
            <w:tc>
              <w:tcPr>
                <w:tcW w:w="585" w:type="pct"/>
                <w:vMerge w:val="restart"/>
                <w:tcBorders>
                  <w:right w:val="single" w:color="auto" w:sz="4" w:space="0"/>
                </w:tcBorders>
                <w:vAlign w:val="center"/>
              </w:tcPr>
              <w:p w14:paraId="2B6C7717">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实收资本</w:t>
                </w:r>
                <w:r>
                  <w:rPr>
                    <w:color w:val="000000" w:themeColor="text1"/>
                    <w:sz w:val="18"/>
                    <w:szCs w:val="18"/>
                    <w14:textFill>
                      <w14:solidFill>
                        <w14:schemeClr w14:val="tx1"/>
                      </w14:solidFill>
                    </w14:textFill>
                  </w:rPr>
                  <w:t xml:space="preserve"> (或股本)</w:t>
                </w:r>
              </w:p>
            </w:tc>
          </w:sdtContent>
        </w:sdt>
        <w:sdt>
          <w:sdtPr>
            <w:tag w:val="_PLD_b31d07f97db344b1b180738b22a76467"/>
            <w:id w:val="147477995"/>
          </w:sdtPr>
          <w:sdtContent>
            <w:tc>
              <w:tcPr>
                <w:tcW w:w="572" w:type="pct"/>
                <w:vMerge w:val="restart"/>
                <w:vAlign w:val="center"/>
              </w:tcPr>
              <w:p w14:paraId="7F196AD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资本公积</w:t>
                </w:r>
              </w:p>
            </w:tc>
          </w:sdtContent>
        </w:sdt>
        <w:sdt>
          <w:sdtPr>
            <w:tag w:val="_PLD_244676dcaf4245bd9119f474a4e885f9"/>
            <w:id w:val="147453039"/>
          </w:sdtPr>
          <w:sdtContent>
            <w:tc>
              <w:tcPr>
                <w:tcW w:w="581" w:type="pct"/>
                <w:vMerge w:val="restart"/>
                <w:vAlign w:val="center"/>
              </w:tcPr>
              <w:p w14:paraId="212F88EB">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减：库存股</w:t>
                </w:r>
              </w:p>
            </w:tc>
          </w:sdtContent>
        </w:sdt>
        <w:sdt>
          <w:sdtPr>
            <w:tag w:val="_PLD_01eab1b775574165b2820a19e72d2ad0"/>
            <w:id w:val="147461990"/>
          </w:sdtPr>
          <w:sdtContent>
            <w:tc>
              <w:tcPr>
                <w:tcW w:w="568" w:type="pct"/>
                <w:vMerge w:val="restart"/>
                <w:vAlign w:val="center"/>
              </w:tcPr>
              <w:p w14:paraId="3F6144A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其他综合收益</w:t>
                </w:r>
              </w:p>
            </w:tc>
          </w:sdtContent>
        </w:sdt>
        <w:sdt>
          <w:sdtPr>
            <w:tag w:val="_PLD_9578f3812cf04a34965a5bdc9ee82115"/>
            <w:id w:val="147451721"/>
          </w:sdtPr>
          <w:sdtContent>
            <w:tc>
              <w:tcPr>
                <w:tcW w:w="568" w:type="pct"/>
                <w:vMerge w:val="restart"/>
                <w:vAlign w:val="center"/>
              </w:tcPr>
              <w:p w14:paraId="0CD58C0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盈余公积</w:t>
                </w:r>
              </w:p>
            </w:tc>
          </w:sdtContent>
        </w:sdt>
        <w:sdt>
          <w:sdtPr>
            <w:tag w:val="_PLD_5d835cd98ccc4304aec553a0b6a56628"/>
            <w:id w:val="147468378"/>
          </w:sdtPr>
          <w:sdtContent>
            <w:tc>
              <w:tcPr>
                <w:tcW w:w="564" w:type="pct"/>
                <w:vMerge w:val="restart"/>
                <w:vAlign w:val="center"/>
              </w:tcPr>
              <w:p w14:paraId="7D902F70">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未分配利润</w:t>
                </w:r>
              </w:p>
            </w:tc>
          </w:sdtContent>
        </w:sdt>
        <w:sdt>
          <w:sdtPr>
            <w:tag w:val="_PLD_1cbb8af374a54430ad1f29ed83c69cd0"/>
            <w:id w:val="147473181"/>
          </w:sdtPr>
          <w:sdtContent>
            <w:tc>
              <w:tcPr>
                <w:tcW w:w="570" w:type="pct"/>
                <w:vMerge w:val="restart"/>
                <w:vAlign w:val="center"/>
              </w:tcPr>
              <w:p w14:paraId="692A7FB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所有者权益合计</w:t>
                </w:r>
              </w:p>
            </w:tc>
          </w:sdtContent>
        </w:sdt>
      </w:tr>
      <w:tr w14:paraId="54E62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b00b327c7ecc4ad1bfafd8f9c1a6ce86"/>
            <w:id w:val="147481479"/>
          </w:sdtPr>
          <w:sdtContent>
            <w:tc>
              <w:tcPr>
                <w:tcW w:w="988" w:type="pct"/>
                <w:vAlign w:val="center"/>
              </w:tcPr>
              <w:p w14:paraId="78D4CD46">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一、上年</w:t>
                </w:r>
                <w:r>
                  <w:rPr>
                    <w:rFonts w:hint="eastAsia"/>
                    <w:color w:val="000000" w:themeColor="text1"/>
                    <w:sz w:val="18"/>
                    <w:szCs w:val="18"/>
                    <w14:textFill>
                      <w14:solidFill>
                        <w14:schemeClr w14:val="tx1"/>
                      </w14:solidFill>
                    </w14:textFill>
                  </w:rPr>
                  <w:t>期</w:t>
                </w:r>
                <w:r>
                  <w:rPr>
                    <w:color w:val="000000" w:themeColor="text1"/>
                    <w:sz w:val="18"/>
                    <w:szCs w:val="18"/>
                    <w14:textFill>
                      <w14:solidFill>
                        <w14:schemeClr w14:val="tx1"/>
                      </w14:solidFill>
                    </w14:textFill>
                  </w:rPr>
                  <w:t>末余额</w:t>
                </w:r>
              </w:p>
            </w:tc>
          </w:sdtContent>
        </w:sdt>
        <w:tc>
          <w:tcPr>
            <w:tcW w:w="585" w:type="pct"/>
            <w:tcBorders>
              <w:right w:val="single" w:color="auto" w:sz="4" w:space="0"/>
            </w:tcBorders>
            <w:vAlign w:val="center"/>
          </w:tcPr>
          <w:p w14:paraId="7D0B98D9">
            <w:pPr>
              <w:jc w:val="right"/>
              <w:textAlignment w:val="bottom"/>
              <w:rPr>
                <w:rFonts w:cs="Times New Roman"/>
                <w:sz w:val="18"/>
                <w:szCs w:val="18"/>
              </w:rPr>
            </w:pPr>
            <w:r>
              <w:rPr>
                <w:rFonts w:eastAsia="Arial Narrow" w:cs="Times New Roman"/>
                <w:color w:val="000000"/>
                <w:sz w:val="18"/>
                <w:szCs w:val="18"/>
                <w:lang w:bidi="ar"/>
              </w:rPr>
              <w:t>4,391,629,404.00</w:t>
            </w:r>
          </w:p>
        </w:tc>
        <w:tc>
          <w:tcPr>
            <w:tcW w:w="572" w:type="pct"/>
            <w:tcBorders>
              <w:left w:val="single" w:color="auto" w:sz="4" w:space="0"/>
            </w:tcBorders>
            <w:vAlign w:val="center"/>
          </w:tcPr>
          <w:p w14:paraId="220C9549">
            <w:pPr>
              <w:jc w:val="right"/>
              <w:textAlignment w:val="bottom"/>
              <w:rPr>
                <w:rFonts w:cs="Times New Roman"/>
                <w:sz w:val="18"/>
                <w:szCs w:val="18"/>
              </w:rPr>
            </w:pPr>
            <w:r>
              <w:rPr>
                <w:rFonts w:eastAsia="Arial Narrow" w:cs="Times New Roman"/>
                <w:color w:val="000000"/>
                <w:sz w:val="18"/>
                <w:szCs w:val="18"/>
                <w:lang w:bidi="ar"/>
              </w:rPr>
              <w:t>7,846,040,146.62</w:t>
            </w:r>
          </w:p>
        </w:tc>
        <w:tc>
          <w:tcPr>
            <w:tcW w:w="581" w:type="pct"/>
            <w:vAlign w:val="center"/>
          </w:tcPr>
          <w:p w14:paraId="508EC4CC">
            <w:pPr>
              <w:jc w:val="right"/>
              <w:rPr>
                <w:rFonts w:cs="Times New Roman"/>
                <w:sz w:val="18"/>
                <w:szCs w:val="18"/>
              </w:rPr>
            </w:pPr>
          </w:p>
        </w:tc>
        <w:tc>
          <w:tcPr>
            <w:tcW w:w="568" w:type="pct"/>
            <w:vAlign w:val="center"/>
          </w:tcPr>
          <w:p w14:paraId="2F275996">
            <w:pPr>
              <w:jc w:val="right"/>
              <w:textAlignment w:val="bottom"/>
              <w:rPr>
                <w:rFonts w:cs="Times New Roman"/>
                <w:sz w:val="18"/>
                <w:szCs w:val="18"/>
              </w:rPr>
            </w:pPr>
            <w:r>
              <w:rPr>
                <w:rFonts w:eastAsia="Arial Narrow" w:cs="Times New Roman"/>
                <w:color w:val="000000"/>
                <w:sz w:val="18"/>
                <w:szCs w:val="18"/>
                <w:lang w:bidi="ar"/>
              </w:rPr>
              <w:t>-114,414,601.46</w:t>
            </w:r>
          </w:p>
        </w:tc>
        <w:tc>
          <w:tcPr>
            <w:tcW w:w="568" w:type="pct"/>
            <w:vAlign w:val="center"/>
          </w:tcPr>
          <w:p w14:paraId="29B355DB">
            <w:pPr>
              <w:jc w:val="right"/>
              <w:textAlignment w:val="bottom"/>
              <w:rPr>
                <w:rFonts w:cs="Times New Roman"/>
                <w:sz w:val="18"/>
                <w:szCs w:val="18"/>
              </w:rPr>
            </w:pPr>
            <w:r>
              <w:rPr>
                <w:rFonts w:eastAsia="Arial Narrow" w:cs="Times New Roman"/>
                <w:color w:val="000000"/>
                <w:sz w:val="18"/>
                <w:szCs w:val="18"/>
                <w:lang w:bidi="ar"/>
              </w:rPr>
              <w:t>369,657,198.90</w:t>
            </w:r>
          </w:p>
        </w:tc>
        <w:tc>
          <w:tcPr>
            <w:tcW w:w="564" w:type="pct"/>
            <w:vAlign w:val="center"/>
          </w:tcPr>
          <w:p w14:paraId="6B443B9E">
            <w:pPr>
              <w:jc w:val="right"/>
              <w:textAlignment w:val="bottom"/>
              <w:rPr>
                <w:rFonts w:cs="Times New Roman"/>
                <w:sz w:val="18"/>
                <w:szCs w:val="18"/>
              </w:rPr>
            </w:pPr>
            <w:r>
              <w:rPr>
                <w:rFonts w:eastAsia="Arial Narrow" w:cs="Times New Roman"/>
                <w:color w:val="000000"/>
                <w:sz w:val="18"/>
                <w:szCs w:val="18"/>
                <w:lang w:bidi="ar"/>
              </w:rPr>
              <w:t>167,759,321.90</w:t>
            </w:r>
          </w:p>
        </w:tc>
        <w:tc>
          <w:tcPr>
            <w:tcW w:w="570" w:type="pct"/>
            <w:vAlign w:val="center"/>
          </w:tcPr>
          <w:p w14:paraId="74B0ECAA">
            <w:pPr>
              <w:jc w:val="right"/>
              <w:textAlignment w:val="bottom"/>
              <w:rPr>
                <w:rFonts w:cs="Times New Roman"/>
                <w:sz w:val="18"/>
                <w:szCs w:val="18"/>
              </w:rPr>
            </w:pPr>
            <w:r>
              <w:rPr>
                <w:rFonts w:eastAsia="Arial Narrow" w:cs="Times New Roman"/>
                <w:color w:val="000000"/>
                <w:sz w:val="18"/>
                <w:szCs w:val="18"/>
                <w:lang w:bidi="ar"/>
              </w:rPr>
              <w:t>12,660,671,469.96</w:t>
            </w:r>
          </w:p>
        </w:tc>
      </w:tr>
      <w:tr w14:paraId="7EDEF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8593e1735c664981bacefcb1a0cab245"/>
            <w:id w:val="147457336"/>
          </w:sdtPr>
          <w:sdtContent>
            <w:tc>
              <w:tcPr>
                <w:tcW w:w="988" w:type="pct"/>
                <w:vAlign w:val="center"/>
              </w:tcPr>
              <w:p w14:paraId="604A1B32">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二、本年</w:t>
                </w:r>
                <w:r>
                  <w:rPr>
                    <w:rFonts w:hint="eastAsia"/>
                    <w:color w:val="000000" w:themeColor="text1"/>
                    <w:sz w:val="18"/>
                    <w:szCs w:val="18"/>
                    <w14:textFill>
                      <w14:solidFill>
                        <w14:schemeClr w14:val="tx1"/>
                      </w14:solidFill>
                    </w14:textFill>
                  </w:rPr>
                  <w:t>期</w:t>
                </w:r>
                <w:r>
                  <w:rPr>
                    <w:color w:val="000000" w:themeColor="text1"/>
                    <w:sz w:val="18"/>
                    <w:szCs w:val="18"/>
                    <w14:textFill>
                      <w14:solidFill>
                        <w14:schemeClr w14:val="tx1"/>
                      </w14:solidFill>
                    </w14:textFill>
                  </w:rPr>
                  <w:t>初余额</w:t>
                </w:r>
              </w:p>
            </w:tc>
          </w:sdtContent>
        </w:sdt>
        <w:tc>
          <w:tcPr>
            <w:tcW w:w="585" w:type="pct"/>
            <w:tcBorders>
              <w:right w:val="single" w:color="auto" w:sz="4" w:space="0"/>
            </w:tcBorders>
            <w:vAlign w:val="center"/>
          </w:tcPr>
          <w:p w14:paraId="3C5A5429">
            <w:pPr>
              <w:jc w:val="right"/>
              <w:textAlignment w:val="bottom"/>
              <w:rPr>
                <w:rFonts w:cs="Times New Roman"/>
                <w:sz w:val="18"/>
                <w:szCs w:val="18"/>
              </w:rPr>
            </w:pPr>
            <w:r>
              <w:rPr>
                <w:rFonts w:eastAsia="Arial Narrow" w:cs="Times New Roman"/>
                <w:color w:val="000000"/>
                <w:sz w:val="18"/>
                <w:szCs w:val="18"/>
                <w:lang w:bidi="ar"/>
              </w:rPr>
              <w:t>4,391,629,404.00</w:t>
            </w:r>
          </w:p>
        </w:tc>
        <w:tc>
          <w:tcPr>
            <w:tcW w:w="572" w:type="pct"/>
            <w:tcBorders>
              <w:left w:val="single" w:color="auto" w:sz="4" w:space="0"/>
            </w:tcBorders>
            <w:vAlign w:val="center"/>
          </w:tcPr>
          <w:p w14:paraId="5EE0570F">
            <w:pPr>
              <w:jc w:val="right"/>
              <w:textAlignment w:val="bottom"/>
              <w:rPr>
                <w:rFonts w:cs="Times New Roman"/>
                <w:sz w:val="18"/>
                <w:szCs w:val="18"/>
              </w:rPr>
            </w:pPr>
            <w:r>
              <w:rPr>
                <w:rFonts w:eastAsia="Arial Narrow" w:cs="Times New Roman"/>
                <w:color w:val="000000"/>
                <w:sz w:val="18"/>
                <w:szCs w:val="18"/>
                <w:lang w:bidi="ar"/>
              </w:rPr>
              <w:t>7,846,040,146.62</w:t>
            </w:r>
          </w:p>
        </w:tc>
        <w:tc>
          <w:tcPr>
            <w:tcW w:w="581" w:type="pct"/>
            <w:vAlign w:val="center"/>
          </w:tcPr>
          <w:p w14:paraId="3EA001F5">
            <w:pPr>
              <w:jc w:val="right"/>
              <w:rPr>
                <w:rFonts w:cs="Times New Roman"/>
                <w:sz w:val="18"/>
                <w:szCs w:val="18"/>
              </w:rPr>
            </w:pPr>
          </w:p>
        </w:tc>
        <w:tc>
          <w:tcPr>
            <w:tcW w:w="568" w:type="pct"/>
            <w:vAlign w:val="center"/>
          </w:tcPr>
          <w:p w14:paraId="5FFC6F85">
            <w:pPr>
              <w:jc w:val="right"/>
              <w:textAlignment w:val="bottom"/>
              <w:rPr>
                <w:rFonts w:cs="Times New Roman"/>
                <w:sz w:val="18"/>
                <w:szCs w:val="18"/>
              </w:rPr>
            </w:pPr>
            <w:r>
              <w:rPr>
                <w:rFonts w:eastAsia="Arial Narrow" w:cs="Times New Roman"/>
                <w:color w:val="000000"/>
                <w:sz w:val="18"/>
                <w:szCs w:val="18"/>
                <w:lang w:bidi="ar"/>
              </w:rPr>
              <w:t>-114,414,601.46</w:t>
            </w:r>
          </w:p>
        </w:tc>
        <w:tc>
          <w:tcPr>
            <w:tcW w:w="568" w:type="pct"/>
            <w:vAlign w:val="center"/>
          </w:tcPr>
          <w:p w14:paraId="4343063F">
            <w:pPr>
              <w:jc w:val="right"/>
              <w:textAlignment w:val="bottom"/>
              <w:rPr>
                <w:rFonts w:cs="Times New Roman"/>
                <w:sz w:val="18"/>
                <w:szCs w:val="18"/>
              </w:rPr>
            </w:pPr>
            <w:r>
              <w:rPr>
                <w:rFonts w:eastAsia="Arial Narrow" w:cs="Times New Roman"/>
                <w:color w:val="000000"/>
                <w:sz w:val="18"/>
                <w:szCs w:val="18"/>
                <w:lang w:bidi="ar"/>
              </w:rPr>
              <w:t>369,657,198.90</w:t>
            </w:r>
          </w:p>
        </w:tc>
        <w:tc>
          <w:tcPr>
            <w:tcW w:w="564" w:type="pct"/>
            <w:vAlign w:val="center"/>
          </w:tcPr>
          <w:p w14:paraId="45AEFDBF">
            <w:pPr>
              <w:jc w:val="right"/>
              <w:textAlignment w:val="bottom"/>
              <w:rPr>
                <w:rFonts w:cs="Times New Roman"/>
                <w:sz w:val="18"/>
                <w:szCs w:val="18"/>
              </w:rPr>
            </w:pPr>
            <w:r>
              <w:rPr>
                <w:rFonts w:eastAsia="Arial Narrow" w:cs="Times New Roman"/>
                <w:color w:val="000000"/>
                <w:sz w:val="18"/>
                <w:szCs w:val="18"/>
                <w:lang w:bidi="ar"/>
              </w:rPr>
              <w:t>167,759,321.90</w:t>
            </w:r>
          </w:p>
        </w:tc>
        <w:tc>
          <w:tcPr>
            <w:tcW w:w="570" w:type="pct"/>
            <w:vAlign w:val="center"/>
          </w:tcPr>
          <w:p w14:paraId="1498E730">
            <w:pPr>
              <w:jc w:val="right"/>
              <w:textAlignment w:val="bottom"/>
              <w:rPr>
                <w:rFonts w:cs="Times New Roman"/>
                <w:sz w:val="18"/>
                <w:szCs w:val="18"/>
              </w:rPr>
            </w:pPr>
            <w:r>
              <w:rPr>
                <w:rFonts w:eastAsia="Arial Narrow" w:cs="Times New Roman"/>
                <w:color w:val="000000"/>
                <w:sz w:val="18"/>
                <w:szCs w:val="18"/>
                <w:lang w:bidi="ar"/>
              </w:rPr>
              <w:t>12,660,671,469.96</w:t>
            </w:r>
          </w:p>
        </w:tc>
      </w:tr>
      <w:tr w14:paraId="4E47A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9ce2d31f4fd34371930cec7fd79a4318"/>
            <w:id w:val="147478314"/>
          </w:sdtPr>
          <w:sdtContent>
            <w:tc>
              <w:tcPr>
                <w:tcW w:w="988" w:type="pct"/>
                <w:vAlign w:val="center"/>
              </w:tcPr>
              <w:p w14:paraId="77E5C45C">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三、本</w:t>
                </w:r>
                <w:r>
                  <w:rPr>
                    <w:rFonts w:hint="eastAsia"/>
                    <w:color w:val="000000" w:themeColor="text1"/>
                    <w:sz w:val="18"/>
                    <w:szCs w:val="18"/>
                    <w14:textFill>
                      <w14:solidFill>
                        <w14:schemeClr w14:val="tx1"/>
                      </w14:solidFill>
                    </w14:textFill>
                  </w:rPr>
                  <w:t>期</w:t>
                </w:r>
                <w:r>
                  <w:rPr>
                    <w:color w:val="000000" w:themeColor="text1"/>
                    <w:sz w:val="18"/>
                    <w:szCs w:val="18"/>
                    <w14:textFill>
                      <w14:solidFill>
                        <w14:schemeClr w14:val="tx1"/>
                      </w14:solidFill>
                    </w14:textFill>
                  </w:rPr>
                  <w:t>增减变动金额（减少以“－”号填列）</w:t>
                </w:r>
              </w:p>
            </w:tc>
          </w:sdtContent>
        </w:sdt>
        <w:tc>
          <w:tcPr>
            <w:tcW w:w="585" w:type="pct"/>
            <w:tcBorders>
              <w:right w:val="single" w:color="auto" w:sz="4" w:space="0"/>
            </w:tcBorders>
            <w:vAlign w:val="center"/>
          </w:tcPr>
          <w:p w14:paraId="0075C02E">
            <w:pPr>
              <w:jc w:val="right"/>
              <w:rPr>
                <w:rFonts w:cs="Times New Roman"/>
                <w:sz w:val="18"/>
                <w:szCs w:val="18"/>
              </w:rPr>
            </w:pPr>
          </w:p>
        </w:tc>
        <w:tc>
          <w:tcPr>
            <w:tcW w:w="572" w:type="pct"/>
            <w:vAlign w:val="center"/>
          </w:tcPr>
          <w:p w14:paraId="5BCE0822">
            <w:pPr>
              <w:jc w:val="right"/>
              <w:rPr>
                <w:rFonts w:cs="Times New Roman"/>
                <w:sz w:val="18"/>
                <w:szCs w:val="18"/>
              </w:rPr>
            </w:pPr>
          </w:p>
        </w:tc>
        <w:tc>
          <w:tcPr>
            <w:tcW w:w="581" w:type="pct"/>
            <w:vAlign w:val="center"/>
          </w:tcPr>
          <w:p w14:paraId="33AC67BF">
            <w:pPr>
              <w:jc w:val="right"/>
              <w:rPr>
                <w:rFonts w:cs="Times New Roman"/>
                <w:sz w:val="18"/>
                <w:szCs w:val="18"/>
              </w:rPr>
            </w:pPr>
          </w:p>
        </w:tc>
        <w:tc>
          <w:tcPr>
            <w:tcW w:w="568" w:type="pct"/>
            <w:vAlign w:val="center"/>
          </w:tcPr>
          <w:p w14:paraId="1AD19F2B">
            <w:pPr>
              <w:jc w:val="right"/>
              <w:rPr>
                <w:rFonts w:cs="Times New Roman"/>
                <w:sz w:val="18"/>
                <w:szCs w:val="18"/>
              </w:rPr>
            </w:pPr>
          </w:p>
        </w:tc>
        <w:tc>
          <w:tcPr>
            <w:tcW w:w="568" w:type="pct"/>
            <w:vAlign w:val="center"/>
          </w:tcPr>
          <w:p w14:paraId="4C3350A6">
            <w:pPr>
              <w:jc w:val="right"/>
              <w:rPr>
                <w:rFonts w:cs="Times New Roman"/>
                <w:sz w:val="18"/>
                <w:szCs w:val="18"/>
              </w:rPr>
            </w:pPr>
          </w:p>
        </w:tc>
        <w:tc>
          <w:tcPr>
            <w:tcW w:w="564" w:type="pct"/>
            <w:vAlign w:val="center"/>
          </w:tcPr>
          <w:p w14:paraId="7693C4BE">
            <w:pPr>
              <w:jc w:val="right"/>
              <w:textAlignment w:val="bottom"/>
              <w:rPr>
                <w:rFonts w:cs="Times New Roman"/>
                <w:sz w:val="18"/>
                <w:szCs w:val="18"/>
              </w:rPr>
            </w:pPr>
            <w:r>
              <w:rPr>
                <w:rFonts w:eastAsia="Arial Narrow" w:cs="Times New Roman"/>
                <w:color w:val="000000"/>
                <w:sz w:val="18"/>
                <w:szCs w:val="18"/>
                <w:lang w:bidi="ar"/>
              </w:rPr>
              <w:t>-167,292,870.60</w:t>
            </w:r>
          </w:p>
        </w:tc>
        <w:tc>
          <w:tcPr>
            <w:tcW w:w="570" w:type="pct"/>
            <w:vAlign w:val="center"/>
          </w:tcPr>
          <w:p w14:paraId="0F8FB14B">
            <w:pPr>
              <w:jc w:val="right"/>
              <w:textAlignment w:val="bottom"/>
              <w:rPr>
                <w:rFonts w:cs="Times New Roman"/>
                <w:sz w:val="18"/>
                <w:szCs w:val="18"/>
              </w:rPr>
            </w:pPr>
            <w:r>
              <w:rPr>
                <w:rFonts w:eastAsia="Arial Narrow" w:cs="Times New Roman"/>
                <w:color w:val="000000"/>
                <w:sz w:val="18"/>
                <w:szCs w:val="18"/>
                <w:lang w:bidi="ar"/>
              </w:rPr>
              <w:t>-167,292,870.60</w:t>
            </w:r>
          </w:p>
        </w:tc>
      </w:tr>
      <w:tr w14:paraId="06251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8e61c9577cd8495fb0815773685b00bb"/>
            <w:id w:val="147471568"/>
          </w:sdtPr>
          <w:sdtContent>
            <w:tc>
              <w:tcPr>
                <w:tcW w:w="988" w:type="pct"/>
                <w:vAlign w:val="center"/>
              </w:tcPr>
              <w:p w14:paraId="173271BA">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（一）综合收益总额</w:t>
                </w:r>
              </w:p>
            </w:tc>
          </w:sdtContent>
        </w:sdt>
        <w:tc>
          <w:tcPr>
            <w:tcW w:w="585" w:type="pct"/>
            <w:tcBorders>
              <w:right w:val="single" w:color="auto" w:sz="4" w:space="0"/>
            </w:tcBorders>
            <w:vAlign w:val="center"/>
          </w:tcPr>
          <w:p w14:paraId="158B8646">
            <w:pPr>
              <w:jc w:val="right"/>
              <w:rPr>
                <w:rFonts w:cs="Times New Roman"/>
                <w:sz w:val="18"/>
                <w:szCs w:val="18"/>
              </w:rPr>
            </w:pPr>
          </w:p>
        </w:tc>
        <w:tc>
          <w:tcPr>
            <w:tcW w:w="572" w:type="pct"/>
            <w:vAlign w:val="center"/>
          </w:tcPr>
          <w:p w14:paraId="3DC8B4C3">
            <w:pPr>
              <w:jc w:val="right"/>
              <w:rPr>
                <w:rFonts w:cs="Times New Roman"/>
                <w:sz w:val="18"/>
                <w:szCs w:val="18"/>
              </w:rPr>
            </w:pPr>
          </w:p>
        </w:tc>
        <w:tc>
          <w:tcPr>
            <w:tcW w:w="581" w:type="pct"/>
            <w:vAlign w:val="center"/>
          </w:tcPr>
          <w:p w14:paraId="3CE61858">
            <w:pPr>
              <w:jc w:val="right"/>
              <w:rPr>
                <w:rFonts w:cs="Times New Roman"/>
                <w:sz w:val="18"/>
                <w:szCs w:val="18"/>
              </w:rPr>
            </w:pPr>
          </w:p>
        </w:tc>
        <w:tc>
          <w:tcPr>
            <w:tcW w:w="568" w:type="pct"/>
            <w:vAlign w:val="center"/>
          </w:tcPr>
          <w:p w14:paraId="3F7D32FB">
            <w:pPr>
              <w:jc w:val="right"/>
              <w:rPr>
                <w:rFonts w:cs="Times New Roman"/>
                <w:sz w:val="18"/>
                <w:szCs w:val="18"/>
              </w:rPr>
            </w:pPr>
          </w:p>
        </w:tc>
        <w:tc>
          <w:tcPr>
            <w:tcW w:w="568" w:type="pct"/>
            <w:vAlign w:val="center"/>
          </w:tcPr>
          <w:p w14:paraId="2B5D7565">
            <w:pPr>
              <w:jc w:val="right"/>
              <w:rPr>
                <w:rFonts w:cs="Times New Roman"/>
                <w:sz w:val="18"/>
                <w:szCs w:val="18"/>
              </w:rPr>
            </w:pPr>
          </w:p>
        </w:tc>
        <w:tc>
          <w:tcPr>
            <w:tcW w:w="564" w:type="pct"/>
            <w:vAlign w:val="center"/>
          </w:tcPr>
          <w:p w14:paraId="55221B7D">
            <w:pPr>
              <w:jc w:val="right"/>
              <w:textAlignment w:val="bottom"/>
              <w:rPr>
                <w:rFonts w:cs="Times New Roman"/>
                <w:sz w:val="18"/>
                <w:szCs w:val="18"/>
              </w:rPr>
            </w:pPr>
            <w:r>
              <w:rPr>
                <w:rFonts w:eastAsia="Arial Narrow" w:cs="Times New Roman"/>
                <w:color w:val="000000"/>
                <w:sz w:val="18"/>
                <w:szCs w:val="18"/>
                <w:lang w:bidi="ar"/>
              </w:rPr>
              <w:t>-35,543,988.48</w:t>
            </w:r>
          </w:p>
        </w:tc>
        <w:tc>
          <w:tcPr>
            <w:tcW w:w="570" w:type="pct"/>
            <w:vAlign w:val="center"/>
          </w:tcPr>
          <w:p w14:paraId="7270D1A2">
            <w:pPr>
              <w:jc w:val="right"/>
              <w:textAlignment w:val="bottom"/>
              <w:rPr>
                <w:rFonts w:cs="Times New Roman"/>
                <w:sz w:val="18"/>
                <w:szCs w:val="18"/>
              </w:rPr>
            </w:pPr>
            <w:r>
              <w:rPr>
                <w:rFonts w:eastAsia="Arial Narrow" w:cs="Times New Roman"/>
                <w:color w:val="000000"/>
                <w:sz w:val="18"/>
                <w:szCs w:val="18"/>
                <w:lang w:bidi="ar"/>
              </w:rPr>
              <w:t>-35,543,988.48</w:t>
            </w:r>
          </w:p>
        </w:tc>
      </w:tr>
      <w:tr w14:paraId="2C78D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e11fbdac72bf4f84a5635701204e5724"/>
            <w:id w:val="147470269"/>
          </w:sdtPr>
          <w:sdtContent>
            <w:tc>
              <w:tcPr>
                <w:tcW w:w="988" w:type="pct"/>
                <w:vAlign w:val="center"/>
              </w:tcPr>
              <w:p w14:paraId="1E95B6FE">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二</w:t>
                </w:r>
                <w:r>
                  <w:rPr>
                    <w:color w:val="000000" w:themeColor="text1"/>
                    <w:sz w:val="18"/>
                    <w:szCs w:val="18"/>
                    <w14:textFill>
                      <w14:solidFill>
                        <w14:schemeClr w14:val="tx1"/>
                      </w14:solidFill>
                    </w14:textFill>
                  </w:rPr>
                  <w:t>）所有者投入和减少资本</w:t>
                </w:r>
              </w:p>
            </w:tc>
          </w:sdtContent>
        </w:sdt>
        <w:tc>
          <w:tcPr>
            <w:tcW w:w="585" w:type="pct"/>
            <w:tcBorders>
              <w:right w:val="single" w:color="auto" w:sz="4" w:space="0"/>
            </w:tcBorders>
            <w:vAlign w:val="center"/>
          </w:tcPr>
          <w:p w14:paraId="3F727191">
            <w:pPr>
              <w:jc w:val="right"/>
              <w:rPr>
                <w:rFonts w:cs="Times New Roman"/>
                <w:sz w:val="18"/>
                <w:szCs w:val="18"/>
              </w:rPr>
            </w:pPr>
          </w:p>
        </w:tc>
        <w:tc>
          <w:tcPr>
            <w:tcW w:w="572" w:type="pct"/>
            <w:vAlign w:val="center"/>
          </w:tcPr>
          <w:p w14:paraId="380505CD">
            <w:pPr>
              <w:jc w:val="right"/>
              <w:rPr>
                <w:rFonts w:cs="Times New Roman"/>
                <w:sz w:val="18"/>
                <w:szCs w:val="18"/>
              </w:rPr>
            </w:pPr>
          </w:p>
        </w:tc>
        <w:tc>
          <w:tcPr>
            <w:tcW w:w="581" w:type="pct"/>
            <w:vAlign w:val="center"/>
          </w:tcPr>
          <w:p w14:paraId="2BF0A8EA">
            <w:pPr>
              <w:jc w:val="right"/>
              <w:rPr>
                <w:rFonts w:cs="Times New Roman"/>
                <w:sz w:val="18"/>
                <w:szCs w:val="18"/>
              </w:rPr>
            </w:pPr>
          </w:p>
        </w:tc>
        <w:tc>
          <w:tcPr>
            <w:tcW w:w="568" w:type="pct"/>
            <w:vAlign w:val="center"/>
          </w:tcPr>
          <w:p w14:paraId="68643FBB">
            <w:pPr>
              <w:jc w:val="right"/>
              <w:rPr>
                <w:rFonts w:cs="Times New Roman"/>
                <w:sz w:val="18"/>
                <w:szCs w:val="18"/>
              </w:rPr>
            </w:pPr>
          </w:p>
        </w:tc>
        <w:tc>
          <w:tcPr>
            <w:tcW w:w="568" w:type="pct"/>
            <w:vAlign w:val="center"/>
          </w:tcPr>
          <w:p w14:paraId="56FE8756">
            <w:pPr>
              <w:jc w:val="right"/>
              <w:rPr>
                <w:rFonts w:cs="Times New Roman"/>
                <w:sz w:val="18"/>
                <w:szCs w:val="18"/>
              </w:rPr>
            </w:pPr>
          </w:p>
        </w:tc>
        <w:tc>
          <w:tcPr>
            <w:tcW w:w="564" w:type="pct"/>
            <w:vAlign w:val="center"/>
          </w:tcPr>
          <w:p w14:paraId="7502A527">
            <w:pPr>
              <w:jc w:val="right"/>
              <w:rPr>
                <w:rFonts w:cs="Times New Roman"/>
                <w:sz w:val="18"/>
                <w:szCs w:val="18"/>
              </w:rPr>
            </w:pPr>
          </w:p>
        </w:tc>
        <w:tc>
          <w:tcPr>
            <w:tcW w:w="570" w:type="pct"/>
            <w:vAlign w:val="center"/>
          </w:tcPr>
          <w:p w14:paraId="63AE0A3F">
            <w:pPr>
              <w:jc w:val="right"/>
              <w:rPr>
                <w:rFonts w:cs="Times New Roman"/>
                <w:sz w:val="18"/>
                <w:szCs w:val="18"/>
              </w:rPr>
            </w:pPr>
          </w:p>
        </w:tc>
      </w:tr>
      <w:tr w14:paraId="32896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9773183e97be44a1a360188937e7fe10"/>
            <w:id w:val="147474540"/>
          </w:sdtPr>
          <w:sdtContent>
            <w:tc>
              <w:tcPr>
                <w:tcW w:w="988" w:type="pct"/>
                <w:vAlign w:val="center"/>
              </w:tcPr>
              <w:p w14:paraId="42207413">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三</w:t>
                </w:r>
                <w:r>
                  <w:rPr>
                    <w:color w:val="000000" w:themeColor="text1"/>
                    <w:sz w:val="18"/>
                    <w:szCs w:val="18"/>
                    <w14:textFill>
                      <w14:solidFill>
                        <w14:schemeClr w14:val="tx1"/>
                      </w14:solidFill>
                    </w14:textFill>
                  </w:rPr>
                  <w:t>）利润分配</w:t>
                </w:r>
              </w:p>
            </w:tc>
          </w:sdtContent>
        </w:sdt>
        <w:tc>
          <w:tcPr>
            <w:tcW w:w="585" w:type="pct"/>
            <w:tcBorders>
              <w:right w:val="single" w:color="auto" w:sz="4" w:space="0"/>
            </w:tcBorders>
            <w:vAlign w:val="center"/>
          </w:tcPr>
          <w:p w14:paraId="1E23DD98">
            <w:pPr>
              <w:jc w:val="right"/>
              <w:rPr>
                <w:rFonts w:cs="Times New Roman"/>
                <w:sz w:val="18"/>
                <w:szCs w:val="18"/>
              </w:rPr>
            </w:pPr>
          </w:p>
        </w:tc>
        <w:tc>
          <w:tcPr>
            <w:tcW w:w="572" w:type="pct"/>
            <w:vAlign w:val="center"/>
          </w:tcPr>
          <w:p w14:paraId="00AD80DF">
            <w:pPr>
              <w:jc w:val="right"/>
              <w:rPr>
                <w:rFonts w:cs="Times New Roman"/>
                <w:sz w:val="18"/>
                <w:szCs w:val="18"/>
              </w:rPr>
            </w:pPr>
          </w:p>
        </w:tc>
        <w:tc>
          <w:tcPr>
            <w:tcW w:w="581" w:type="pct"/>
            <w:vAlign w:val="center"/>
          </w:tcPr>
          <w:p w14:paraId="65514B80">
            <w:pPr>
              <w:jc w:val="right"/>
              <w:rPr>
                <w:rFonts w:cs="Times New Roman"/>
                <w:sz w:val="18"/>
                <w:szCs w:val="18"/>
              </w:rPr>
            </w:pPr>
          </w:p>
        </w:tc>
        <w:tc>
          <w:tcPr>
            <w:tcW w:w="568" w:type="pct"/>
            <w:vAlign w:val="center"/>
          </w:tcPr>
          <w:p w14:paraId="14654520">
            <w:pPr>
              <w:jc w:val="right"/>
              <w:rPr>
                <w:rFonts w:cs="Times New Roman"/>
                <w:sz w:val="18"/>
                <w:szCs w:val="18"/>
              </w:rPr>
            </w:pPr>
          </w:p>
        </w:tc>
        <w:tc>
          <w:tcPr>
            <w:tcW w:w="568" w:type="pct"/>
            <w:vAlign w:val="center"/>
          </w:tcPr>
          <w:p w14:paraId="18669F2B">
            <w:pPr>
              <w:jc w:val="right"/>
              <w:rPr>
                <w:rFonts w:cs="Times New Roman"/>
                <w:sz w:val="18"/>
                <w:szCs w:val="18"/>
              </w:rPr>
            </w:pPr>
          </w:p>
        </w:tc>
        <w:tc>
          <w:tcPr>
            <w:tcW w:w="564" w:type="pct"/>
            <w:vAlign w:val="center"/>
          </w:tcPr>
          <w:p w14:paraId="44E2F37C">
            <w:pPr>
              <w:jc w:val="right"/>
              <w:textAlignment w:val="bottom"/>
              <w:rPr>
                <w:rFonts w:cs="Times New Roman"/>
                <w:sz w:val="18"/>
                <w:szCs w:val="18"/>
              </w:rPr>
            </w:pPr>
            <w:r>
              <w:rPr>
                <w:rFonts w:eastAsia="Arial Narrow" w:cs="Times New Roman"/>
                <w:color w:val="000000"/>
                <w:sz w:val="18"/>
                <w:szCs w:val="18"/>
                <w:lang w:bidi="ar"/>
              </w:rPr>
              <w:t>-131,748,882.12</w:t>
            </w:r>
          </w:p>
        </w:tc>
        <w:tc>
          <w:tcPr>
            <w:tcW w:w="570" w:type="pct"/>
            <w:vAlign w:val="center"/>
          </w:tcPr>
          <w:p w14:paraId="523BF2BF">
            <w:pPr>
              <w:jc w:val="right"/>
              <w:textAlignment w:val="bottom"/>
              <w:rPr>
                <w:rFonts w:cs="Times New Roman"/>
                <w:sz w:val="18"/>
                <w:szCs w:val="18"/>
              </w:rPr>
            </w:pPr>
            <w:r>
              <w:rPr>
                <w:rFonts w:eastAsia="Arial Narrow" w:cs="Times New Roman"/>
                <w:color w:val="000000"/>
                <w:sz w:val="18"/>
                <w:szCs w:val="18"/>
                <w:lang w:bidi="ar"/>
              </w:rPr>
              <w:t>-131,748,882.12</w:t>
            </w:r>
          </w:p>
        </w:tc>
      </w:tr>
      <w:tr w14:paraId="4CFCE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49d633deae854098a44173514bb3a7b3"/>
            <w:id w:val="147473100"/>
          </w:sdtPr>
          <w:sdtContent>
            <w:tc>
              <w:tcPr>
                <w:tcW w:w="988" w:type="pct"/>
                <w:vAlign w:val="center"/>
              </w:tcPr>
              <w:p w14:paraId="2D7BF657">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1．提取盈余公积</w:t>
                </w:r>
              </w:p>
            </w:tc>
          </w:sdtContent>
        </w:sdt>
        <w:tc>
          <w:tcPr>
            <w:tcW w:w="585" w:type="pct"/>
            <w:tcBorders>
              <w:right w:val="single" w:color="auto" w:sz="4" w:space="0"/>
            </w:tcBorders>
            <w:vAlign w:val="center"/>
          </w:tcPr>
          <w:p w14:paraId="17244156">
            <w:pPr>
              <w:jc w:val="right"/>
              <w:rPr>
                <w:rFonts w:cs="Times New Roman"/>
                <w:sz w:val="18"/>
                <w:szCs w:val="18"/>
              </w:rPr>
            </w:pPr>
          </w:p>
        </w:tc>
        <w:tc>
          <w:tcPr>
            <w:tcW w:w="572" w:type="pct"/>
            <w:vAlign w:val="center"/>
          </w:tcPr>
          <w:p w14:paraId="147A5137">
            <w:pPr>
              <w:jc w:val="right"/>
              <w:rPr>
                <w:rFonts w:cs="Times New Roman"/>
                <w:sz w:val="18"/>
                <w:szCs w:val="18"/>
              </w:rPr>
            </w:pPr>
          </w:p>
        </w:tc>
        <w:tc>
          <w:tcPr>
            <w:tcW w:w="581" w:type="pct"/>
            <w:vAlign w:val="center"/>
          </w:tcPr>
          <w:p w14:paraId="0B38264F">
            <w:pPr>
              <w:jc w:val="right"/>
              <w:rPr>
                <w:rFonts w:cs="Times New Roman"/>
                <w:sz w:val="18"/>
                <w:szCs w:val="18"/>
              </w:rPr>
            </w:pPr>
          </w:p>
        </w:tc>
        <w:tc>
          <w:tcPr>
            <w:tcW w:w="568" w:type="pct"/>
            <w:vAlign w:val="center"/>
          </w:tcPr>
          <w:p w14:paraId="0D458537">
            <w:pPr>
              <w:jc w:val="right"/>
              <w:rPr>
                <w:rFonts w:cs="Times New Roman"/>
                <w:sz w:val="18"/>
                <w:szCs w:val="18"/>
              </w:rPr>
            </w:pPr>
          </w:p>
        </w:tc>
        <w:tc>
          <w:tcPr>
            <w:tcW w:w="568" w:type="pct"/>
            <w:vAlign w:val="center"/>
          </w:tcPr>
          <w:p w14:paraId="71C0F58E">
            <w:pPr>
              <w:jc w:val="right"/>
              <w:rPr>
                <w:rFonts w:cs="Times New Roman"/>
                <w:sz w:val="18"/>
                <w:szCs w:val="18"/>
              </w:rPr>
            </w:pPr>
          </w:p>
        </w:tc>
        <w:tc>
          <w:tcPr>
            <w:tcW w:w="564" w:type="pct"/>
            <w:vAlign w:val="center"/>
          </w:tcPr>
          <w:p w14:paraId="19AF8C3F">
            <w:pPr>
              <w:jc w:val="right"/>
              <w:rPr>
                <w:rFonts w:cs="Times New Roman"/>
                <w:sz w:val="18"/>
                <w:szCs w:val="18"/>
              </w:rPr>
            </w:pPr>
          </w:p>
        </w:tc>
        <w:tc>
          <w:tcPr>
            <w:tcW w:w="570" w:type="pct"/>
            <w:vAlign w:val="center"/>
          </w:tcPr>
          <w:p w14:paraId="7E6BAC84">
            <w:pPr>
              <w:jc w:val="right"/>
              <w:rPr>
                <w:rFonts w:cs="Times New Roman"/>
                <w:sz w:val="18"/>
                <w:szCs w:val="18"/>
              </w:rPr>
            </w:pPr>
          </w:p>
        </w:tc>
      </w:tr>
      <w:tr w14:paraId="2E8F8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97bd41fffab4497fb1be0b345aef17bd"/>
            <w:id w:val="147454962"/>
          </w:sdtPr>
          <w:sdtContent>
            <w:tc>
              <w:tcPr>
                <w:tcW w:w="988" w:type="pct"/>
                <w:vAlign w:val="center"/>
              </w:tcPr>
              <w:p w14:paraId="619E1361">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．对所有者（或股东）的分配</w:t>
                </w:r>
              </w:p>
            </w:tc>
          </w:sdtContent>
        </w:sdt>
        <w:tc>
          <w:tcPr>
            <w:tcW w:w="585" w:type="pct"/>
            <w:tcBorders>
              <w:right w:val="single" w:color="auto" w:sz="4" w:space="0"/>
            </w:tcBorders>
            <w:vAlign w:val="center"/>
          </w:tcPr>
          <w:p w14:paraId="1B901614">
            <w:pPr>
              <w:jc w:val="right"/>
              <w:rPr>
                <w:rFonts w:cs="Times New Roman"/>
                <w:sz w:val="18"/>
                <w:szCs w:val="18"/>
              </w:rPr>
            </w:pPr>
          </w:p>
        </w:tc>
        <w:tc>
          <w:tcPr>
            <w:tcW w:w="572" w:type="pct"/>
            <w:vAlign w:val="center"/>
          </w:tcPr>
          <w:p w14:paraId="0B7985A5">
            <w:pPr>
              <w:jc w:val="right"/>
              <w:rPr>
                <w:rFonts w:cs="Times New Roman"/>
                <w:sz w:val="18"/>
                <w:szCs w:val="18"/>
              </w:rPr>
            </w:pPr>
          </w:p>
        </w:tc>
        <w:tc>
          <w:tcPr>
            <w:tcW w:w="581" w:type="pct"/>
            <w:vAlign w:val="center"/>
          </w:tcPr>
          <w:p w14:paraId="38DEB46B">
            <w:pPr>
              <w:jc w:val="right"/>
              <w:rPr>
                <w:rFonts w:cs="Times New Roman"/>
                <w:sz w:val="18"/>
                <w:szCs w:val="18"/>
              </w:rPr>
            </w:pPr>
          </w:p>
        </w:tc>
        <w:tc>
          <w:tcPr>
            <w:tcW w:w="568" w:type="pct"/>
            <w:vAlign w:val="center"/>
          </w:tcPr>
          <w:p w14:paraId="3DB97B11">
            <w:pPr>
              <w:jc w:val="right"/>
              <w:rPr>
                <w:rFonts w:cs="Times New Roman"/>
                <w:sz w:val="18"/>
                <w:szCs w:val="18"/>
              </w:rPr>
            </w:pPr>
          </w:p>
        </w:tc>
        <w:tc>
          <w:tcPr>
            <w:tcW w:w="568" w:type="pct"/>
            <w:vAlign w:val="center"/>
          </w:tcPr>
          <w:p w14:paraId="396DABCE">
            <w:pPr>
              <w:jc w:val="right"/>
              <w:rPr>
                <w:rFonts w:cs="Times New Roman"/>
                <w:sz w:val="18"/>
                <w:szCs w:val="18"/>
              </w:rPr>
            </w:pPr>
          </w:p>
        </w:tc>
        <w:tc>
          <w:tcPr>
            <w:tcW w:w="564" w:type="pct"/>
            <w:vAlign w:val="center"/>
          </w:tcPr>
          <w:p w14:paraId="74BCED17">
            <w:pPr>
              <w:jc w:val="right"/>
              <w:textAlignment w:val="bottom"/>
              <w:rPr>
                <w:rFonts w:cs="Times New Roman"/>
                <w:sz w:val="18"/>
                <w:szCs w:val="18"/>
              </w:rPr>
            </w:pPr>
            <w:r>
              <w:rPr>
                <w:rFonts w:eastAsia="Arial Narrow" w:cs="Times New Roman"/>
                <w:color w:val="000000"/>
                <w:sz w:val="18"/>
                <w:szCs w:val="18"/>
                <w:lang w:bidi="ar"/>
              </w:rPr>
              <w:t>-131,748,882.12</w:t>
            </w:r>
          </w:p>
        </w:tc>
        <w:tc>
          <w:tcPr>
            <w:tcW w:w="570" w:type="pct"/>
            <w:vAlign w:val="center"/>
          </w:tcPr>
          <w:p w14:paraId="4542CE1C">
            <w:pPr>
              <w:jc w:val="right"/>
              <w:textAlignment w:val="bottom"/>
              <w:rPr>
                <w:rFonts w:cs="Times New Roman"/>
                <w:sz w:val="18"/>
                <w:szCs w:val="18"/>
              </w:rPr>
            </w:pPr>
            <w:r>
              <w:rPr>
                <w:rFonts w:eastAsia="Arial Narrow" w:cs="Times New Roman"/>
                <w:color w:val="000000"/>
                <w:sz w:val="18"/>
                <w:szCs w:val="18"/>
                <w:lang w:bidi="ar"/>
              </w:rPr>
              <w:t>-131,748,882.12</w:t>
            </w:r>
          </w:p>
        </w:tc>
      </w:tr>
      <w:tr w14:paraId="7E94B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a5c6789730e84b389ee95f39091419a8"/>
            <w:id w:val="147459841"/>
          </w:sdtPr>
          <w:sdtContent>
            <w:tc>
              <w:tcPr>
                <w:tcW w:w="988" w:type="pct"/>
                <w:vAlign w:val="center"/>
              </w:tcPr>
              <w:p w14:paraId="2C470CD5">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w:t>
                </w:r>
                <w:r>
                  <w:rPr>
                    <w:color w:val="000000" w:themeColor="text1"/>
                    <w:sz w:val="18"/>
                    <w:szCs w:val="18"/>
                    <w14:textFill>
                      <w14:solidFill>
                        <w14:schemeClr w14:val="tx1"/>
                      </w14:solidFill>
                    </w14:textFill>
                  </w:rPr>
                  <w:t>．其他</w:t>
                </w:r>
              </w:p>
            </w:tc>
          </w:sdtContent>
        </w:sdt>
        <w:tc>
          <w:tcPr>
            <w:tcW w:w="585" w:type="pct"/>
            <w:tcBorders>
              <w:right w:val="single" w:color="auto" w:sz="4" w:space="0"/>
            </w:tcBorders>
            <w:vAlign w:val="center"/>
          </w:tcPr>
          <w:p w14:paraId="4DEDA7A2">
            <w:pPr>
              <w:jc w:val="right"/>
              <w:rPr>
                <w:rFonts w:cs="Times New Roman"/>
                <w:sz w:val="18"/>
                <w:szCs w:val="18"/>
              </w:rPr>
            </w:pPr>
          </w:p>
        </w:tc>
        <w:tc>
          <w:tcPr>
            <w:tcW w:w="572" w:type="pct"/>
            <w:vAlign w:val="center"/>
          </w:tcPr>
          <w:p w14:paraId="75533DCE">
            <w:pPr>
              <w:jc w:val="right"/>
              <w:rPr>
                <w:rFonts w:cs="Times New Roman"/>
                <w:sz w:val="18"/>
                <w:szCs w:val="18"/>
              </w:rPr>
            </w:pPr>
          </w:p>
        </w:tc>
        <w:tc>
          <w:tcPr>
            <w:tcW w:w="581" w:type="pct"/>
            <w:vAlign w:val="center"/>
          </w:tcPr>
          <w:p w14:paraId="47F768E6">
            <w:pPr>
              <w:jc w:val="right"/>
              <w:rPr>
                <w:rFonts w:cs="Times New Roman"/>
                <w:sz w:val="18"/>
                <w:szCs w:val="18"/>
              </w:rPr>
            </w:pPr>
          </w:p>
        </w:tc>
        <w:tc>
          <w:tcPr>
            <w:tcW w:w="568" w:type="pct"/>
            <w:vAlign w:val="center"/>
          </w:tcPr>
          <w:p w14:paraId="0CFC9F74">
            <w:pPr>
              <w:jc w:val="right"/>
              <w:rPr>
                <w:rFonts w:cs="Times New Roman"/>
                <w:sz w:val="18"/>
                <w:szCs w:val="18"/>
              </w:rPr>
            </w:pPr>
          </w:p>
        </w:tc>
        <w:tc>
          <w:tcPr>
            <w:tcW w:w="568" w:type="pct"/>
            <w:vAlign w:val="center"/>
          </w:tcPr>
          <w:p w14:paraId="4FE9BCF1">
            <w:pPr>
              <w:jc w:val="right"/>
              <w:rPr>
                <w:rFonts w:cs="Times New Roman"/>
                <w:sz w:val="18"/>
                <w:szCs w:val="18"/>
              </w:rPr>
            </w:pPr>
          </w:p>
        </w:tc>
        <w:tc>
          <w:tcPr>
            <w:tcW w:w="564" w:type="pct"/>
            <w:vAlign w:val="center"/>
          </w:tcPr>
          <w:p w14:paraId="7839B384">
            <w:pPr>
              <w:jc w:val="right"/>
              <w:rPr>
                <w:rFonts w:cs="Times New Roman"/>
                <w:sz w:val="18"/>
                <w:szCs w:val="18"/>
              </w:rPr>
            </w:pPr>
          </w:p>
        </w:tc>
        <w:tc>
          <w:tcPr>
            <w:tcW w:w="570" w:type="pct"/>
            <w:vAlign w:val="center"/>
          </w:tcPr>
          <w:p w14:paraId="19038EE8">
            <w:pPr>
              <w:jc w:val="right"/>
              <w:rPr>
                <w:rFonts w:cs="Times New Roman"/>
                <w:sz w:val="18"/>
                <w:szCs w:val="18"/>
              </w:rPr>
            </w:pPr>
          </w:p>
        </w:tc>
      </w:tr>
      <w:tr w14:paraId="3EDA6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9c529a92f12642ed93c3ac5d7c5ef52b"/>
            <w:id w:val="147469414"/>
          </w:sdtPr>
          <w:sdtContent>
            <w:tc>
              <w:tcPr>
                <w:tcW w:w="988" w:type="pct"/>
                <w:vAlign w:val="center"/>
              </w:tcPr>
              <w:p w14:paraId="795088AC">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四</w:t>
                </w:r>
                <w:r>
                  <w:rPr>
                    <w:color w:val="000000" w:themeColor="text1"/>
                    <w:sz w:val="18"/>
                    <w:szCs w:val="18"/>
                    <w14:textFill>
                      <w14:solidFill>
                        <w14:schemeClr w14:val="tx1"/>
                      </w14:solidFill>
                    </w14:textFill>
                  </w:rPr>
                  <w:t>）所有者权益内部结转</w:t>
                </w:r>
              </w:p>
            </w:tc>
          </w:sdtContent>
        </w:sdt>
        <w:tc>
          <w:tcPr>
            <w:tcW w:w="585" w:type="pct"/>
            <w:tcBorders>
              <w:right w:val="single" w:color="auto" w:sz="4" w:space="0"/>
            </w:tcBorders>
            <w:vAlign w:val="center"/>
          </w:tcPr>
          <w:p w14:paraId="5F9F964B">
            <w:pPr>
              <w:jc w:val="right"/>
              <w:rPr>
                <w:rFonts w:cs="Times New Roman"/>
                <w:sz w:val="18"/>
                <w:szCs w:val="18"/>
              </w:rPr>
            </w:pPr>
          </w:p>
        </w:tc>
        <w:tc>
          <w:tcPr>
            <w:tcW w:w="572" w:type="pct"/>
            <w:vAlign w:val="center"/>
          </w:tcPr>
          <w:p w14:paraId="20D35DBB">
            <w:pPr>
              <w:jc w:val="right"/>
              <w:rPr>
                <w:rFonts w:cs="Times New Roman"/>
                <w:sz w:val="18"/>
                <w:szCs w:val="18"/>
              </w:rPr>
            </w:pPr>
          </w:p>
        </w:tc>
        <w:tc>
          <w:tcPr>
            <w:tcW w:w="581" w:type="pct"/>
            <w:vAlign w:val="center"/>
          </w:tcPr>
          <w:p w14:paraId="097BEFA8">
            <w:pPr>
              <w:jc w:val="right"/>
              <w:rPr>
                <w:rFonts w:cs="Times New Roman"/>
                <w:sz w:val="18"/>
                <w:szCs w:val="18"/>
              </w:rPr>
            </w:pPr>
          </w:p>
        </w:tc>
        <w:tc>
          <w:tcPr>
            <w:tcW w:w="568" w:type="pct"/>
            <w:vAlign w:val="center"/>
          </w:tcPr>
          <w:p w14:paraId="46DE7DEA">
            <w:pPr>
              <w:jc w:val="right"/>
              <w:rPr>
                <w:rFonts w:cs="Times New Roman"/>
                <w:sz w:val="18"/>
                <w:szCs w:val="18"/>
              </w:rPr>
            </w:pPr>
          </w:p>
        </w:tc>
        <w:tc>
          <w:tcPr>
            <w:tcW w:w="568" w:type="pct"/>
            <w:vAlign w:val="center"/>
          </w:tcPr>
          <w:p w14:paraId="4A8C3261">
            <w:pPr>
              <w:jc w:val="right"/>
              <w:rPr>
                <w:rFonts w:cs="Times New Roman"/>
                <w:sz w:val="18"/>
                <w:szCs w:val="18"/>
              </w:rPr>
            </w:pPr>
          </w:p>
        </w:tc>
        <w:tc>
          <w:tcPr>
            <w:tcW w:w="564" w:type="pct"/>
            <w:vAlign w:val="center"/>
          </w:tcPr>
          <w:p w14:paraId="360D3764">
            <w:pPr>
              <w:jc w:val="right"/>
              <w:rPr>
                <w:rFonts w:cs="Times New Roman"/>
                <w:sz w:val="18"/>
                <w:szCs w:val="18"/>
              </w:rPr>
            </w:pPr>
          </w:p>
        </w:tc>
        <w:tc>
          <w:tcPr>
            <w:tcW w:w="570" w:type="pct"/>
            <w:vAlign w:val="center"/>
          </w:tcPr>
          <w:p w14:paraId="7E3B656E">
            <w:pPr>
              <w:jc w:val="right"/>
              <w:rPr>
                <w:rFonts w:cs="Times New Roman"/>
                <w:sz w:val="18"/>
                <w:szCs w:val="18"/>
              </w:rPr>
            </w:pPr>
          </w:p>
        </w:tc>
      </w:tr>
      <w:tr w14:paraId="5F027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2a0b15de13474fe285b68b48e29b688f"/>
            <w:id w:val="147462735"/>
          </w:sdtPr>
          <w:sdtContent>
            <w:tc>
              <w:tcPr>
                <w:tcW w:w="988" w:type="pct"/>
                <w:vAlign w:val="center"/>
              </w:tcPr>
              <w:p w14:paraId="1353A790">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（五）专项储备</w:t>
                </w:r>
              </w:p>
            </w:tc>
          </w:sdtContent>
        </w:sdt>
        <w:tc>
          <w:tcPr>
            <w:tcW w:w="585" w:type="pct"/>
            <w:tcBorders>
              <w:right w:val="single" w:color="auto" w:sz="4" w:space="0"/>
            </w:tcBorders>
            <w:vAlign w:val="center"/>
          </w:tcPr>
          <w:p w14:paraId="4B18C3C4">
            <w:pPr>
              <w:jc w:val="right"/>
              <w:rPr>
                <w:rFonts w:cs="Times New Roman"/>
                <w:sz w:val="18"/>
                <w:szCs w:val="18"/>
              </w:rPr>
            </w:pPr>
          </w:p>
        </w:tc>
        <w:tc>
          <w:tcPr>
            <w:tcW w:w="572" w:type="pct"/>
            <w:vAlign w:val="center"/>
          </w:tcPr>
          <w:p w14:paraId="7BF145DB">
            <w:pPr>
              <w:jc w:val="right"/>
              <w:rPr>
                <w:rFonts w:cs="Times New Roman"/>
                <w:sz w:val="18"/>
                <w:szCs w:val="18"/>
              </w:rPr>
            </w:pPr>
          </w:p>
        </w:tc>
        <w:tc>
          <w:tcPr>
            <w:tcW w:w="581" w:type="pct"/>
            <w:vAlign w:val="center"/>
          </w:tcPr>
          <w:p w14:paraId="1DD57D96">
            <w:pPr>
              <w:jc w:val="right"/>
              <w:rPr>
                <w:rFonts w:cs="Times New Roman"/>
                <w:sz w:val="18"/>
                <w:szCs w:val="18"/>
              </w:rPr>
            </w:pPr>
          </w:p>
        </w:tc>
        <w:tc>
          <w:tcPr>
            <w:tcW w:w="568" w:type="pct"/>
            <w:vAlign w:val="center"/>
          </w:tcPr>
          <w:p w14:paraId="574FE7F4">
            <w:pPr>
              <w:jc w:val="right"/>
              <w:rPr>
                <w:rFonts w:cs="Times New Roman"/>
                <w:sz w:val="18"/>
                <w:szCs w:val="18"/>
              </w:rPr>
            </w:pPr>
          </w:p>
        </w:tc>
        <w:tc>
          <w:tcPr>
            <w:tcW w:w="568" w:type="pct"/>
            <w:vAlign w:val="center"/>
          </w:tcPr>
          <w:p w14:paraId="6AC267E5">
            <w:pPr>
              <w:jc w:val="right"/>
              <w:rPr>
                <w:rFonts w:cs="Times New Roman"/>
                <w:sz w:val="18"/>
                <w:szCs w:val="18"/>
              </w:rPr>
            </w:pPr>
          </w:p>
        </w:tc>
        <w:tc>
          <w:tcPr>
            <w:tcW w:w="564" w:type="pct"/>
            <w:vAlign w:val="center"/>
          </w:tcPr>
          <w:p w14:paraId="7A005070">
            <w:pPr>
              <w:jc w:val="right"/>
              <w:rPr>
                <w:rFonts w:cs="Times New Roman"/>
                <w:sz w:val="18"/>
                <w:szCs w:val="18"/>
              </w:rPr>
            </w:pPr>
          </w:p>
        </w:tc>
        <w:tc>
          <w:tcPr>
            <w:tcW w:w="570" w:type="pct"/>
            <w:vAlign w:val="center"/>
          </w:tcPr>
          <w:p w14:paraId="0D51A356">
            <w:pPr>
              <w:jc w:val="right"/>
              <w:rPr>
                <w:rFonts w:cs="Times New Roman"/>
                <w:sz w:val="18"/>
                <w:szCs w:val="18"/>
              </w:rPr>
            </w:pPr>
          </w:p>
        </w:tc>
      </w:tr>
      <w:tr w14:paraId="5025F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adc6cb0ad3a14129b7edac5f396c8fd5"/>
            <w:id w:val="147476695"/>
          </w:sdtPr>
          <w:sdtContent>
            <w:tc>
              <w:tcPr>
                <w:tcW w:w="988" w:type="pct"/>
                <w:vAlign w:val="center"/>
              </w:tcPr>
              <w:p w14:paraId="239463B0">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（六）其他</w:t>
                </w:r>
              </w:p>
            </w:tc>
          </w:sdtContent>
        </w:sdt>
        <w:tc>
          <w:tcPr>
            <w:tcW w:w="585" w:type="pct"/>
            <w:tcBorders>
              <w:right w:val="single" w:color="auto" w:sz="4" w:space="0"/>
            </w:tcBorders>
            <w:vAlign w:val="center"/>
          </w:tcPr>
          <w:p w14:paraId="71A94A0E">
            <w:pPr>
              <w:jc w:val="right"/>
              <w:rPr>
                <w:rFonts w:cs="Times New Roman"/>
                <w:sz w:val="18"/>
                <w:szCs w:val="18"/>
              </w:rPr>
            </w:pPr>
          </w:p>
        </w:tc>
        <w:tc>
          <w:tcPr>
            <w:tcW w:w="572" w:type="pct"/>
            <w:vAlign w:val="center"/>
          </w:tcPr>
          <w:p w14:paraId="1F327F9C">
            <w:pPr>
              <w:jc w:val="right"/>
              <w:rPr>
                <w:rFonts w:cs="Times New Roman"/>
                <w:sz w:val="18"/>
                <w:szCs w:val="18"/>
              </w:rPr>
            </w:pPr>
          </w:p>
        </w:tc>
        <w:tc>
          <w:tcPr>
            <w:tcW w:w="581" w:type="pct"/>
            <w:vAlign w:val="center"/>
          </w:tcPr>
          <w:p w14:paraId="02E7D582">
            <w:pPr>
              <w:jc w:val="right"/>
              <w:rPr>
                <w:rFonts w:cs="Times New Roman"/>
                <w:sz w:val="18"/>
                <w:szCs w:val="18"/>
              </w:rPr>
            </w:pPr>
          </w:p>
        </w:tc>
        <w:tc>
          <w:tcPr>
            <w:tcW w:w="568" w:type="pct"/>
            <w:vAlign w:val="center"/>
          </w:tcPr>
          <w:p w14:paraId="26DAC7B3">
            <w:pPr>
              <w:jc w:val="right"/>
              <w:rPr>
                <w:rFonts w:cs="Times New Roman"/>
                <w:sz w:val="18"/>
                <w:szCs w:val="18"/>
              </w:rPr>
            </w:pPr>
          </w:p>
        </w:tc>
        <w:tc>
          <w:tcPr>
            <w:tcW w:w="568" w:type="pct"/>
            <w:vAlign w:val="center"/>
          </w:tcPr>
          <w:p w14:paraId="744E341C">
            <w:pPr>
              <w:jc w:val="right"/>
              <w:rPr>
                <w:rFonts w:cs="Times New Roman"/>
                <w:sz w:val="18"/>
                <w:szCs w:val="18"/>
              </w:rPr>
            </w:pPr>
          </w:p>
        </w:tc>
        <w:tc>
          <w:tcPr>
            <w:tcW w:w="564" w:type="pct"/>
            <w:vAlign w:val="center"/>
          </w:tcPr>
          <w:p w14:paraId="5B37C78D">
            <w:pPr>
              <w:jc w:val="right"/>
              <w:rPr>
                <w:rFonts w:cs="Times New Roman"/>
                <w:sz w:val="18"/>
                <w:szCs w:val="18"/>
              </w:rPr>
            </w:pPr>
          </w:p>
        </w:tc>
        <w:tc>
          <w:tcPr>
            <w:tcW w:w="570" w:type="pct"/>
            <w:vAlign w:val="center"/>
          </w:tcPr>
          <w:p w14:paraId="239E1839">
            <w:pPr>
              <w:jc w:val="right"/>
              <w:rPr>
                <w:rFonts w:cs="Times New Roman"/>
                <w:sz w:val="18"/>
                <w:szCs w:val="18"/>
              </w:rPr>
            </w:pPr>
          </w:p>
        </w:tc>
      </w:tr>
      <w:tr w14:paraId="62259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0009c8b4e5ca4d7083f8b2619f6a4584"/>
            <w:id w:val="147453125"/>
          </w:sdtPr>
          <w:sdtContent>
            <w:tc>
              <w:tcPr>
                <w:tcW w:w="988" w:type="pct"/>
                <w:vAlign w:val="center"/>
              </w:tcPr>
              <w:p w14:paraId="10314C11">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四、本期期末余额</w:t>
                </w:r>
              </w:p>
            </w:tc>
          </w:sdtContent>
        </w:sdt>
        <w:tc>
          <w:tcPr>
            <w:tcW w:w="585" w:type="pct"/>
            <w:tcBorders>
              <w:right w:val="single" w:color="auto" w:sz="4" w:space="0"/>
            </w:tcBorders>
            <w:vAlign w:val="center"/>
          </w:tcPr>
          <w:p w14:paraId="0AC42BF0">
            <w:pPr>
              <w:jc w:val="right"/>
              <w:textAlignment w:val="bottom"/>
              <w:rPr>
                <w:rFonts w:cs="Times New Roman"/>
                <w:sz w:val="18"/>
                <w:szCs w:val="18"/>
              </w:rPr>
            </w:pPr>
            <w:r>
              <w:rPr>
                <w:rFonts w:eastAsia="Arial Narrow" w:cs="Times New Roman"/>
                <w:color w:val="000000"/>
                <w:sz w:val="18"/>
                <w:szCs w:val="18"/>
                <w:lang w:bidi="ar"/>
              </w:rPr>
              <w:t>4,391,629,404.00</w:t>
            </w:r>
          </w:p>
        </w:tc>
        <w:tc>
          <w:tcPr>
            <w:tcW w:w="572" w:type="pct"/>
            <w:vAlign w:val="center"/>
          </w:tcPr>
          <w:p w14:paraId="0F8CC31D">
            <w:pPr>
              <w:jc w:val="right"/>
              <w:textAlignment w:val="bottom"/>
              <w:rPr>
                <w:rFonts w:cs="Times New Roman"/>
                <w:sz w:val="18"/>
                <w:szCs w:val="18"/>
              </w:rPr>
            </w:pPr>
            <w:r>
              <w:rPr>
                <w:rFonts w:eastAsia="Arial Narrow" w:cs="Times New Roman"/>
                <w:color w:val="000000"/>
                <w:sz w:val="18"/>
                <w:szCs w:val="18"/>
                <w:lang w:bidi="ar"/>
              </w:rPr>
              <w:t>7,846,040,146.62</w:t>
            </w:r>
          </w:p>
        </w:tc>
        <w:tc>
          <w:tcPr>
            <w:tcW w:w="581" w:type="pct"/>
            <w:vAlign w:val="center"/>
          </w:tcPr>
          <w:p w14:paraId="6CE612E8">
            <w:pPr>
              <w:jc w:val="right"/>
              <w:rPr>
                <w:rFonts w:cs="Times New Roman"/>
                <w:sz w:val="18"/>
                <w:szCs w:val="18"/>
              </w:rPr>
            </w:pPr>
          </w:p>
        </w:tc>
        <w:tc>
          <w:tcPr>
            <w:tcW w:w="568" w:type="pct"/>
            <w:vAlign w:val="center"/>
          </w:tcPr>
          <w:p w14:paraId="5B3A90BC">
            <w:pPr>
              <w:jc w:val="right"/>
              <w:textAlignment w:val="bottom"/>
              <w:rPr>
                <w:rFonts w:cs="Times New Roman"/>
                <w:sz w:val="18"/>
                <w:szCs w:val="18"/>
              </w:rPr>
            </w:pPr>
            <w:r>
              <w:rPr>
                <w:rFonts w:eastAsia="Arial Narrow" w:cs="Times New Roman"/>
                <w:color w:val="000000"/>
                <w:sz w:val="18"/>
                <w:szCs w:val="18"/>
                <w:lang w:bidi="ar"/>
              </w:rPr>
              <w:t>-114,414,601.46</w:t>
            </w:r>
          </w:p>
        </w:tc>
        <w:tc>
          <w:tcPr>
            <w:tcW w:w="568" w:type="pct"/>
            <w:vAlign w:val="center"/>
          </w:tcPr>
          <w:p w14:paraId="6FECF8F1">
            <w:pPr>
              <w:jc w:val="right"/>
              <w:textAlignment w:val="bottom"/>
              <w:rPr>
                <w:rFonts w:cs="Times New Roman"/>
                <w:sz w:val="18"/>
                <w:szCs w:val="18"/>
              </w:rPr>
            </w:pPr>
            <w:r>
              <w:rPr>
                <w:rFonts w:eastAsia="Arial Narrow" w:cs="Times New Roman"/>
                <w:color w:val="000000"/>
                <w:sz w:val="18"/>
                <w:szCs w:val="18"/>
                <w:lang w:bidi="ar"/>
              </w:rPr>
              <w:t>369,657,198.90</w:t>
            </w:r>
          </w:p>
        </w:tc>
        <w:tc>
          <w:tcPr>
            <w:tcW w:w="564" w:type="pct"/>
            <w:vAlign w:val="center"/>
          </w:tcPr>
          <w:p w14:paraId="13D02528">
            <w:pPr>
              <w:jc w:val="right"/>
              <w:textAlignment w:val="bottom"/>
              <w:rPr>
                <w:rFonts w:cs="Times New Roman"/>
                <w:sz w:val="18"/>
                <w:szCs w:val="18"/>
              </w:rPr>
            </w:pPr>
            <w:r>
              <w:rPr>
                <w:rFonts w:eastAsia="Arial Narrow" w:cs="Times New Roman"/>
                <w:color w:val="000000"/>
                <w:sz w:val="18"/>
                <w:szCs w:val="18"/>
                <w:lang w:bidi="ar"/>
              </w:rPr>
              <w:t>466,451.30</w:t>
            </w:r>
          </w:p>
        </w:tc>
        <w:tc>
          <w:tcPr>
            <w:tcW w:w="570" w:type="pct"/>
            <w:vAlign w:val="center"/>
          </w:tcPr>
          <w:p w14:paraId="73525EC9">
            <w:pPr>
              <w:jc w:val="right"/>
              <w:textAlignment w:val="bottom"/>
              <w:rPr>
                <w:rFonts w:cs="Times New Roman"/>
                <w:sz w:val="18"/>
                <w:szCs w:val="18"/>
              </w:rPr>
            </w:pPr>
            <w:r>
              <w:rPr>
                <w:rFonts w:eastAsia="Arial Narrow" w:cs="Times New Roman"/>
                <w:color w:val="000000"/>
                <w:sz w:val="18"/>
                <w:szCs w:val="18"/>
                <w:lang w:bidi="ar"/>
              </w:rPr>
              <w:t>12,493,378,599.36</w:t>
            </w:r>
          </w:p>
        </w:tc>
      </w:tr>
    </w:tbl>
    <w:p w14:paraId="3C788E62"/>
    <w:p w14:paraId="7B5C6978">
      <w:pPr>
        <w:snapToGrid w:val="0"/>
        <w:spacing w:line="240" w:lineRule="atLeast"/>
        <w:rPr>
          <w:b/>
          <w:bCs w:val="0"/>
          <w:color w:val="000000" w:themeColor="text1"/>
          <w14:textFill>
            <w14:solidFill>
              <w14:schemeClr w14:val="tx1"/>
            </w14:solidFill>
          </w14:textFill>
        </w:rPr>
      </w:pPr>
      <w:r>
        <w:rPr>
          <w:color w:val="000000" w:themeColor="text1"/>
          <w14:textFill>
            <w14:solidFill>
              <w14:schemeClr w14:val="tx1"/>
            </w14:solidFill>
          </w14:textFill>
        </w:rPr>
        <w:t>公司负责人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公司负责人"/>
          <w:tag w:val="_GBC_6042a2c12168484781348969a4da3e4c"/>
          <w:id w:val="147452285"/>
          <w:placeholder>
            <w:docPart w:val="GBC22222222222222222222222222222"/>
          </w:placeholder>
          <w:dataBinding w:prefixMappings="xmlns:clcid-mr='clcid-mr'" w:xpath="/*/clcid-mr:GongSi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夏前军</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主管会计工作负责人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主管会计工作负责人姓名"/>
          <w:tag w:val="_GBC_3008dab61aca43f0a6d82ef192943e79"/>
          <w:id w:val="147473566"/>
          <w:placeholder>
            <w:docPart w:val="GBC22222222222222222222222222222"/>
          </w:placeholder>
          <w:dataBinding w:prefixMappings="xmlns:clcid-mr='clcid-mr'" w:xpath="/*/clcid-mr:ZhuGuanKuaiJiGongZuo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刘改平</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会计机构负责人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会计机构负责人姓名"/>
          <w:tag w:val="_GBC_e6c21b270080402ca8dbdc0cab514bde"/>
          <w:id w:val="147465969"/>
          <w:placeholder>
            <w:docPart w:val="GBC22222222222222222222222222222"/>
          </w:placeholder>
          <w:dataBinding w:prefixMappings="xmlns:clcid-mr='clcid-mr'" w:xpath="/*/clcid-mr:KuaiJiJiGou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冯晓</w:t>
          </w:r>
        </w:sdtContent>
      </w:sdt>
    </w:p>
    <w:p w14:paraId="61F8FE1A">
      <w:pPr>
        <w:rPr>
          <w:color w:val="000000" w:themeColor="text1"/>
          <w14:textFill>
            <w14:solidFill>
              <w14:schemeClr w14:val="tx1"/>
            </w14:solidFill>
          </w14:textFill>
        </w:rPr>
      </w:pPr>
    </w:p>
    <w:bookmarkEnd w:id="156"/>
    <w:p w14:paraId="0D14B33F">
      <w:pPr>
        <w:snapToGrid w:val="0"/>
        <w:spacing w:line="240" w:lineRule="atLeast"/>
        <w:rPr>
          <w:color w:val="000000" w:themeColor="text1"/>
          <w14:textFill>
            <w14:solidFill>
              <w14:schemeClr w14:val="tx1"/>
            </w14:solidFill>
          </w14:textFill>
        </w:rPr>
        <w:sectPr>
          <w:pgSz w:w="16838" w:h="11906" w:orient="landscape"/>
          <w:pgMar w:top="1797" w:right="1525" w:bottom="1276" w:left="1440" w:header="851" w:footer="992" w:gutter="0"/>
          <w:cols w:space="425" w:num="1"/>
          <w:docGrid w:linePitch="312" w:charSpace="0"/>
        </w:sectPr>
      </w:pPr>
      <w:bookmarkStart w:id="157" w:name="_Hlk10212138"/>
      <w:bookmarkEnd w:id="157"/>
    </w:p>
    <w:p w14:paraId="36A064A0">
      <w:pPr>
        <w:pStyle w:val="56"/>
        <w:numPr>
          <w:ilvl w:val="0"/>
          <w:numId w:val="43"/>
        </w:numPr>
        <w:ind w:left="420" w:hanging="420"/>
        <w:rPr>
          <w:rFonts w:ascii="宋体" w:hAnsi="宋体"/>
          <w:color w:val="000000" w:themeColor="text1"/>
          <w14:textFill>
            <w14:solidFill>
              <w14:schemeClr w14:val="tx1"/>
            </w14:solidFill>
          </w14:textFill>
        </w:rPr>
      </w:pPr>
      <w:bookmarkStart w:id="158" w:name="_Hlk168993498"/>
      <w:bookmarkStart w:id="159" w:name="_Hlk168646044"/>
      <w:r>
        <w:rPr>
          <w:rFonts w:hint="eastAsia" w:ascii="宋体" w:hAnsi="宋体"/>
          <w:color w:val="000000" w:themeColor="text1"/>
          <w14:textFill>
            <w14:solidFill>
              <w14:schemeClr w14:val="tx1"/>
            </w14:solidFill>
          </w14:textFill>
        </w:rPr>
        <w:t>公司基本情况</w:t>
      </w:r>
    </w:p>
    <w:p w14:paraId="1B64AB2F">
      <w:pPr>
        <w:pStyle w:val="57"/>
        <w:numPr>
          <w:ilvl w:val="0"/>
          <w:numId w:val="44"/>
        </w:numPr>
        <w:ind w:left="425" w:hanging="425"/>
        <w:rPr>
          <w:color w:val="000000" w:themeColor="text1"/>
          <w14:textFill>
            <w14:solidFill>
              <w14:schemeClr w14:val="tx1"/>
            </w14:solidFill>
          </w14:textFill>
        </w:rPr>
      </w:pPr>
      <w:r>
        <w:rPr>
          <w:rFonts w:hint="eastAsia"/>
          <w:color w:val="000000" w:themeColor="text1"/>
          <w14:textFill>
            <w14:solidFill>
              <w14:schemeClr w14:val="tx1"/>
            </w14:solidFill>
          </w14:textFill>
        </w:rPr>
        <w:t>公司概况</w:t>
      </w:r>
    </w:p>
    <w:sdt>
      <w:sdtPr>
        <w:rPr>
          <w:rFonts w:hint="eastAsia"/>
          <w:color w:val="000000" w:themeColor="text1"/>
          <w14:textFill>
            <w14:solidFill>
              <w14:schemeClr w14:val="tx1"/>
            </w14:solidFill>
          </w14:textFill>
        </w:rPr>
        <w:alias w:val="是否适用：公司概况[双击切换]"/>
        <w:tag w:val="_GBC_0cae3ba4a5394806810c0303cd783dd4"/>
        <w:id w:val="147470793"/>
        <w:placeholder>
          <w:docPart w:val="GBC22222222222222222222222222222"/>
        </w:placeholder>
      </w:sdtPr>
      <w:sdtEndPr>
        <w:rPr>
          <w:rFonts w:hint="eastAsia"/>
          <w:color w:val="000000" w:themeColor="text1"/>
          <w14:textFill>
            <w14:solidFill>
              <w14:schemeClr w14:val="tx1"/>
            </w14:solidFill>
          </w14:textFill>
        </w:rPr>
      </w:sdtEndPr>
      <w:sdtContent>
        <w:p w14:paraId="0360F06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公司概况"/>
        <w:tag w:val="_GBC_ae08459ad5fd43f3a92abaa61cf00bfd"/>
        <w:id w:val="147473144"/>
        <w:placeholder>
          <w:docPart w:val="GBC22222222222222222222222222222"/>
        </w:placeholder>
      </w:sdtPr>
      <w:sdtEndPr>
        <w:rPr>
          <w:color w:val="000000" w:themeColor="text1"/>
          <w14:textFill>
            <w14:solidFill>
              <w14:schemeClr w14:val="tx1"/>
            </w14:solidFill>
          </w14:textFill>
        </w:rPr>
      </w:sdtEndPr>
      <w:sdtContent>
        <w:p w14:paraId="6FDC6724">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（1）公司注册地、组织形式和总部地址 </w:t>
          </w:r>
        </w:p>
        <w:p w14:paraId="78F465BB">
          <w:pPr>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际华集团股份有限公司（以下简称“公司”或“本公司”）系经国务院国资委国资改革[2009]444 号批准，由新兴际华集团有限公司（以下简称“新兴际华”）联合新兴发展集团有限公司（以下简称“新兴发展”），于2009年6月26日将军需轻工业务的载体际华轻工集团有限公司（以下简称“际华轻工”）整体改制变更设立的股份有限公司。 </w:t>
          </w:r>
        </w:p>
        <w:p w14:paraId="2BC7CA4B">
          <w:pPr>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2010年6月30日经中国证券监督管理委员会证监许可[2010]884号文件核准，本公司向社会公开发行人民币普通股(A股)115,700万股，发行价格为3.50元/股，本次发行募集资金总额404,950.00 万元，扣除发行费用13,572.00万元后实际募集资金净额为人民币391,378.00万元。中瑞岳华会计师事务所有限公司于2010年8月9日对本次发行的资金到位情况进行了审验，并出具中瑞岳华验字[2010]第204号验资报告。本公司股票于2010年8月16日在上海证券交易所上市交易，公开发行后股本总额385,700万股，股票代码为：601718。 </w:t>
          </w:r>
        </w:p>
        <w:p w14:paraId="2A00BF3C">
          <w:pPr>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经2016年11月09日中国证券监督管理委员会证监许可[2016]2854号文《关于核准际华集团股份有限公司非公开发行股票的批复》核准，本公司非公开发行人民币普通股534,629,404股（每股面值为人民币1.00元），发行价格为人民币8.19元/股，募集资金总额为人民币4,378,614,818.76 元。扣除发行费用（含税）人民币65,699,777.90元，实际募集资金净额人民币4,312,915,040.86 元。立信会计师事务所（特殊普通合伙）于2017年4月18日对本次非公开发行的资金到位情况进行审验，并出具信会师报字[2017]第ZB10691号验资报告。 </w:t>
          </w:r>
        </w:p>
        <w:p w14:paraId="1DBE6AD7">
          <w:pPr>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截至2025年6月30日，本公司累计发行股本总数4,391,629,404.00股。公司注册资本为4,391,629,404.00 元，现持有统一社会信用代码为91110000710934270X的营业执照。公司注册地：北京市大兴区广茂大街44号院2号楼。法定代表人：夏前军。本公司的母公司为新兴际华集团有限公司，实际控制人为国务院国资委。 </w:t>
          </w:r>
        </w:p>
        <w:p w14:paraId="1D733197">
          <w:pPr>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（2）公司业务性质和主要经营活动 </w:t>
          </w:r>
        </w:p>
        <w:p w14:paraId="6666AA10">
          <w:pPr>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本公司所属行业为服装及其他纤维制品制造类。 </w:t>
          </w:r>
        </w:p>
        <w:p w14:paraId="128742B0">
          <w:pPr>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本公司经营范围为：对所属企业资产及资本的经营管理；服装鞋帽、轻纺印染、制革装具、橡胶制品的生产和销售；医药、化工、资源开发的投资与管理；实业项目的投资与管理；商贸、物流项目的投资与管理；进出口业务；技术开发、技术服务、管理咨询。主要生产职业装、职业鞋靴、防护装具、纺织印染、皮革皮鞋产品。 </w:t>
          </w:r>
        </w:p>
        <w:p w14:paraId="0FBFE97B">
          <w:pPr>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（3）财务报表的批准报出 </w:t>
          </w:r>
        </w:p>
        <w:p w14:paraId="4AB94787">
          <w:pPr>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本财务报表业经公司董事会于2025年8月22日批准报出。</w:t>
          </w:r>
        </w:p>
      </w:sdtContent>
    </w:sdt>
    <w:p w14:paraId="0E738DB0">
      <w:pPr>
        <w:rPr>
          <w:rFonts w:cs="Times New Roman"/>
          <w:color w:val="000000" w:themeColor="text1"/>
          <w:kern w:val="2"/>
          <w14:textFill>
            <w14:solidFill>
              <w14:schemeClr w14:val="tx1"/>
            </w14:solidFill>
          </w14:textFill>
        </w:rPr>
      </w:pPr>
    </w:p>
    <w:bookmarkEnd w:id="158"/>
    <w:bookmarkEnd w:id="159"/>
    <w:p w14:paraId="608E5528">
      <w:pPr>
        <w:pStyle w:val="56"/>
        <w:numPr>
          <w:ilvl w:val="0"/>
          <w:numId w:val="43"/>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财务报表的编制基础</w:t>
      </w:r>
    </w:p>
    <w:p w14:paraId="65EDBC82">
      <w:pPr>
        <w:pStyle w:val="57"/>
        <w:numPr>
          <w:ilvl w:val="0"/>
          <w:numId w:val="45"/>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编制基础</w:t>
      </w:r>
    </w:p>
    <w:sdt>
      <w:sdtPr>
        <w:rPr>
          <w:rFonts w:hint="eastAsia"/>
          <w:color w:val="000000" w:themeColor="text1"/>
          <w14:textFill>
            <w14:solidFill>
              <w14:schemeClr w14:val="tx1"/>
            </w14:solidFill>
          </w14:textFill>
        </w:rPr>
        <w:alias w:val="财务报表的编制基础"/>
        <w:tag w:val="_GBC_1dc2375ed7ab49628f5badf2d5006405"/>
        <w:id w:val="147452557"/>
        <w:placeholder>
          <w:docPart w:val="GBC22222222222222222222222222222"/>
        </w:placeholder>
      </w:sdtPr>
      <w:sdtEndPr>
        <w:rPr>
          <w:rFonts w:hint="eastAsia"/>
          <w:color w:val="000000" w:themeColor="text1"/>
          <w14:textFill>
            <w14:solidFill>
              <w14:schemeClr w14:val="tx1"/>
            </w14:solidFill>
          </w14:textFill>
        </w:rPr>
      </w:sdtEndPr>
      <w:sdtContent>
        <w:p w14:paraId="6E855BFE">
          <w:pPr>
            <w:rPr>
              <w:color w:val="000000" w:themeColor="text1"/>
              <w14:textFill>
                <w14:solidFill>
                  <w14:schemeClr w14:val="tx1"/>
                </w14:solidFill>
              </w14:textFill>
            </w:rPr>
          </w:pPr>
          <w:r>
            <w:rPr>
              <w:color w:val="000000" w:themeColor="text1"/>
              <w14:textFill>
                <w14:solidFill>
                  <w14:schemeClr w14:val="tx1"/>
                </w14:solidFill>
              </w14:textFill>
            </w:rPr>
            <w:t>本公司财务报表以持续经营为编制基础。</w:t>
          </w:r>
        </w:p>
      </w:sdtContent>
    </w:sdt>
    <w:p w14:paraId="248090CA">
      <w:pPr>
        <w:rPr>
          <w:color w:val="000000" w:themeColor="text1"/>
          <w14:textFill>
            <w14:solidFill>
              <w14:schemeClr w14:val="tx1"/>
            </w14:solidFill>
          </w14:textFill>
        </w:rPr>
      </w:pPr>
    </w:p>
    <w:p w14:paraId="09AEA728">
      <w:pPr>
        <w:pStyle w:val="57"/>
        <w:numPr>
          <w:ilvl w:val="0"/>
          <w:numId w:val="45"/>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持续经营</w:t>
      </w:r>
    </w:p>
    <w:sdt>
      <w:sdtPr>
        <w:rPr>
          <w:color w:val="000000" w:themeColor="text1"/>
          <w14:textFill>
            <w14:solidFill>
              <w14:schemeClr w14:val="tx1"/>
            </w14:solidFill>
          </w14:textFill>
        </w:rPr>
        <w:alias w:val="是否适用：持续经营[双击切换]"/>
        <w:tag w:val="_GBC_7a7bd82392314f508ef1adfe80947192"/>
        <w:id w:val="147477226"/>
        <w:placeholder>
          <w:docPart w:val="GBC22222222222222222222222222222"/>
        </w:placeholder>
      </w:sdtPr>
      <w:sdtEndPr>
        <w:rPr>
          <w:color w:val="000000" w:themeColor="text1"/>
          <w14:textFill>
            <w14:solidFill>
              <w14:schemeClr w14:val="tx1"/>
            </w14:solidFill>
          </w14:textFill>
        </w:rPr>
      </w:sdtEndPr>
      <w:sdtContent>
        <w:p w14:paraId="1781569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持续经营"/>
        <w:tag w:val="_GBC_dc876c24006b428987a041949eb554f3"/>
        <w:id w:val="147455554"/>
        <w:placeholder>
          <w:docPart w:val="GBC22222222222222222222222222222"/>
        </w:placeholder>
      </w:sdtPr>
      <w:sdtEndPr>
        <w:rPr>
          <w:color w:val="000000" w:themeColor="text1"/>
          <w14:textFill>
            <w14:solidFill>
              <w14:schemeClr w14:val="tx1"/>
            </w14:solidFill>
          </w14:textFill>
        </w:rPr>
      </w:sdtEndPr>
      <w:sdtContent>
        <w:p w14:paraId="6075D7AD">
          <w:pPr>
            <w:rPr>
              <w:color w:val="000000" w:themeColor="text1"/>
              <w14:textFill>
                <w14:solidFill>
                  <w14:schemeClr w14:val="tx1"/>
                </w14:solidFill>
              </w14:textFill>
            </w:rPr>
          </w:pPr>
          <w:r>
            <w:rPr>
              <w:rFonts w:hint="eastAsia"/>
              <w:color w:val="000000" w:themeColor="text1"/>
              <w14:textFill>
                <w14:solidFill>
                  <w14:schemeClr w14:val="tx1"/>
                </w14:solidFill>
              </w14:textFill>
            </w:rPr>
            <w:t>本公司对报告期末起12个月的持续经营能力进行了评价，未发现对持续经营能力产生重大怀疑的事项或情况。因此，本财务报表系在持续经营假设的基础上编制。</w:t>
          </w:r>
        </w:p>
      </w:sdtContent>
    </w:sdt>
    <w:p w14:paraId="23F28E38">
      <w:pPr>
        <w:rPr>
          <w:color w:val="000000" w:themeColor="text1"/>
          <w14:textFill>
            <w14:solidFill>
              <w14:schemeClr w14:val="tx1"/>
            </w14:solidFill>
          </w14:textFill>
        </w:rPr>
      </w:pPr>
    </w:p>
    <w:p w14:paraId="5401CD3F">
      <w:pPr>
        <w:pStyle w:val="56"/>
        <w:numPr>
          <w:ilvl w:val="0"/>
          <w:numId w:val="43"/>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重要会计政策及会计估计</w:t>
      </w:r>
    </w:p>
    <w:p w14:paraId="405EFFB0">
      <w:pPr>
        <w:rPr>
          <w:color w:val="000000" w:themeColor="text1"/>
          <w14:textFill>
            <w14:solidFill>
              <w14:schemeClr w14:val="tx1"/>
            </w14:solidFill>
          </w14:textFill>
        </w:rPr>
      </w:pPr>
      <w:r>
        <w:rPr>
          <w:rFonts w:hint="eastAsia"/>
          <w:color w:val="000000" w:themeColor="text1"/>
          <w14:textFill>
            <w14:solidFill>
              <w14:schemeClr w14:val="tx1"/>
            </w14:solidFill>
          </w14:textFill>
        </w:rPr>
        <w:t>具体会计政策和会计估计提示：</w:t>
      </w:r>
    </w:p>
    <w:sdt>
      <w:sdtPr>
        <w:rPr>
          <w:color w:val="000000" w:themeColor="text1"/>
          <w14:textFill>
            <w14:solidFill>
              <w14:schemeClr w14:val="tx1"/>
            </w14:solidFill>
          </w14:textFill>
        </w:rPr>
        <w:alias w:val="是否适用：具体会计政策和会计估计提示[双击切换]"/>
        <w:tag w:val="_GBC_77c62823e3884e1fbfb236cea1f9f425"/>
        <w:id w:val="147461504"/>
        <w:placeholder>
          <w:docPart w:val="GBC22222222222222222222222222222"/>
        </w:placeholder>
      </w:sdtPr>
      <w:sdtEndPr>
        <w:rPr>
          <w:color w:val="000000" w:themeColor="text1"/>
          <w14:textFill>
            <w14:solidFill>
              <w14:schemeClr w14:val="tx1"/>
            </w14:solidFill>
          </w14:textFill>
        </w:rPr>
      </w:sdtEndPr>
      <w:sdtContent>
        <w:p w14:paraId="29ED291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具体会计政策和会计估计提示"/>
        <w:tag w:val="_GBC_caddaeaf0d1a454ab0bede37f0db7782"/>
        <w:id w:val="147474504"/>
        <w:placeholder>
          <w:docPart w:val="GBC22222222222222222222222222222"/>
        </w:placeholder>
      </w:sdtPr>
      <w:sdtEndPr>
        <w:rPr>
          <w:color w:val="000000" w:themeColor="text1"/>
          <w14:textFill>
            <w14:solidFill>
              <w14:schemeClr w14:val="tx1"/>
            </w14:solidFill>
          </w14:textFill>
        </w:rPr>
      </w:sdtEndPr>
      <w:sdtContent>
        <w:p w14:paraId="4401A9D2">
          <w:pPr>
            <w:rPr>
              <w:color w:val="000000" w:themeColor="text1"/>
              <w14:textFill>
                <w14:solidFill>
                  <w14:schemeClr w14:val="tx1"/>
                </w14:solidFill>
              </w14:textFill>
            </w:rPr>
          </w:pPr>
          <w:r>
            <w:rPr>
              <w:rFonts w:hint="eastAsia"/>
              <w:color w:val="000000" w:themeColor="text1"/>
              <w14:textFill>
                <w14:solidFill>
                  <w14:schemeClr w14:val="tx1"/>
                </w14:solidFill>
              </w14:textFill>
            </w:rPr>
            <w:t>以下披露内容已涵盖了本公司根据实际生产经营特点制定的具体会计政策和会计估计。详见本附注“五、11、金融工具”、“五、13、应收账款”、“五、15、其他应收款”、“五、21、固定资产”、“五、26、无形资产”、“五、34、收入”。</w:t>
          </w:r>
        </w:p>
      </w:sdtContent>
    </w:sdt>
    <w:p w14:paraId="57421885">
      <w:pPr>
        <w:rPr>
          <w:color w:val="000000" w:themeColor="text1"/>
          <w14:textFill>
            <w14:solidFill>
              <w14:schemeClr w14:val="tx1"/>
            </w14:solidFill>
          </w14:textFill>
        </w:rPr>
      </w:pPr>
    </w:p>
    <w:p w14:paraId="656DFDF0">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遵循企业会计准则的声明</w:t>
      </w:r>
    </w:p>
    <w:sdt>
      <w:sdtPr>
        <w:rPr>
          <w:rFonts w:hint="eastAsia"/>
          <w:color w:val="000000" w:themeColor="text1"/>
          <w14:textFill>
            <w14:solidFill>
              <w14:schemeClr w14:val="tx1"/>
            </w14:solidFill>
          </w14:textFill>
        </w:rPr>
        <w:alias w:val="会计准则和会计制度"/>
        <w:tag w:val="_GBC_a350b889163a4ef3bb500c021e6a6b47"/>
        <w:id w:val="147469285"/>
        <w:placeholder>
          <w:docPart w:val="GBC22222222222222222222222222222"/>
        </w:placeholder>
      </w:sdtPr>
      <w:sdtEndPr>
        <w:rPr>
          <w:rFonts w:hint="eastAsia"/>
          <w:color w:val="000000" w:themeColor="text1"/>
          <w14:textFill>
            <w14:solidFill>
              <w14:schemeClr w14:val="tx1"/>
            </w14:solidFill>
          </w14:textFill>
        </w:rPr>
      </w:sdtEndPr>
      <w:sdtContent>
        <w:p w14:paraId="72BA2F3A">
          <w:pPr>
            <w:rPr>
              <w:color w:val="000000" w:themeColor="text1"/>
              <w14:textFill>
                <w14:solidFill>
                  <w14:schemeClr w14:val="tx1"/>
                </w14:solidFill>
              </w14:textFill>
            </w:rPr>
          </w:pPr>
          <w:r>
            <w:rPr>
              <w:color w:val="000000" w:themeColor="text1"/>
              <w14:textFill>
                <w14:solidFill>
                  <w14:schemeClr w14:val="tx1"/>
                </w14:solidFill>
              </w14:textFill>
            </w:rPr>
            <w:t>本公司所编制的财务报表符合企业会计准则的要求，真实、完整地反映了公司的财务状况、经营成果、股东权益变动和现金流量等有关信息。</w:t>
          </w:r>
        </w:p>
      </w:sdtContent>
    </w:sdt>
    <w:p w14:paraId="16550A3A">
      <w:pPr>
        <w:rPr>
          <w:color w:val="000000" w:themeColor="text1"/>
          <w14:textFill>
            <w14:solidFill>
              <w14:schemeClr w14:val="tx1"/>
            </w14:solidFill>
          </w14:textFill>
        </w:rPr>
      </w:pPr>
    </w:p>
    <w:p w14:paraId="53DF7CF3">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会计期间</w:t>
      </w:r>
    </w:p>
    <w:sdt>
      <w:sdtPr>
        <w:rPr>
          <w:rFonts w:hint="eastAsia"/>
          <w:color w:val="000000" w:themeColor="text1"/>
          <w14:textFill>
            <w14:solidFill>
              <w14:schemeClr w14:val="tx1"/>
            </w14:solidFill>
          </w14:textFill>
        </w:rPr>
        <w:alias w:val="会计年度"/>
        <w:tag w:val="_GBC_fc896fba50b143f8a06984831f5d5600"/>
        <w:id w:val="147466611"/>
        <w:placeholder>
          <w:docPart w:val="GBC22222222222222222222222222222"/>
        </w:placeholder>
      </w:sdtPr>
      <w:sdtEndPr>
        <w:rPr>
          <w:rFonts w:hint="eastAsia"/>
          <w:color w:val="000000" w:themeColor="text1"/>
          <w14:textFill>
            <w14:solidFill>
              <w14:schemeClr w14:val="tx1"/>
            </w14:solidFill>
          </w14:textFill>
        </w:rPr>
      </w:sdtEndPr>
      <w:sdtContent>
        <w:p w14:paraId="5DD905D4">
          <w:pPr>
            <w:rPr>
              <w:color w:val="000000" w:themeColor="text1"/>
              <w14:textFill>
                <w14:solidFill>
                  <w14:schemeClr w14:val="tx1"/>
                </w14:solidFill>
              </w14:textFill>
            </w:rPr>
          </w:pPr>
          <w:r>
            <w:rPr>
              <w:color w:val="000000" w:themeColor="text1"/>
              <w14:textFill>
                <w14:solidFill>
                  <w14:schemeClr w14:val="tx1"/>
                </w14:solidFill>
              </w14:textFill>
            </w:rPr>
            <w:t>本公司会计年度自公历1月1日起至12月31日止。</w:t>
          </w:r>
        </w:p>
      </w:sdtContent>
    </w:sdt>
    <w:p w14:paraId="467C087F">
      <w:pPr>
        <w:rPr>
          <w:color w:val="000000" w:themeColor="text1"/>
          <w14:textFill>
            <w14:solidFill>
              <w14:schemeClr w14:val="tx1"/>
            </w14:solidFill>
          </w14:textFill>
        </w:rPr>
      </w:pPr>
    </w:p>
    <w:p w14:paraId="71D7D6AF">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营业周期</w:t>
      </w:r>
    </w:p>
    <w:sdt>
      <w:sdtPr>
        <w:rPr>
          <w:color w:val="000000" w:themeColor="text1"/>
          <w14:textFill>
            <w14:solidFill>
              <w14:schemeClr w14:val="tx1"/>
            </w14:solidFill>
          </w14:textFill>
        </w:rPr>
        <w:alias w:val="是否适用：营业周期[双击切换]"/>
        <w:tag w:val="_GBC_1668f7f497234cf886206b57711c4c87"/>
        <w:id w:val="147480698"/>
        <w:placeholder>
          <w:docPart w:val="GBC22222222222222222222222222222"/>
        </w:placeholder>
      </w:sdtPr>
      <w:sdtEndPr>
        <w:rPr>
          <w:color w:val="000000" w:themeColor="text1"/>
          <w14:textFill>
            <w14:solidFill>
              <w14:schemeClr w14:val="tx1"/>
            </w14:solidFill>
          </w14:textFill>
        </w:rPr>
      </w:sdtEndPr>
      <w:sdtContent>
        <w:p w14:paraId="4559B21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营业周期"/>
        <w:tag w:val="_GBC_e145e43187d9463889884f48e9e0b234"/>
        <w:id w:val="147463393"/>
        <w:placeholder>
          <w:docPart w:val="GBC22222222222222222222222222222"/>
        </w:placeholder>
      </w:sdtPr>
      <w:sdtEndPr>
        <w:rPr>
          <w:color w:val="000000" w:themeColor="text1"/>
          <w14:textFill>
            <w14:solidFill>
              <w14:schemeClr w14:val="tx1"/>
            </w14:solidFill>
          </w14:textFill>
        </w:rPr>
      </w:sdtEndPr>
      <w:sdtContent>
        <w:p w14:paraId="19A6523D">
          <w:pPr>
            <w:rPr>
              <w:color w:val="000000" w:themeColor="text1"/>
              <w14:textFill>
                <w14:solidFill>
                  <w14:schemeClr w14:val="tx1"/>
                </w14:solidFill>
              </w14:textFill>
            </w:rPr>
          </w:pPr>
          <w:r>
            <w:rPr>
              <w:rFonts w:hint="eastAsia"/>
              <w:color w:val="000000" w:themeColor="text1"/>
              <w14:textFill>
                <w14:solidFill>
                  <w14:schemeClr w14:val="tx1"/>
                </w14:solidFill>
              </w14:textFill>
            </w:rPr>
            <w:t>以12个月作为一个营业周期，并以其作为资产和负债的流动性划分标准。</w:t>
          </w:r>
        </w:p>
      </w:sdtContent>
    </w:sdt>
    <w:p w14:paraId="449C4A4C">
      <w:pPr>
        <w:rPr>
          <w:color w:val="000000" w:themeColor="text1"/>
          <w14:textFill>
            <w14:solidFill>
              <w14:schemeClr w14:val="tx1"/>
            </w14:solidFill>
          </w14:textFill>
        </w:rPr>
      </w:pPr>
    </w:p>
    <w:p w14:paraId="315557F8">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记账本位币</w:t>
      </w:r>
    </w:p>
    <w:sdt>
      <w:sdtPr>
        <w:rPr>
          <w:rFonts w:hint="eastAsia"/>
          <w:color w:val="000000" w:themeColor="text1"/>
          <w14:textFill>
            <w14:solidFill>
              <w14:schemeClr w14:val="tx1"/>
            </w14:solidFill>
          </w14:textFill>
        </w:rPr>
        <w:alias w:val="记账本位币"/>
        <w:tag w:val="_GBC_3749a2357eba44e8b968cb41cda75ff1"/>
        <w:id w:val="147458436"/>
        <w:placeholder>
          <w:docPart w:val="GBC22222222222222222222222222222"/>
        </w:placeholder>
      </w:sdtPr>
      <w:sdtEndPr>
        <w:rPr>
          <w:rFonts w:hint="eastAsia"/>
          <w:color w:val="000000" w:themeColor="text1"/>
          <w14:textFill>
            <w14:solidFill>
              <w14:schemeClr w14:val="tx1"/>
            </w14:solidFill>
          </w14:textFill>
        </w:rPr>
      </w:sdtEndPr>
      <w:sdtContent>
        <w:p w14:paraId="2728B5A3">
          <w:pPr>
            <w:rPr>
              <w:color w:val="000000" w:themeColor="text1"/>
              <w14:textFill>
                <w14:solidFill>
                  <w14:schemeClr w14:val="tx1"/>
                </w14:solidFill>
              </w14:textFill>
            </w:rPr>
          </w:pPr>
          <w:r>
            <w:rPr>
              <w:color w:val="000000" w:themeColor="text1"/>
              <w14:textFill>
                <w14:solidFill>
                  <w14:schemeClr w14:val="tx1"/>
                </w14:solidFill>
              </w14:textFill>
            </w:rPr>
            <w:t>本公司的记账本位币为人民币。</w:t>
          </w:r>
        </w:p>
      </w:sdtContent>
    </w:sdt>
    <w:p w14:paraId="45BAAE6E">
      <w:pPr>
        <w:rPr>
          <w:rFonts w:cs="Times New Roman"/>
          <w:color w:val="000000" w:themeColor="text1"/>
          <w:kern w:val="2"/>
          <w14:textFill>
            <w14:solidFill>
              <w14:schemeClr w14:val="tx1"/>
            </w14:solidFill>
          </w14:textFill>
        </w:rPr>
      </w:pPr>
    </w:p>
    <w:p w14:paraId="779EFDF1">
      <w:pPr>
        <w:pStyle w:val="57"/>
        <w:numPr>
          <w:ilvl w:val="0"/>
          <w:numId w:val="46"/>
        </w:numPr>
        <w:rPr>
          <w:rFonts w:ascii="宋体" w:hAnsi="宋体"/>
          <w:color w:val="000000" w:themeColor="text1"/>
          <w14:textFill>
            <w14:solidFill>
              <w14:schemeClr w14:val="tx1"/>
            </w14:solidFill>
          </w14:textFill>
        </w:rPr>
      </w:pPr>
      <w:bookmarkStart w:id="160" w:name="_Hlk169007161"/>
      <w:bookmarkStart w:id="161" w:name="_Hlk167809539"/>
      <w:r>
        <w:rPr>
          <w:rFonts w:ascii="宋体" w:hAnsi="宋体"/>
          <w:color w:val="000000" w:themeColor="text1"/>
          <w14:textFill>
            <w14:solidFill>
              <w14:schemeClr w14:val="tx1"/>
            </w14:solidFill>
          </w14:textFill>
        </w:rPr>
        <w:t>重要性标准确定方法和选择依据</w:t>
      </w:r>
    </w:p>
    <w:sdt>
      <w:sdtPr>
        <w:rPr>
          <w:color w:val="000000" w:themeColor="text1"/>
          <w14:textFill>
            <w14:solidFill>
              <w14:schemeClr w14:val="tx1"/>
            </w14:solidFill>
          </w14:textFill>
        </w:rPr>
        <w:alias w:val="是否适用：重要性标准确定方法和选择依据[双击切换]"/>
        <w:tag w:val="_GBC_1f44a82433fd445aac6090cd207979fd"/>
        <w:id w:val="147475235"/>
        <w:placeholder>
          <w:docPart w:val="GBC22222222222222222222222222222"/>
        </w:placeholder>
      </w:sdtPr>
      <w:sdtEndPr>
        <w:rPr>
          <w:color w:val="000000" w:themeColor="text1"/>
          <w14:textFill>
            <w14:solidFill>
              <w14:schemeClr w14:val="tx1"/>
            </w14:solidFill>
          </w14:textFill>
        </w:rPr>
      </w:sdtEndPr>
      <w:sdtContent>
        <w:p w14:paraId="522DFC7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3"/>
        <w:gridCol w:w="5000"/>
      </w:tblGrid>
      <w:tr w14:paraId="19CE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d2a16b36b194561ae6c2ac9de9d21f1"/>
            <w:id w:val="147482752"/>
          </w:sdtPr>
          <w:sdtContent>
            <w:tc>
              <w:tcPr>
                <w:tcW w:w="3823" w:type="dxa"/>
              </w:tcPr>
              <w:p w14:paraId="196655E0">
                <w:pPr>
                  <w:widowControl w:val="0"/>
                  <w:jc w:val="center"/>
                </w:pPr>
                <w:r>
                  <w:rPr>
                    <w:rFonts w:hint="eastAsia"/>
                  </w:rPr>
                  <w:t>项目</w:t>
                </w:r>
              </w:p>
            </w:tc>
          </w:sdtContent>
        </w:sdt>
        <w:sdt>
          <w:sdtPr>
            <w:tag w:val="_PLD_eb4e754207e74cc59df0dce32451d27d"/>
            <w:id w:val="147472208"/>
          </w:sdtPr>
          <w:sdtContent>
            <w:tc>
              <w:tcPr>
                <w:tcW w:w="5000" w:type="dxa"/>
              </w:tcPr>
              <w:p w14:paraId="0DAFBD39">
                <w:pPr>
                  <w:widowControl w:val="0"/>
                  <w:jc w:val="center"/>
                </w:pPr>
                <w:r>
                  <w:t>重要性标准</w:t>
                </w:r>
              </w:p>
            </w:tc>
          </w:sdtContent>
        </w:sdt>
      </w:tr>
      <w:tr w14:paraId="7FB1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14:paraId="291D21A4">
            <w:pPr>
              <w:widowControl w:val="0"/>
              <w:jc w:val="both"/>
            </w:pPr>
            <w:r>
              <w:rPr>
                <w:rFonts w:cs="Times New Roman"/>
                <w:color w:val="000000"/>
              </w:rPr>
              <w:t>重要的单项计提坏账准备的应收款项</w:t>
            </w:r>
          </w:p>
        </w:tc>
        <w:tc>
          <w:tcPr>
            <w:tcW w:w="5000" w:type="dxa"/>
            <w:vAlign w:val="center"/>
          </w:tcPr>
          <w:p w14:paraId="167F2953">
            <w:pPr>
              <w:widowControl w:val="0"/>
              <w:jc w:val="both"/>
            </w:pPr>
            <w:r>
              <w:rPr>
                <w:bCs w:val="0"/>
              </w:rPr>
              <w:t>单笔金额500</w:t>
            </w:r>
            <w:r>
              <w:rPr>
                <w:rFonts w:cs="Times New Roman"/>
                <w:bCs w:val="0"/>
              </w:rPr>
              <w:t>万以上（包含</w:t>
            </w:r>
            <w:r>
              <w:rPr>
                <w:bCs w:val="0"/>
              </w:rPr>
              <w:t>500</w:t>
            </w:r>
            <w:r>
              <w:rPr>
                <w:rFonts w:cs="Times New Roman"/>
                <w:bCs w:val="0"/>
              </w:rPr>
              <w:t>万）</w:t>
            </w:r>
          </w:p>
        </w:tc>
      </w:tr>
      <w:tr w14:paraId="758D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14:paraId="0F58C5AE">
            <w:pPr>
              <w:widowControl w:val="0"/>
              <w:jc w:val="both"/>
            </w:pPr>
            <w:r>
              <w:rPr>
                <w:rFonts w:hint="eastAsia" w:cs="Times New Roman"/>
                <w:color w:val="000000"/>
              </w:rPr>
              <w:t>重要的</w:t>
            </w:r>
            <w:r>
              <w:rPr>
                <w:rFonts w:cs="Times New Roman"/>
                <w:color w:val="000000"/>
              </w:rPr>
              <w:t>应收款项坏账准备收回或转回</w:t>
            </w:r>
          </w:p>
        </w:tc>
        <w:tc>
          <w:tcPr>
            <w:tcW w:w="5000" w:type="dxa"/>
            <w:vAlign w:val="center"/>
          </w:tcPr>
          <w:p w14:paraId="7BE459F7">
            <w:pPr>
              <w:widowControl w:val="0"/>
              <w:jc w:val="both"/>
            </w:pPr>
            <w:r>
              <w:rPr>
                <w:bCs w:val="0"/>
              </w:rPr>
              <w:t>单笔金额500</w:t>
            </w:r>
            <w:r>
              <w:rPr>
                <w:rFonts w:cs="Times New Roman"/>
                <w:bCs w:val="0"/>
              </w:rPr>
              <w:t>万以上（包含</w:t>
            </w:r>
            <w:r>
              <w:rPr>
                <w:bCs w:val="0"/>
              </w:rPr>
              <w:t>500</w:t>
            </w:r>
            <w:r>
              <w:rPr>
                <w:rFonts w:cs="Times New Roman"/>
                <w:bCs w:val="0"/>
              </w:rPr>
              <w:t>万）</w:t>
            </w:r>
          </w:p>
        </w:tc>
      </w:tr>
      <w:tr w14:paraId="1655C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14:paraId="14B56A7B">
            <w:pPr>
              <w:widowControl w:val="0"/>
              <w:jc w:val="both"/>
            </w:pPr>
            <w:r>
              <w:rPr>
                <w:rFonts w:cs="Times New Roman"/>
                <w:color w:val="000000"/>
              </w:rPr>
              <w:t>重要的</w:t>
            </w:r>
            <w:r>
              <w:rPr>
                <w:rFonts w:hint="eastAsia" w:cs="Times New Roman"/>
                <w:color w:val="000000"/>
              </w:rPr>
              <w:t>核销</w:t>
            </w:r>
            <w:r>
              <w:rPr>
                <w:rFonts w:cs="Times New Roman"/>
                <w:color w:val="000000"/>
              </w:rPr>
              <w:t>应收款项</w:t>
            </w:r>
          </w:p>
        </w:tc>
        <w:tc>
          <w:tcPr>
            <w:tcW w:w="5000" w:type="dxa"/>
            <w:vAlign w:val="center"/>
          </w:tcPr>
          <w:p w14:paraId="55D72885">
            <w:pPr>
              <w:widowControl w:val="0"/>
              <w:jc w:val="both"/>
            </w:pPr>
            <w:r>
              <w:rPr>
                <w:bCs w:val="0"/>
              </w:rPr>
              <w:t>单笔金额500</w:t>
            </w:r>
            <w:r>
              <w:rPr>
                <w:rFonts w:cs="Times New Roman"/>
                <w:bCs w:val="0"/>
              </w:rPr>
              <w:t>万以上（包含</w:t>
            </w:r>
            <w:r>
              <w:rPr>
                <w:bCs w:val="0"/>
              </w:rPr>
              <w:t>500</w:t>
            </w:r>
            <w:r>
              <w:rPr>
                <w:rFonts w:cs="Times New Roman"/>
                <w:bCs w:val="0"/>
              </w:rPr>
              <w:t>万）</w:t>
            </w:r>
          </w:p>
        </w:tc>
      </w:tr>
      <w:tr w14:paraId="1C277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14:paraId="1FF7866C">
            <w:pPr>
              <w:widowControl w:val="0"/>
              <w:jc w:val="both"/>
            </w:pPr>
            <w:r>
              <w:rPr>
                <w:rFonts w:cs="Times New Roman"/>
                <w:color w:val="000000"/>
              </w:rPr>
              <w:t>重要的在建工程</w:t>
            </w:r>
            <w:r>
              <w:rPr>
                <w:rFonts w:hint="eastAsia" w:cs="Times New Roman"/>
                <w:color w:val="000000"/>
              </w:rPr>
              <w:t>项目</w:t>
            </w:r>
          </w:p>
        </w:tc>
        <w:tc>
          <w:tcPr>
            <w:tcW w:w="5000" w:type="dxa"/>
            <w:vAlign w:val="center"/>
          </w:tcPr>
          <w:p w14:paraId="23CB75DB">
            <w:pPr>
              <w:widowControl w:val="0"/>
              <w:jc w:val="both"/>
            </w:pPr>
            <w:r>
              <w:rPr>
                <w:bCs w:val="0"/>
              </w:rPr>
              <w:t>单项期末金额3000</w:t>
            </w:r>
            <w:r>
              <w:rPr>
                <w:rFonts w:cs="Times New Roman"/>
                <w:bCs w:val="0"/>
              </w:rPr>
              <w:t>万元以上（包含</w:t>
            </w:r>
            <w:r>
              <w:rPr>
                <w:bCs w:val="0"/>
              </w:rPr>
              <w:t>3000</w:t>
            </w:r>
            <w:r>
              <w:rPr>
                <w:rFonts w:cs="Times New Roman"/>
                <w:bCs w:val="0"/>
              </w:rPr>
              <w:t>万元）</w:t>
            </w:r>
          </w:p>
        </w:tc>
      </w:tr>
      <w:tr w14:paraId="241D8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14:paraId="4036232B">
            <w:pPr>
              <w:widowControl w:val="0"/>
              <w:jc w:val="both"/>
            </w:pPr>
            <w:r>
              <w:rPr>
                <w:rFonts w:cs="Times New Roman"/>
                <w:color w:val="000000"/>
              </w:rPr>
              <w:t>重要的非全资子公司</w:t>
            </w:r>
          </w:p>
        </w:tc>
        <w:tc>
          <w:tcPr>
            <w:tcW w:w="5000" w:type="dxa"/>
            <w:vAlign w:val="center"/>
          </w:tcPr>
          <w:p w14:paraId="4C6082F1">
            <w:pPr>
              <w:widowControl w:val="0"/>
              <w:jc w:val="both"/>
            </w:pPr>
            <w:r>
              <w:rPr>
                <w:bCs w:val="0"/>
              </w:rPr>
              <w:t>占合并报表总资产0.5%</w:t>
            </w:r>
            <w:r>
              <w:rPr>
                <w:rFonts w:cs="Times New Roman"/>
                <w:bCs w:val="0"/>
              </w:rPr>
              <w:t>，且收入金额</w:t>
            </w:r>
            <w:r>
              <w:rPr>
                <w:bCs w:val="0"/>
              </w:rPr>
              <w:t>1</w:t>
            </w:r>
            <w:r>
              <w:rPr>
                <w:rFonts w:cs="Times New Roman"/>
                <w:bCs w:val="0"/>
              </w:rPr>
              <w:t>亿元以上</w:t>
            </w:r>
          </w:p>
        </w:tc>
      </w:tr>
      <w:tr w14:paraId="1D699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14:paraId="515CD3FD">
            <w:pPr>
              <w:widowControl w:val="0"/>
              <w:jc w:val="both"/>
            </w:pPr>
            <w:r>
              <w:rPr>
                <w:rFonts w:cs="Times New Roman"/>
                <w:color w:val="000000"/>
              </w:rPr>
              <w:t>重要的联营合营企业</w:t>
            </w:r>
          </w:p>
        </w:tc>
        <w:tc>
          <w:tcPr>
            <w:tcW w:w="5000" w:type="dxa"/>
            <w:vAlign w:val="center"/>
          </w:tcPr>
          <w:p w14:paraId="183BB57A">
            <w:pPr>
              <w:widowControl w:val="0"/>
              <w:jc w:val="both"/>
            </w:pPr>
            <w:r>
              <w:rPr>
                <w:bCs w:val="0"/>
              </w:rPr>
              <w:t>联营合营企业资产规模5000</w:t>
            </w:r>
            <w:r>
              <w:rPr>
                <w:rFonts w:cs="Times New Roman"/>
                <w:bCs w:val="0"/>
              </w:rPr>
              <w:t>万元以上，且收入规模</w:t>
            </w:r>
            <w:r>
              <w:rPr>
                <w:bCs w:val="0"/>
              </w:rPr>
              <w:t>5000</w:t>
            </w:r>
            <w:r>
              <w:rPr>
                <w:rFonts w:cs="Times New Roman"/>
                <w:bCs w:val="0"/>
              </w:rPr>
              <w:t>万元以上</w:t>
            </w:r>
          </w:p>
        </w:tc>
      </w:tr>
    </w:tbl>
    <w:p w14:paraId="64DA208E">
      <w:pPr>
        <w:rPr>
          <w:color w:val="000000" w:themeColor="text1"/>
          <w14:textFill>
            <w14:solidFill>
              <w14:schemeClr w14:val="tx1"/>
            </w14:solidFill>
          </w14:textFill>
        </w:rPr>
      </w:pPr>
    </w:p>
    <w:bookmarkEnd w:id="160"/>
    <w:bookmarkEnd w:id="161"/>
    <w:p w14:paraId="51C4DDB2">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同一控制下和非同一控制下企业合并的会计处理方法</w:t>
      </w:r>
    </w:p>
    <w:sdt>
      <w:sdtPr>
        <w:rPr>
          <w:rFonts w:hint="eastAsia"/>
          <w:color w:val="000000" w:themeColor="text1"/>
          <w14:textFill>
            <w14:solidFill>
              <w14:schemeClr w14:val="tx1"/>
            </w14:solidFill>
          </w14:textFill>
        </w:rPr>
        <w:alias w:val="是否适用：同一控制下和非同一控制下企业合并的会计处理方法[双击切换]"/>
        <w:tag w:val="_GBC_15953b39483a4ce1a5c96869e4a0ae9c"/>
        <w:id w:val="147451258"/>
        <w:placeholder>
          <w:docPart w:val="GBC22222222222222222222222222222"/>
        </w:placeholder>
      </w:sdtPr>
      <w:sdtEndPr>
        <w:rPr>
          <w:rFonts w:hint="eastAsia"/>
          <w:color w:val="000000" w:themeColor="text1"/>
          <w14:textFill>
            <w14:solidFill>
              <w14:schemeClr w14:val="tx1"/>
            </w14:solidFill>
          </w14:textFill>
        </w:rPr>
      </w:sdtEndPr>
      <w:sdtContent>
        <w:p w14:paraId="084F329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同一控制下和非同一控制下企业合并的会计处理方法"/>
        <w:tag w:val="_GBC_ef4b9a8d4ac34f45a0f61a23267bcbb8"/>
        <w:id w:val="147475775"/>
        <w:placeholder>
          <w:docPart w:val="GBC22222222222222222222222222222"/>
        </w:placeholder>
      </w:sdtPr>
      <w:sdtEndPr>
        <w:rPr>
          <w:rFonts w:hint="eastAsia"/>
          <w:color w:val="000000" w:themeColor="text1"/>
          <w14:textFill>
            <w14:solidFill>
              <w14:schemeClr w14:val="tx1"/>
            </w14:solidFill>
          </w14:textFill>
        </w:rPr>
      </w:sdtEndPr>
      <w:sdtContent>
        <w:p w14:paraId="2BA65162">
          <w:pPr>
            <w:rPr>
              <w:color w:val="000000" w:themeColor="text1"/>
              <w14:textFill>
                <w14:solidFill>
                  <w14:schemeClr w14:val="tx1"/>
                </w14:solidFill>
              </w14:textFill>
            </w:rPr>
          </w:pPr>
          <w:r>
            <w:rPr>
              <w:rFonts w:hint="eastAsia"/>
              <w:color w:val="000000" w:themeColor="text1"/>
              <w14:textFill>
                <w14:solidFill>
                  <w14:schemeClr w14:val="tx1"/>
                </w14:solidFill>
              </w14:textFill>
            </w:rPr>
            <w:t>（1）同一控制下企业合并的会计处理方法</w:t>
          </w:r>
        </w:p>
        <w:p w14:paraId="42CF74EC">
          <w:pPr>
            <w:rPr>
              <w:color w:val="000000" w:themeColor="text1"/>
              <w14:textFill>
                <w14:solidFill>
                  <w14:schemeClr w14:val="tx1"/>
                </w14:solidFill>
              </w14:textFill>
            </w:rPr>
          </w:pPr>
          <w:r>
            <w:rPr>
              <w:rFonts w:hint="eastAsia"/>
              <w:color w:val="000000" w:themeColor="text1"/>
              <w14:textFill>
                <w14:solidFill>
                  <w14:schemeClr w14:val="tx1"/>
                </w14:solidFill>
              </w14:textFill>
            </w:rPr>
            <w:t>公司在企业合并中取得的资产和负债，按照合并日被合并方在最终控制方合并财务报表中的账面价值计量。公司按照被合并方所有者权益在最终控制方合并财务报表中的账面价值份额与支付的合并对价账面价值或发行股份面值总额的差额，调整资本公积；资本公积不足冲减的，调整留存收益。</w:t>
          </w:r>
        </w:p>
        <w:p w14:paraId="23073F99">
          <w:pPr>
            <w:rPr>
              <w:color w:val="000000" w:themeColor="text1"/>
              <w14:textFill>
                <w14:solidFill>
                  <w14:schemeClr w14:val="tx1"/>
                </w14:solidFill>
              </w14:textFill>
            </w:rPr>
          </w:pPr>
          <w:r>
            <w:rPr>
              <w:rFonts w:hint="eastAsia"/>
              <w:color w:val="000000" w:themeColor="text1"/>
              <w14:textFill>
                <w14:solidFill>
                  <w14:schemeClr w14:val="tx1"/>
                </w14:solidFill>
              </w14:textFill>
            </w:rPr>
            <w:t>（2）非同一控制下企业合并的会计处理方法</w:t>
          </w:r>
        </w:p>
        <w:p w14:paraId="7F93A509">
          <w:pPr>
            <w:rPr>
              <w:color w:val="000000" w:themeColor="text1"/>
              <w14:textFill>
                <w14:solidFill>
                  <w14:schemeClr w14:val="tx1"/>
                </w14:solidFill>
              </w14:textFill>
            </w:rPr>
          </w:pPr>
          <w:r>
            <w:rPr>
              <w:rFonts w:hint="eastAsia"/>
              <w:color w:val="000000" w:themeColor="text1"/>
              <w14:textFill>
                <w14:solidFill>
                  <w14:schemeClr w14:val="tx1"/>
                </w14:solidFill>
              </w14:textFill>
            </w:rPr>
            <w:t>公司在购买日对合并成本大于合并中取得的被购买方可辨认净资产公允价值份额的差额，确认为商誉；如果合并成本小于合并中取得的被购买方可辨认净资产公允价值份额，首先对取得的被购买方各项可辨认资产、负债及或有负债的公允价值以及合并成本的计量进行复核，经复核后合并成本仍小于合并中取得的被购买方可辨认净资产公允价值份额的，其差额计入当期损益。</w:t>
          </w:r>
        </w:p>
      </w:sdtContent>
    </w:sdt>
    <w:p w14:paraId="2A29AC01">
      <w:pPr>
        <w:rPr>
          <w:color w:val="000000" w:themeColor="text1"/>
          <w14:textFill>
            <w14:solidFill>
              <w14:schemeClr w14:val="tx1"/>
            </w14:solidFill>
          </w14:textFill>
        </w:rPr>
      </w:pPr>
    </w:p>
    <w:p w14:paraId="7684C4D1">
      <w:pPr>
        <w:pStyle w:val="57"/>
        <w:numPr>
          <w:ilvl w:val="0"/>
          <w:numId w:val="46"/>
        </w:numPr>
        <w:rPr>
          <w:rFonts w:ascii="宋体" w:hAnsi="宋体"/>
          <w:color w:val="000000" w:themeColor="text1"/>
          <w14:textFill>
            <w14:solidFill>
              <w14:schemeClr w14:val="tx1"/>
            </w14:solidFill>
          </w14:textFill>
        </w:rPr>
      </w:pPr>
      <w:bookmarkStart w:id="162" w:name="_Hlk169007307"/>
      <w:r>
        <w:rPr>
          <w:rFonts w:ascii="宋体" w:hAnsi="宋体"/>
          <w:color w:val="000000" w:themeColor="text1"/>
          <w14:textFill>
            <w14:solidFill>
              <w14:schemeClr w14:val="tx1"/>
            </w14:solidFill>
          </w14:textFill>
        </w:rPr>
        <w:t>控制的判断标准和合并财务报表的编制方法</w:t>
      </w:r>
    </w:p>
    <w:sdt>
      <w:sdtPr>
        <w:rPr>
          <w:rFonts w:hint="eastAsia"/>
          <w:color w:val="000000" w:themeColor="text1"/>
          <w14:textFill>
            <w14:solidFill>
              <w14:schemeClr w14:val="tx1"/>
            </w14:solidFill>
          </w14:textFill>
        </w:rPr>
        <w:alias w:val="是否适用：合并财务报表的编制方法[双击切换]"/>
        <w:tag w:val="_GBC_dad2e053cc8c4461a681b3e4926c48a6"/>
        <w:id w:val="147466482"/>
        <w:placeholder>
          <w:docPart w:val="GBC22222222222222222222222222222"/>
        </w:placeholder>
      </w:sdtPr>
      <w:sdtEndPr>
        <w:rPr>
          <w:rFonts w:hint="eastAsia"/>
          <w:color w:val="000000" w:themeColor="text1"/>
          <w14:textFill>
            <w14:solidFill>
              <w14:schemeClr w14:val="tx1"/>
            </w14:solidFill>
          </w14:textFill>
        </w:rPr>
      </w:sdtEndPr>
      <w:sdtContent>
        <w:p w14:paraId="5D2045E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企业合并及合并财务报表的说明"/>
        <w:tag w:val="_GBC_5201beca0c0944939b4a0d8d100d6fcf"/>
        <w:id w:val="147470176"/>
        <w:placeholder>
          <w:docPart w:val="GBC22222222222222222222222222222"/>
        </w:placeholder>
      </w:sdtPr>
      <w:sdtEndPr>
        <w:rPr>
          <w:rFonts w:hint="eastAsia"/>
          <w:color w:val="000000" w:themeColor="text1"/>
          <w14:textFill>
            <w14:solidFill>
              <w14:schemeClr w14:val="tx1"/>
            </w14:solidFill>
          </w14:textFill>
        </w:rPr>
      </w:sdtEndPr>
      <w:sdtContent>
        <w:p w14:paraId="7EE6E90E">
          <w:pPr>
            <w:rPr>
              <w:color w:val="000000" w:themeColor="text1"/>
              <w14:textFill>
                <w14:solidFill>
                  <w14:schemeClr w14:val="tx1"/>
                </w14:solidFill>
              </w14:textFill>
            </w:rPr>
          </w:pPr>
          <w:r>
            <w:rPr>
              <w:rFonts w:hint="eastAsia"/>
              <w:color w:val="000000" w:themeColor="text1"/>
              <w14:textFill>
                <w14:solidFill>
                  <w14:schemeClr w14:val="tx1"/>
                </w14:solidFill>
              </w14:textFill>
            </w:rPr>
            <w:t>(1)控制的判断标准</w:t>
          </w:r>
        </w:p>
        <w:p w14:paraId="13FB3DC8">
          <w:pPr>
            <w:rPr>
              <w:color w:val="000000" w:themeColor="text1"/>
              <w14:textFill>
                <w14:solidFill>
                  <w14:schemeClr w14:val="tx1"/>
                </w14:solidFill>
              </w14:textFill>
            </w:rPr>
          </w:pPr>
          <w:r>
            <w:rPr>
              <w:rFonts w:hint="eastAsia"/>
              <w:color w:val="000000" w:themeColor="text1"/>
              <w14:textFill>
                <w14:solidFill>
                  <w14:schemeClr w14:val="tx1"/>
                </w14:solidFill>
              </w14:textFill>
            </w:rPr>
            <w:t>拥有对被投资方的权力，通过参与被投资方的相关活动而享有可变回报，并且有能力运用对被投资方的权力影响其可变回报金额的，认定为控制。</w:t>
          </w:r>
        </w:p>
        <w:p w14:paraId="66B8440E">
          <w:pPr>
            <w:rPr>
              <w:color w:val="000000" w:themeColor="text1"/>
              <w14:textFill>
                <w14:solidFill>
                  <w14:schemeClr w14:val="tx1"/>
                </w14:solidFill>
              </w14:textFill>
            </w:rPr>
          </w:pPr>
          <w:r>
            <w:rPr>
              <w:rFonts w:hint="eastAsia"/>
              <w:color w:val="000000" w:themeColor="text1"/>
              <w14:textFill>
                <w14:solidFill>
                  <w14:schemeClr w14:val="tx1"/>
                </w14:solidFill>
              </w14:textFill>
            </w:rPr>
            <w:t>公司在综合考虑所有相关事实和情况的基础上对是否控制被投资方进行判断。一旦相关事实和情况的变化导致对控制定义所涉及的相关要素发生变化的，本公司会进行重新评估。</w:t>
          </w:r>
        </w:p>
        <w:p w14:paraId="36918DE4">
          <w:pPr>
            <w:rPr>
              <w:color w:val="000000" w:themeColor="text1"/>
              <w14:textFill>
                <w14:solidFill>
                  <w14:schemeClr w14:val="tx1"/>
                </w14:solidFill>
              </w14:textFill>
            </w:rPr>
          </w:pPr>
          <w:r>
            <w:rPr>
              <w:rFonts w:hint="eastAsia"/>
              <w:color w:val="000000" w:themeColor="text1"/>
              <w14:textFill>
                <w14:solidFill>
                  <w14:schemeClr w14:val="tx1"/>
                </w14:solidFill>
              </w14:textFill>
            </w:rPr>
            <w:t>相关事实和情况主要包括：</w:t>
          </w:r>
        </w:p>
        <w:p w14:paraId="1EFC1436">
          <w:pPr>
            <w:rPr>
              <w:color w:val="000000" w:themeColor="text1"/>
              <w14:textFill>
                <w14:solidFill>
                  <w14:schemeClr w14:val="tx1"/>
                </w14:solidFill>
              </w14:textFill>
            </w:rPr>
          </w:pPr>
          <w:r>
            <w:rPr>
              <w:rFonts w:hint="eastAsia"/>
              <w:color w:val="000000" w:themeColor="text1"/>
              <w14:textFill>
                <w14:solidFill>
                  <w14:schemeClr w14:val="tx1"/>
                </w14:solidFill>
              </w14:textFill>
            </w:rPr>
            <w:t>①被投资方的设立目的。</w:t>
          </w:r>
        </w:p>
        <w:p w14:paraId="43D6D0D7">
          <w:pPr>
            <w:rPr>
              <w:color w:val="000000" w:themeColor="text1"/>
              <w14:textFill>
                <w14:solidFill>
                  <w14:schemeClr w14:val="tx1"/>
                </w14:solidFill>
              </w14:textFill>
            </w:rPr>
          </w:pPr>
          <w:r>
            <w:rPr>
              <w:rFonts w:hint="eastAsia"/>
              <w:color w:val="000000" w:themeColor="text1"/>
              <w14:textFill>
                <w14:solidFill>
                  <w14:schemeClr w14:val="tx1"/>
                </w14:solidFill>
              </w14:textFill>
            </w:rPr>
            <w:t>②被投资方的相关活动以及如何对相关活动作出决策。</w:t>
          </w:r>
        </w:p>
        <w:p w14:paraId="4E2C1281">
          <w:pPr>
            <w:rPr>
              <w:color w:val="000000" w:themeColor="text1"/>
              <w14:textFill>
                <w14:solidFill>
                  <w14:schemeClr w14:val="tx1"/>
                </w14:solidFill>
              </w14:textFill>
            </w:rPr>
          </w:pPr>
          <w:r>
            <w:rPr>
              <w:rFonts w:hint="eastAsia"/>
              <w:color w:val="000000" w:themeColor="text1"/>
              <w14:textFill>
                <w14:solidFill>
                  <w14:schemeClr w14:val="tx1"/>
                </w14:solidFill>
              </w14:textFill>
            </w:rPr>
            <w:t>③投资方享有的权利是否使其目前有能力主导被投资方的相关活动。</w:t>
          </w:r>
        </w:p>
        <w:p w14:paraId="6ECE6F52">
          <w:pPr>
            <w:rPr>
              <w:color w:val="000000" w:themeColor="text1"/>
              <w14:textFill>
                <w14:solidFill>
                  <w14:schemeClr w14:val="tx1"/>
                </w14:solidFill>
              </w14:textFill>
            </w:rPr>
          </w:pPr>
          <w:r>
            <w:rPr>
              <w:rFonts w:hint="eastAsia"/>
              <w:color w:val="000000" w:themeColor="text1"/>
              <w14:textFill>
                <w14:solidFill>
                  <w14:schemeClr w14:val="tx1"/>
                </w14:solidFill>
              </w14:textFill>
            </w:rPr>
            <w:t>④投资方是否通过参与被投资方的相关活动而享有可变回报。</w:t>
          </w:r>
        </w:p>
        <w:p w14:paraId="487D3B15">
          <w:pPr>
            <w:rPr>
              <w:color w:val="000000" w:themeColor="text1"/>
              <w14:textFill>
                <w14:solidFill>
                  <w14:schemeClr w14:val="tx1"/>
                </w14:solidFill>
              </w14:textFill>
            </w:rPr>
          </w:pPr>
          <w:r>
            <w:rPr>
              <w:rFonts w:hint="eastAsia"/>
              <w:color w:val="000000" w:themeColor="text1"/>
              <w14:textFill>
                <w14:solidFill>
                  <w14:schemeClr w14:val="tx1"/>
                </w14:solidFill>
              </w14:textFill>
            </w:rPr>
            <w:t>⑤投资方是否有能力运用对被投资方的权力影响其回报金额。</w:t>
          </w:r>
        </w:p>
        <w:p w14:paraId="7C8C387D">
          <w:pPr>
            <w:rPr>
              <w:color w:val="000000" w:themeColor="text1"/>
              <w14:textFill>
                <w14:solidFill>
                  <w14:schemeClr w14:val="tx1"/>
                </w14:solidFill>
              </w14:textFill>
            </w:rPr>
          </w:pPr>
          <w:r>
            <w:rPr>
              <w:rFonts w:hint="eastAsia"/>
              <w:color w:val="000000" w:themeColor="text1"/>
              <w14:textFill>
                <w14:solidFill>
                  <w14:schemeClr w14:val="tx1"/>
                </w14:solidFill>
              </w14:textFill>
            </w:rPr>
            <w:t>⑥投资方与其他方的关系。</w:t>
          </w:r>
        </w:p>
        <w:p w14:paraId="717B0B39">
          <w:pPr>
            <w:rPr>
              <w:color w:val="000000" w:themeColor="text1"/>
              <w14:textFill>
                <w14:solidFill>
                  <w14:schemeClr w14:val="tx1"/>
                </w14:solidFill>
              </w14:textFill>
            </w:rPr>
          </w:pPr>
          <w:r>
            <w:rPr>
              <w:rFonts w:hint="eastAsia"/>
              <w:color w:val="000000" w:themeColor="text1"/>
              <w14:textFill>
                <w14:solidFill>
                  <w14:schemeClr w14:val="tx1"/>
                </w14:solidFill>
              </w14:textFill>
            </w:rPr>
            <w:t>（2）合并财务报表的编制方法</w:t>
          </w:r>
        </w:p>
        <w:p w14:paraId="2D0D461D">
          <w:pPr>
            <w:rPr>
              <w:color w:val="000000" w:themeColor="text1"/>
              <w14:textFill>
                <w14:solidFill>
                  <w14:schemeClr w14:val="tx1"/>
                </w14:solidFill>
              </w14:textFill>
            </w:rPr>
          </w:pPr>
          <w:r>
            <w:rPr>
              <w:rFonts w:hint="eastAsia"/>
              <w:color w:val="000000" w:themeColor="text1"/>
              <w14:textFill>
                <w14:solidFill>
                  <w14:schemeClr w14:val="tx1"/>
                </w14:solidFill>
              </w14:textFill>
            </w:rPr>
            <w:t>母公司将其控制的所有子公司纳入合并财务报表的合并范围。合并财务报表以母公司及其子公司的财务报表为基础，根据其他有关资料，由母公司按照《企业会计准则第33号——合并财务报表》编制。</w:t>
          </w:r>
        </w:p>
      </w:sdtContent>
    </w:sdt>
    <w:bookmarkEnd w:id="162"/>
    <w:p w14:paraId="2EEEE24E">
      <w:pPr>
        <w:rPr>
          <w:color w:val="000000" w:themeColor="text1"/>
          <w14:textFill>
            <w14:solidFill>
              <w14:schemeClr w14:val="tx1"/>
            </w14:solidFill>
          </w14:textFill>
        </w:rPr>
      </w:pPr>
    </w:p>
    <w:p w14:paraId="31527B8D">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合营安排分类及共同经营会计处理方法</w:t>
      </w:r>
    </w:p>
    <w:sdt>
      <w:sdtPr>
        <w:rPr>
          <w:rFonts w:hint="eastAsia"/>
          <w:color w:val="000000" w:themeColor="text1"/>
          <w14:textFill>
            <w14:solidFill>
              <w14:schemeClr w14:val="tx1"/>
            </w14:solidFill>
          </w14:textFill>
        </w:rPr>
        <w:alias w:val="是否适用：合营安排分类及共同经营会计处理方法[双击切换]"/>
        <w:tag w:val="_GBC_f94c8519453541fe9de852d3064d61d5"/>
        <w:id w:val="147468246"/>
        <w:placeholder>
          <w:docPart w:val="GBC22222222222222222222222222222"/>
        </w:placeholder>
      </w:sdtPr>
      <w:sdtEndPr>
        <w:rPr>
          <w:rFonts w:hint="eastAsia"/>
          <w:color w:val="000000" w:themeColor="text1"/>
          <w14:textFill>
            <w14:solidFill>
              <w14:schemeClr w14:val="tx1"/>
            </w14:solidFill>
          </w14:textFill>
        </w:rPr>
      </w:sdtEndPr>
      <w:sdtContent>
        <w:p w14:paraId="15F7DAE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合营安排分类及共同经营会计处理方法"/>
        <w:tag w:val="_GBC_cf67ede4230c4056b34792c6a0db55e2"/>
        <w:id w:val="147456582"/>
        <w:placeholder>
          <w:docPart w:val="GBC22222222222222222222222222222"/>
        </w:placeholder>
      </w:sdtPr>
      <w:sdtEndPr>
        <w:rPr>
          <w:color w:val="000000" w:themeColor="text1"/>
          <w14:textFill>
            <w14:solidFill>
              <w14:schemeClr w14:val="tx1"/>
            </w14:solidFill>
          </w14:textFill>
        </w:rPr>
      </w:sdtEndPr>
      <w:sdtContent>
        <w:p w14:paraId="6F8A90B8">
          <w:pPr>
            <w:rPr>
              <w:color w:val="000000" w:themeColor="text1"/>
              <w14:textFill>
                <w14:solidFill>
                  <w14:schemeClr w14:val="tx1"/>
                </w14:solidFill>
              </w14:textFill>
            </w:rPr>
          </w:pPr>
          <w:r>
            <w:rPr>
              <w:rFonts w:hint="eastAsia"/>
              <w:color w:val="000000" w:themeColor="text1"/>
              <w14:textFill>
                <w14:solidFill>
                  <w14:schemeClr w14:val="tx1"/>
                </w14:solidFill>
              </w14:textFill>
            </w:rPr>
            <w:t>（1）合营安排分为共同经营和合营企业。</w:t>
          </w:r>
        </w:p>
        <w:p w14:paraId="6EFCCCA9">
          <w:pPr>
            <w:rPr>
              <w:color w:val="000000" w:themeColor="text1"/>
              <w14:textFill>
                <w14:solidFill>
                  <w14:schemeClr w14:val="tx1"/>
                </w14:solidFill>
              </w14:textFill>
            </w:rPr>
          </w:pPr>
          <w:r>
            <w:rPr>
              <w:rFonts w:hint="eastAsia"/>
              <w:color w:val="000000" w:themeColor="text1"/>
              <w14:textFill>
                <w14:solidFill>
                  <w14:schemeClr w14:val="tx1"/>
                </w14:solidFill>
              </w14:textFill>
            </w:rPr>
            <w:t>（2）当公司为共同经营的合营方时，确认与共同经营中利益份额相关的下列项目：</w:t>
          </w:r>
        </w:p>
        <w:p w14:paraId="5E5C15F2">
          <w:pPr>
            <w:rPr>
              <w:color w:val="000000" w:themeColor="text1"/>
              <w14:textFill>
                <w14:solidFill>
                  <w14:schemeClr w14:val="tx1"/>
                </w14:solidFill>
              </w14:textFill>
            </w:rPr>
          </w:pPr>
          <w:r>
            <w:rPr>
              <w:rFonts w:hint="eastAsia"/>
              <w:color w:val="000000" w:themeColor="text1"/>
              <w14:textFill>
                <w14:solidFill>
                  <w14:schemeClr w14:val="tx1"/>
                </w14:solidFill>
              </w14:textFill>
            </w:rPr>
            <w:t>1）确认单独所持有的资产，以及按其份额确认共同持有的资产；</w:t>
          </w:r>
        </w:p>
        <w:p w14:paraId="13EB3541">
          <w:pPr>
            <w:rPr>
              <w:color w:val="000000" w:themeColor="text1"/>
              <w14:textFill>
                <w14:solidFill>
                  <w14:schemeClr w14:val="tx1"/>
                </w14:solidFill>
              </w14:textFill>
            </w:rPr>
          </w:pPr>
          <w:r>
            <w:rPr>
              <w:rFonts w:hint="eastAsia"/>
              <w:color w:val="000000" w:themeColor="text1"/>
              <w14:textFill>
                <w14:solidFill>
                  <w14:schemeClr w14:val="tx1"/>
                </w14:solidFill>
              </w14:textFill>
            </w:rPr>
            <w:t>2）确认单独所承担的负债，以及按其份额确认共同承担的负债；</w:t>
          </w:r>
        </w:p>
        <w:p w14:paraId="57DF0A4E">
          <w:pPr>
            <w:rPr>
              <w:color w:val="000000" w:themeColor="text1"/>
              <w14:textFill>
                <w14:solidFill>
                  <w14:schemeClr w14:val="tx1"/>
                </w14:solidFill>
              </w14:textFill>
            </w:rPr>
          </w:pPr>
          <w:r>
            <w:rPr>
              <w:rFonts w:hint="eastAsia"/>
              <w:color w:val="000000" w:themeColor="text1"/>
              <w14:textFill>
                <w14:solidFill>
                  <w14:schemeClr w14:val="tx1"/>
                </w14:solidFill>
              </w14:textFill>
            </w:rPr>
            <w:t>3）确认出售公司享有的共同经营产出份额所产生的收入；</w:t>
          </w:r>
        </w:p>
        <w:p w14:paraId="13162ABC">
          <w:pPr>
            <w:rPr>
              <w:color w:val="000000" w:themeColor="text1"/>
              <w14:textFill>
                <w14:solidFill>
                  <w14:schemeClr w14:val="tx1"/>
                </w14:solidFill>
              </w14:textFill>
            </w:rPr>
          </w:pPr>
          <w:r>
            <w:rPr>
              <w:rFonts w:hint="eastAsia"/>
              <w:color w:val="000000" w:themeColor="text1"/>
              <w14:textFill>
                <w14:solidFill>
                  <w14:schemeClr w14:val="tx1"/>
                </w14:solidFill>
              </w14:textFill>
            </w:rPr>
            <w:t>4）按公司持有份额确认共同经营因出售资产所产生的收入；</w:t>
          </w:r>
        </w:p>
        <w:p w14:paraId="0F3FEF51">
          <w:pPr>
            <w:rPr>
              <w:b/>
              <w:bCs w:val="0"/>
              <w:color w:val="000000" w:themeColor="text1"/>
              <w14:textFill>
                <w14:solidFill>
                  <w14:schemeClr w14:val="tx1"/>
                </w14:solidFill>
              </w14:textFill>
            </w:rPr>
          </w:pPr>
          <w:r>
            <w:rPr>
              <w:rFonts w:hint="eastAsia"/>
              <w:color w:val="000000" w:themeColor="text1"/>
              <w14:textFill>
                <w14:solidFill>
                  <w14:schemeClr w14:val="tx1"/>
                </w14:solidFill>
              </w14:textFill>
            </w:rPr>
            <w:t>5）确认单独所发生的费用，以及按公司持有份额确认共同经营发生的费用。</w:t>
          </w:r>
        </w:p>
      </w:sdtContent>
    </w:sdt>
    <w:p w14:paraId="50762848">
      <w:pPr>
        <w:rPr>
          <w:color w:val="000000" w:themeColor="text1"/>
          <w14:textFill>
            <w14:solidFill>
              <w14:schemeClr w14:val="tx1"/>
            </w14:solidFill>
          </w14:textFill>
        </w:rPr>
      </w:pPr>
    </w:p>
    <w:p w14:paraId="30F13F34">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现金及现金等价物的确定标准</w:t>
      </w:r>
    </w:p>
    <w:sdt>
      <w:sdtPr>
        <w:rPr>
          <w:rFonts w:hint="eastAsia"/>
          <w:color w:val="000000" w:themeColor="text1"/>
          <w14:textFill>
            <w14:solidFill>
              <w14:schemeClr w14:val="tx1"/>
            </w14:solidFill>
          </w14:textFill>
        </w:rPr>
        <w:alias w:val="现金及现金等价物的确定标准"/>
        <w:tag w:val="_GBC_54f6bc3e44e840bc85cb3872600823b5"/>
        <w:id w:val="147464777"/>
        <w:placeholder>
          <w:docPart w:val="GBC22222222222222222222222222222"/>
        </w:placeholder>
      </w:sdtPr>
      <w:sdtEndPr>
        <w:rPr>
          <w:rFonts w:hint="eastAsia"/>
          <w:color w:val="000000" w:themeColor="text1"/>
          <w14:textFill>
            <w14:solidFill>
              <w14:schemeClr w14:val="tx1"/>
            </w14:solidFill>
          </w14:textFill>
        </w:rPr>
      </w:sdtEndPr>
      <w:sdtContent>
        <w:p w14:paraId="025683A0">
          <w:pPr>
            <w:rPr>
              <w:color w:val="000000" w:themeColor="text1"/>
              <w14:textFill>
                <w14:solidFill>
                  <w14:schemeClr w14:val="tx1"/>
                </w14:solidFill>
              </w14:textFill>
            </w:rPr>
          </w:pPr>
          <w:r>
            <w:rPr>
              <w:color w:val="000000" w:themeColor="text1"/>
              <w14:textFill>
                <w14:solidFill>
                  <w14:schemeClr w14:val="tx1"/>
                </w14:solidFill>
              </w14:textFill>
            </w:rPr>
            <w:t>现金等价物是指企业持有的期限短（一般指从购买日起三个月内到期）、流动性强、易于转换为已知金额现金、价值变动风险很小的投资。</w:t>
          </w:r>
        </w:p>
      </w:sdtContent>
    </w:sdt>
    <w:p w14:paraId="0CE12713">
      <w:pPr>
        <w:rPr>
          <w:color w:val="000000" w:themeColor="text1"/>
          <w14:textFill>
            <w14:solidFill>
              <w14:schemeClr w14:val="tx1"/>
            </w14:solidFill>
          </w14:textFill>
        </w:rPr>
      </w:pPr>
    </w:p>
    <w:p w14:paraId="49AC591C">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外币业务和外币报表折算</w:t>
      </w:r>
    </w:p>
    <w:sdt>
      <w:sdtPr>
        <w:rPr>
          <w:rFonts w:hint="eastAsia"/>
          <w:color w:val="000000" w:themeColor="text1"/>
          <w14:textFill>
            <w14:solidFill>
              <w14:schemeClr w14:val="tx1"/>
            </w14:solidFill>
          </w14:textFill>
        </w:rPr>
        <w:alias w:val="是否适用：外币业务和外币报表折算[双击切换]"/>
        <w:tag w:val="_GBC_cd1fc5c05f5e49ed9ea2fffe41d0d113"/>
        <w:id w:val="147479512"/>
        <w:placeholder>
          <w:docPart w:val="GBC22222222222222222222222222222"/>
        </w:placeholder>
      </w:sdtPr>
      <w:sdtEndPr>
        <w:rPr>
          <w:rFonts w:hint="eastAsia"/>
          <w:color w:val="000000" w:themeColor="text1"/>
          <w14:textFill>
            <w14:solidFill>
              <w14:schemeClr w14:val="tx1"/>
            </w14:solidFill>
          </w14:textFill>
        </w:rPr>
      </w:sdtEndPr>
      <w:sdtContent>
        <w:p w14:paraId="29B94F9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外币业务核算方法"/>
        <w:tag w:val="_GBC_1703fe5fc56b42a8972c0906a4ac6d6b"/>
        <w:id w:val="147456949"/>
        <w:placeholder>
          <w:docPart w:val="GBC22222222222222222222222222222"/>
        </w:placeholder>
      </w:sdtPr>
      <w:sdtEndPr>
        <w:rPr>
          <w:rFonts w:hint="eastAsia"/>
          <w:color w:val="000000" w:themeColor="text1"/>
          <w14:textFill>
            <w14:solidFill>
              <w14:schemeClr w14:val="tx1"/>
            </w14:solidFill>
          </w14:textFill>
        </w:rPr>
      </w:sdtEndPr>
      <w:sdtContent>
        <w:p w14:paraId="32423DDD">
          <w:pPr>
            <w:rPr>
              <w:color w:val="000000" w:themeColor="text1"/>
              <w14:textFill>
                <w14:solidFill>
                  <w14:schemeClr w14:val="tx1"/>
                </w14:solidFill>
              </w14:textFill>
            </w:rPr>
          </w:pPr>
          <w:r>
            <w:rPr>
              <w:rFonts w:hint="eastAsia"/>
              <w:color w:val="000000" w:themeColor="text1"/>
              <w14:textFill>
                <w14:solidFill>
                  <w14:schemeClr w14:val="tx1"/>
                </w14:solidFill>
              </w14:textFill>
            </w:rPr>
            <w:t>（1）外币业务折算</w:t>
          </w:r>
        </w:p>
        <w:p w14:paraId="32A148C1">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外币交易在初始确认时，采用交易发生日的即期汇率折算为人民币金额。</w:t>
          </w:r>
        </w:p>
        <w:p w14:paraId="06A38C7A">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资产负债表日，外币货币性项目采用资产负债表日即期汇率折算，因汇率不同而产生的汇兑差额，除与购建符合资本化条件资产有关的外币专门借款本金及利息的汇兑差额外，计入当期损益；以历史成本计量的外币非货币性项目仍采用交易发生日的即期汇率折算，不改变其人民币金额；以公允价值计量的外币非货币性项目，采用公允价值确定日的即期汇率折算，差额计入当期损益或其他综合收益。</w:t>
          </w:r>
        </w:p>
        <w:p w14:paraId="18BD6353">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（2）外币财务报表折算</w:t>
          </w:r>
        </w:p>
        <w:p w14:paraId="58CE6095">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资产负债表中的资产和负债项目，采用资产负债表日的即期汇率折算；所有者权益项目除“未分配利润”项目外，其他项目采用交易发生日的即期汇率折算；利润表中的收入和费用项目，采用交易发生日的即期汇率折算。按照上述折算产生的外币财务报表折算差额，计入其他综合收益。</w:t>
          </w:r>
        </w:p>
      </w:sdtContent>
    </w:sdt>
    <w:p w14:paraId="33866144">
      <w:pPr>
        <w:jc w:val="both"/>
        <w:rPr>
          <w:color w:val="000000" w:themeColor="text1"/>
          <w14:textFill>
            <w14:solidFill>
              <w14:schemeClr w14:val="tx1"/>
            </w14:solidFill>
          </w14:textFill>
        </w:rPr>
      </w:pPr>
    </w:p>
    <w:p w14:paraId="5F7B820C">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金融工具</w:t>
      </w:r>
    </w:p>
    <w:sdt>
      <w:sdtPr>
        <w:rPr>
          <w:rFonts w:hint="eastAsia"/>
          <w:color w:val="000000" w:themeColor="text1"/>
          <w14:textFill>
            <w14:solidFill>
              <w14:schemeClr w14:val="tx1"/>
            </w14:solidFill>
          </w14:textFill>
        </w:rPr>
        <w:alias w:val="是否适用：金融工具_重要会计政策和估计[双击切换]"/>
        <w:tag w:val="_GBC_285bdf73a629411f9c5d05731712b876"/>
        <w:id w:val="147483287"/>
        <w:placeholder>
          <w:docPart w:val="GBC22222222222222222222222222222"/>
        </w:placeholder>
      </w:sdtPr>
      <w:sdtEndPr>
        <w:rPr>
          <w:rFonts w:hint="eastAsia"/>
          <w:color w:val="000000" w:themeColor="text1"/>
          <w14:textFill>
            <w14:solidFill>
              <w14:schemeClr w14:val="tx1"/>
            </w14:solidFill>
          </w14:textFill>
        </w:rPr>
      </w:sdtEndPr>
      <w:sdtContent>
        <w:p w14:paraId="40764C7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金融资产和金融负债的核算方法"/>
        <w:tag w:val="_GBC_b358067bbe2a49bf880c383a5db50d8a"/>
        <w:id w:val="147474006"/>
        <w:placeholder>
          <w:docPart w:val="GBC22222222222222222222222222222"/>
        </w:placeholder>
      </w:sdtPr>
      <w:sdtEndPr>
        <w:rPr>
          <w:rFonts w:hint="eastAsia"/>
          <w:color w:val="000000" w:themeColor="text1"/>
          <w14:textFill>
            <w14:solidFill>
              <w14:schemeClr w14:val="tx1"/>
            </w14:solidFill>
          </w14:textFill>
        </w:rPr>
      </w:sdtEndPr>
      <w:sdtContent>
        <w:p w14:paraId="258AD428">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1.金融资产和金融负债的分类</w:t>
          </w:r>
        </w:p>
        <w:p w14:paraId="7259952D">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金融资产在初始确认时划分为以下三类：（1）以摊余成本计量的金融资产；（2）以公允价值计量且其变动计入其他综合收益的金融资产；（3）以公允价值计量且其变动计入当期损益的金融资产。</w:t>
          </w:r>
        </w:p>
        <w:p w14:paraId="0A5E29E6">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金融负债在初始确认时划分为以下四类：（1）以公允价值计量且其变动计入当期损益的金融负债；（2）金融资产转移不符合终止确认条件或继续涉入被转移金融资产所形成的金融负债；③不属于上述（1）或（2）的财务担保合同，以及不属于上述（1）并以低于市场利率贷款的贷款承诺；（4）以摊余成本计量的金融负债。</w:t>
          </w:r>
        </w:p>
        <w:p w14:paraId="5937982D">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2.金融资产和金融负债的确认依据、计量方法和终止确认条件</w:t>
          </w:r>
        </w:p>
        <w:p w14:paraId="181D20F1">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（1）金融资产和金融负债的确认依据和初始计量方法</w:t>
          </w:r>
        </w:p>
        <w:p w14:paraId="16008AEE">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公司成为金融工具合同的一方时，确认一项金融资产或金融负债。初始确认金融资产或金融负债时，按照公允价值计量；对于以公允价值计量且其变动计入当期损益的金融资产和金融负债，相关交易费用直接计入当期损益；对于其他类别的金融资产或金融负债，相关交易费用计入初始确认金额。但是，公司初始确认的应收账款未包含重大融资成分或公司不考虑未超过一年的合同中的融资成分的，按照《企业会计准则第14号——收入》所定义的交易价格进行初始计量。</w:t>
          </w:r>
        </w:p>
        <w:p w14:paraId="405642C4">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（2）金融资产的后续计量方法</w:t>
          </w:r>
        </w:p>
        <w:p w14:paraId="160B86F3">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 以摊余成本计量的金融资产</w:t>
          </w:r>
        </w:p>
        <w:p w14:paraId="7EA22E6C">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采用实际利率法，按照摊余成本进行后续计量。以摊余成本计量且不属于任何套期关系的一部分的金融资产所产生的利得或损失，在终止确认、重分类、按照实际利率法摊销或确认减值时，计入当期损益。</w:t>
          </w:r>
        </w:p>
        <w:p w14:paraId="43391881">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 以公允价值计量且其变动计入其他综合收益的债务工具投资</w:t>
          </w:r>
        </w:p>
        <w:p w14:paraId="3799E99F">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采用公允价值进行后续计量。采用实际利率法计算的利息、减值损失或利得及汇兑损益计入当期损益，其他利得或损失计入其他综合收益。终止确认时，将之前计入其他综合收益的累计利得或损失从其他综合收益中转出，计入当期损益。</w:t>
          </w:r>
        </w:p>
        <w:p w14:paraId="32577FBA">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 以公允价值计量且其变动计入其他综合收益的权益工具投资</w:t>
          </w:r>
        </w:p>
        <w:p w14:paraId="146D4DF4">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采用公允价值进行后续计量。获得的股利（属于投资成本收回部分的除外）计入当期损益，其他利得或损失计入其他综合收益。终止确认时，将之前计入其他综合收益的累计利得或损失从其他综合收益中转出，计入留存收益。</w:t>
          </w:r>
        </w:p>
        <w:p w14:paraId="5CFACD4A">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 以公允价值计量且其变动计入当期损益的金融资产</w:t>
          </w:r>
        </w:p>
        <w:p w14:paraId="0CAFE241">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采用公允价值进行后续计量，产生的利得或损失（包括利息和股利收入）计入当期损益，除非该金融资产属于套期关系的一部分。</w:t>
          </w:r>
        </w:p>
        <w:p w14:paraId="17C645E0">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（3）金融负债的后续计量方法</w:t>
          </w:r>
        </w:p>
        <w:p w14:paraId="76C6AE20">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 以公允价值计量且其变动计入当期损益的金融负债</w:t>
          </w:r>
        </w:p>
        <w:p w14:paraId="7CA35FC6">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此类金融负债包括交易性金融负债（含属于金融负债的衍生工具）和指定为以公允价值计量且其变动计入当期损益的金融负债。对于此类金融负债以公允价值进行后续计量。因公司自身信用风险变动引起的指定为以公允价值计量且其变动计入当期损益的金融负债的公允价值变动金额计入其他综合收益，除非该处理会造成或扩大损益中的会计错配。此类金融负债产生的其他利得或损失（包括利息费用、除因公司自身信用风险变动引起的公允价值变动）计入当期损益，除非该金融负债属于套期关系的一部分。终止确认时，将之前计入其他综合收益的累计利得或损失从其他综合收益中转出，计入留存收益。</w:t>
          </w:r>
        </w:p>
        <w:p w14:paraId="5AD6BB74">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 金融资产转移不符合终止确认条件或继续涉入被转移金融资产所形成的金融负债</w:t>
          </w:r>
        </w:p>
        <w:p w14:paraId="7A97415D">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按照《企业会计准则第23号——金融资产转移》相关规定进行计量。</w:t>
          </w:r>
        </w:p>
        <w:p w14:paraId="5AFDC1F1">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3) 不属于上述1)或2)的财务担保合同，以及不属于上述1)并以低于市场利率贷款的贷款承诺 </w:t>
          </w:r>
        </w:p>
        <w:p w14:paraId="4CBD7E34">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在初始确认后按照下列两项金额之中的较高者进行后续计量：① 按照金融工具的减值规定确定的损失准备金额；② 初始确认金额扣除按照《企业会计准则第14号——收入》相关规定所确定的累计摊销额后的余额。</w:t>
          </w:r>
        </w:p>
        <w:p w14:paraId="5037BA14">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 以摊余成本计量的金融负债</w:t>
          </w:r>
        </w:p>
        <w:p w14:paraId="5D423BE0">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采用实际利率法以摊余成本计量。以摊余成本计量且不属于任何套期关系的一部分的金融负债所产生的利得或损失，在终止确认、按照实际利率法摊销时计入当期损益。</w:t>
          </w:r>
        </w:p>
        <w:p w14:paraId="7ABC0D8F">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（4）金融资产和金融负债的终止确认</w:t>
          </w:r>
        </w:p>
        <w:p w14:paraId="094F646A">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1)当满足下列条件之一时，终止确认金融资产：</w:t>
          </w:r>
        </w:p>
        <w:p w14:paraId="16D872E7">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①收取金融资产现金流量的合同权利已终止；</w:t>
          </w:r>
        </w:p>
        <w:p w14:paraId="37E20063">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②金融资产已转移，且该转移满足《企业会计准则第23号——金融资产转移》关于金融资产终止确认的规定。</w:t>
          </w:r>
        </w:p>
        <w:p w14:paraId="2BC8D897">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2)当金融负债（或其一部分）的现时义务已经解除时，相应终止确认该金融负债（或该部分金融负债）。</w:t>
          </w:r>
        </w:p>
        <w:p w14:paraId="4E117911">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3.金融资产转移的确认依据和计量方法</w:t>
          </w:r>
        </w:p>
        <w:p w14:paraId="6EC3C6CF">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公司转移了金融资产所有权上几乎所有的风险和报酬的，终止确认该金融资产，并将转移中产生或保留的权利和义务单独确认为资产或负债；保留了金融资产所有权上几乎所有的风险和报酬的，继续确认所转移的金融资产。公司既没有转移也没有保留金融资产所有权上几乎所有的风险和报酬的，分别下列情况处理：（1）未保留对该金融资产控制的，终止确认该金融资产，并将转移中产生或保留的权利和义务单独确认为资产或负债；（2）保留了对该金融资产控制的，按照继续涉入所转移金融资产的程度确认有关金融资产，并相应确认有关负债。</w:t>
          </w:r>
        </w:p>
        <w:p w14:paraId="28C4C01C">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金融资产整体转移满足终止确认条件的，将下列两项金额的差额计入当期损益：（1）所转移金融资产在终止确认日的账面价值；（2）因转移金融资产而收到的对价，与原直接计入其他综合收益的公允价值变动累计额中对应终止确认部分的金额（涉及转移的金融资产为以公允价值计量且其变动计入其他综合收益的债务工具投资）之和。转移了金融资产的一部分，且该被转移部分整体满足终止确认条件的，将转移前金融资产整体的账面价值，在终止确认部分和继续确认部分之间，按照转移日各自的相对公允价值进行分摊，并将下列两项金额的差额计入当期损益：（1）终止确认部分的账面价值；（2）终止确认部分的对价，与原直接计入其他综合收益的公允价值变动累计额中对应终止确认部分的金额（涉及转移的金融资产为以公允价值计量且其变动计入其他综合收益的债务工具投资）之和。</w:t>
          </w:r>
        </w:p>
        <w:p w14:paraId="0316F3C6">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4.金融资产和金融负债的公允价值确定方法</w:t>
          </w:r>
        </w:p>
        <w:p w14:paraId="431552B8">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公司采用在当前情况下适用并且有足够可利用数据和其他信息支持的估值技术确定相关金融资产和金融负债的公允价值。公司将估值技术使用的输入值分以下层级，并依次使用：</w:t>
          </w:r>
        </w:p>
        <w:p w14:paraId="30E4C126">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（1）第一层次输入值是在计量日能够取得的相同资产或负债在活跃市场上未经调整的报价； </w:t>
          </w:r>
        </w:p>
        <w:p w14:paraId="36B5D227">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第二层次输入值是除第一层次输入值外相关资产或负债直接或间接可观察的输入值，包括：活跃市场中类似资产或负债的报价；非活跃市场中相同或类似资产或负债的报价；除报价以外的其他可观察输入值，如在正常报价间隔期间可观察的利率和收益率曲线等；市场验证的输入值等；</w:t>
          </w:r>
        </w:p>
        <w:p w14:paraId="17B2A968">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（3）第三层次输入值是相关资产或负债的不可观察输入值，包括不能直接观察或无法由可观察市场数据验证的利率、股票波动率、企业合并中承担的弃置义务的未来现金流量、使用自身数据作出的财务预测等。 </w:t>
          </w:r>
        </w:p>
        <w:p w14:paraId="1044FA38">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5.金融工具减值 </w:t>
          </w:r>
        </w:p>
        <w:p w14:paraId="64CF3F48">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公司以预期信用损失为基础，对以摊余成本计量的金融资产、以公允价值计量且其变动计入其他综合收益的债务工具投资、合同资产、租赁应收款、分类为以公允价值计量且其变动计入当期损益的金融负债以外的贷款承诺、不属于以公允价值计量且其变动计入当期损益的金融负债或不属于金融资产转移不符合终止确认条件或继续涉入被转移金融资产所形成的金融负债的财务担保合同进行减值处理并确认损失准备。</w:t>
          </w:r>
        </w:p>
        <w:p w14:paraId="1AFE6D36">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预期信用损失，是指以发生违约的风险为权重的金融工具信用损失的加权平均值。信用损失，是指公司按照原实际利率折现的、根据合同应收的所有合同现金流量与预期收取的所有现金流量之间的差额，即全部现金短缺的现值。其中，对于公司购买或源生的已发生信用减值的金融资产，按照该金融资产经信用调整的实际利率折现。</w:t>
          </w:r>
        </w:p>
        <w:p w14:paraId="3B31C3A4">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对于购买或源生的已发生信用减值的金融资产，公司在资产负债表日仅将自初始确认后整个存续期内预期信用损失的累计变动确认为损失准备。</w:t>
          </w:r>
        </w:p>
        <w:p w14:paraId="68ECAB7C">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对于租赁应收款、由《企业会计准则第14号——收入》规范的交易形成的应收款项及合同资产，公司运用简化计量方法，按照相当于整个存续期内的预期信用损失金额计量损失准备。</w:t>
          </w:r>
        </w:p>
        <w:p w14:paraId="201FBB33">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除上述计量方法以外的金融资产，公司在每个资产负债表日评估其信用风险自初始确认后是否已经显著增加。如果信用风险自初始确认后已显著增加，公司按照整个存续期内预期信用损失的金额计量损失准备；如果信用风险自初始确认后未显著增加，公司按照该金融工具未来12个月内预期信用损失的金额计量损失准备。</w:t>
          </w:r>
        </w:p>
        <w:p w14:paraId="1409DF33">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公司利用可获得的合理且有依据的信息，包括前瞻性信息，通过比较金融工具在资产负债表日发生违约的风险与在初始确认日发生违约的风险，以确定金融工具的信用风险自初始确认后是否已显著增加。</w:t>
          </w:r>
        </w:p>
        <w:p w14:paraId="453A6FB3">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于资产负债表日，若公司判断金融工具只具有较低的信用风险，则假定该金融工具的信用风险自初始确认后并未显著增加。</w:t>
          </w:r>
        </w:p>
        <w:p w14:paraId="1F064230">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公司以单项金融工具或金融工具组合为基础评估预期信用风险和计量预期信用损失。当以金融工具组合为基础时，公司以共同风险特征为依据，将金融工具划分为不同组合。</w:t>
          </w:r>
        </w:p>
        <w:p w14:paraId="6FD1283B">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公司在每个资产负债表日重新计量预期信用损失，由此形成的损失准备的增加或转回金额，作为减值损失或利得计入当期损益。对于以摊余成本计量的金融资产，损失准备抵减该金融资产在资产负债表中列示的账面价值；对于以公允价值计量且其变动计入其他综合收益的债权投资，公司在其他综合收益中确认其损失准备，不抵减该金融资产的账面价值。</w:t>
          </w:r>
        </w:p>
        <w:p w14:paraId="2E0161D1">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6.金融资产和金融负债的抵销 </w:t>
          </w:r>
        </w:p>
        <w:p w14:paraId="7D8C89B3">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金融资产和金融负债在资产负债表内分别列示，不相互抵销。但同时满足下列条件的，公司以相互抵销后的净额在资产负债表内列示：（1）公司具有抵销已确认金额的法定权利，且该种法定权利是当前可执行的；（2）公司计划以净额结算，或同时变现该金融资产和清偿该金融负债。</w:t>
          </w:r>
        </w:p>
        <w:p w14:paraId="447FB206">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不满足终止确认条件的金融资产转移，公司不对已转移的金融资产和相关负债进行抵销。</w:t>
          </w:r>
        </w:p>
      </w:sdtContent>
    </w:sdt>
    <w:p w14:paraId="4CBAE681">
      <w:pPr>
        <w:rPr>
          <w:color w:val="000000" w:themeColor="text1"/>
          <w14:textFill>
            <w14:solidFill>
              <w14:schemeClr w14:val="tx1"/>
            </w14:solidFill>
          </w14:textFill>
        </w:rPr>
      </w:pPr>
    </w:p>
    <w:p w14:paraId="0A2A2FC2">
      <w:pPr>
        <w:pStyle w:val="57"/>
        <w:numPr>
          <w:ilvl w:val="0"/>
          <w:numId w:val="46"/>
        </w:numPr>
        <w:rPr>
          <w:rFonts w:ascii="宋体" w:hAnsi="宋体"/>
          <w:color w:val="000000" w:themeColor="text1"/>
          <w14:textFill>
            <w14:solidFill>
              <w14:schemeClr w14:val="tx1"/>
            </w14:solidFill>
          </w14:textFill>
        </w:rPr>
      </w:pPr>
      <w:bookmarkStart w:id="163" w:name="_Hlk533667757"/>
      <w:bookmarkStart w:id="164" w:name="_Hlk167809825"/>
      <w:r>
        <w:rPr>
          <w:rFonts w:ascii="宋体" w:hAnsi="宋体"/>
          <w:color w:val="000000" w:themeColor="text1"/>
          <w14:textFill>
            <w14:solidFill>
              <w14:schemeClr w14:val="tx1"/>
            </w14:solidFill>
          </w14:textFill>
        </w:rPr>
        <w:t>应收票据</w:t>
      </w:r>
    </w:p>
    <w:sdt>
      <w:sdtPr>
        <w:rPr>
          <w:color w:val="000000" w:themeColor="text1"/>
          <w14:textFill>
            <w14:solidFill>
              <w14:schemeClr w14:val="tx1"/>
            </w14:solidFill>
          </w14:textFill>
        </w:rPr>
        <w:alias w:val="是否适用：应收票据_重要会计政策和估计[双击切换]"/>
        <w:tag w:val="_GBC_aefda35d1a7148f0844e33d721703cda"/>
        <w:id w:val="147471992"/>
        <w:placeholder>
          <w:docPart w:val="GBC22222222222222222222222222222"/>
        </w:placeholder>
      </w:sdtPr>
      <w:sdtEndPr>
        <w:rPr>
          <w:color w:val="000000" w:themeColor="text1"/>
          <w14:textFill>
            <w14:solidFill>
              <w14:schemeClr w14:val="tx1"/>
            </w14:solidFill>
          </w14:textFill>
        </w:rPr>
      </w:sdtEndPr>
      <w:sdtContent>
        <w:p w14:paraId="2281653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163"/>
    <w:p w14:paraId="2A93644C">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按照信用风险特征组合计提坏账准备的组合类别及确定依据</w:t>
      </w:r>
    </w:p>
    <w:sdt>
      <w:sdtPr>
        <w:rPr>
          <w:color w:val="000000" w:themeColor="text1"/>
          <w14:textFill>
            <w14:solidFill>
              <w14:schemeClr w14:val="tx1"/>
            </w14:solidFill>
          </w14:textFill>
        </w:rPr>
        <w:alias w:val="是否适用：应收票据按照信用风险特征组合计提坏账准备的组合类别及确定依据[双击切换]"/>
        <w:tag w:val="_GBC_6949617b516947f48c32672b1d486a5b"/>
        <w:id w:val="147471941"/>
        <w:placeholder>
          <w:docPart w:val="GBC22222222222222222222222222222"/>
        </w:placeholder>
      </w:sdtPr>
      <w:sdtEndPr>
        <w:rPr>
          <w:color w:val="000000" w:themeColor="text1"/>
          <w14:textFill>
            <w14:solidFill>
              <w14:schemeClr w14:val="tx1"/>
            </w14:solidFill>
          </w14:textFill>
        </w:rPr>
      </w:sdtEndPr>
      <w:sdtContent>
        <w:p w14:paraId="1EE6E06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应收票据按照信用风险特征组合计提坏账准备的组合类别及确定依据"/>
        <w:tag w:val="_GBC_1062e1c58d3c4ef4bca492c1e513cad2"/>
        <w:id w:val="147466065"/>
        <w:placeholder>
          <w:docPart w:val="GBC22222222222222222222222222222"/>
        </w:placeholder>
      </w:sdtPr>
      <w:sdtEndPr>
        <w:rPr>
          <w:color w:val="000000" w:themeColor="text1"/>
          <w14:textFill>
            <w14:solidFill>
              <w14:schemeClr w14:val="tx1"/>
            </w14:solidFill>
          </w14:textFill>
        </w:rPr>
      </w:sdtEndPr>
      <w:sdtContent>
        <w:p w14:paraId="1BE82C30">
          <w:pPr>
            <w:rPr>
              <w:color w:val="000000" w:themeColor="text1"/>
              <w14:textFill>
                <w14:solidFill>
                  <w14:schemeClr w14:val="tx1"/>
                </w14:solidFill>
              </w14:textFill>
            </w:rPr>
          </w:pPr>
          <w:r>
            <w:rPr>
              <w:rFonts w:hint="eastAsia"/>
              <w:color w:val="000000" w:themeColor="text1"/>
              <w14:textFill>
                <w14:solidFill>
                  <w14:schemeClr w14:val="tx1"/>
                </w14:solidFill>
              </w14:textFill>
            </w:rPr>
            <w:t>具体情况详见附注五、11、金融工具。</w:t>
          </w:r>
        </w:p>
      </w:sdtContent>
    </w:sdt>
    <w:p w14:paraId="60A967BD">
      <w:pPr>
        <w:rPr>
          <w:rFonts w:cs="Times New Roman"/>
          <w:b/>
          <w:bCs w:val="0"/>
          <w:color w:val="000000" w:themeColor="text1"/>
          <w:kern w:val="2"/>
          <w:szCs w:val="28"/>
          <w14:textFill>
            <w14:solidFill>
              <w14:schemeClr w14:val="tx1"/>
            </w14:solidFill>
          </w14:textFill>
        </w:rPr>
      </w:pPr>
    </w:p>
    <w:p w14:paraId="71FBBE8A">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基于账龄确认信用风险特征组合的账龄计算方法</w:t>
      </w:r>
    </w:p>
    <w:sdt>
      <w:sdtPr>
        <w:rPr>
          <w:color w:val="000000" w:themeColor="text1"/>
          <w14:textFill>
            <w14:solidFill>
              <w14:schemeClr w14:val="tx1"/>
            </w14:solidFill>
          </w14:textFill>
        </w:rPr>
        <w:alias w:val="是否适用：应收票据基于账龄确认信用风险特征组合的账龄计算方法[双击切换]"/>
        <w:tag w:val="_GBC_65e77abc757c44a39f32a7fae1f5da22"/>
        <w:id w:val="147460010"/>
        <w:placeholder>
          <w:docPart w:val="GBC22222222222222222222222222222"/>
        </w:placeholder>
      </w:sdtPr>
      <w:sdtEndPr>
        <w:rPr>
          <w:color w:val="000000" w:themeColor="text1"/>
          <w14:textFill>
            <w14:solidFill>
              <w14:schemeClr w14:val="tx1"/>
            </w14:solidFill>
          </w14:textFill>
        </w:rPr>
      </w:sdtEndPr>
      <w:sdtContent>
        <w:p w14:paraId="5C0F479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应收票据基于账龄确认信用风险特征组合的账龄计算方法"/>
        <w:tag w:val="_GBC_394187d2c39247acae82ce34a8553271"/>
        <w:id w:val="147461558"/>
        <w:placeholder>
          <w:docPart w:val="GBC22222222222222222222222222222"/>
        </w:placeholder>
      </w:sdtPr>
      <w:sdtEndPr>
        <w:rPr>
          <w:color w:val="000000" w:themeColor="text1"/>
          <w14:textFill>
            <w14:solidFill>
              <w14:schemeClr w14:val="tx1"/>
            </w14:solidFill>
          </w14:textFill>
        </w:rPr>
      </w:sdtEndPr>
      <w:sdtContent>
        <w:p w14:paraId="1AC3DF38">
          <w:pPr>
            <w:rPr>
              <w:color w:val="000000" w:themeColor="text1"/>
              <w14:textFill>
                <w14:solidFill>
                  <w14:schemeClr w14:val="tx1"/>
                </w14:solidFill>
              </w14:textFill>
            </w:rPr>
          </w:pPr>
          <w:r>
            <w:rPr>
              <w:rFonts w:hint="eastAsia"/>
              <w:color w:val="000000" w:themeColor="text1"/>
              <w14:textFill>
                <w14:solidFill>
                  <w14:schemeClr w14:val="tx1"/>
                </w14:solidFill>
              </w14:textFill>
            </w:rPr>
            <w:t>具体情况详见附注五、11、金融工具。</w:t>
          </w:r>
        </w:p>
      </w:sdtContent>
    </w:sdt>
    <w:p w14:paraId="4DBC34B7">
      <w:pPr>
        <w:rPr>
          <w:rFonts w:cs="Times New Roman"/>
          <w:b/>
          <w:bCs w:val="0"/>
          <w:color w:val="000000" w:themeColor="text1"/>
          <w:kern w:val="2"/>
          <w:szCs w:val="28"/>
          <w14:textFill>
            <w14:solidFill>
              <w14:schemeClr w14:val="tx1"/>
            </w14:solidFill>
          </w14:textFill>
        </w:rPr>
      </w:pPr>
    </w:p>
    <w:p w14:paraId="2CF9DA11">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按照单项计提坏账准备的单项计提判断标准</w:t>
      </w:r>
    </w:p>
    <w:sdt>
      <w:sdtPr>
        <w:rPr>
          <w:color w:val="000000" w:themeColor="text1"/>
          <w14:textFill>
            <w14:solidFill>
              <w14:schemeClr w14:val="tx1"/>
            </w14:solidFill>
          </w14:textFill>
        </w:rPr>
        <w:alias w:val="是否适用：应收票据按照单项计提坏账准备的单项计提判断标准[双击切换]"/>
        <w:tag w:val="_GBC_1bf4baad09e74a3fb93e3d4c5a63530e"/>
        <w:id w:val="147458457"/>
        <w:placeholder>
          <w:docPart w:val="GBC22222222222222222222222222222"/>
        </w:placeholder>
      </w:sdtPr>
      <w:sdtEndPr>
        <w:rPr>
          <w:color w:val="000000" w:themeColor="text1"/>
          <w14:textFill>
            <w14:solidFill>
              <w14:schemeClr w14:val="tx1"/>
            </w14:solidFill>
          </w14:textFill>
        </w:rPr>
      </w:sdtEndPr>
      <w:sdtContent>
        <w:p w14:paraId="0686EF8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应收票据按照单项计提坏账准备的单项计提判断标准"/>
        <w:tag w:val="_GBC_bda178db73f64a379756cf6dbe566e83"/>
        <w:id w:val="147460588"/>
        <w:placeholder>
          <w:docPart w:val="GBC22222222222222222222222222222"/>
        </w:placeholder>
      </w:sdtPr>
      <w:sdtEndPr>
        <w:rPr>
          <w:color w:val="000000" w:themeColor="text1"/>
          <w14:textFill>
            <w14:solidFill>
              <w14:schemeClr w14:val="tx1"/>
            </w14:solidFill>
          </w14:textFill>
        </w:rPr>
      </w:sdtEndPr>
      <w:sdtContent>
        <w:p w14:paraId="36B57C10">
          <w:pPr>
            <w:rPr>
              <w:color w:val="000000" w:themeColor="text1"/>
              <w14:textFill>
                <w14:solidFill>
                  <w14:schemeClr w14:val="tx1"/>
                </w14:solidFill>
              </w14:textFill>
            </w:rPr>
          </w:pPr>
          <w:r>
            <w:rPr>
              <w:rFonts w:hint="eastAsia"/>
              <w:color w:val="000000" w:themeColor="text1"/>
              <w14:textFill>
                <w14:solidFill>
                  <w14:schemeClr w14:val="tx1"/>
                </w14:solidFill>
              </w14:textFill>
            </w:rPr>
            <w:t>具体情况详见附注五、11、金融工具。</w:t>
          </w:r>
        </w:p>
      </w:sdtContent>
    </w:sdt>
    <w:p w14:paraId="2A3D6E74">
      <w:pPr>
        <w:rPr>
          <w:color w:val="000000" w:themeColor="text1"/>
          <w14:textFill>
            <w14:solidFill>
              <w14:schemeClr w14:val="tx1"/>
            </w14:solidFill>
          </w14:textFill>
        </w:rPr>
      </w:pPr>
    </w:p>
    <w:p w14:paraId="20DAC062">
      <w:pPr>
        <w:pStyle w:val="57"/>
        <w:numPr>
          <w:ilvl w:val="0"/>
          <w:numId w:val="46"/>
        </w:numPr>
        <w:rPr>
          <w:rFonts w:ascii="宋体" w:hAnsi="宋体"/>
          <w:color w:val="000000" w:themeColor="text1"/>
          <w14:textFill>
            <w14:solidFill>
              <w14:schemeClr w14:val="tx1"/>
            </w14:solidFill>
          </w14:textFill>
        </w:rPr>
      </w:pPr>
      <w:bookmarkStart w:id="165" w:name="_Hlk533667783"/>
      <w:bookmarkStart w:id="166" w:name="_Hlk152690378"/>
      <w:r>
        <w:rPr>
          <w:rFonts w:ascii="宋体" w:hAnsi="宋体"/>
          <w:color w:val="000000" w:themeColor="text1"/>
          <w14:textFill>
            <w14:solidFill>
              <w14:schemeClr w14:val="tx1"/>
            </w14:solidFill>
          </w14:textFill>
        </w:rPr>
        <w:t>应收账款</w:t>
      </w:r>
    </w:p>
    <w:sdt>
      <w:sdtPr>
        <w:rPr>
          <w:rFonts w:hint="eastAsia"/>
          <w:color w:val="000000" w:themeColor="text1"/>
          <w14:textFill>
            <w14:solidFill>
              <w14:schemeClr w14:val="tx1"/>
            </w14:solidFill>
          </w14:textFill>
        </w:rPr>
        <w:alias w:val="是否适用：应收账款_重要会计政策和估计[双击切换]"/>
        <w:tag w:val="_GBC_9bb0ad4fd90e4860a048c5c1b42cdc17"/>
        <w:id w:val="147466955"/>
        <w:placeholder>
          <w:docPart w:val="GBC22222222222222222222222222222"/>
        </w:placeholder>
      </w:sdtPr>
      <w:sdtEndPr>
        <w:rPr>
          <w:rFonts w:hint="eastAsia"/>
          <w:color w:val="000000" w:themeColor="text1"/>
          <w14:textFill>
            <w14:solidFill>
              <w14:schemeClr w14:val="tx1"/>
            </w14:solidFill>
          </w14:textFill>
        </w:rPr>
      </w:sdtEndPr>
      <w:sdtContent>
        <w:p w14:paraId="4D81AEE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165"/>
    <w:bookmarkEnd w:id="166"/>
    <w:p w14:paraId="0F9F3FE9">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按照信用风险特征组合计提坏账准备的组合类别及确定依据</w:t>
      </w:r>
    </w:p>
    <w:sdt>
      <w:sdtPr>
        <w:rPr>
          <w:color w:val="000000" w:themeColor="text1"/>
          <w14:textFill>
            <w14:solidFill>
              <w14:schemeClr w14:val="tx1"/>
            </w14:solidFill>
          </w14:textFill>
        </w:rPr>
        <w:alias w:val="是否适用：应收账款按照信用风险特征组合计提坏账准备的组合类别及确定依据[双击切换]"/>
        <w:tag w:val="_GBC_e449a3926afc4ff1a9407716d384d444"/>
        <w:id w:val="147452214"/>
        <w:placeholder>
          <w:docPart w:val="GBC22222222222222222222222222222"/>
        </w:placeholder>
      </w:sdtPr>
      <w:sdtEndPr>
        <w:rPr>
          <w:color w:val="000000" w:themeColor="text1"/>
          <w14:textFill>
            <w14:solidFill>
              <w14:schemeClr w14:val="tx1"/>
            </w14:solidFill>
          </w14:textFill>
        </w:rPr>
      </w:sdtEndPr>
      <w:sdtContent>
        <w:p w14:paraId="2E42429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应收账款按照信用风险特征组合计提坏账准备的组合类别及确定依据"/>
        <w:tag w:val="_GBC_16b22a4b7b8c483dac42f07fc6ac4bc2"/>
        <w:id w:val="147470130"/>
        <w:placeholder>
          <w:docPart w:val="GBC22222222222222222222222222222"/>
        </w:placeholder>
      </w:sdtPr>
      <w:sdtEndPr>
        <w:rPr>
          <w:color w:val="000000" w:themeColor="text1"/>
          <w14:textFill>
            <w14:solidFill>
              <w14:schemeClr w14:val="tx1"/>
            </w14:solidFill>
          </w14:textFill>
        </w:rPr>
      </w:sdtEndPr>
      <w:sdtContent>
        <w:p w14:paraId="1BDC2B55">
          <w:pPr>
            <w:rPr>
              <w:color w:val="000000" w:themeColor="text1"/>
              <w14:textFill>
                <w14:solidFill>
                  <w14:schemeClr w14:val="tx1"/>
                </w14:solidFill>
              </w14:textFill>
            </w:rPr>
          </w:pPr>
          <w:r>
            <w:rPr>
              <w:rFonts w:hint="eastAsia"/>
              <w:color w:val="000000" w:themeColor="text1"/>
              <w14:textFill>
                <w14:solidFill>
                  <w14:schemeClr w14:val="tx1"/>
                </w14:solidFill>
              </w14:textFill>
            </w:rPr>
            <w:t>当在单项工具层面无法以合理成本评估预期信用损失的充分证据时，本公司参考历史信用损失经验，结合当前状况以及对未来经济状况的判断，依据信用风险特征将应收账款划分为若干组合，在组合基础上计算预期信用损失。确定组合的依据如下：</w:t>
          </w: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2268"/>
            <w:gridCol w:w="4008"/>
          </w:tblGrid>
          <w:tr w14:paraId="0F3E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21AE2CE1">
                <w:pPr>
                  <w:widowControl w:val="0"/>
                  <w:jc w:val="center"/>
                  <w:rPr>
                    <w:color w:val="000000" w:themeColor="text1"/>
                    <w14:textFill>
                      <w14:solidFill>
                        <w14:schemeClr w14:val="tx1"/>
                      </w14:solidFill>
                    </w14:textFill>
                  </w:rPr>
                </w:pPr>
                <w:r>
                  <w:rPr>
                    <w:rFonts w:cs="Times New Roman"/>
                    <w:color w:val="000000"/>
                  </w:rPr>
                  <w:t>组合名称</w:t>
                </w:r>
              </w:p>
            </w:tc>
            <w:tc>
              <w:tcPr>
                <w:tcW w:w="2268" w:type="dxa"/>
                <w:vAlign w:val="center"/>
              </w:tcPr>
              <w:p w14:paraId="6ACF291B">
                <w:pPr>
                  <w:widowControl w:val="0"/>
                  <w:jc w:val="center"/>
                  <w:rPr>
                    <w:color w:val="000000" w:themeColor="text1"/>
                    <w14:textFill>
                      <w14:solidFill>
                        <w14:schemeClr w14:val="tx1"/>
                      </w14:solidFill>
                    </w14:textFill>
                  </w:rPr>
                </w:pPr>
                <w:r>
                  <w:rPr>
                    <w:rFonts w:cs="Times New Roman"/>
                    <w:color w:val="000000"/>
                  </w:rPr>
                  <w:t>确定组合的依据</w:t>
                </w:r>
              </w:p>
            </w:tc>
            <w:tc>
              <w:tcPr>
                <w:tcW w:w="4008" w:type="dxa"/>
                <w:vAlign w:val="center"/>
              </w:tcPr>
              <w:p w14:paraId="30FC6D9E">
                <w:pPr>
                  <w:widowControl w:val="0"/>
                  <w:jc w:val="center"/>
                  <w:rPr>
                    <w:color w:val="000000" w:themeColor="text1"/>
                    <w14:textFill>
                      <w14:solidFill>
                        <w14:schemeClr w14:val="tx1"/>
                      </w14:solidFill>
                    </w14:textFill>
                  </w:rPr>
                </w:pPr>
                <w:r>
                  <w:rPr>
                    <w:rFonts w:cs="Times New Roman"/>
                    <w:color w:val="000000"/>
                  </w:rPr>
                  <w:t>计提方法</w:t>
                </w:r>
              </w:p>
            </w:tc>
          </w:tr>
          <w:tr w14:paraId="3FBC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129A27F5">
                <w:pPr>
                  <w:widowControl w:val="0"/>
                  <w:jc w:val="both"/>
                  <w:rPr>
                    <w:color w:val="000000" w:themeColor="text1"/>
                    <w14:textFill>
                      <w14:solidFill>
                        <w14:schemeClr w14:val="tx1"/>
                      </w14:solidFill>
                    </w14:textFill>
                  </w:rPr>
                </w:pPr>
                <w:r>
                  <w:rPr>
                    <w:rFonts w:cs="Times New Roman"/>
                    <w:color w:val="000000"/>
                  </w:rPr>
                  <w:t>组合一军方、警方、政府职能部门等高信用水平单位应收款项组合</w:t>
                </w:r>
              </w:p>
            </w:tc>
            <w:tc>
              <w:tcPr>
                <w:tcW w:w="2268" w:type="dxa"/>
                <w:vAlign w:val="center"/>
              </w:tcPr>
              <w:p w14:paraId="28550BB4">
                <w:pPr>
                  <w:widowControl w:val="0"/>
                  <w:jc w:val="both"/>
                  <w:rPr>
                    <w:color w:val="000000" w:themeColor="text1"/>
                    <w14:textFill>
                      <w14:solidFill>
                        <w14:schemeClr w14:val="tx1"/>
                      </w14:solidFill>
                    </w14:textFill>
                  </w:rPr>
                </w:pPr>
                <w:r>
                  <w:rPr>
                    <w:rFonts w:cs="Times New Roman"/>
                    <w:color w:val="000000"/>
                  </w:rPr>
                  <w:t>应收军方、警方、政府职能部门等高信用水平单位款项</w:t>
                </w:r>
              </w:p>
            </w:tc>
            <w:tc>
              <w:tcPr>
                <w:tcW w:w="4008" w:type="dxa"/>
                <w:vAlign w:val="center"/>
              </w:tcPr>
              <w:p w14:paraId="1A42231D">
                <w:pPr>
                  <w:widowControl w:val="0"/>
                  <w:jc w:val="both"/>
                  <w:rPr>
                    <w:color w:val="000000" w:themeColor="text1"/>
                    <w14:textFill>
                      <w14:solidFill>
                        <w14:schemeClr w14:val="tx1"/>
                      </w14:solidFill>
                    </w14:textFill>
                  </w:rPr>
                </w:pPr>
                <w:r>
                  <w:rPr>
                    <w:rFonts w:hint="eastAsia"/>
                    <w:bCs w:val="0"/>
                  </w:rPr>
                  <w:t>参考历史信用损失经验，结合当前状况以及对未来经济状况的预测，通过违约风险敞口和整个续期预期信用损失率，计算预期信用损失</w:t>
                </w:r>
              </w:p>
            </w:tc>
          </w:tr>
          <w:tr w14:paraId="2344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6E66300C">
                <w:pPr>
                  <w:widowControl w:val="0"/>
                  <w:jc w:val="both"/>
                  <w:rPr>
                    <w:color w:val="000000" w:themeColor="text1"/>
                    <w14:textFill>
                      <w14:solidFill>
                        <w14:schemeClr w14:val="tx1"/>
                      </w14:solidFill>
                    </w14:textFill>
                  </w:rPr>
                </w:pPr>
                <w:r>
                  <w:rPr>
                    <w:rFonts w:cs="Times New Roman"/>
                    <w:color w:val="000000"/>
                  </w:rPr>
                  <w:t>组合二关联方组合</w:t>
                </w:r>
              </w:p>
            </w:tc>
            <w:tc>
              <w:tcPr>
                <w:tcW w:w="2268" w:type="dxa"/>
                <w:vAlign w:val="center"/>
              </w:tcPr>
              <w:p w14:paraId="335C526E">
                <w:pPr>
                  <w:widowControl w:val="0"/>
                  <w:jc w:val="both"/>
                  <w:rPr>
                    <w:color w:val="000000" w:themeColor="text1"/>
                    <w14:textFill>
                      <w14:solidFill>
                        <w14:schemeClr w14:val="tx1"/>
                      </w14:solidFill>
                    </w14:textFill>
                  </w:rPr>
                </w:pPr>
                <w:r>
                  <w:rPr>
                    <w:rFonts w:cs="Times New Roman"/>
                    <w:color w:val="000000"/>
                  </w:rPr>
                  <w:t>关联关系</w:t>
                </w:r>
              </w:p>
            </w:tc>
            <w:tc>
              <w:tcPr>
                <w:tcW w:w="4008" w:type="dxa"/>
                <w:vAlign w:val="center"/>
              </w:tcPr>
              <w:p w14:paraId="3CD6E6BE">
                <w:pPr>
                  <w:widowControl w:val="0"/>
                  <w:jc w:val="both"/>
                  <w:rPr>
                    <w:color w:val="000000" w:themeColor="text1"/>
                    <w14:textFill>
                      <w14:solidFill>
                        <w14:schemeClr w14:val="tx1"/>
                      </w14:solidFill>
                    </w14:textFill>
                  </w:rPr>
                </w:pPr>
                <w:r>
                  <w:rPr>
                    <w:rFonts w:hint="eastAsia"/>
                    <w:bCs w:val="0"/>
                  </w:rPr>
                  <w:t>参考历史信用损失经验，结合当前状况以及对未来经济状况的预测，通过违约风险敞口和整个续期预期信用损失率，计算预期信用损失</w:t>
                </w:r>
              </w:p>
            </w:tc>
          </w:tr>
          <w:tr w14:paraId="369F9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14:paraId="7FF7F23C">
                <w:pPr>
                  <w:widowControl w:val="0"/>
                  <w:jc w:val="both"/>
                  <w:rPr>
                    <w:color w:val="000000" w:themeColor="text1"/>
                    <w14:textFill>
                      <w14:solidFill>
                        <w14:schemeClr w14:val="tx1"/>
                      </w14:solidFill>
                    </w14:textFill>
                  </w:rPr>
                </w:pPr>
                <w:r>
                  <w:rPr>
                    <w:rFonts w:cs="Times New Roman"/>
                    <w:color w:val="000000"/>
                  </w:rPr>
                  <w:t>组合三账龄组合</w:t>
                </w:r>
              </w:p>
            </w:tc>
            <w:tc>
              <w:tcPr>
                <w:tcW w:w="2268" w:type="dxa"/>
                <w:vAlign w:val="center"/>
              </w:tcPr>
              <w:p w14:paraId="08AE4B02">
                <w:pPr>
                  <w:widowControl w:val="0"/>
                  <w:jc w:val="both"/>
                  <w:rPr>
                    <w:color w:val="000000" w:themeColor="text1"/>
                    <w14:textFill>
                      <w14:solidFill>
                        <w14:schemeClr w14:val="tx1"/>
                      </w14:solidFill>
                    </w14:textFill>
                  </w:rPr>
                </w:pPr>
                <w:r>
                  <w:rPr>
                    <w:rFonts w:cs="Times New Roman"/>
                    <w:color w:val="000000"/>
                  </w:rPr>
                  <w:t>账龄</w:t>
                </w:r>
              </w:p>
            </w:tc>
            <w:tc>
              <w:tcPr>
                <w:tcW w:w="4008" w:type="dxa"/>
                <w:vAlign w:val="center"/>
              </w:tcPr>
              <w:p w14:paraId="1BEFA1AA">
                <w:pPr>
                  <w:widowControl w:val="0"/>
                  <w:jc w:val="both"/>
                  <w:rPr>
                    <w:color w:val="000000" w:themeColor="text1"/>
                    <w14:textFill>
                      <w14:solidFill>
                        <w14:schemeClr w14:val="tx1"/>
                      </w14:solidFill>
                    </w14:textFill>
                  </w:rPr>
                </w:pPr>
                <w:r>
                  <w:rPr>
                    <w:rFonts w:hint="eastAsia"/>
                    <w:bCs w:val="0"/>
                  </w:rPr>
                  <w:t>按账龄与整个存续期预期信用损失率对照表计提</w:t>
                </w:r>
              </w:p>
            </w:tc>
          </w:tr>
        </w:tbl>
        <w:p w14:paraId="5DA3913B">
          <w:pPr>
            <w:rPr>
              <w:color w:val="000000" w:themeColor="text1"/>
              <w14:textFill>
                <w14:solidFill>
                  <w14:schemeClr w14:val="tx1"/>
                </w14:solidFill>
              </w14:textFill>
            </w:rPr>
          </w:pPr>
        </w:p>
      </w:sdtContent>
    </w:sdt>
    <w:p w14:paraId="02773B96">
      <w:pPr>
        <w:rPr>
          <w:rFonts w:cs="Times New Roman"/>
          <w:b/>
          <w:bCs w:val="0"/>
          <w:color w:val="000000" w:themeColor="text1"/>
          <w:kern w:val="2"/>
          <w:szCs w:val="28"/>
          <w14:textFill>
            <w14:solidFill>
              <w14:schemeClr w14:val="tx1"/>
            </w14:solidFill>
          </w14:textFill>
        </w:rPr>
      </w:pPr>
    </w:p>
    <w:p w14:paraId="79033766">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基于账龄确认信用风险特征组合的账龄计算方法</w:t>
      </w:r>
    </w:p>
    <w:sdt>
      <w:sdtPr>
        <w:rPr>
          <w:color w:val="000000" w:themeColor="text1"/>
          <w14:textFill>
            <w14:solidFill>
              <w14:schemeClr w14:val="tx1"/>
            </w14:solidFill>
          </w14:textFill>
        </w:rPr>
        <w:alias w:val="是否适用：应收账款基于账龄确认信用风险特征组合的账龄计算方法[双击切换]"/>
        <w:tag w:val="_GBC_a30f82acbfab40128924b158366b4a73"/>
        <w:id w:val="147453083"/>
        <w:placeholder>
          <w:docPart w:val="GBC22222222222222222222222222222"/>
        </w:placeholder>
      </w:sdtPr>
      <w:sdtEndPr>
        <w:rPr>
          <w:color w:val="000000" w:themeColor="text1"/>
          <w14:textFill>
            <w14:solidFill>
              <w14:schemeClr w14:val="tx1"/>
            </w14:solidFill>
          </w14:textFill>
        </w:rPr>
      </w:sdtEndPr>
      <w:sdtContent>
        <w:p w14:paraId="46DCD24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应收账款基于账龄确认信用风险特征组合的账龄计算方法"/>
        <w:tag w:val="_GBC_b5bf8a2c04eb4b5b905005b0fbc7b697"/>
        <w:id w:val="147471640"/>
        <w:placeholder>
          <w:docPart w:val="GBC22222222222222222222222222222"/>
        </w:placeholder>
      </w:sdtPr>
      <w:sdtEndPr>
        <w:rPr>
          <w:color w:val="000000" w:themeColor="text1"/>
          <w14:textFill>
            <w14:solidFill>
              <w14:schemeClr w14:val="tx1"/>
            </w14:solidFill>
          </w14:textFill>
        </w:rPr>
      </w:sdtEndPr>
      <w:sdtContent>
        <w:p w14:paraId="0A87F521">
          <w:pPr>
            <w:rPr>
              <w:color w:val="000000" w:themeColor="text1"/>
              <w14:textFill>
                <w14:solidFill>
                  <w14:schemeClr w14:val="tx1"/>
                </w14:solidFill>
              </w14:textFill>
            </w:rPr>
          </w:pPr>
          <w:r>
            <w:rPr>
              <w:rFonts w:hint="eastAsia"/>
              <w:color w:val="000000" w:themeColor="text1"/>
              <w14:textFill>
                <w14:solidFill>
                  <w14:schemeClr w14:val="tx1"/>
                </w14:solidFill>
              </w14:textFill>
            </w:rPr>
            <w:t>账龄组合的账龄与预期信用损失率对照表如下：</w:t>
          </w: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1"/>
            <w:gridCol w:w="4412"/>
          </w:tblGrid>
          <w:tr w14:paraId="5CC39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411" w:type="dxa"/>
                <w:vAlign w:val="center"/>
              </w:tcPr>
              <w:p w14:paraId="66633BA2">
                <w:pPr>
                  <w:widowControl w:val="0"/>
                  <w:jc w:val="center"/>
                  <w:rPr>
                    <w:color w:val="000000" w:themeColor="text1"/>
                    <w14:textFill>
                      <w14:solidFill>
                        <w14:schemeClr w14:val="tx1"/>
                      </w14:solidFill>
                    </w14:textFill>
                  </w:rPr>
                </w:pPr>
                <w:r>
                  <w:rPr>
                    <w:rFonts w:cs="Times New Roman"/>
                    <w:color w:val="000000"/>
                  </w:rPr>
                  <w:t>账龄</w:t>
                </w:r>
              </w:p>
            </w:tc>
            <w:tc>
              <w:tcPr>
                <w:tcW w:w="4412" w:type="dxa"/>
                <w:vAlign w:val="center"/>
              </w:tcPr>
              <w:p w14:paraId="3730ED88">
                <w:pPr>
                  <w:widowControl w:val="0"/>
                  <w:jc w:val="center"/>
                  <w:rPr>
                    <w:color w:val="000000" w:themeColor="text1"/>
                    <w14:textFill>
                      <w14:solidFill>
                        <w14:schemeClr w14:val="tx1"/>
                      </w14:solidFill>
                    </w14:textFill>
                  </w:rPr>
                </w:pPr>
                <w:r>
                  <w:t>应收账款预期信用损失率（%</w:t>
                </w:r>
                <w:r>
                  <w:rPr>
                    <w:rFonts w:cs="Times New Roman"/>
                  </w:rPr>
                  <w:t>）</w:t>
                </w:r>
              </w:p>
            </w:tc>
          </w:tr>
          <w:tr w14:paraId="265D7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5D911BBB">
                <w:pPr>
                  <w:widowControl w:val="0"/>
                  <w:jc w:val="center"/>
                  <w:rPr>
                    <w:rFonts w:cs="Times New Roman"/>
                    <w:color w:val="000000" w:themeColor="text1"/>
                    <w14:textFill>
                      <w14:solidFill>
                        <w14:schemeClr w14:val="tx1"/>
                      </w14:solidFill>
                    </w14:textFill>
                  </w:rPr>
                </w:pPr>
                <w:r>
                  <w:rPr>
                    <w:rFonts w:cs="Times New Roman"/>
                    <w:bCs w:val="0"/>
                  </w:rPr>
                  <w:t>1年以内</w:t>
                </w:r>
              </w:p>
            </w:tc>
            <w:tc>
              <w:tcPr>
                <w:tcW w:w="4412" w:type="dxa"/>
                <w:vAlign w:val="center"/>
              </w:tcPr>
              <w:p w14:paraId="3077D9DB">
                <w:pPr>
                  <w:widowControl w:val="0"/>
                  <w:jc w:val="center"/>
                  <w:rPr>
                    <w:rFonts w:cs="Times New Roman"/>
                    <w:color w:val="000000" w:themeColor="text1"/>
                    <w14:textFill>
                      <w14:solidFill>
                        <w14:schemeClr w14:val="tx1"/>
                      </w14:solidFill>
                    </w14:textFill>
                  </w:rPr>
                </w:pPr>
              </w:p>
            </w:tc>
          </w:tr>
          <w:tr w14:paraId="6CAE0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6C9D0B0D">
                <w:pPr>
                  <w:widowControl w:val="0"/>
                  <w:jc w:val="center"/>
                  <w:rPr>
                    <w:rFonts w:cs="Times New Roman"/>
                    <w:color w:val="000000" w:themeColor="text1"/>
                    <w14:textFill>
                      <w14:solidFill>
                        <w14:schemeClr w14:val="tx1"/>
                      </w14:solidFill>
                    </w14:textFill>
                  </w:rPr>
                </w:pPr>
                <w:r>
                  <w:rPr>
                    <w:rFonts w:cs="Times New Roman"/>
                    <w:bCs w:val="0"/>
                  </w:rPr>
                  <w:t>1－2年</w:t>
                </w:r>
              </w:p>
            </w:tc>
            <w:tc>
              <w:tcPr>
                <w:tcW w:w="4412" w:type="dxa"/>
                <w:vAlign w:val="center"/>
              </w:tcPr>
              <w:p w14:paraId="0D01C2F2">
                <w:pPr>
                  <w:widowControl w:val="0"/>
                  <w:jc w:val="center"/>
                  <w:rPr>
                    <w:rFonts w:cs="Times New Roman"/>
                    <w:color w:val="000000" w:themeColor="text1"/>
                    <w14:textFill>
                      <w14:solidFill>
                        <w14:schemeClr w14:val="tx1"/>
                      </w14:solidFill>
                    </w14:textFill>
                  </w:rPr>
                </w:pPr>
                <w:r>
                  <w:rPr>
                    <w:rFonts w:cs="Times New Roman"/>
                    <w:color w:val="000000"/>
                  </w:rPr>
                  <w:t>20</w:t>
                </w:r>
              </w:p>
            </w:tc>
          </w:tr>
          <w:tr w14:paraId="42D39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5A5D7243">
                <w:pPr>
                  <w:widowControl w:val="0"/>
                  <w:jc w:val="center"/>
                  <w:rPr>
                    <w:rFonts w:cs="Times New Roman"/>
                    <w:color w:val="000000" w:themeColor="text1"/>
                    <w14:textFill>
                      <w14:solidFill>
                        <w14:schemeClr w14:val="tx1"/>
                      </w14:solidFill>
                    </w14:textFill>
                  </w:rPr>
                </w:pPr>
                <w:r>
                  <w:rPr>
                    <w:rFonts w:cs="Times New Roman"/>
                    <w:bCs w:val="0"/>
                  </w:rPr>
                  <w:t>2－3年</w:t>
                </w:r>
              </w:p>
            </w:tc>
            <w:tc>
              <w:tcPr>
                <w:tcW w:w="4412" w:type="dxa"/>
                <w:vAlign w:val="center"/>
              </w:tcPr>
              <w:p w14:paraId="7FFD52FC">
                <w:pPr>
                  <w:widowControl w:val="0"/>
                  <w:jc w:val="center"/>
                  <w:rPr>
                    <w:rFonts w:cs="Times New Roman"/>
                    <w:color w:val="000000" w:themeColor="text1"/>
                    <w14:textFill>
                      <w14:solidFill>
                        <w14:schemeClr w14:val="tx1"/>
                      </w14:solidFill>
                    </w14:textFill>
                  </w:rPr>
                </w:pPr>
                <w:r>
                  <w:rPr>
                    <w:rFonts w:cs="Times New Roman"/>
                    <w:color w:val="000000"/>
                  </w:rPr>
                  <w:t>50</w:t>
                </w:r>
              </w:p>
            </w:tc>
          </w:tr>
          <w:tr w14:paraId="7200E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4A579F29">
                <w:pPr>
                  <w:widowControl w:val="0"/>
                  <w:jc w:val="center"/>
                  <w:rPr>
                    <w:rFonts w:cs="Times New Roman"/>
                    <w:color w:val="000000" w:themeColor="text1"/>
                    <w14:textFill>
                      <w14:solidFill>
                        <w14:schemeClr w14:val="tx1"/>
                      </w14:solidFill>
                    </w14:textFill>
                  </w:rPr>
                </w:pPr>
                <w:r>
                  <w:rPr>
                    <w:rFonts w:cs="Times New Roman"/>
                    <w:bCs w:val="0"/>
                  </w:rPr>
                  <w:t>3－4年</w:t>
                </w:r>
              </w:p>
            </w:tc>
            <w:tc>
              <w:tcPr>
                <w:tcW w:w="4412" w:type="dxa"/>
                <w:vAlign w:val="center"/>
              </w:tcPr>
              <w:p w14:paraId="3F765C78">
                <w:pPr>
                  <w:widowControl w:val="0"/>
                  <w:jc w:val="center"/>
                  <w:rPr>
                    <w:rFonts w:cs="Times New Roman"/>
                    <w:color w:val="000000" w:themeColor="text1"/>
                    <w14:textFill>
                      <w14:solidFill>
                        <w14:schemeClr w14:val="tx1"/>
                      </w14:solidFill>
                    </w14:textFill>
                  </w:rPr>
                </w:pPr>
                <w:r>
                  <w:rPr>
                    <w:rFonts w:cs="Times New Roman"/>
                    <w:color w:val="000000"/>
                  </w:rPr>
                  <w:t>70</w:t>
                </w:r>
              </w:p>
            </w:tc>
          </w:tr>
          <w:tr w14:paraId="1192A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13FD8FB6">
                <w:pPr>
                  <w:widowControl w:val="0"/>
                  <w:jc w:val="center"/>
                  <w:rPr>
                    <w:rFonts w:cs="Times New Roman"/>
                    <w:color w:val="000000" w:themeColor="text1"/>
                    <w14:textFill>
                      <w14:solidFill>
                        <w14:schemeClr w14:val="tx1"/>
                      </w14:solidFill>
                    </w14:textFill>
                  </w:rPr>
                </w:pPr>
                <w:r>
                  <w:rPr>
                    <w:rFonts w:cs="Times New Roman"/>
                    <w:bCs w:val="0"/>
                  </w:rPr>
                  <w:t>4－5年</w:t>
                </w:r>
              </w:p>
            </w:tc>
            <w:tc>
              <w:tcPr>
                <w:tcW w:w="4412" w:type="dxa"/>
                <w:vAlign w:val="center"/>
              </w:tcPr>
              <w:p w14:paraId="2A4C2035">
                <w:pPr>
                  <w:widowControl w:val="0"/>
                  <w:jc w:val="center"/>
                  <w:rPr>
                    <w:rFonts w:cs="Times New Roman"/>
                    <w:color w:val="000000" w:themeColor="text1"/>
                    <w14:textFill>
                      <w14:solidFill>
                        <w14:schemeClr w14:val="tx1"/>
                      </w14:solidFill>
                    </w14:textFill>
                  </w:rPr>
                </w:pPr>
                <w:r>
                  <w:rPr>
                    <w:rFonts w:cs="Times New Roman"/>
                    <w:color w:val="000000"/>
                  </w:rPr>
                  <w:t>80</w:t>
                </w:r>
              </w:p>
            </w:tc>
          </w:tr>
          <w:tr w14:paraId="0525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2FBD7A91">
                <w:pPr>
                  <w:widowControl w:val="0"/>
                  <w:jc w:val="center"/>
                  <w:rPr>
                    <w:rFonts w:cs="Times New Roman"/>
                    <w:color w:val="000000" w:themeColor="text1"/>
                    <w14:textFill>
                      <w14:solidFill>
                        <w14:schemeClr w14:val="tx1"/>
                      </w14:solidFill>
                    </w14:textFill>
                  </w:rPr>
                </w:pPr>
                <w:r>
                  <w:rPr>
                    <w:rFonts w:cs="Times New Roman"/>
                    <w:bCs w:val="0"/>
                  </w:rPr>
                  <w:t>5年以上</w:t>
                </w:r>
              </w:p>
            </w:tc>
            <w:tc>
              <w:tcPr>
                <w:tcW w:w="4412" w:type="dxa"/>
                <w:vAlign w:val="center"/>
              </w:tcPr>
              <w:p w14:paraId="6A1CFB09">
                <w:pPr>
                  <w:widowControl w:val="0"/>
                  <w:jc w:val="center"/>
                  <w:rPr>
                    <w:rFonts w:cs="Times New Roman"/>
                    <w:color w:val="000000" w:themeColor="text1"/>
                    <w14:textFill>
                      <w14:solidFill>
                        <w14:schemeClr w14:val="tx1"/>
                      </w14:solidFill>
                    </w14:textFill>
                  </w:rPr>
                </w:pPr>
                <w:r>
                  <w:rPr>
                    <w:rFonts w:cs="Times New Roman"/>
                    <w:color w:val="000000"/>
                  </w:rPr>
                  <w:t>100</w:t>
                </w:r>
              </w:p>
            </w:tc>
          </w:tr>
        </w:tbl>
        <w:p w14:paraId="41FD1DF9">
          <w:pPr>
            <w:rPr>
              <w:color w:val="000000" w:themeColor="text1"/>
              <w14:textFill>
                <w14:solidFill>
                  <w14:schemeClr w14:val="tx1"/>
                </w14:solidFill>
              </w14:textFill>
            </w:rPr>
          </w:pPr>
        </w:p>
      </w:sdtContent>
    </w:sdt>
    <w:p w14:paraId="245A8D3B">
      <w:pPr>
        <w:rPr>
          <w:rFonts w:cs="Times New Roman"/>
          <w:b/>
          <w:bCs w:val="0"/>
          <w:color w:val="000000" w:themeColor="text1"/>
          <w:kern w:val="2"/>
          <w:szCs w:val="28"/>
          <w14:textFill>
            <w14:solidFill>
              <w14:schemeClr w14:val="tx1"/>
            </w14:solidFill>
          </w14:textFill>
        </w:rPr>
      </w:pPr>
    </w:p>
    <w:p w14:paraId="3379F332">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按照单项计提坏账准备的认定单项计提判断标准</w:t>
      </w:r>
    </w:p>
    <w:sdt>
      <w:sdtPr>
        <w:rPr>
          <w:color w:val="000000" w:themeColor="text1"/>
          <w14:textFill>
            <w14:solidFill>
              <w14:schemeClr w14:val="tx1"/>
            </w14:solidFill>
          </w14:textFill>
        </w:rPr>
        <w:alias w:val="是否适用：应收账款按照单项计提坏账准备的单项计提判断标准[双击切换]"/>
        <w:tag w:val="_GBC_ee9e87b79c8a492885f71b93a5fcd48d"/>
        <w:id w:val="147461386"/>
        <w:placeholder>
          <w:docPart w:val="GBC22222222222222222222222222222"/>
        </w:placeholder>
      </w:sdtPr>
      <w:sdtEndPr>
        <w:rPr>
          <w:color w:val="000000" w:themeColor="text1"/>
          <w14:textFill>
            <w14:solidFill>
              <w14:schemeClr w14:val="tx1"/>
            </w14:solidFill>
          </w14:textFill>
        </w:rPr>
      </w:sdtEndPr>
      <w:sdtContent>
        <w:p w14:paraId="43F35BA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应收账款按照单项计提坏账准备的单项计提判断标准"/>
        <w:tag w:val="_GBC_b895356990fa48cc8b1ad33cc5cda698"/>
        <w:id w:val="147463752"/>
        <w:placeholder>
          <w:docPart w:val="GBC22222222222222222222222222222"/>
        </w:placeholder>
      </w:sdtPr>
      <w:sdtEndPr>
        <w:rPr>
          <w:color w:val="000000" w:themeColor="text1"/>
          <w14:textFill>
            <w14:solidFill>
              <w14:schemeClr w14:val="tx1"/>
            </w14:solidFill>
          </w14:textFill>
        </w:rPr>
      </w:sdtEndPr>
      <w:sdtContent>
        <w:p w14:paraId="7B7F286A">
          <w:pPr>
            <w:rPr>
              <w:color w:val="000000" w:themeColor="text1"/>
              <w14:textFill>
                <w14:solidFill>
                  <w14:schemeClr w14:val="tx1"/>
                </w14:solidFill>
              </w14:textFill>
            </w:rPr>
          </w:pPr>
          <w:r>
            <w:rPr>
              <w:rFonts w:hint="eastAsia"/>
              <w:color w:val="000000" w:themeColor="text1"/>
              <w14:textFill>
                <w14:solidFill>
                  <w14:schemeClr w14:val="tx1"/>
                </w14:solidFill>
              </w14:textFill>
            </w:rPr>
            <w:t>对信用风险与组合信用风险显著不同的应收款项，公司按单项计提预期信用损失。</w:t>
          </w:r>
        </w:p>
      </w:sdtContent>
    </w:sdt>
    <w:p w14:paraId="1841E13E">
      <w:pPr>
        <w:rPr>
          <w:color w:val="000000" w:themeColor="text1"/>
          <w14:textFill>
            <w14:solidFill>
              <w14:schemeClr w14:val="tx1"/>
            </w14:solidFill>
          </w14:textFill>
        </w:rPr>
      </w:pPr>
    </w:p>
    <w:p w14:paraId="7055BBB8">
      <w:pPr>
        <w:pStyle w:val="57"/>
        <w:numPr>
          <w:ilvl w:val="0"/>
          <w:numId w:val="46"/>
        </w:numPr>
        <w:rPr>
          <w:rFonts w:ascii="宋体" w:hAnsi="宋体"/>
          <w:color w:val="000000" w:themeColor="text1"/>
          <w14:textFill>
            <w14:solidFill>
              <w14:schemeClr w14:val="tx1"/>
            </w14:solidFill>
          </w14:textFill>
        </w:rPr>
      </w:pPr>
      <w:bookmarkStart w:id="167" w:name="_Hlk24102310"/>
      <w:bookmarkStart w:id="168" w:name="_Hlk152690443"/>
      <w:r>
        <w:rPr>
          <w:rFonts w:ascii="宋体" w:hAnsi="宋体"/>
          <w:color w:val="000000" w:themeColor="text1"/>
          <w14:textFill>
            <w14:solidFill>
              <w14:schemeClr w14:val="tx1"/>
            </w14:solidFill>
          </w14:textFill>
        </w:rPr>
        <w:t>应收款项融资</w:t>
      </w:r>
    </w:p>
    <w:sdt>
      <w:sdtPr>
        <w:rPr>
          <w:color w:val="000000" w:themeColor="text1"/>
          <w14:textFill>
            <w14:solidFill>
              <w14:schemeClr w14:val="tx1"/>
            </w14:solidFill>
          </w14:textFill>
        </w:rPr>
        <w:alias w:val="是否适用：应收款项融资_重要会计政策和估计[双击切换]"/>
        <w:tag w:val="_GBC_47906a8d31c54a72891112f417e1058d"/>
        <w:id w:val="147464031"/>
        <w:placeholder>
          <w:docPart w:val="GBC22222222222222222222222222222"/>
        </w:placeholder>
      </w:sdtPr>
      <w:sdtEndPr>
        <w:rPr>
          <w:color w:val="000000" w:themeColor="text1"/>
          <w14:textFill>
            <w14:solidFill>
              <w14:schemeClr w14:val="tx1"/>
            </w14:solidFill>
          </w14:textFill>
        </w:rPr>
      </w:sdtEndPr>
      <w:sdtContent>
        <w:p w14:paraId="7AAD875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167"/>
    <w:bookmarkEnd w:id="168"/>
    <w:p w14:paraId="6ED9BC92">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按照信用风险特征组合计提坏账准备的组合类别及确定依据</w:t>
      </w:r>
    </w:p>
    <w:sdt>
      <w:sdtPr>
        <w:rPr>
          <w:color w:val="000000" w:themeColor="text1"/>
          <w14:textFill>
            <w14:solidFill>
              <w14:schemeClr w14:val="tx1"/>
            </w14:solidFill>
          </w14:textFill>
        </w:rPr>
        <w:alias w:val="是否适用：应收款项融资按照信用风险特征组合计提坏账准备的组合类别及确定依据[双击切换]"/>
        <w:tag w:val="_GBC_991c72bbcc9e4545985776851a67e9f5"/>
        <w:id w:val="147461495"/>
        <w:placeholder>
          <w:docPart w:val="GBC22222222222222222222222222222"/>
        </w:placeholder>
      </w:sdtPr>
      <w:sdtEndPr>
        <w:rPr>
          <w:color w:val="000000" w:themeColor="text1"/>
          <w14:textFill>
            <w14:solidFill>
              <w14:schemeClr w14:val="tx1"/>
            </w14:solidFill>
          </w14:textFill>
        </w:rPr>
      </w:sdtEndPr>
      <w:sdtContent>
        <w:p w14:paraId="4501057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应收款项融资按照信用风险特征组合计提坏账准备的组合类别及确定依据"/>
        <w:tag w:val="_GBC_e001404223de4b32980aa3a5b54f2b74"/>
        <w:id w:val="147462061"/>
        <w:placeholder>
          <w:docPart w:val="GBC22222222222222222222222222222"/>
        </w:placeholder>
      </w:sdtPr>
      <w:sdtEndPr>
        <w:rPr>
          <w:color w:val="000000" w:themeColor="text1"/>
          <w14:textFill>
            <w14:solidFill>
              <w14:schemeClr w14:val="tx1"/>
            </w14:solidFill>
          </w14:textFill>
        </w:rPr>
      </w:sdtEndPr>
      <w:sdtContent>
        <w:p w14:paraId="06930A5A">
          <w:pPr>
            <w:rPr>
              <w:color w:val="000000" w:themeColor="text1"/>
              <w14:textFill>
                <w14:solidFill>
                  <w14:schemeClr w14:val="tx1"/>
                </w14:solidFill>
              </w14:textFill>
            </w:rPr>
          </w:pPr>
          <w:r>
            <w:rPr>
              <w:rFonts w:hint="eastAsia"/>
              <w:color w:val="000000" w:themeColor="text1"/>
              <w14:textFill>
                <w14:solidFill>
                  <w14:schemeClr w14:val="tx1"/>
                </w14:solidFill>
              </w14:textFill>
            </w:rPr>
            <w:t>具体情况详见附注五、11、金融工具。</w:t>
          </w:r>
        </w:p>
      </w:sdtContent>
    </w:sdt>
    <w:p w14:paraId="6D6D1194">
      <w:pPr>
        <w:rPr>
          <w:rFonts w:cs="Times New Roman"/>
          <w:b/>
          <w:bCs w:val="0"/>
          <w:color w:val="000000" w:themeColor="text1"/>
          <w:kern w:val="2"/>
          <w:szCs w:val="28"/>
          <w14:textFill>
            <w14:solidFill>
              <w14:schemeClr w14:val="tx1"/>
            </w14:solidFill>
          </w14:textFill>
        </w:rPr>
      </w:pPr>
    </w:p>
    <w:p w14:paraId="21F3DF1B">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基于账龄确认信用风险特征组合的账龄计算方法</w:t>
      </w:r>
    </w:p>
    <w:sdt>
      <w:sdtPr>
        <w:rPr>
          <w:color w:val="000000" w:themeColor="text1"/>
          <w14:textFill>
            <w14:solidFill>
              <w14:schemeClr w14:val="tx1"/>
            </w14:solidFill>
          </w14:textFill>
        </w:rPr>
        <w:alias w:val="是否适用：应收款项融资基于账龄确认信用风险特征组合的账龄计算方法[双击切换]"/>
        <w:tag w:val="_GBC_ed4ac302bc6f4dee85e2b543d38e4b3e"/>
        <w:id w:val="147468764"/>
        <w:placeholder>
          <w:docPart w:val="GBC22222222222222222222222222222"/>
        </w:placeholder>
      </w:sdtPr>
      <w:sdtEndPr>
        <w:rPr>
          <w:color w:val="000000" w:themeColor="text1"/>
          <w14:textFill>
            <w14:solidFill>
              <w14:schemeClr w14:val="tx1"/>
            </w14:solidFill>
          </w14:textFill>
        </w:rPr>
      </w:sdtEndPr>
      <w:sdtContent>
        <w:p w14:paraId="17EE601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应收款项融资基于账龄确认信用风险特征组合的账龄计算方法"/>
        <w:tag w:val="_GBC_dd9635a615ab425aaaec1feb5c3c6f6b"/>
        <w:id w:val="147477993"/>
        <w:placeholder>
          <w:docPart w:val="GBC22222222222222222222222222222"/>
        </w:placeholder>
      </w:sdtPr>
      <w:sdtEndPr>
        <w:rPr>
          <w:color w:val="000000" w:themeColor="text1"/>
          <w14:textFill>
            <w14:solidFill>
              <w14:schemeClr w14:val="tx1"/>
            </w14:solidFill>
          </w14:textFill>
        </w:rPr>
      </w:sdtEndPr>
      <w:sdtContent>
        <w:p w14:paraId="0440F5F7">
          <w:pPr>
            <w:rPr>
              <w:color w:val="000000" w:themeColor="text1"/>
              <w14:textFill>
                <w14:solidFill>
                  <w14:schemeClr w14:val="tx1"/>
                </w14:solidFill>
              </w14:textFill>
            </w:rPr>
          </w:pPr>
          <w:r>
            <w:rPr>
              <w:rFonts w:hint="eastAsia"/>
              <w:color w:val="000000" w:themeColor="text1"/>
              <w14:textFill>
                <w14:solidFill>
                  <w14:schemeClr w14:val="tx1"/>
                </w14:solidFill>
              </w14:textFill>
            </w:rPr>
            <w:t>具体情况详见附注五、11、金融工具。</w:t>
          </w:r>
        </w:p>
      </w:sdtContent>
    </w:sdt>
    <w:p w14:paraId="5F8D88F3">
      <w:pPr>
        <w:rPr>
          <w:rFonts w:cs="Times New Roman"/>
          <w:b/>
          <w:bCs w:val="0"/>
          <w:color w:val="000000" w:themeColor="text1"/>
          <w:kern w:val="2"/>
          <w:szCs w:val="28"/>
          <w14:textFill>
            <w14:solidFill>
              <w14:schemeClr w14:val="tx1"/>
            </w14:solidFill>
          </w14:textFill>
        </w:rPr>
      </w:pPr>
    </w:p>
    <w:p w14:paraId="71D306F2">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按照单项计提坏账准备的单项计提判断标准</w:t>
      </w:r>
    </w:p>
    <w:sdt>
      <w:sdtPr>
        <w:rPr>
          <w:color w:val="000000" w:themeColor="text1"/>
          <w14:textFill>
            <w14:solidFill>
              <w14:schemeClr w14:val="tx1"/>
            </w14:solidFill>
          </w14:textFill>
        </w:rPr>
        <w:alias w:val="是否适用：应收款项融资按照单项计提坏账准备的单项计提判断标准[双击切换]"/>
        <w:tag w:val="_GBC_da1ff8ccd2084f059e028af496d67278"/>
        <w:id w:val="147477187"/>
        <w:placeholder>
          <w:docPart w:val="GBC22222222222222222222222222222"/>
        </w:placeholder>
      </w:sdtPr>
      <w:sdtEndPr>
        <w:rPr>
          <w:color w:val="000000" w:themeColor="text1"/>
          <w14:textFill>
            <w14:solidFill>
              <w14:schemeClr w14:val="tx1"/>
            </w14:solidFill>
          </w14:textFill>
        </w:rPr>
      </w:sdtEndPr>
      <w:sdtContent>
        <w:p w14:paraId="5F75F76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应收款项融资按照单项计提坏账准备的单项计提判断标准"/>
        <w:tag w:val="_GBC_6b04e4650f0645ff867d0c4ec58b44d2"/>
        <w:id w:val="147463871"/>
        <w:placeholder>
          <w:docPart w:val="GBC22222222222222222222222222222"/>
        </w:placeholder>
      </w:sdtPr>
      <w:sdtEndPr>
        <w:rPr>
          <w:color w:val="000000" w:themeColor="text1"/>
          <w14:textFill>
            <w14:solidFill>
              <w14:schemeClr w14:val="tx1"/>
            </w14:solidFill>
          </w14:textFill>
        </w:rPr>
      </w:sdtEndPr>
      <w:sdtContent>
        <w:p w14:paraId="4053FF56">
          <w:pPr>
            <w:rPr>
              <w:color w:val="000000" w:themeColor="text1"/>
              <w14:textFill>
                <w14:solidFill>
                  <w14:schemeClr w14:val="tx1"/>
                </w14:solidFill>
              </w14:textFill>
            </w:rPr>
          </w:pPr>
          <w:r>
            <w:rPr>
              <w:rFonts w:hint="eastAsia"/>
              <w:color w:val="000000" w:themeColor="text1"/>
              <w14:textFill>
                <w14:solidFill>
                  <w14:schemeClr w14:val="tx1"/>
                </w14:solidFill>
              </w14:textFill>
            </w:rPr>
            <w:t>具体情况详见附注五、11、金融工具。</w:t>
          </w:r>
        </w:p>
      </w:sdtContent>
    </w:sdt>
    <w:p w14:paraId="1AF4CD97">
      <w:pPr>
        <w:rPr>
          <w:color w:val="000000" w:themeColor="text1"/>
          <w14:textFill>
            <w14:solidFill>
              <w14:schemeClr w14:val="tx1"/>
            </w14:solidFill>
          </w14:textFill>
        </w:rPr>
      </w:pPr>
    </w:p>
    <w:p w14:paraId="70C9B585">
      <w:pPr>
        <w:pStyle w:val="57"/>
        <w:numPr>
          <w:ilvl w:val="0"/>
          <w:numId w:val="46"/>
        </w:numPr>
        <w:rPr>
          <w:rFonts w:ascii="宋体" w:hAnsi="宋体"/>
          <w:color w:val="000000" w:themeColor="text1"/>
          <w14:textFill>
            <w14:solidFill>
              <w14:schemeClr w14:val="tx1"/>
            </w14:solidFill>
          </w14:textFill>
        </w:rPr>
      </w:pPr>
      <w:bookmarkStart w:id="169" w:name="_Hlk533667836"/>
      <w:r>
        <w:rPr>
          <w:rFonts w:ascii="宋体" w:hAnsi="宋体"/>
          <w:color w:val="000000" w:themeColor="text1"/>
          <w14:textFill>
            <w14:solidFill>
              <w14:schemeClr w14:val="tx1"/>
            </w14:solidFill>
          </w14:textFill>
        </w:rPr>
        <w:t>其他应收款</w:t>
      </w:r>
    </w:p>
    <w:sdt>
      <w:sdtPr>
        <w:rPr>
          <w:rFonts w:hint="eastAsia"/>
          <w:color w:val="000000" w:themeColor="text1"/>
          <w14:textFill>
            <w14:solidFill>
              <w14:schemeClr w14:val="tx1"/>
            </w14:solidFill>
          </w14:textFill>
        </w:rPr>
        <w:alias w:val="是否适用：其他应收款_重要会计政策和估计[双击切换]"/>
        <w:tag w:val="_GBC_dfe58b09048a4951b32b48ce6a3930aa"/>
        <w:id w:val="147470974"/>
        <w:placeholder>
          <w:docPart w:val="GBC22222222222222222222222222222"/>
        </w:placeholder>
      </w:sdtPr>
      <w:sdtEndPr>
        <w:rPr>
          <w:rFonts w:hint="eastAsia"/>
          <w:color w:val="000000" w:themeColor="text1"/>
          <w14:textFill>
            <w14:solidFill>
              <w14:schemeClr w14:val="tx1"/>
            </w14:solidFill>
          </w14:textFill>
        </w:rPr>
      </w:sdtEndPr>
      <w:sdtContent>
        <w:p w14:paraId="75D7600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169"/>
    <w:p w14:paraId="2F72AF84">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按照信用风险特征组合计提坏账准备的组合类别及确定依据</w:t>
      </w:r>
    </w:p>
    <w:sdt>
      <w:sdtPr>
        <w:rPr>
          <w:color w:val="000000" w:themeColor="text1"/>
          <w14:textFill>
            <w14:solidFill>
              <w14:schemeClr w14:val="tx1"/>
            </w14:solidFill>
          </w14:textFill>
        </w:rPr>
        <w:alias w:val="是否适用：其他应收款按照信用风险特征组合计提坏账准备的组合类别及确定依据[双击切换]"/>
        <w:tag w:val="_GBC_9e16f620387d402e9e85b4fe910b3b32"/>
        <w:id w:val="147477048"/>
        <w:placeholder>
          <w:docPart w:val="GBC22222222222222222222222222222"/>
        </w:placeholder>
      </w:sdtPr>
      <w:sdtEndPr>
        <w:rPr>
          <w:color w:val="000000" w:themeColor="text1"/>
          <w14:textFill>
            <w14:solidFill>
              <w14:schemeClr w14:val="tx1"/>
            </w14:solidFill>
          </w14:textFill>
        </w:rPr>
      </w:sdtEndPr>
      <w:sdtContent>
        <w:p w14:paraId="6104F0C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其他应收款按照信用风险特征组合计提坏账准备的组合类别及确定依据"/>
        <w:tag w:val="_GBC_09d041e587b1414ca6dcd8a2b8f31b9f"/>
        <w:id w:val="147475448"/>
        <w:placeholder>
          <w:docPart w:val="GBC22222222222222222222222222222"/>
        </w:placeholder>
      </w:sdtPr>
      <w:sdtEndPr>
        <w:rPr>
          <w:color w:val="000000" w:themeColor="text1"/>
          <w14:textFill>
            <w14:solidFill>
              <w14:schemeClr w14:val="tx1"/>
            </w14:solidFill>
          </w14:textFill>
        </w:rPr>
      </w:sdtEndPr>
      <w:sdtContent>
        <w:p w14:paraId="20F8DB17">
          <w:pPr>
            <w:rPr>
              <w:color w:val="000000" w:themeColor="text1"/>
              <w14:textFill>
                <w14:solidFill>
                  <w14:schemeClr w14:val="tx1"/>
                </w14:solidFill>
              </w14:textFill>
            </w:rPr>
          </w:pPr>
          <w:r>
            <w:rPr>
              <w:rFonts w:hint="eastAsia"/>
              <w:color w:val="000000" w:themeColor="text1"/>
              <w14:textFill>
                <w14:solidFill>
                  <w14:schemeClr w14:val="tx1"/>
                </w14:solidFill>
              </w14:textFill>
            </w:rPr>
            <w:t>当在单项工具层面无法以合理成本评估预期信用损失的充分证据时，本公司参考历史信用损失经验，结合当前状况以及对未来经济状况的判断，依据信用风险特征将其他应收款划分为若干组合，在组合基础上计算预期信用损失。确定组合的依据如下：</w:t>
          </w: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2126"/>
            <w:gridCol w:w="4292"/>
          </w:tblGrid>
          <w:tr w14:paraId="75F7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551B3791">
                <w:pPr>
                  <w:widowControl w:val="0"/>
                  <w:jc w:val="center"/>
                  <w:rPr>
                    <w:color w:val="000000" w:themeColor="text1"/>
                    <w14:textFill>
                      <w14:solidFill>
                        <w14:schemeClr w14:val="tx1"/>
                      </w14:solidFill>
                    </w14:textFill>
                  </w:rPr>
                </w:pPr>
                <w:r>
                  <w:rPr>
                    <w:rFonts w:cs="Times New Roman"/>
                    <w:color w:val="000000"/>
                  </w:rPr>
                  <w:t>组合名称</w:t>
                </w:r>
              </w:p>
            </w:tc>
            <w:tc>
              <w:tcPr>
                <w:tcW w:w="2126" w:type="dxa"/>
                <w:vAlign w:val="center"/>
              </w:tcPr>
              <w:p w14:paraId="52638C61">
                <w:pPr>
                  <w:widowControl w:val="0"/>
                  <w:jc w:val="center"/>
                  <w:rPr>
                    <w:color w:val="000000" w:themeColor="text1"/>
                    <w14:textFill>
                      <w14:solidFill>
                        <w14:schemeClr w14:val="tx1"/>
                      </w14:solidFill>
                    </w14:textFill>
                  </w:rPr>
                </w:pPr>
                <w:r>
                  <w:rPr>
                    <w:rFonts w:cs="Times New Roman"/>
                    <w:color w:val="000000"/>
                  </w:rPr>
                  <w:t>确定组合的依据</w:t>
                </w:r>
              </w:p>
            </w:tc>
            <w:tc>
              <w:tcPr>
                <w:tcW w:w="4292" w:type="dxa"/>
                <w:vAlign w:val="center"/>
              </w:tcPr>
              <w:p w14:paraId="1E2A24A7">
                <w:pPr>
                  <w:widowControl w:val="0"/>
                  <w:jc w:val="center"/>
                  <w:rPr>
                    <w:color w:val="000000" w:themeColor="text1"/>
                    <w14:textFill>
                      <w14:solidFill>
                        <w14:schemeClr w14:val="tx1"/>
                      </w14:solidFill>
                    </w14:textFill>
                  </w:rPr>
                </w:pPr>
                <w:r>
                  <w:rPr>
                    <w:rFonts w:cs="Times New Roman"/>
                    <w:color w:val="000000"/>
                  </w:rPr>
                  <w:t>计提方法</w:t>
                </w:r>
              </w:p>
            </w:tc>
          </w:tr>
          <w:tr w14:paraId="5FDD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1D7B95E9">
                <w:pPr>
                  <w:widowControl w:val="0"/>
                  <w:jc w:val="both"/>
                  <w:rPr>
                    <w:color w:val="000000" w:themeColor="text1"/>
                    <w14:textFill>
                      <w14:solidFill>
                        <w14:schemeClr w14:val="tx1"/>
                      </w14:solidFill>
                    </w14:textFill>
                  </w:rPr>
                </w:pPr>
                <w:r>
                  <w:rPr>
                    <w:rFonts w:cs="Times New Roman"/>
                    <w:color w:val="000000"/>
                  </w:rPr>
                  <w:t>组合一军方、警方、政府职能部门等高信用水平单位应收款项组合</w:t>
                </w:r>
              </w:p>
            </w:tc>
            <w:tc>
              <w:tcPr>
                <w:tcW w:w="2126" w:type="dxa"/>
                <w:vAlign w:val="center"/>
              </w:tcPr>
              <w:p w14:paraId="238892D9">
                <w:pPr>
                  <w:widowControl w:val="0"/>
                  <w:jc w:val="both"/>
                  <w:rPr>
                    <w:color w:val="000000" w:themeColor="text1"/>
                    <w14:textFill>
                      <w14:solidFill>
                        <w14:schemeClr w14:val="tx1"/>
                      </w14:solidFill>
                    </w14:textFill>
                  </w:rPr>
                </w:pPr>
                <w:r>
                  <w:rPr>
                    <w:rFonts w:cs="Times New Roman"/>
                    <w:color w:val="000000"/>
                  </w:rPr>
                  <w:t>应收军方、警方、政府职能部门等高信用水平单位款项</w:t>
                </w:r>
              </w:p>
            </w:tc>
            <w:tc>
              <w:tcPr>
                <w:tcW w:w="4292" w:type="dxa"/>
                <w:vAlign w:val="center"/>
              </w:tcPr>
              <w:p w14:paraId="5CA3EA4F">
                <w:pPr>
                  <w:widowControl w:val="0"/>
                  <w:jc w:val="both"/>
                  <w:rPr>
                    <w:color w:val="000000" w:themeColor="text1"/>
                    <w14:textFill>
                      <w14:solidFill>
                        <w14:schemeClr w14:val="tx1"/>
                      </w14:solidFill>
                    </w14:textFill>
                  </w:rPr>
                </w:pPr>
                <w:r>
                  <w:rPr>
                    <w:rFonts w:hint="eastAsia" w:cs="Times New Roman"/>
                    <w:color w:val="000000"/>
                  </w:rPr>
                  <w:t>参考历史信用损失经验，结合当前状况以及对未来经济状况的预测，通过违约风险敞口和未来12个月内或整个存续期预期信用损失率，计算预期信用损失</w:t>
                </w:r>
              </w:p>
            </w:tc>
          </w:tr>
          <w:tr w14:paraId="42569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1E058476">
                <w:pPr>
                  <w:widowControl w:val="0"/>
                  <w:jc w:val="both"/>
                  <w:rPr>
                    <w:color w:val="000000" w:themeColor="text1"/>
                    <w14:textFill>
                      <w14:solidFill>
                        <w14:schemeClr w14:val="tx1"/>
                      </w14:solidFill>
                    </w14:textFill>
                  </w:rPr>
                </w:pPr>
                <w:r>
                  <w:rPr>
                    <w:rFonts w:cs="Times New Roman"/>
                    <w:color w:val="000000"/>
                  </w:rPr>
                  <w:t>组合二关联方组合</w:t>
                </w:r>
              </w:p>
            </w:tc>
            <w:tc>
              <w:tcPr>
                <w:tcW w:w="2126" w:type="dxa"/>
                <w:vAlign w:val="center"/>
              </w:tcPr>
              <w:p w14:paraId="08A2B6AF">
                <w:pPr>
                  <w:widowControl w:val="0"/>
                  <w:jc w:val="both"/>
                  <w:rPr>
                    <w:color w:val="000000" w:themeColor="text1"/>
                    <w14:textFill>
                      <w14:solidFill>
                        <w14:schemeClr w14:val="tx1"/>
                      </w14:solidFill>
                    </w14:textFill>
                  </w:rPr>
                </w:pPr>
                <w:r>
                  <w:rPr>
                    <w:rFonts w:cs="Times New Roman"/>
                    <w:color w:val="000000"/>
                  </w:rPr>
                  <w:t>关联关系</w:t>
                </w:r>
              </w:p>
            </w:tc>
            <w:tc>
              <w:tcPr>
                <w:tcW w:w="4292" w:type="dxa"/>
                <w:vAlign w:val="center"/>
              </w:tcPr>
              <w:p w14:paraId="503EF51F">
                <w:pPr>
                  <w:widowControl w:val="0"/>
                  <w:jc w:val="both"/>
                  <w:rPr>
                    <w:color w:val="000000" w:themeColor="text1"/>
                    <w14:textFill>
                      <w14:solidFill>
                        <w14:schemeClr w14:val="tx1"/>
                      </w14:solidFill>
                    </w14:textFill>
                  </w:rPr>
                </w:pPr>
                <w:r>
                  <w:rPr>
                    <w:rFonts w:hint="eastAsia" w:cs="Times New Roman"/>
                    <w:color w:val="000000"/>
                  </w:rPr>
                  <w:t>参考历史信用损失经验，结合当前状况以及对未来经济状况的预测，通过违约风险敞口和未来12个月内或整个存续期预期信用损失率，计算预期信用损失</w:t>
                </w:r>
              </w:p>
            </w:tc>
          </w:tr>
          <w:tr w14:paraId="7D2D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26BB35BB">
                <w:pPr>
                  <w:widowControl w:val="0"/>
                  <w:jc w:val="both"/>
                  <w:rPr>
                    <w:color w:val="000000" w:themeColor="text1"/>
                    <w14:textFill>
                      <w14:solidFill>
                        <w14:schemeClr w14:val="tx1"/>
                      </w14:solidFill>
                    </w14:textFill>
                  </w:rPr>
                </w:pPr>
                <w:r>
                  <w:rPr>
                    <w:rFonts w:cs="Times New Roman"/>
                    <w:color w:val="000000"/>
                  </w:rPr>
                  <w:t>组合三账龄组合</w:t>
                </w:r>
              </w:p>
            </w:tc>
            <w:tc>
              <w:tcPr>
                <w:tcW w:w="2126" w:type="dxa"/>
                <w:vAlign w:val="center"/>
              </w:tcPr>
              <w:p w14:paraId="041541C0">
                <w:pPr>
                  <w:widowControl w:val="0"/>
                  <w:jc w:val="both"/>
                  <w:rPr>
                    <w:color w:val="000000" w:themeColor="text1"/>
                    <w14:textFill>
                      <w14:solidFill>
                        <w14:schemeClr w14:val="tx1"/>
                      </w14:solidFill>
                    </w14:textFill>
                  </w:rPr>
                </w:pPr>
                <w:r>
                  <w:rPr>
                    <w:rFonts w:cs="Times New Roman"/>
                    <w:color w:val="000000"/>
                  </w:rPr>
                  <w:t>账龄</w:t>
                </w:r>
              </w:p>
            </w:tc>
            <w:tc>
              <w:tcPr>
                <w:tcW w:w="4292" w:type="dxa"/>
                <w:vAlign w:val="center"/>
              </w:tcPr>
              <w:p w14:paraId="220E4796">
                <w:pPr>
                  <w:widowControl w:val="0"/>
                  <w:jc w:val="both"/>
                  <w:rPr>
                    <w:color w:val="000000" w:themeColor="text1"/>
                    <w14:textFill>
                      <w14:solidFill>
                        <w14:schemeClr w14:val="tx1"/>
                      </w14:solidFill>
                    </w14:textFill>
                  </w:rPr>
                </w:pPr>
                <w:r>
                  <w:rPr>
                    <w:rFonts w:cs="Times New Roman"/>
                    <w:color w:val="000000"/>
                  </w:rPr>
                  <w:t>按账龄与整个存续期预期信用损失率对照表计提</w:t>
                </w:r>
              </w:p>
            </w:tc>
          </w:tr>
        </w:tbl>
        <w:p w14:paraId="36F26567">
          <w:pPr>
            <w:rPr>
              <w:color w:val="000000" w:themeColor="text1"/>
              <w14:textFill>
                <w14:solidFill>
                  <w14:schemeClr w14:val="tx1"/>
                </w14:solidFill>
              </w14:textFill>
            </w:rPr>
          </w:pPr>
        </w:p>
      </w:sdtContent>
    </w:sdt>
    <w:p w14:paraId="032B5BFB">
      <w:pPr>
        <w:rPr>
          <w:rFonts w:cs="Times New Roman"/>
          <w:b/>
          <w:bCs w:val="0"/>
          <w:color w:val="000000" w:themeColor="text1"/>
          <w:kern w:val="2"/>
          <w:szCs w:val="28"/>
          <w14:textFill>
            <w14:solidFill>
              <w14:schemeClr w14:val="tx1"/>
            </w14:solidFill>
          </w14:textFill>
        </w:rPr>
      </w:pPr>
    </w:p>
    <w:p w14:paraId="4C79BF56">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基于账龄确认信用风险特征组合的账龄计算方法</w:t>
      </w:r>
    </w:p>
    <w:sdt>
      <w:sdtPr>
        <w:rPr>
          <w:color w:val="000000" w:themeColor="text1"/>
          <w14:textFill>
            <w14:solidFill>
              <w14:schemeClr w14:val="tx1"/>
            </w14:solidFill>
          </w14:textFill>
        </w:rPr>
        <w:alias w:val="是否适用：其他应收款基于账龄确认信用风险特征组合的账龄计算方法[双击切换]"/>
        <w:tag w:val="_GBC_9dc6468b16fc492b8e1d15acd1f8b57f"/>
        <w:id w:val="147478145"/>
        <w:placeholder>
          <w:docPart w:val="GBC22222222222222222222222222222"/>
        </w:placeholder>
      </w:sdtPr>
      <w:sdtEndPr>
        <w:rPr>
          <w:color w:val="000000" w:themeColor="text1"/>
          <w14:textFill>
            <w14:solidFill>
              <w14:schemeClr w14:val="tx1"/>
            </w14:solidFill>
          </w14:textFill>
        </w:rPr>
      </w:sdtEndPr>
      <w:sdtContent>
        <w:p w14:paraId="2892BA1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其他应收款基于账龄确认信用风险特征组合的账龄计算方法"/>
        <w:tag w:val="_GBC_46c06c8585504e508591bc85e38076b2"/>
        <w:id w:val="147480542"/>
        <w:placeholder>
          <w:docPart w:val="GBC22222222222222222222222222222"/>
        </w:placeholder>
      </w:sdtPr>
      <w:sdtEndPr>
        <w:rPr>
          <w:rFonts w:cs="Times New Roman"/>
          <w:color w:val="000000" w:themeColor="text1"/>
          <w14:textFill>
            <w14:solidFill>
              <w14:schemeClr w14:val="tx1"/>
            </w14:solidFill>
          </w14:textFill>
        </w:rPr>
      </w:sdtEndPr>
      <w:sdtContent>
        <w:p w14:paraId="7F454D0F">
          <w:pPr>
            <w:rPr>
              <w:color w:val="000000" w:themeColor="text1"/>
              <w14:textFill>
                <w14:solidFill>
                  <w14:schemeClr w14:val="tx1"/>
                </w14:solidFill>
              </w14:textFill>
            </w:rPr>
          </w:pPr>
          <w:r>
            <w:rPr>
              <w:rFonts w:hint="eastAsia"/>
              <w:color w:val="000000" w:themeColor="text1"/>
              <w14:textFill>
                <w14:solidFill>
                  <w14:schemeClr w14:val="tx1"/>
                </w14:solidFill>
              </w14:textFill>
            </w:rPr>
            <w:t>账龄组合的账龄与预期信用损失率对照表如下：</w:t>
          </w: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1"/>
            <w:gridCol w:w="4412"/>
          </w:tblGrid>
          <w:tr w14:paraId="18CE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411" w:type="dxa"/>
                <w:vAlign w:val="center"/>
              </w:tcPr>
              <w:p w14:paraId="20738D46">
                <w:pPr>
                  <w:widowControl w:val="0"/>
                  <w:jc w:val="center"/>
                  <w:rPr>
                    <w:color w:val="000000" w:themeColor="text1"/>
                    <w14:textFill>
                      <w14:solidFill>
                        <w14:schemeClr w14:val="tx1"/>
                      </w14:solidFill>
                    </w14:textFill>
                  </w:rPr>
                </w:pPr>
                <w:r>
                  <w:rPr>
                    <w:rFonts w:cs="Times New Roman"/>
                    <w:color w:val="000000"/>
                  </w:rPr>
                  <w:t>账龄</w:t>
                </w:r>
              </w:p>
            </w:tc>
            <w:tc>
              <w:tcPr>
                <w:tcW w:w="4412" w:type="dxa"/>
                <w:vAlign w:val="center"/>
              </w:tcPr>
              <w:p w14:paraId="20C3B7EC">
                <w:pPr>
                  <w:widowControl w:val="0"/>
                  <w:jc w:val="center"/>
                  <w:rPr>
                    <w:color w:val="000000" w:themeColor="text1"/>
                    <w14:textFill>
                      <w14:solidFill>
                        <w14:schemeClr w14:val="tx1"/>
                      </w14:solidFill>
                    </w14:textFill>
                  </w:rPr>
                </w:pPr>
                <w:r>
                  <w:rPr>
                    <w:bCs w:val="0"/>
                  </w:rPr>
                  <w:t>其他应收款预期信用损失率（%）</w:t>
                </w:r>
              </w:p>
            </w:tc>
          </w:tr>
          <w:tr w14:paraId="701A0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191AE315">
                <w:pPr>
                  <w:widowControl w:val="0"/>
                  <w:jc w:val="center"/>
                  <w:rPr>
                    <w:rFonts w:cs="Times New Roman"/>
                    <w:color w:val="000000" w:themeColor="text1"/>
                    <w14:textFill>
                      <w14:solidFill>
                        <w14:schemeClr w14:val="tx1"/>
                      </w14:solidFill>
                    </w14:textFill>
                  </w:rPr>
                </w:pPr>
                <w:r>
                  <w:rPr>
                    <w:rFonts w:cs="Times New Roman"/>
                    <w:bCs w:val="0"/>
                  </w:rPr>
                  <w:t>1年以内</w:t>
                </w:r>
              </w:p>
            </w:tc>
            <w:tc>
              <w:tcPr>
                <w:tcW w:w="4412" w:type="dxa"/>
                <w:vAlign w:val="center"/>
              </w:tcPr>
              <w:p w14:paraId="588ED1E0">
                <w:pPr>
                  <w:widowControl w:val="0"/>
                  <w:jc w:val="center"/>
                  <w:rPr>
                    <w:rFonts w:cs="Times New Roman"/>
                    <w:color w:val="000000" w:themeColor="text1"/>
                    <w14:textFill>
                      <w14:solidFill>
                        <w14:schemeClr w14:val="tx1"/>
                      </w14:solidFill>
                    </w14:textFill>
                  </w:rPr>
                </w:pPr>
              </w:p>
            </w:tc>
          </w:tr>
          <w:tr w14:paraId="53EB9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50363C87">
                <w:pPr>
                  <w:widowControl w:val="0"/>
                  <w:jc w:val="center"/>
                  <w:rPr>
                    <w:rFonts w:cs="Times New Roman"/>
                    <w:color w:val="000000" w:themeColor="text1"/>
                    <w14:textFill>
                      <w14:solidFill>
                        <w14:schemeClr w14:val="tx1"/>
                      </w14:solidFill>
                    </w14:textFill>
                  </w:rPr>
                </w:pPr>
                <w:r>
                  <w:rPr>
                    <w:rFonts w:cs="Times New Roman"/>
                    <w:bCs w:val="0"/>
                  </w:rPr>
                  <w:t>1－2年</w:t>
                </w:r>
              </w:p>
            </w:tc>
            <w:tc>
              <w:tcPr>
                <w:tcW w:w="4412" w:type="dxa"/>
                <w:vAlign w:val="center"/>
              </w:tcPr>
              <w:p w14:paraId="70D6394A">
                <w:pPr>
                  <w:widowControl w:val="0"/>
                  <w:jc w:val="center"/>
                  <w:rPr>
                    <w:rFonts w:cs="Times New Roman"/>
                    <w:color w:val="000000" w:themeColor="text1"/>
                    <w14:textFill>
                      <w14:solidFill>
                        <w14:schemeClr w14:val="tx1"/>
                      </w14:solidFill>
                    </w14:textFill>
                  </w:rPr>
                </w:pPr>
                <w:r>
                  <w:rPr>
                    <w:rFonts w:cs="Times New Roman"/>
                    <w:color w:val="000000"/>
                  </w:rPr>
                  <w:t>20</w:t>
                </w:r>
              </w:p>
            </w:tc>
          </w:tr>
          <w:tr w14:paraId="7E52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38E86EE8">
                <w:pPr>
                  <w:widowControl w:val="0"/>
                  <w:jc w:val="center"/>
                  <w:rPr>
                    <w:rFonts w:cs="Times New Roman"/>
                    <w:color w:val="000000" w:themeColor="text1"/>
                    <w14:textFill>
                      <w14:solidFill>
                        <w14:schemeClr w14:val="tx1"/>
                      </w14:solidFill>
                    </w14:textFill>
                  </w:rPr>
                </w:pPr>
                <w:r>
                  <w:rPr>
                    <w:rFonts w:cs="Times New Roman"/>
                    <w:bCs w:val="0"/>
                  </w:rPr>
                  <w:t>2－3年</w:t>
                </w:r>
              </w:p>
            </w:tc>
            <w:tc>
              <w:tcPr>
                <w:tcW w:w="4412" w:type="dxa"/>
                <w:vAlign w:val="center"/>
              </w:tcPr>
              <w:p w14:paraId="22DEC17F">
                <w:pPr>
                  <w:widowControl w:val="0"/>
                  <w:jc w:val="center"/>
                  <w:rPr>
                    <w:rFonts w:cs="Times New Roman"/>
                    <w:color w:val="000000" w:themeColor="text1"/>
                    <w14:textFill>
                      <w14:solidFill>
                        <w14:schemeClr w14:val="tx1"/>
                      </w14:solidFill>
                    </w14:textFill>
                  </w:rPr>
                </w:pPr>
                <w:r>
                  <w:rPr>
                    <w:rFonts w:cs="Times New Roman"/>
                    <w:color w:val="000000"/>
                  </w:rPr>
                  <w:t>50</w:t>
                </w:r>
              </w:p>
            </w:tc>
          </w:tr>
          <w:tr w14:paraId="24D0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17BABD45">
                <w:pPr>
                  <w:widowControl w:val="0"/>
                  <w:jc w:val="center"/>
                  <w:rPr>
                    <w:rFonts w:cs="Times New Roman"/>
                    <w:color w:val="000000" w:themeColor="text1"/>
                    <w14:textFill>
                      <w14:solidFill>
                        <w14:schemeClr w14:val="tx1"/>
                      </w14:solidFill>
                    </w14:textFill>
                  </w:rPr>
                </w:pPr>
                <w:r>
                  <w:rPr>
                    <w:rFonts w:cs="Times New Roman"/>
                    <w:bCs w:val="0"/>
                  </w:rPr>
                  <w:t>3－4年</w:t>
                </w:r>
              </w:p>
            </w:tc>
            <w:tc>
              <w:tcPr>
                <w:tcW w:w="4412" w:type="dxa"/>
                <w:vAlign w:val="center"/>
              </w:tcPr>
              <w:p w14:paraId="54ED4F03">
                <w:pPr>
                  <w:widowControl w:val="0"/>
                  <w:jc w:val="center"/>
                  <w:rPr>
                    <w:rFonts w:cs="Times New Roman"/>
                    <w:color w:val="000000" w:themeColor="text1"/>
                    <w14:textFill>
                      <w14:solidFill>
                        <w14:schemeClr w14:val="tx1"/>
                      </w14:solidFill>
                    </w14:textFill>
                  </w:rPr>
                </w:pPr>
                <w:r>
                  <w:rPr>
                    <w:rFonts w:cs="Times New Roman"/>
                    <w:color w:val="000000"/>
                  </w:rPr>
                  <w:t>70</w:t>
                </w:r>
              </w:p>
            </w:tc>
          </w:tr>
          <w:tr w14:paraId="67F37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376E3005">
                <w:pPr>
                  <w:widowControl w:val="0"/>
                  <w:jc w:val="center"/>
                  <w:rPr>
                    <w:rFonts w:cs="Times New Roman"/>
                    <w:color w:val="000000" w:themeColor="text1"/>
                    <w14:textFill>
                      <w14:solidFill>
                        <w14:schemeClr w14:val="tx1"/>
                      </w14:solidFill>
                    </w14:textFill>
                  </w:rPr>
                </w:pPr>
                <w:r>
                  <w:rPr>
                    <w:rFonts w:cs="Times New Roman"/>
                    <w:bCs w:val="0"/>
                  </w:rPr>
                  <w:t>4－5年</w:t>
                </w:r>
              </w:p>
            </w:tc>
            <w:tc>
              <w:tcPr>
                <w:tcW w:w="4412" w:type="dxa"/>
                <w:vAlign w:val="center"/>
              </w:tcPr>
              <w:p w14:paraId="242641B1">
                <w:pPr>
                  <w:widowControl w:val="0"/>
                  <w:jc w:val="center"/>
                  <w:rPr>
                    <w:rFonts w:cs="Times New Roman"/>
                    <w:color w:val="000000" w:themeColor="text1"/>
                    <w14:textFill>
                      <w14:solidFill>
                        <w14:schemeClr w14:val="tx1"/>
                      </w14:solidFill>
                    </w14:textFill>
                  </w:rPr>
                </w:pPr>
                <w:r>
                  <w:rPr>
                    <w:rFonts w:cs="Times New Roman"/>
                    <w:color w:val="000000"/>
                  </w:rPr>
                  <w:t>80</w:t>
                </w:r>
              </w:p>
            </w:tc>
          </w:tr>
          <w:tr w14:paraId="6CED1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52DF87B0">
                <w:pPr>
                  <w:widowControl w:val="0"/>
                  <w:jc w:val="center"/>
                  <w:rPr>
                    <w:rFonts w:cs="Times New Roman"/>
                    <w:color w:val="000000" w:themeColor="text1"/>
                    <w14:textFill>
                      <w14:solidFill>
                        <w14:schemeClr w14:val="tx1"/>
                      </w14:solidFill>
                    </w14:textFill>
                  </w:rPr>
                </w:pPr>
                <w:r>
                  <w:rPr>
                    <w:rFonts w:cs="Times New Roman"/>
                    <w:bCs w:val="0"/>
                  </w:rPr>
                  <w:t>5年以上</w:t>
                </w:r>
              </w:p>
            </w:tc>
            <w:tc>
              <w:tcPr>
                <w:tcW w:w="4412" w:type="dxa"/>
                <w:vAlign w:val="center"/>
              </w:tcPr>
              <w:p w14:paraId="61E7EDB5">
                <w:pPr>
                  <w:widowControl w:val="0"/>
                  <w:jc w:val="center"/>
                  <w:rPr>
                    <w:rFonts w:cs="Times New Roman"/>
                    <w:color w:val="000000" w:themeColor="text1"/>
                    <w14:textFill>
                      <w14:solidFill>
                        <w14:schemeClr w14:val="tx1"/>
                      </w14:solidFill>
                    </w14:textFill>
                  </w:rPr>
                </w:pPr>
                <w:r>
                  <w:rPr>
                    <w:rFonts w:cs="Times New Roman"/>
                    <w:color w:val="000000"/>
                  </w:rPr>
                  <w:t>100</w:t>
                </w:r>
              </w:p>
            </w:tc>
          </w:tr>
        </w:tbl>
        <w:p w14:paraId="48453873">
          <w:pPr>
            <w:rPr>
              <w:color w:val="000000" w:themeColor="text1"/>
              <w14:textFill>
                <w14:solidFill>
                  <w14:schemeClr w14:val="tx1"/>
                </w14:solidFill>
              </w14:textFill>
            </w:rPr>
          </w:pPr>
        </w:p>
      </w:sdtContent>
    </w:sdt>
    <w:p w14:paraId="1FB9EC6F">
      <w:pPr>
        <w:rPr>
          <w:rFonts w:cs="Times New Roman"/>
          <w:b/>
          <w:bCs w:val="0"/>
          <w:color w:val="000000" w:themeColor="text1"/>
          <w:kern w:val="2"/>
          <w:szCs w:val="28"/>
          <w14:textFill>
            <w14:solidFill>
              <w14:schemeClr w14:val="tx1"/>
            </w14:solidFill>
          </w14:textFill>
        </w:rPr>
      </w:pPr>
    </w:p>
    <w:p w14:paraId="6A930F66">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按照单项计提坏账准备的单项计提判断标准</w:t>
      </w:r>
    </w:p>
    <w:sdt>
      <w:sdtPr>
        <w:rPr>
          <w:color w:val="000000" w:themeColor="text1"/>
          <w14:textFill>
            <w14:solidFill>
              <w14:schemeClr w14:val="tx1"/>
            </w14:solidFill>
          </w14:textFill>
        </w:rPr>
        <w:alias w:val="是否适用：其他应收款按照单项计提坏账准备的单项计提判断标准[双击切换]"/>
        <w:tag w:val="_GBC_43f3d12bb3b0461b9d295770acd831d1"/>
        <w:id w:val="147478510"/>
        <w:placeholder>
          <w:docPart w:val="GBC22222222222222222222222222222"/>
        </w:placeholder>
      </w:sdtPr>
      <w:sdtEndPr>
        <w:rPr>
          <w:color w:val="000000" w:themeColor="text1"/>
          <w14:textFill>
            <w14:solidFill>
              <w14:schemeClr w14:val="tx1"/>
            </w14:solidFill>
          </w14:textFill>
        </w:rPr>
      </w:sdtEndPr>
      <w:sdtContent>
        <w:p w14:paraId="531E75D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其他应收款按照单项计提坏账准备的单项计提判断标准"/>
        <w:tag w:val="_GBC_68249e7c8a0845c297b91eadc4fe5514"/>
        <w:id w:val="147473946"/>
        <w:placeholder>
          <w:docPart w:val="GBC22222222222222222222222222222"/>
        </w:placeholder>
      </w:sdtPr>
      <w:sdtEndPr>
        <w:rPr>
          <w:color w:val="000000" w:themeColor="text1"/>
          <w14:textFill>
            <w14:solidFill>
              <w14:schemeClr w14:val="tx1"/>
            </w14:solidFill>
          </w14:textFill>
        </w:rPr>
      </w:sdtEndPr>
      <w:sdtContent>
        <w:p w14:paraId="0D4AEFA8">
          <w:pPr>
            <w:rPr>
              <w:color w:val="000000" w:themeColor="text1"/>
              <w14:textFill>
                <w14:solidFill>
                  <w14:schemeClr w14:val="tx1"/>
                </w14:solidFill>
              </w14:textFill>
            </w:rPr>
          </w:pPr>
          <w:r>
            <w:rPr>
              <w:rFonts w:hint="eastAsia"/>
              <w:color w:val="000000" w:themeColor="text1"/>
              <w14:textFill>
                <w14:solidFill>
                  <w14:schemeClr w14:val="tx1"/>
                </w14:solidFill>
              </w14:textFill>
            </w:rPr>
            <w:t>对信用风险与组合信用风险显著不同的应收款项，公司按单项计提预期信用损失。</w:t>
          </w:r>
        </w:p>
      </w:sdtContent>
    </w:sdt>
    <w:p w14:paraId="1BB3741D">
      <w:pPr>
        <w:rPr>
          <w:color w:val="000000" w:themeColor="text1"/>
          <w14:textFill>
            <w14:solidFill>
              <w14:schemeClr w14:val="tx1"/>
            </w14:solidFill>
          </w14:textFill>
        </w:rPr>
      </w:pPr>
    </w:p>
    <w:p w14:paraId="285B345E">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存货</w:t>
      </w:r>
    </w:p>
    <w:sdt>
      <w:sdtPr>
        <w:rPr>
          <w:rFonts w:hint="eastAsia"/>
          <w:color w:val="000000" w:themeColor="text1"/>
          <w14:textFill>
            <w14:solidFill>
              <w14:schemeClr w14:val="tx1"/>
            </w14:solidFill>
          </w14:textFill>
        </w:rPr>
        <w:alias w:val="是否适用：存货_重要会计政策和估计[双击切换]"/>
        <w:tag w:val="_GBC_517cddca0e1f4d4bb5ef2c4a3d049269"/>
        <w:id w:val="147456015"/>
        <w:placeholder>
          <w:docPart w:val="GBC22222222222222222222222222222"/>
        </w:placeholder>
      </w:sdtPr>
      <w:sdtEndPr>
        <w:rPr>
          <w:rFonts w:hint="eastAsia"/>
          <w:color w:val="000000" w:themeColor="text1"/>
          <w14:textFill>
            <w14:solidFill>
              <w14:schemeClr w14:val="tx1"/>
            </w14:solidFill>
          </w14:textFill>
        </w:rPr>
      </w:sdtEndPr>
      <w:sdtContent>
        <w:p w14:paraId="45D7898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58DDD37">
      <w:pPr>
        <w:rPr>
          <w:rFonts w:cs="Times New Roman"/>
          <w:b/>
          <w:color w:val="000000" w:themeColor="text1"/>
          <w:kern w:val="2"/>
          <w:szCs w:val="28"/>
          <w14:textFill>
            <w14:solidFill>
              <w14:schemeClr w14:val="tx1"/>
            </w14:solidFill>
          </w14:textFill>
        </w:rPr>
      </w:pPr>
      <w:bookmarkStart w:id="170" w:name="_Hlk152678121"/>
      <w:r>
        <w:rPr>
          <w:rFonts w:cs="Times New Roman"/>
          <w:b/>
          <w:color w:val="000000" w:themeColor="text1"/>
          <w:kern w:val="2"/>
          <w:szCs w:val="28"/>
          <w14:textFill>
            <w14:solidFill>
              <w14:schemeClr w14:val="tx1"/>
            </w14:solidFill>
          </w14:textFill>
        </w:rPr>
        <w:t>存货</w:t>
      </w:r>
      <w:r>
        <w:rPr>
          <w:rFonts w:hint="eastAsia" w:cs="Times New Roman"/>
          <w:b/>
          <w:color w:val="000000" w:themeColor="text1"/>
          <w:kern w:val="2"/>
          <w:szCs w:val="28"/>
          <w14:textFill>
            <w14:solidFill>
              <w14:schemeClr w14:val="tx1"/>
            </w14:solidFill>
          </w14:textFill>
        </w:rPr>
        <w:t>类别、发出计价方法、盘存制度、低值易耗品和包装物的摊销方法</w:t>
      </w:r>
    </w:p>
    <w:bookmarkEnd w:id="170"/>
    <w:sdt>
      <w:sdtPr>
        <w:rPr>
          <w:color w:val="000000" w:themeColor="text1"/>
          <w14:textFill>
            <w14:solidFill>
              <w14:schemeClr w14:val="tx1"/>
            </w14:solidFill>
          </w14:textFill>
        </w:rPr>
        <w:alias w:val="是否适用：存货类别、发出计价方法、盘存制度、低值易耗品和包装物的摊销方法[双击切换]"/>
        <w:tag w:val="_GBC_a0dd59db9daa43019390412c5246a774"/>
        <w:id w:val="147451411"/>
        <w:placeholder>
          <w:docPart w:val="GBC22222222222222222222222222222"/>
        </w:placeholder>
      </w:sdtPr>
      <w:sdtEndPr>
        <w:rPr>
          <w:color w:val="000000" w:themeColor="text1"/>
          <w14:textFill>
            <w14:solidFill>
              <w14:schemeClr w14:val="tx1"/>
            </w14:solidFill>
          </w14:textFill>
        </w:rPr>
      </w:sdtEndPr>
      <w:sdtContent>
        <w:p w14:paraId="2DB9D68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存货类别、发出计价方法、盘存制度、低值易耗品和包装物的摊销方法"/>
        <w:tag w:val="_GBC_4c0ac6dfbfb04e56bc0dd3a35b636c52"/>
        <w:id w:val="147461232"/>
        <w:placeholder>
          <w:docPart w:val="GBC22222222222222222222222222222"/>
        </w:placeholder>
      </w:sdtPr>
      <w:sdtEndPr>
        <w:rPr>
          <w:color w:val="000000" w:themeColor="text1"/>
          <w14:textFill>
            <w14:solidFill>
              <w14:schemeClr w14:val="tx1"/>
            </w14:solidFill>
          </w14:textFill>
        </w:rPr>
      </w:sdtEndPr>
      <w:sdtContent>
        <w:p w14:paraId="6A078C5B">
          <w:pPr>
            <w:rPr>
              <w:color w:val="000000" w:themeColor="text1"/>
              <w14:textFill>
                <w14:solidFill>
                  <w14:schemeClr w14:val="tx1"/>
                </w14:solidFill>
              </w14:textFill>
            </w:rPr>
          </w:pPr>
          <w:r>
            <w:rPr>
              <w:rFonts w:hint="eastAsia"/>
              <w:color w:val="000000" w:themeColor="text1"/>
              <w14:textFill>
                <w14:solidFill>
                  <w14:schemeClr w14:val="tx1"/>
                </w14:solidFill>
              </w14:textFill>
            </w:rPr>
            <w:t>（1）存货类别</w:t>
          </w:r>
        </w:p>
        <w:p w14:paraId="5FF1A916">
          <w:pPr>
            <w:rPr>
              <w:color w:val="000000" w:themeColor="text1"/>
              <w14:textFill>
                <w14:solidFill>
                  <w14:schemeClr w14:val="tx1"/>
                </w14:solidFill>
              </w14:textFill>
            </w:rPr>
          </w:pPr>
          <w:r>
            <w:rPr>
              <w:rFonts w:hint="eastAsia"/>
              <w:color w:val="000000" w:themeColor="text1"/>
              <w14:textFill>
                <w14:solidFill>
                  <w14:schemeClr w14:val="tx1"/>
                </w14:solidFill>
              </w14:textFill>
            </w:rPr>
            <w:t>存货是指本公司在日常活动中持有以备出售的产成品或商品、处在生产过程中的在产品、在生产过程或提供劳务过程中耗用的材料和物料等。主要包括原材料、周转材料、委托加工材料、在产品、自制半成品、产成品（库存商品）、发出商品等。</w:t>
          </w:r>
        </w:p>
        <w:p w14:paraId="7752C814">
          <w:pPr>
            <w:rPr>
              <w:color w:val="000000" w:themeColor="text1"/>
              <w14:textFill>
                <w14:solidFill>
                  <w14:schemeClr w14:val="tx1"/>
                </w14:solidFill>
              </w14:textFill>
            </w:rPr>
          </w:pPr>
          <w:r>
            <w:rPr>
              <w:rFonts w:hint="eastAsia"/>
              <w:color w:val="000000" w:themeColor="text1"/>
              <w14:textFill>
                <w14:solidFill>
                  <w14:schemeClr w14:val="tx1"/>
                </w14:solidFill>
              </w14:textFill>
            </w:rPr>
            <w:t>（2）存货发出计价方法</w:t>
          </w:r>
        </w:p>
        <w:p w14:paraId="303336DB">
          <w:pPr>
            <w:rPr>
              <w:color w:val="000000" w:themeColor="text1"/>
              <w14:textFill>
                <w14:solidFill>
                  <w14:schemeClr w14:val="tx1"/>
                </w14:solidFill>
              </w14:textFill>
            </w:rPr>
          </w:pPr>
          <w:r>
            <w:rPr>
              <w:rFonts w:hint="eastAsia"/>
              <w:color w:val="000000" w:themeColor="text1"/>
              <w14:textFill>
                <w14:solidFill>
                  <w14:schemeClr w14:val="tx1"/>
                </w14:solidFill>
              </w14:textFill>
            </w:rPr>
            <w:t>发出存货采用月末一次加权平均法。</w:t>
          </w:r>
        </w:p>
        <w:p w14:paraId="4FA38E26">
          <w:pPr>
            <w:rPr>
              <w:color w:val="000000" w:themeColor="text1"/>
              <w14:textFill>
                <w14:solidFill>
                  <w14:schemeClr w14:val="tx1"/>
                </w14:solidFill>
              </w14:textFill>
            </w:rPr>
          </w:pPr>
          <w:r>
            <w:rPr>
              <w:rFonts w:hint="eastAsia"/>
              <w:color w:val="000000" w:themeColor="text1"/>
              <w14:textFill>
                <w14:solidFill>
                  <w14:schemeClr w14:val="tx1"/>
                </w14:solidFill>
              </w14:textFill>
            </w:rPr>
            <w:t>（3）存货的盘存制度</w:t>
          </w:r>
        </w:p>
        <w:p w14:paraId="091F7E0C">
          <w:pPr>
            <w:rPr>
              <w:color w:val="000000" w:themeColor="text1"/>
              <w14:textFill>
                <w14:solidFill>
                  <w14:schemeClr w14:val="tx1"/>
                </w14:solidFill>
              </w14:textFill>
            </w:rPr>
          </w:pPr>
          <w:r>
            <w:rPr>
              <w:rFonts w:hint="eastAsia"/>
              <w:color w:val="000000" w:themeColor="text1"/>
              <w14:textFill>
                <w14:solidFill>
                  <w14:schemeClr w14:val="tx1"/>
                </w14:solidFill>
              </w14:textFill>
            </w:rPr>
            <w:t>存货盘存制度为永续盘存制。</w:t>
          </w:r>
        </w:p>
        <w:p w14:paraId="2651F081">
          <w:pPr>
            <w:rPr>
              <w:color w:val="000000" w:themeColor="text1"/>
              <w14:textFill>
                <w14:solidFill>
                  <w14:schemeClr w14:val="tx1"/>
                </w14:solidFill>
              </w14:textFill>
            </w:rPr>
          </w:pPr>
          <w:r>
            <w:rPr>
              <w:rFonts w:hint="eastAsia"/>
              <w:color w:val="000000" w:themeColor="text1"/>
              <w14:textFill>
                <w14:solidFill>
                  <w14:schemeClr w14:val="tx1"/>
                </w14:solidFill>
              </w14:textFill>
            </w:rPr>
            <w:t>（4）低值易耗品和包装物的摊销方法</w:t>
          </w:r>
        </w:p>
        <w:p w14:paraId="379CF7AC">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1）低值易耗品 </w:t>
          </w:r>
        </w:p>
        <w:p w14:paraId="5E189F4F">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按照一次转销法进行摊销。 </w:t>
          </w:r>
        </w:p>
        <w:p w14:paraId="5F9DA025">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2）包装物 </w:t>
          </w:r>
        </w:p>
        <w:p w14:paraId="13806162">
          <w:pPr>
            <w:rPr>
              <w:color w:val="000000" w:themeColor="text1"/>
              <w14:textFill>
                <w14:solidFill>
                  <w14:schemeClr w14:val="tx1"/>
                </w14:solidFill>
              </w14:textFill>
            </w:rPr>
          </w:pPr>
          <w:r>
            <w:rPr>
              <w:rFonts w:hint="eastAsia"/>
              <w:color w:val="000000" w:themeColor="text1"/>
              <w14:textFill>
                <w14:solidFill>
                  <w14:schemeClr w14:val="tx1"/>
                </w14:solidFill>
              </w14:textFill>
            </w:rPr>
            <w:t>按照一次转销法进行摊销。</w:t>
          </w:r>
        </w:p>
      </w:sdtContent>
    </w:sdt>
    <w:p w14:paraId="0622D219">
      <w:pPr>
        <w:rPr>
          <w:rFonts w:cs="Times New Roman"/>
          <w:color w:val="000000" w:themeColor="text1"/>
          <w14:textFill>
            <w14:solidFill>
              <w14:schemeClr w14:val="tx1"/>
            </w14:solidFill>
          </w14:textFill>
        </w:rPr>
      </w:pPr>
    </w:p>
    <w:p w14:paraId="2CDC16A4">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存货跌价准备的确认标准和计提方法</w:t>
      </w:r>
    </w:p>
    <w:sdt>
      <w:sdtPr>
        <w:rPr>
          <w:color w:val="000000" w:themeColor="text1"/>
          <w14:textFill>
            <w14:solidFill>
              <w14:schemeClr w14:val="tx1"/>
            </w14:solidFill>
          </w14:textFill>
        </w:rPr>
        <w:alias w:val="是否适用：存货跌价准备的确认标准和计提方法[双击切换]"/>
        <w:tag w:val="_GBC_193ccfcb63424273902a6a08c94807b7"/>
        <w:id w:val="147473385"/>
        <w:placeholder>
          <w:docPart w:val="GBC22222222222222222222222222222"/>
        </w:placeholder>
      </w:sdtPr>
      <w:sdtEndPr>
        <w:rPr>
          <w:color w:val="000000" w:themeColor="text1"/>
          <w14:textFill>
            <w14:solidFill>
              <w14:schemeClr w14:val="tx1"/>
            </w14:solidFill>
          </w14:textFill>
        </w:rPr>
      </w:sdtEndPr>
      <w:sdtContent>
        <w:p w14:paraId="26DF654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存货跌价准备的确认标准和计提方法"/>
        <w:tag w:val="_GBC_d61a6b98d0f44b4a8162d7dd318ee8d8"/>
        <w:id w:val="147468895"/>
        <w:placeholder>
          <w:docPart w:val="GBC22222222222222222222222222222"/>
        </w:placeholder>
      </w:sdtPr>
      <w:sdtEndPr>
        <w:rPr>
          <w:color w:val="000000" w:themeColor="text1"/>
          <w14:textFill>
            <w14:solidFill>
              <w14:schemeClr w14:val="tx1"/>
            </w14:solidFill>
          </w14:textFill>
        </w:rPr>
      </w:sdtEndPr>
      <w:sdtContent>
        <w:p w14:paraId="5577516A">
          <w:pPr>
            <w:rPr>
              <w:color w:val="000000" w:themeColor="text1"/>
              <w14:textFill>
                <w14:solidFill>
                  <w14:schemeClr w14:val="tx1"/>
                </w14:solidFill>
              </w14:textFill>
            </w:rPr>
          </w:pPr>
          <w:r>
            <w:rPr>
              <w:rFonts w:hint="eastAsia"/>
              <w:color w:val="000000" w:themeColor="text1"/>
              <w14:textFill>
                <w14:solidFill>
                  <w14:schemeClr w14:val="tx1"/>
                </w14:solidFill>
              </w14:textFill>
            </w:rPr>
            <w:t>资产负债表日，存货采用成本与可变现净值孰低计量，按照成本高于可变现净值的差额计提存货跌价准备。直接用于出售的存货，在正常生产经营过程中以该存货的估计售价减去估计的销售费用和相关税费后的金额确定其可变现净值；需要经过加工的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14:paraId="26E5954B">
          <w:pPr>
            <w:rPr>
              <w:color w:val="000000" w:themeColor="text1"/>
              <w14:textFill>
                <w14:solidFill>
                  <w14:schemeClr w14:val="tx1"/>
                </w14:solidFill>
              </w14:textFill>
            </w:rPr>
          </w:pPr>
          <w:r>
            <w:rPr>
              <w:rFonts w:hint="eastAsia"/>
              <w:color w:val="000000" w:themeColor="text1"/>
              <w14:textFill>
                <w14:solidFill>
                  <w14:schemeClr w14:val="tx1"/>
                </w14:solidFill>
              </w14:textFill>
            </w:rPr>
            <w:t>期末按照单个存货项目计提存货跌价准备；但对于数量繁多、单价较低的存货，按照存货类别计提存货跌价准备；与在同一地区生产和销售的产品系列相关、具有相同或类似最终用途或目的，且难以与其他项目分开计量的存货，则合并计提存货跌价准备。</w:t>
          </w:r>
        </w:p>
      </w:sdtContent>
    </w:sdt>
    <w:p w14:paraId="42DD6AB1">
      <w:pPr>
        <w:rPr>
          <w:rFonts w:cs="Times New Roman"/>
          <w:b/>
          <w:color w:val="000000" w:themeColor="text1"/>
          <w:kern w:val="2"/>
          <w:szCs w:val="28"/>
          <w14:textFill>
            <w14:solidFill>
              <w14:schemeClr w14:val="tx1"/>
            </w14:solidFill>
          </w14:textFill>
        </w:rPr>
      </w:pPr>
    </w:p>
    <w:p w14:paraId="41572658">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按照组合计提存货跌价准备的组合类别及确定依据</w:t>
      </w:r>
      <w:r>
        <w:rPr>
          <w:rFonts w:hint="eastAsia" w:cs="Times New Roman"/>
          <w:b/>
          <w:color w:val="000000" w:themeColor="text1"/>
          <w:kern w:val="2"/>
          <w:szCs w:val="28"/>
          <w14:textFill>
            <w14:solidFill>
              <w14:schemeClr w14:val="tx1"/>
            </w14:solidFill>
          </w14:textFill>
        </w:rPr>
        <w:t>、</w:t>
      </w:r>
      <w:r>
        <w:rPr>
          <w:rFonts w:hint="eastAsia"/>
          <w:b/>
          <w:color w:val="000000" w:themeColor="text1"/>
          <w14:textFill>
            <w14:solidFill>
              <w14:schemeClr w14:val="tx1"/>
            </w14:solidFill>
          </w14:textFill>
        </w:rPr>
        <w:t>不同类别存货可变现净值的确定依据</w:t>
      </w:r>
    </w:p>
    <w:sdt>
      <w:sdtPr>
        <w:rPr>
          <w:color w:val="000000" w:themeColor="text1"/>
          <w14:textFill>
            <w14:solidFill>
              <w14:schemeClr w14:val="tx1"/>
            </w14:solidFill>
          </w14:textFill>
        </w:rPr>
        <w:alias w:val="是否适用：按照组合计提存货跌价准备的组合类别及确定依据、不同类别存货可变现净值的确定依据[双击切换]"/>
        <w:tag w:val="_GBC_6fb7683a95e64eb590d6d510a9774226"/>
        <w:id w:val="147456685"/>
        <w:placeholder>
          <w:docPart w:val="GBC22222222222222222222222222222"/>
        </w:placeholder>
      </w:sdtPr>
      <w:sdtEndPr>
        <w:rPr>
          <w:color w:val="000000" w:themeColor="text1"/>
          <w14:textFill>
            <w14:solidFill>
              <w14:schemeClr w14:val="tx1"/>
            </w14:solidFill>
          </w14:textFill>
        </w:rPr>
      </w:sdtEndPr>
      <w:sdtContent>
        <w:p w14:paraId="638FC89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650C3BA">
      <w:pPr>
        <w:rPr>
          <w:rFonts w:cs="Times New Roman"/>
          <w:b/>
          <w:color w:val="000000" w:themeColor="text1"/>
          <w:kern w:val="2"/>
          <w:szCs w:val="28"/>
          <w14:textFill>
            <w14:solidFill>
              <w14:schemeClr w14:val="tx1"/>
            </w14:solidFill>
          </w14:textFill>
        </w:rPr>
      </w:pPr>
    </w:p>
    <w:p w14:paraId="022FE80B">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基于库龄确认存货可变现净值的各库龄组合可变现净值的计算方法和确定依据</w:t>
      </w:r>
    </w:p>
    <w:sdt>
      <w:sdtPr>
        <w:rPr>
          <w:color w:val="000000" w:themeColor="text1"/>
          <w14:textFill>
            <w14:solidFill>
              <w14:schemeClr w14:val="tx1"/>
            </w14:solidFill>
          </w14:textFill>
        </w:rPr>
        <w:alias w:val="是否适用：基于库龄确认存货可变现净值的各库龄组合可变现净值的计算方法和确定依据[双击切换]"/>
        <w:tag w:val="_GBC_16ecfef990ce404c873906cd3cd4dea4"/>
        <w:id w:val="147474372"/>
        <w:placeholder>
          <w:docPart w:val="GBC22222222222222222222222222222"/>
        </w:placeholder>
      </w:sdtPr>
      <w:sdtEndPr>
        <w:rPr>
          <w:color w:val="000000" w:themeColor="text1"/>
          <w14:textFill>
            <w14:solidFill>
              <w14:schemeClr w14:val="tx1"/>
            </w14:solidFill>
          </w14:textFill>
        </w:rPr>
      </w:sdtEndPr>
      <w:sdtContent>
        <w:p w14:paraId="4F0D7DD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9CEF024">
      <w:pPr>
        <w:rPr>
          <w:rFonts w:cs="Times New Roman"/>
          <w:color w:val="000000" w:themeColor="text1"/>
          <w14:textFill>
            <w14:solidFill>
              <w14:schemeClr w14:val="tx1"/>
            </w14:solidFill>
          </w14:textFill>
        </w:rPr>
      </w:pPr>
    </w:p>
    <w:p w14:paraId="157698E1">
      <w:pPr>
        <w:pStyle w:val="57"/>
        <w:numPr>
          <w:ilvl w:val="0"/>
          <w:numId w:val="46"/>
        </w:numPr>
        <w:rPr>
          <w:rFonts w:ascii="宋体" w:hAnsi="宋体"/>
          <w:color w:val="000000" w:themeColor="text1"/>
          <w14:textFill>
            <w14:solidFill>
              <w14:schemeClr w14:val="tx1"/>
            </w14:solidFill>
          </w14:textFill>
        </w:rPr>
      </w:pPr>
      <w:bookmarkStart w:id="171" w:name="_Hlk533667851"/>
      <w:r>
        <w:rPr>
          <w:rFonts w:ascii="宋体" w:hAnsi="宋体"/>
          <w:color w:val="000000" w:themeColor="text1"/>
          <w14:textFill>
            <w14:solidFill>
              <w14:schemeClr w14:val="tx1"/>
            </w14:solidFill>
          </w14:textFill>
        </w:rPr>
        <w:t>合同资产</w:t>
      </w:r>
    </w:p>
    <w:sdt>
      <w:sdtPr>
        <w:rPr>
          <w:rFonts w:hint="eastAsia"/>
          <w:color w:val="000000" w:themeColor="text1"/>
          <w14:textFill>
            <w14:solidFill>
              <w14:schemeClr w14:val="tx1"/>
            </w14:solidFill>
          </w14:textFill>
        </w:rPr>
        <w:alias w:val="是否适用：合同资产_重要会计政策和估计[双击切换]"/>
        <w:tag w:val="_GBC_2975adaf2d6646238ccae8f732c465f0"/>
        <w:id w:val="147454790"/>
        <w:placeholder>
          <w:docPart w:val="GBC22222222222222222222222222222"/>
        </w:placeholder>
      </w:sdtPr>
      <w:sdtEndPr>
        <w:rPr>
          <w:rFonts w:hint="eastAsia"/>
          <w:color w:val="000000" w:themeColor="text1"/>
          <w14:textFill>
            <w14:solidFill>
              <w14:schemeClr w14:val="tx1"/>
            </w14:solidFill>
          </w14:textFill>
        </w:rPr>
      </w:sdtEndPr>
      <w:sdtContent>
        <w:p w14:paraId="1EB7E44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797FBEB">
      <w:pPr>
        <w:rPr>
          <w:rFonts w:cs="Times New Roman"/>
          <w:b/>
          <w:color w:val="000000" w:themeColor="text1"/>
          <w:kern w:val="2"/>
          <w:szCs w:val="28"/>
          <w14:textFill>
            <w14:solidFill>
              <w14:schemeClr w14:val="tx1"/>
            </w14:solidFill>
          </w14:textFill>
        </w:rPr>
      </w:pPr>
      <w:r>
        <w:rPr>
          <w:rFonts w:hint="eastAsia" w:cs="Times New Roman"/>
          <w:b/>
          <w:color w:val="000000" w:themeColor="text1"/>
          <w:kern w:val="2"/>
          <w:szCs w:val="28"/>
          <w14:textFill>
            <w14:solidFill>
              <w14:schemeClr w14:val="tx1"/>
            </w14:solidFill>
          </w14:textFill>
        </w:rPr>
        <w:t>合同资产的确认方法及标准</w:t>
      </w:r>
    </w:p>
    <w:sdt>
      <w:sdtPr>
        <w:rPr>
          <w:color w:val="000000" w:themeColor="text1"/>
          <w14:textFill>
            <w14:solidFill>
              <w14:schemeClr w14:val="tx1"/>
            </w14:solidFill>
          </w14:textFill>
        </w:rPr>
        <w:alias w:val="是否适用：合同资产的确定方法、摊销方法和减值测试方法[双击切换]"/>
        <w:tag w:val="_GBC_4c4f86076daf4596b0ff34199b55a09a"/>
        <w:id w:val="147466747"/>
        <w:placeholder>
          <w:docPart w:val="GBC22222222222222222222222222222"/>
        </w:placeholder>
      </w:sdtPr>
      <w:sdtEndPr>
        <w:rPr>
          <w:color w:val="000000" w:themeColor="text1"/>
          <w14:textFill>
            <w14:solidFill>
              <w14:schemeClr w14:val="tx1"/>
            </w14:solidFill>
          </w14:textFill>
        </w:rPr>
      </w:sdtEndPr>
      <w:sdtContent>
        <w:p w14:paraId="14AFEB3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合同资产的确定方法、摊销方法和减值测试方法"/>
        <w:tag w:val="_GBC_3a321460bd2944c9b8bfb3131a9e1b86"/>
        <w:id w:val="147459452"/>
        <w:placeholder>
          <w:docPart w:val="GBC22222222222222222222222222222"/>
        </w:placeholder>
      </w:sdtPr>
      <w:sdtEndPr>
        <w:rPr>
          <w:color w:val="000000" w:themeColor="text1"/>
          <w14:textFill>
            <w14:solidFill>
              <w14:schemeClr w14:val="tx1"/>
            </w14:solidFill>
          </w14:textFill>
        </w:rPr>
      </w:sdtEndPr>
      <w:sdtContent>
        <w:p w14:paraId="55490B2B">
          <w:pPr>
            <w:rPr>
              <w:color w:val="000000" w:themeColor="text1"/>
              <w14:textFill>
                <w14:solidFill>
                  <w14:schemeClr w14:val="tx1"/>
                </w14:solidFill>
              </w14:textFill>
            </w:rPr>
          </w:pPr>
          <w:r>
            <w:rPr>
              <w:rFonts w:hint="eastAsia"/>
              <w:color w:val="000000" w:themeColor="text1"/>
              <w14:textFill>
                <w14:solidFill>
                  <w14:schemeClr w14:val="tx1"/>
                </w14:solidFill>
              </w14:textFill>
            </w:rPr>
            <w:t>本公司已向客户转让商品而有权收取对价的权利，且该权利取决于时间流逝之外的其他因素的，确认为合同资产。本公司拥有的无条件(即，仅取决于时间流逝)向客户收取对价的权利作为应收款项单独列示。</w:t>
          </w:r>
        </w:p>
      </w:sdtContent>
    </w:sdt>
    <w:p w14:paraId="07A69A4A">
      <w:pPr>
        <w:rPr>
          <w:color w:val="000000" w:themeColor="text1"/>
          <w14:textFill>
            <w14:solidFill>
              <w14:schemeClr w14:val="tx1"/>
            </w14:solidFill>
          </w14:textFill>
        </w:rPr>
      </w:pPr>
    </w:p>
    <w:bookmarkEnd w:id="171"/>
    <w:p w14:paraId="50468E0B">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按照信用风险特征组合计提坏账准备的组合类别及确定依据</w:t>
      </w:r>
    </w:p>
    <w:sdt>
      <w:sdtPr>
        <w:rPr>
          <w:color w:val="000000" w:themeColor="text1"/>
          <w14:textFill>
            <w14:solidFill>
              <w14:schemeClr w14:val="tx1"/>
            </w14:solidFill>
          </w14:textFill>
        </w:rPr>
        <w:alias w:val="是否适用：合同资产按照信用风险特征组合计提坏账准备的组合类别及确定依据[双击切换]"/>
        <w:tag w:val="_GBC_88801ad04a564fb2b7e709fd757fcda3"/>
        <w:id w:val="147452458"/>
        <w:placeholder>
          <w:docPart w:val="GBC22222222222222222222222222222"/>
        </w:placeholder>
      </w:sdtPr>
      <w:sdtEndPr>
        <w:rPr>
          <w:color w:val="000000" w:themeColor="text1"/>
          <w14:textFill>
            <w14:solidFill>
              <w14:schemeClr w14:val="tx1"/>
            </w14:solidFill>
          </w14:textFill>
        </w:rPr>
      </w:sdtEndPr>
      <w:sdtContent>
        <w:p w14:paraId="328704B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合同资产按照信用风险特征组合计提坏账准备的组合类别及确定依据"/>
        <w:tag w:val="_GBC_39a27b872e8747698a9fdd2eb76f8126"/>
        <w:id w:val="147471459"/>
        <w:placeholder>
          <w:docPart w:val="GBC22222222222222222222222222222"/>
        </w:placeholder>
      </w:sdtPr>
      <w:sdtEndPr>
        <w:rPr>
          <w:color w:val="000000" w:themeColor="text1"/>
          <w14:textFill>
            <w14:solidFill>
              <w14:schemeClr w14:val="tx1"/>
            </w14:solidFill>
          </w14:textFill>
        </w:rPr>
      </w:sdtEndPr>
      <w:sdtContent>
        <w:p w14:paraId="7485F25B">
          <w:pPr>
            <w:rPr>
              <w:color w:val="000000" w:themeColor="text1"/>
              <w14:textFill>
                <w14:solidFill>
                  <w14:schemeClr w14:val="tx1"/>
                </w14:solidFill>
              </w14:textFill>
            </w:rPr>
          </w:pPr>
          <w:r>
            <w:rPr>
              <w:rFonts w:hint="eastAsia"/>
              <w:color w:val="000000" w:themeColor="text1"/>
              <w14:textFill>
                <w14:solidFill>
                  <w14:schemeClr w14:val="tx1"/>
                </w14:solidFill>
              </w14:textFill>
            </w:rPr>
            <w:t>具体情况详见附注五、11、金融工具。</w:t>
          </w:r>
        </w:p>
      </w:sdtContent>
    </w:sdt>
    <w:p w14:paraId="662323B8">
      <w:pPr>
        <w:rPr>
          <w:rFonts w:cs="Times New Roman"/>
          <w:b/>
          <w:bCs w:val="0"/>
          <w:color w:val="000000" w:themeColor="text1"/>
          <w:kern w:val="2"/>
          <w:szCs w:val="28"/>
          <w14:textFill>
            <w14:solidFill>
              <w14:schemeClr w14:val="tx1"/>
            </w14:solidFill>
          </w14:textFill>
        </w:rPr>
      </w:pPr>
    </w:p>
    <w:p w14:paraId="5F503177">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基于账龄确认信用风险特征组合的账龄计算方法</w:t>
      </w:r>
    </w:p>
    <w:sdt>
      <w:sdtPr>
        <w:rPr>
          <w:color w:val="000000" w:themeColor="text1"/>
          <w14:textFill>
            <w14:solidFill>
              <w14:schemeClr w14:val="tx1"/>
            </w14:solidFill>
          </w14:textFill>
        </w:rPr>
        <w:alias w:val="是否适用：合同资产基于账龄确认信用风险特征组合的账龄计算方法[双击切换]"/>
        <w:tag w:val="_GBC_59be362629844c15946a32547bc25926"/>
        <w:id w:val="147473280"/>
        <w:placeholder>
          <w:docPart w:val="GBC22222222222222222222222222222"/>
        </w:placeholder>
      </w:sdtPr>
      <w:sdtEndPr>
        <w:rPr>
          <w:color w:val="000000" w:themeColor="text1"/>
          <w14:textFill>
            <w14:solidFill>
              <w14:schemeClr w14:val="tx1"/>
            </w14:solidFill>
          </w14:textFill>
        </w:rPr>
      </w:sdtEndPr>
      <w:sdtContent>
        <w:p w14:paraId="6A3641F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合同资产基于账龄确认信用风险特征组合的账龄计算方法"/>
        <w:tag w:val="_GBC_d77e25a333d649e0a23a1ff543fdc37a"/>
        <w:id w:val="147476765"/>
        <w:placeholder>
          <w:docPart w:val="GBC22222222222222222222222222222"/>
        </w:placeholder>
      </w:sdtPr>
      <w:sdtEndPr>
        <w:rPr>
          <w:color w:val="000000" w:themeColor="text1"/>
          <w14:textFill>
            <w14:solidFill>
              <w14:schemeClr w14:val="tx1"/>
            </w14:solidFill>
          </w14:textFill>
        </w:rPr>
      </w:sdtEndPr>
      <w:sdtContent>
        <w:p w14:paraId="27985658">
          <w:pPr>
            <w:rPr>
              <w:color w:val="000000" w:themeColor="text1"/>
              <w14:textFill>
                <w14:solidFill>
                  <w14:schemeClr w14:val="tx1"/>
                </w14:solidFill>
              </w14:textFill>
            </w:rPr>
          </w:pPr>
          <w:r>
            <w:rPr>
              <w:rFonts w:hint="eastAsia"/>
              <w:color w:val="000000" w:themeColor="text1"/>
              <w14:textFill>
                <w14:solidFill>
                  <w14:schemeClr w14:val="tx1"/>
                </w14:solidFill>
              </w14:textFill>
            </w:rPr>
            <w:t>具体情况详见附注五、11、金融工具。</w:t>
          </w:r>
        </w:p>
      </w:sdtContent>
    </w:sdt>
    <w:p w14:paraId="1D82DD7E">
      <w:pPr>
        <w:rPr>
          <w:rFonts w:cs="Times New Roman"/>
          <w:b/>
          <w:bCs w:val="0"/>
          <w:color w:val="000000" w:themeColor="text1"/>
          <w:kern w:val="2"/>
          <w:szCs w:val="28"/>
          <w14:textFill>
            <w14:solidFill>
              <w14:schemeClr w14:val="tx1"/>
            </w14:solidFill>
          </w14:textFill>
        </w:rPr>
      </w:pPr>
    </w:p>
    <w:p w14:paraId="6F4E7F3F">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按照单项计提坏账准备的认定单项计提判断标准</w:t>
      </w:r>
    </w:p>
    <w:sdt>
      <w:sdtPr>
        <w:rPr>
          <w:color w:val="000000" w:themeColor="text1"/>
          <w14:textFill>
            <w14:solidFill>
              <w14:schemeClr w14:val="tx1"/>
            </w14:solidFill>
          </w14:textFill>
        </w:rPr>
        <w:alias w:val="是否适用：合同资产按照单项计提坏账准备的单项计提判断标准[双击切换]"/>
        <w:tag w:val="_GBC_0ad2d10f39624b3486cf825e91aa1d85"/>
        <w:id w:val="147456630"/>
        <w:placeholder>
          <w:docPart w:val="GBC22222222222222222222222222222"/>
        </w:placeholder>
      </w:sdtPr>
      <w:sdtEndPr>
        <w:rPr>
          <w:color w:val="000000" w:themeColor="text1"/>
          <w14:textFill>
            <w14:solidFill>
              <w14:schemeClr w14:val="tx1"/>
            </w14:solidFill>
          </w14:textFill>
        </w:rPr>
      </w:sdtEndPr>
      <w:sdtContent>
        <w:p w14:paraId="34B8613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合同资产按照单项计提坏账准备的单项计提判断标准"/>
        <w:tag w:val="_GBC_e7ac066d5b584f0baa04d6dac8453779"/>
        <w:id w:val="147478188"/>
        <w:placeholder>
          <w:docPart w:val="GBC22222222222222222222222222222"/>
        </w:placeholder>
      </w:sdtPr>
      <w:sdtEndPr>
        <w:rPr>
          <w:color w:val="000000" w:themeColor="text1"/>
          <w14:textFill>
            <w14:solidFill>
              <w14:schemeClr w14:val="tx1"/>
            </w14:solidFill>
          </w14:textFill>
        </w:rPr>
      </w:sdtEndPr>
      <w:sdtContent>
        <w:p w14:paraId="495E9C2B">
          <w:pPr>
            <w:rPr>
              <w:color w:val="000000" w:themeColor="text1"/>
              <w14:textFill>
                <w14:solidFill>
                  <w14:schemeClr w14:val="tx1"/>
                </w14:solidFill>
              </w14:textFill>
            </w:rPr>
          </w:pPr>
          <w:r>
            <w:rPr>
              <w:rFonts w:hint="eastAsia"/>
              <w:color w:val="000000" w:themeColor="text1"/>
              <w14:textFill>
                <w14:solidFill>
                  <w14:schemeClr w14:val="tx1"/>
                </w14:solidFill>
              </w14:textFill>
            </w:rPr>
            <w:t>具体情况详见附注五、11、金融工具。</w:t>
          </w:r>
        </w:p>
      </w:sdtContent>
    </w:sdt>
    <w:p w14:paraId="31F088C1">
      <w:pPr>
        <w:rPr>
          <w:color w:val="000000" w:themeColor="text1"/>
          <w14:textFill>
            <w14:solidFill>
              <w14:schemeClr w14:val="tx1"/>
            </w14:solidFill>
          </w14:textFill>
        </w:rPr>
      </w:pPr>
    </w:p>
    <w:p w14:paraId="6D73E4D2">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持有待售的非流动资产或处置组</w:t>
      </w:r>
    </w:p>
    <w:sdt>
      <w:sdtPr>
        <w:rPr>
          <w:color w:val="000000" w:themeColor="text1"/>
          <w14:textFill>
            <w14:solidFill>
              <w14:schemeClr w14:val="tx1"/>
            </w14:solidFill>
          </w14:textFill>
        </w:rPr>
        <w:alias w:val="是否适用：持有待售的非流动资产或处置组[双击切换]"/>
        <w:tag w:val="_GBC_f1f73a9983444ce2a24c3a748aa6178f"/>
        <w:id w:val="147455190"/>
        <w:placeholder>
          <w:docPart w:val="GBC22222222222222222222222222222"/>
        </w:placeholder>
      </w:sdtPr>
      <w:sdtEndPr>
        <w:rPr>
          <w:color w:val="000000" w:themeColor="text1"/>
          <w14:textFill>
            <w14:solidFill>
              <w14:schemeClr w14:val="tx1"/>
            </w14:solidFill>
          </w14:textFill>
        </w:rPr>
      </w:sdtEndPr>
      <w:sdtContent>
        <w:p w14:paraId="64C4C1E9">
          <w:pPr>
            <w:rPr>
              <w:color w:val="000000" w:themeColor="text1"/>
              <w14:textFill>
                <w14:solidFill>
                  <w14:schemeClr w14:val="tx1"/>
                </w14:solidFill>
              </w14:textFill>
            </w:rPr>
          </w:pPr>
          <w:bookmarkStart w:id="172" w:name="_Hlk533151067"/>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持有待售的非流动资产或处置组"/>
        <w:tag w:val="_GBC_f73ce57cdf2f499aadf2d1abe9773623"/>
        <w:id w:val="147476297"/>
        <w:placeholder>
          <w:docPart w:val="GBC22222222222222222222222222222"/>
        </w:placeholder>
      </w:sdtPr>
      <w:sdtEndPr>
        <w:rPr>
          <w:color w:val="000000" w:themeColor="text1"/>
          <w14:textFill>
            <w14:solidFill>
              <w14:schemeClr w14:val="tx1"/>
            </w14:solidFill>
          </w14:textFill>
        </w:rPr>
      </w:sdtEndPr>
      <w:sdtContent>
        <w:p w14:paraId="51742EED">
          <w:pPr>
            <w:rPr>
              <w:color w:val="000000" w:themeColor="text1"/>
              <w14:textFill>
                <w14:solidFill>
                  <w14:schemeClr w14:val="tx1"/>
                </w14:solidFill>
              </w14:textFill>
            </w:rPr>
          </w:pPr>
          <w:r>
            <w:rPr>
              <w:rFonts w:hint="eastAsia"/>
              <w:color w:val="000000" w:themeColor="text1"/>
              <w14:textFill>
                <w14:solidFill>
                  <w14:schemeClr w14:val="tx1"/>
                </w14:solidFill>
              </w14:textFill>
            </w:rPr>
            <w:t>资产负债表中持有待售的非流动资产或持有待售的处置组中的资产列示为持有待售资产，持有待售的处置组中的负债列示为持有待售负债。</w:t>
          </w:r>
        </w:p>
      </w:sdtContent>
    </w:sdt>
    <w:p w14:paraId="794DA8FC">
      <w:pPr>
        <w:rPr>
          <w:color w:val="000000" w:themeColor="text1"/>
          <w14:textFill>
            <w14:solidFill>
              <w14:schemeClr w14:val="tx1"/>
            </w14:solidFill>
          </w14:textFill>
        </w:rPr>
      </w:pPr>
    </w:p>
    <w:bookmarkEnd w:id="172"/>
    <w:p w14:paraId="66CDD110">
      <w:pPr>
        <w:rPr>
          <w:rFonts w:cs="Times New Roman"/>
          <w:b/>
          <w:color w:val="000000" w:themeColor="text1"/>
          <w:kern w:val="2"/>
          <w14:textFill>
            <w14:solidFill>
              <w14:schemeClr w14:val="tx1"/>
            </w14:solidFill>
          </w14:textFill>
        </w:rPr>
      </w:pPr>
      <w:r>
        <w:rPr>
          <w:rFonts w:hint="eastAsia" w:cs="Times New Roman"/>
          <w:b/>
          <w:color w:val="000000" w:themeColor="text1"/>
          <w:kern w:val="2"/>
          <w14:textFill>
            <w14:solidFill>
              <w14:schemeClr w14:val="tx1"/>
            </w14:solidFill>
          </w14:textFill>
        </w:rPr>
        <w:t>划分为持有待售的非流动资产或处置组的确认标准和会计处理方法</w:t>
      </w:r>
    </w:p>
    <w:sdt>
      <w:sdtPr>
        <w:rPr>
          <w:color w:val="000000" w:themeColor="text1"/>
          <w14:textFill>
            <w14:solidFill>
              <w14:schemeClr w14:val="tx1"/>
            </w14:solidFill>
          </w14:textFill>
        </w:rPr>
        <w:alias w:val="是否适用：划分为持有待售的非流动资产或处置组的确认标准和会计处理方法[双击切换]"/>
        <w:tag w:val="_GBC_6c531b0531914ce08b0f9e9ff03b4e9c"/>
        <w:id w:val="147472691"/>
        <w:placeholder>
          <w:docPart w:val="GBC22222222222222222222222222222"/>
        </w:placeholder>
      </w:sdtPr>
      <w:sdtEndPr>
        <w:rPr>
          <w:color w:val="000000" w:themeColor="text1"/>
          <w14:textFill>
            <w14:solidFill>
              <w14:schemeClr w14:val="tx1"/>
            </w14:solidFill>
          </w14:textFill>
        </w:rPr>
      </w:sdtEndPr>
      <w:sdtContent>
        <w:p w14:paraId="7B68A52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划分为持有待售的非流动资产或处置组的确认标准和会计处理方法"/>
        <w:tag w:val="_GBC_b7191fb064a643b298159d5d171b0856"/>
        <w:id w:val="147474296"/>
        <w:placeholder>
          <w:docPart w:val="GBC22222222222222222222222222222"/>
        </w:placeholder>
      </w:sdtPr>
      <w:sdtEndPr>
        <w:rPr>
          <w:color w:val="000000" w:themeColor="text1"/>
          <w:highlight w:val="yellow"/>
          <w14:textFill>
            <w14:solidFill>
              <w14:schemeClr w14:val="tx1"/>
            </w14:solidFill>
          </w14:textFill>
        </w:rPr>
      </w:sdtEndPr>
      <w:sdtContent>
        <w:p w14:paraId="4DB0E827">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(1)持有待售的非流动资产和处置组确认标准</w:t>
          </w:r>
        </w:p>
        <w:p w14:paraId="3DADF3FA">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公司将同时满足下列条件的非流动资产或处置组划分为持有待售类别：①根据类似交易中出售此类资产或处置组的惯例，在当前状况下即可立即出售；②出售极可能发生，即公司已经就出售计划作出决议且获得确定的购买承诺，预计出售将在一年内完成。 </w:t>
          </w:r>
        </w:p>
        <w:p w14:paraId="3260BB1F">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公司专为转售而取得的非流动资产或处置组，在取得日满足“预计出售将在一年内完成”的条件，且短期（通常为3个月）内很可能满足持有待售类别的其他划分条件的，在取得日将其划分为持有待售类别。</w:t>
          </w:r>
        </w:p>
        <w:p w14:paraId="211ABA8E">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因公司无法控制的下列原因之一，导致非关联方之间的交易未能在一年内完成，且公司仍然承诺出售非流动资产或处置组的，继续将非流动资产或处置组划分为持有待售类别：①买方或其他方意外设定导致出售延期的条件，公司针对这些条件已经及时采取行动，且预计能够自设定导致出售延期的条件起一年内顺利化解延期因素；②因发生罕见情况，导致持有待售的非流动资产或处置组未能在一年内完成出售，公司在最初一年内已经针对这些新情况采取必要措施且重新满足了持有待售类别的划分条件。</w:t>
          </w:r>
        </w:p>
        <w:p w14:paraId="3F34D920">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（2）持有待售的非流动资产或处置组的会计处理方法</w:t>
          </w:r>
        </w:p>
        <w:p w14:paraId="7FBBD9F7">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①初始计量和后续计量 </w:t>
          </w:r>
        </w:p>
        <w:p w14:paraId="1A993F08">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初始计量和在资产负债表日重新计量持有待售的非流动资产或处置组时，其账面价值高于公允价值减去出售费用后的净额的，将账面价值减记至公允价值减去出售费用后的净额，减记的金额确认为资产减值损失，计入当期损益，同时计提持有待售资产减值准备。</w:t>
          </w:r>
        </w:p>
        <w:p w14:paraId="578479AE">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对于取得日划分为持有待售类别的非流动资产或处置组，在初始计量时比较假定其不划分为持有待售类别情况下的初始计量金额和公允价值减去出售费用后的净额，以两者孰低计量。除企业合并中取得的非流动资产或处置组外，由非流动资产或处置组以公允价值减去出售费用后的净额作为初始计量金额而产生的差额，计入当期损益。</w:t>
          </w:r>
        </w:p>
        <w:p w14:paraId="52491570">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对于持有待售的处置组确认的资产减值损失金额，先抵减处置组中商誉的账面价值，再根据处置组中的各项非流动资产账面价值所占比重，按比例抵减其账面价值。</w:t>
          </w:r>
        </w:p>
        <w:p w14:paraId="168ECA69">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持有待售的非流动资产或处置组中的非流动资产不计提折旧或摊销，持有待售的处置组中负债的利息和其他费用继续予以确认。</w:t>
          </w:r>
        </w:p>
        <w:p w14:paraId="1A48486D">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②资产减值损失转回的会计处理 </w:t>
          </w:r>
        </w:p>
        <w:p w14:paraId="64391C87">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后续资产负债表日持有待售的非流动资产公允价值减去出售费用后的净额增加的，以前减记的金额予以恢复，并在划分为持有待售类别后确认的资产减值损失金额内转回，转回金额计入当期损益。划分为持有待售类别前确认的资产减值损失不转回。</w:t>
          </w:r>
        </w:p>
        <w:p w14:paraId="5AA0B124">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后续资产负债表日持有待售的处置组公允价值减去出售费用后的净额增加的，以前减记的金额予以恢复，并在划分为持有待售类别后非流动资产确认的资产减值损失金额内转回，转回金额计入当期损益。已抵减的商誉账面价值，以及非流动资产在划分为持有待售类别前确认的资产减值损失不转回。</w:t>
          </w:r>
        </w:p>
        <w:p w14:paraId="2E3A7755">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持有待售的处置组确认的资产减值损失后续转回金额，根据处置组中除商誉外各项非流动资产账面价值所占比重，按比例增加其账面价值。</w:t>
          </w:r>
        </w:p>
        <w:p w14:paraId="08BE5480">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③不再继续划分为持有待售类别以及终止确认的会计处理</w:t>
          </w:r>
        </w:p>
        <w:p w14:paraId="0D33B1C4">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非流动资产或处置组因不再满足持有待售类别的划分条件而不再继续划分为持有待售类别或非流动资产从持有待售的处置组中移除时，按照以下两者孰低计量：1) 划分为持有待售类别前的账面价值，按照假定不划分为持有待售类别情况下本应确认的折旧、摊销或减值等进行调整后的金额；2) 可收回金额。 </w:t>
          </w:r>
        </w:p>
        <w:p w14:paraId="15FD3086">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终止确认持有待售的非流动资产或处置组时，将尚未确认的利得或损失计入当期损益。</w:t>
          </w:r>
        </w:p>
      </w:sdtContent>
    </w:sdt>
    <w:p w14:paraId="32780531">
      <w:pPr>
        <w:jc w:val="both"/>
        <w:rPr>
          <w:color w:val="000000" w:themeColor="text1"/>
          <w14:textFill>
            <w14:solidFill>
              <w14:schemeClr w14:val="tx1"/>
            </w14:solidFill>
          </w14:textFill>
        </w:rPr>
      </w:pPr>
    </w:p>
    <w:p w14:paraId="5046A4F9">
      <w:pPr>
        <w:jc w:val="both"/>
        <w:rPr>
          <w:rFonts w:cs="Times New Roman"/>
          <w:b/>
          <w:color w:val="000000" w:themeColor="text1"/>
          <w:kern w:val="2"/>
          <w14:textFill>
            <w14:solidFill>
              <w14:schemeClr w14:val="tx1"/>
            </w14:solidFill>
          </w14:textFill>
        </w:rPr>
      </w:pPr>
      <w:r>
        <w:rPr>
          <w:rFonts w:cs="Times New Roman"/>
          <w:b/>
          <w:color w:val="000000" w:themeColor="text1"/>
          <w:kern w:val="2"/>
          <w14:textFill>
            <w14:solidFill>
              <w14:schemeClr w14:val="tx1"/>
            </w14:solidFill>
          </w14:textFill>
        </w:rPr>
        <w:t>终止经营的认定标准和列报方法</w:t>
      </w:r>
    </w:p>
    <w:sdt>
      <w:sdtPr>
        <w:rPr>
          <w:color w:val="000000" w:themeColor="text1"/>
          <w14:textFill>
            <w14:solidFill>
              <w14:schemeClr w14:val="tx1"/>
            </w14:solidFill>
          </w14:textFill>
        </w:rPr>
        <w:alias w:val="是否适用：终止经营的认定标准和列报方法[双击切换]"/>
        <w:tag w:val="_GBC_4c502276dc0f4c08a09a2a83a4203533"/>
        <w:id w:val="147462444"/>
        <w:placeholder>
          <w:docPart w:val="GBC22222222222222222222222222222"/>
        </w:placeholder>
      </w:sdtPr>
      <w:sdtEndPr>
        <w:rPr>
          <w:color w:val="000000" w:themeColor="text1"/>
          <w14:textFill>
            <w14:solidFill>
              <w14:schemeClr w14:val="tx1"/>
            </w14:solidFill>
          </w14:textFill>
        </w:rPr>
      </w:sdtEndPr>
      <w:sdtContent>
        <w:p w14:paraId="4732D567">
          <w:pPr>
            <w:jc w:val="both"/>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终止经营的认定标准和列报方法"/>
        <w:tag w:val="_GBC_58f57a3b282d431a8ee5234e168d1b89"/>
        <w:id w:val="147475676"/>
        <w:placeholder>
          <w:docPart w:val="GBC22222222222222222222222222222"/>
        </w:placeholder>
      </w:sdtPr>
      <w:sdtEndPr>
        <w:rPr>
          <w:color w:val="000000" w:themeColor="text1"/>
          <w14:textFill>
            <w14:solidFill>
              <w14:schemeClr w14:val="tx1"/>
            </w14:solidFill>
          </w14:textFill>
        </w:rPr>
      </w:sdtEndPr>
      <w:sdtContent>
        <w:p w14:paraId="6F12A50D">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（1）终止经营的确认标准 </w:t>
          </w:r>
        </w:p>
        <w:p w14:paraId="26F04862">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满足下列条件之一的、已经被处置或划分为持有待售类别且能够单独区分的组成部分确认为终止经营：</w:t>
          </w:r>
        </w:p>
        <w:p w14:paraId="6BB4E7DF">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①该组成部分代表一项独立的主要业务或一个单独的主要经营地区；</w:t>
          </w:r>
        </w:p>
        <w:p w14:paraId="2A22AD54">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②该组成部分是拟对一项独立的主要业务或一个单独的主要经营地区进行处置的一项相关联计划的一部分；</w:t>
          </w:r>
        </w:p>
        <w:p w14:paraId="1A7441F8">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③该组成部分是专为转售而取得的子公司。</w:t>
          </w:r>
        </w:p>
        <w:p w14:paraId="686B0DB1">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（2）终止经营的列报方法 </w:t>
          </w:r>
        </w:p>
        <w:p w14:paraId="27B70B23">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公司在利润表中分别列示持续经营损益和终止经营损益。终止经营的减值损失和转回金额等经营损益及处置损益作为终止经营损益列报。对于当期列报的终止经营，在当期财务报表中将原来作为持续经营损益列报的信息重新作为可比期间的终止经营损益列报。终止经营不再满足持有待售类别划分条件的，在当期财务报表中将原来作为终止经营损益列报的信息重新作为可比期间的持续经营损益列报。</w:t>
          </w:r>
        </w:p>
      </w:sdtContent>
    </w:sdt>
    <w:p w14:paraId="7B61BD32">
      <w:pPr>
        <w:jc w:val="both"/>
        <w:rPr>
          <w:color w:val="000000" w:themeColor="text1"/>
          <w14:textFill>
            <w14:solidFill>
              <w14:schemeClr w14:val="tx1"/>
            </w14:solidFill>
          </w14:textFill>
        </w:rPr>
      </w:pPr>
    </w:p>
    <w:bookmarkEnd w:id="164"/>
    <w:p w14:paraId="4B1C2178">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长期股权投资</w:t>
      </w:r>
    </w:p>
    <w:sdt>
      <w:sdtPr>
        <w:rPr>
          <w:color w:val="000000" w:themeColor="text1"/>
          <w14:textFill>
            <w14:solidFill>
              <w14:schemeClr w14:val="tx1"/>
            </w14:solidFill>
          </w14:textFill>
        </w:rPr>
        <w:alias w:val="是否适用：长期股权投资_重要会计政策和估计[双击切换]"/>
        <w:tag w:val="_GBC_a2b657853ac547afaaad118dec96d0e1"/>
        <w:id w:val="147453048"/>
        <w:placeholder>
          <w:docPart w:val="GBC22222222222222222222222222222"/>
        </w:placeholder>
      </w:sdtPr>
      <w:sdtEndPr>
        <w:rPr>
          <w:color w:val="000000" w:themeColor="text1"/>
          <w14:textFill>
            <w14:solidFill>
              <w14:schemeClr w14:val="tx1"/>
            </w14:solidFill>
          </w14:textFill>
        </w:rPr>
      </w:sdtEndPr>
      <w:sdtContent>
        <w:p w14:paraId="01D712F5">
          <w:pPr>
            <w:jc w:val="both"/>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长期股权投资的核算方法"/>
        <w:tag w:val="_GBC_3e77074cd50946b1bccdff9bc1c9556f"/>
        <w:id w:val="147471982"/>
        <w:placeholder>
          <w:docPart w:val="GBC22222222222222222222222222222"/>
        </w:placeholder>
      </w:sdtPr>
      <w:sdtEndPr>
        <w:rPr>
          <w:color w:val="000000" w:themeColor="text1"/>
          <w14:textFill>
            <w14:solidFill>
              <w14:schemeClr w14:val="tx1"/>
            </w14:solidFill>
          </w14:textFill>
        </w:rPr>
      </w:sdtEndPr>
      <w:sdtContent>
        <w:p w14:paraId="705B51C8">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（1）共同控制、重大影响的判断 </w:t>
          </w:r>
        </w:p>
        <w:p w14:paraId="43746F9E">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按照相关约定对某项安排存在共有的控制，并且该安排的相关活动必须经过分享控制权的参与方一致同意后才能决策，认定为共同控制。对被投资单位的财务和经营政策有参与决策的权力，但并不能够控制或者与其他方一起共同控制这些政策的制定，认定为重大影响。</w:t>
          </w:r>
        </w:p>
        <w:p w14:paraId="07B4308A">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（2）投资成本的确定 </w:t>
          </w:r>
        </w:p>
        <w:p w14:paraId="0E88BFCB">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同一控制下的企业合并形成的，合并方以支付现金、转让非现金资产、承担债务或发行权益性证券作为合并对价的，在合并日按照取得被合并方所有者权益在最终控制方合并财务报表中的账面价值的份额作为其初始投资成本。长期股权投资初始投资成本与支付的合并对价的账面价值或发行股份的面值总额之间的差额调整资本公积；资本公积不足冲减的，调整留存收益。</w:t>
          </w:r>
        </w:p>
        <w:p w14:paraId="6FF5F13F">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公司通过多次交易分步实现同一控制下企业合并形成的长期股权投资，判断是否属于“一揽子交易”。属于“一揽子交易”的，把各项交易作为一项取得控制权的交易进行会计处理。不属于“一揽子交易”的，在合并日，根据合并后应享有被合并方净资产在最终控制方合并财务报表中的账面价值的份额确定初始投资成本。合并日长期股权投资的初始投资成本，与达到合并前的长期股权投资账面价值加上合并日进一步取得股份新支付对价的账面价值之和的差额，调整资本公积；资本公积不足冲减的，调整留存收益。</w:t>
          </w:r>
        </w:p>
        <w:p w14:paraId="456DCD5B">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2）非同一控制下的企业合并形成的，在购买日按照支付的合并对价的公允价值作为其初始投资成本。 </w:t>
          </w:r>
        </w:p>
        <w:p w14:paraId="4319500C">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公司通过多次交易分步实现非同一控制下企业合并形成的长期股权投资，区分个别财务报表和合并财务报表进行相关会计处理：</w:t>
          </w:r>
        </w:p>
        <w:p w14:paraId="4DDA19F2">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①在个别财务报表中，按照原持有的股权投资的账面价值加上新增投资成本之和，作为改按成本法核算的初始投资成本。</w:t>
          </w:r>
        </w:p>
        <w:p w14:paraId="7D355E11">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在合并财务报表中，判断是否属于“一揽子交易”。属于“一揽子交易”的，把各项交易作为一项取得控制权的交易进行会计处理。不属于“一揽子交易”的，对于购买日之前持有的被购买方的股权，按照该股权在购买日的公允价值进行重新计量，公允价值与其账面价值的差额计入当期投资收益；购买日之前持有的被购买方的股权涉及权益法核算下的其他综合收益等的，与其相关的其他综合收益等转为购买日所属当期收益。但由于被投资方重新计量设定受益计划净负债或净资产变动而产生的其他综合收益除外。</w:t>
          </w:r>
        </w:p>
        <w:p w14:paraId="5B5CB8F5">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3）除企业合并形成以外的：以支付现金取得的，按照实际支付的购买价款作为其初始投资成本；以发行权益性证券取得的，按照发行权益性证券的公允价值作为其初始投资成本；以债务重组方式取得的，按《企业会计准则第12号——债务重组》确定其初始投资成本；以非货币性资产交换取得的，按《企业会计准则第7号——非货币性资产交换》确定其初始投资成本。 </w:t>
          </w:r>
        </w:p>
        <w:p w14:paraId="68E8E23B">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（3）后续计量及损益确认方法 </w:t>
          </w:r>
        </w:p>
        <w:p w14:paraId="0E6D2DAE">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对被投资单位实施控制的长期股权投资采用成本法核算；对联营企业和合营企业的长期股权投资，采用权益法核算。 </w:t>
          </w:r>
        </w:p>
        <w:p w14:paraId="78BC8B1B">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（4）通过多次交易分步处置对子公司投资至丧失控制权的处理方法</w:t>
          </w:r>
        </w:p>
        <w:p w14:paraId="4DE687F8">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1）是否属于“一揽子交易”的判断原则 </w:t>
          </w:r>
        </w:p>
        <w:p w14:paraId="06A2F872">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通过多次交易分步处置对子公司股权投资直至丧失控制权的，公司结合分步交易的各个步骤的交易协议条款、分别取得的处置对价、出售股权的对象、处置方式、处置时点等信息来判断分步交易是否属于“一揽子交易”。各项交易的条款、条件以及经济影响符合以下一种或多种情况，通常表明多次交易事项属于“一揽子交易”：</w:t>
          </w:r>
        </w:p>
        <w:p w14:paraId="2A80DA89">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①这些交易是同时或者在考虑了彼此影响的情况下订立的；</w:t>
          </w:r>
        </w:p>
        <w:p w14:paraId="27D723C7">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②这些交易整体才能达成一项完整的商业结果；</w:t>
          </w:r>
        </w:p>
        <w:p w14:paraId="34DECE28">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③一项交易的发生取决于其他至少一项交易的发生；</w:t>
          </w:r>
        </w:p>
        <w:p w14:paraId="7B6E2337">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④一项交易单独看是不经济的，但是和其他交易一并考虑时是经济的。</w:t>
          </w:r>
        </w:p>
        <w:p w14:paraId="45A86019">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2）不属于“一揽子交易”的会计处理</w:t>
          </w:r>
        </w:p>
        <w:p w14:paraId="6D6A4FDF">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①个别财务报表</w:t>
          </w:r>
        </w:p>
        <w:p w14:paraId="5DE5AB56">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对处置的股权，其账面价值与实际取得价款之间的差额，计入当期损益。对于剩余股权，对被投资单位仍具有重大影响或者与其他方一起实施共同控制的，转为权益法核算；不能再对被投资单位实施控制、共同控制或重大影响的，按照《企业会计准则第22号——金融工具确认和计量》的相关规定进行核算。</w:t>
          </w:r>
        </w:p>
        <w:p w14:paraId="60D7A4E6">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②合并财务报表</w:t>
          </w:r>
        </w:p>
        <w:p w14:paraId="220153BB">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在丧失控制权之前，处置价款与处置长期股权投资相对应享有子公司自购买日或合并日开始持续计算的净资产份额之间的差额，调整资本公积（资本溢价），资本溢价不足冲减的，冲减留存收益。</w:t>
          </w:r>
        </w:p>
        <w:p w14:paraId="709B3C7A">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丧失对原子公司控制权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收益，同时冲减商誉。与原有子公司股权投资相关的其他综合收益等，应当在丧失控制权时转为当期投资收益。</w:t>
          </w:r>
        </w:p>
        <w:p w14:paraId="459ABDDB">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3）属于“一揽子交易”的会计处理 </w:t>
          </w:r>
        </w:p>
        <w:p w14:paraId="47549D34">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①个别财务报表</w:t>
          </w:r>
        </w:p>
        <w:p w14:paraId="2D9DEA71">
          <w:pPr>
            <w:rPr>
              <w:color w:val="000000" w:themeColor="text1"/>
              <w14:textFill>
                <w14:solidFill>
                  <w14:schemeClr w14:val="tx1"/>
                </w14:solidFill>
              </w14:textFill>
            </w:rPr>
          </w:pPr>
          <w:r>
            <w:rPr>
              <w:rFonts w:hint="eastAsia"/>
              <w:color w:val="000000" w:themeColor="text1"/>
              <w14:textFill>
                <w14:solidFill>
                  <w14:schemeClr w14:val="tx1"/>
                </w14:solidFill>
              </w14:textFill>
            </w:rPr>
            <w:t>将各项交易作为一项处置子公司并丧失控制权的交易进行会计处理。但是，在丧失控制权之前每一次处置价款与处置投资对应的长期股权投资账面价值之间的差额，在个别财务报表中确认为其他综合收益，在丧失控制权时一并转入丧失控制权当期的损益。</w:t>
          </w:r>
        </w:p>
        <w:p w14:paraId="2B46C5AA">
          <w:pPr>
            <w:rPr>
              <w:color w:val="000000" w:themeColor="text1"/>
              <w14:textFill>
                <w14:solidFill>
                  <w14:schemeClr w14:val="tx1"/>
                </w14:solidFill>
              </w14:textFill>
            </w:rPr>
          </w:pPr>
          <w:r>
            <w:rPr>
              <w:rFonts w:hint="eastAsia"/>
              <w:color w:val="000000" w:themeColor="text1"/>
              <w14:textFill>
                <w14:solidFill>
                  <w14:schemeClr w14:val="tx1"/>
                </w14:solidFill>
              </w14:textFill>
            </w:rPr>
            <w:t>②合并财务报表</w:t>
          </w:r>
        </w:p>
        <w:p w14:paraId="500DB7DD">
          <w:pPr>
            <w:rPr>
              <w:color w:val="000000" w:themeColor="text1"/>
              <w14:textFill>
                <w14:solidFill>
                  <w14:schemeClr w14:val="tx1"/>
                </w14:solidFill>
              </w14:textFill>
            </w:rPr>
          </w:pPr>
          <w:r>
            <w:rPr>
              <w:rFonts w:hint="eastAsia"/>
              <w:color w:val="000000" w:themeColor="text1"/>
              <w14:textFill>
                <w14:solidFill>
                  <w14:schemeClr w14:val="tx1"/>
                </w14:solidFill>
              </w14:textFill>
            </w:rPr>
            <w:t>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p w14:paraId="6FAFA7D2">
      <w:pPr>
        <w:rPr>
          <w:color w:val="000000" w:themeColor="text1"/>
          <w14:textFill>
            <w14:solidFill>
              <w14:schemeClr w14:val="tx1"/>
            </w14:solidFill>
          </w14:textFill>
        </w:rPr>
      </w:pPr>
    </w:p>
    <w:p w14:paraId="36D2EE91">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投资性房地产</w:t>
      </w:r>
    </w:p>
    <w:p w14:paraId="39077624">
      <w:pPr>
        <w:pStyle w:val="58"/>
        <w:numPr>
          <w:ilvl w:val="0"/>
          <w:numId w:val="47"/>
        </w:numPr>
        <w:rPr>
          <w:rFonts w:ascii="宋体" w:hAnsi="宋体"/>
          <w:color w:val="000000" w:themeColor="text1"/>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如果</w:t>
      </w:r>
      <w:r>
        <w:rPr>
          <w:rFonts w:hint="eastAsia" w:ascii="宋体" w:hAnsi="宋体"/>
          <w:color w:val="000000" w:themeColor="text1"/>
          <w14:textFill>
            <w14:solidFill>
              <w14:schemeClr w14:val="tx1"/>
            </w14:solidFill>
          </w14:textFill>
        </w:rPr>
        <w:t>采用成本计量模式的</w:t>
      </w:r>
    </w:p>
    <w:p w14:paraId="5BE0B9AF">
      <w:pPr>
        <w:pStyle w:val="64"/>
        <w:rPr>
          <w:rFonts w:ascii="宋体" w:hAnsi="宋体"/>
          <w:b w:val="0"/>
          <w:color w:val="000000" w:themeColor="text1"/>
          <w:szCs w:val="21"/>
          <w14:textFill>
            <w14:solidFill>
              <w14:schemeClr w14:val="tx1"/>
            </w14:solidFill>
          </w14:textFill>
        </w:rPr>
      </w:pPr>
      <w:r>
        <w:rPr>
          <w:rFonts w:hint="eastAsia" w:ascii="宋体" w:hAnsi="宋体"/>
          <w:b w:val="0"/>
          <w:color w:val="000000" w:themeColor="text1"/>
          <w:szCs w:val="21"/>
          <w14:textFill>
            <w14:solidFill>
              <w14:schemeClr w14:val="tx1"/>
            </w14:solidFill>
          </w14:textFill>
        </w:rPr>
        <w:t>折旧或摊销方法</w:t>
      </w:r>
    </w:p>
    <w:sdt>
      <w:sdtPr>
        <w:rPr>
          <w:color w:val="000000" w:themeColor="text1"/>
          <w14:textFill>
            <w14:solidFill>
              <w14:schemeClr w14:val="tx1"/>
            </w14:solidFill>
          </w14:textFill>
        </w:rPr>
        <w:alias w:val="采用成本计量模式的折旧或摊销方法"/>
        <w:tag w:val="_GBC_5b2898357289426780691d99ea19aa67"/>
        <w:id w:val="147473336"/>
        <w:placeholder>
          <w:docPart w:val="GBC22222222222222222222222222222"/>
        </w:placeholder>
      </w:sdtPr>
      <w:sdtEndPr>
        <w:rPr>
          <w:color w:val="000000" w:themeColor="text1"/>
          <w14:textFill>
            <w14:solidFill>
              <w14:schemeClr w14:val="tx1"/>
            </w14:solidFill>
          </w14:textFill>
        </w:rPr>
      </w:sdtEndPr>
      <w:sdtContent>
        <w:p w14:paraId="4215E744">
          <w:pPr>
            <w:rPr>
              <w:color w:val="000000" w:themeColor="text1"/>
              <w14:textFill>
                <w14:solidFill>
                  <w14:schemeClr w14:val="tx1"/>
                </w14:solidFill>
              </w14:textFill>
            </w:rPr>
          </w:pPr>
          <w:r>
            <w:rPr>
              <w:rFonts w:hint="eastAsia"/>
              <w:color w:val="000000" w:themeColor="text1"/>
              <w14:textFill>
                <w14:solidFill>
                  <w14:schemeClr w14:val="tx1"/>
                </w14:solidFill>
              </w14:textFill>
            </w:rPr>
            <w:t>投资性房地产包括已出租的土地使用权、持有并准备增值后转让的土地使用权和已出租的建筑物。</w:t>
          </w:r>
        </w:p>
        <w:p w14:paraId="785267D2">
          <w:pPr>
            <w:rPr>
              <w:color w:val="000000" w:themeColor="text1"/>
              <w14:textFill>
                <w14:solidFill>
                  <w14:schemeClr w14:val="tx1"/>
                </w14:solidFill>
              </w14:textFill>
            </w:rPr>
          </w:pPr>
          <w:r>
            <w:rPr>
              <w:rFonts w:hint="eastAsia"/>
              <w:color w:val="000000" w:themeColor="text1"/>
              <w14:textFill>
                <w14:solidFill>
                  <w14:schemeClr w14:val="tx1"/>
                </w14:solidFill>
              </w14:textFill>
            </w:rPr>
            <w:t>投资性房地产按照成本进行初始计量，采用成本模式进行后续计量，并采用与固定资产和无形资产相同的方法计提折旧或进行摊销。</w:t>
          </w:r>
        </w:p>
      </w:sdtContent>
    </w:sdt>
    <w:p w14:paraId="3524AB83">
      <w:pPr>
        <w:rPr>
          <w:color w:val="000000" w:themeColor="text1"/>
          <w14:textFill>
            <w14:solidFill>
              <w14:schemeClr w14:val="tx1"/>
            </w14:solidFill>
          </w14:textFill>
        </w:rPr>
      </w:pPr>
    </w:p>
    <w:p w14:paraId="62661D27">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固定资产</w:t>
      </w:r>
    </w:p>
    <w:p w14:paraId="7588BB35">
      <w:pPr>
        <w:pStyle w:val="58"/>
        <w:numPr>
          <w:ilvl w:val="0"/>
          <w:numId w:val="48"/>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确认条件</w:t>
      </w:r>
    </w:p>
    <w:sdt>
      <w:sdtPr>
        <w:rPr>
          <w:color w:val="000000" w:themeColor="text1"/>
          <w14:textFill>
            <w14:solidFill>
              <w14:schemeClr w14:val="tx1"/>
            </w14:solidFill>
          </w14:textFill>
        </w:rPr>
        <w:alias w:val="是否适用：固定资产确认条件[双击切换]"/>
        <w:tag w:val="_GBC_45cce032cd1f43bfad18a80dd94e9cc4"/>
        <w:id w:val="147459049"/>
        <w:placeholder>
          <w:docPart w:val="GBC22222222222222222222222222222"/>
        </w:placeholder>
      </w:sdtPr>
      <w:sdtEndPr>
        <w:rPr>
          <w:color w:val="000000" w:themeColor="text1"/>
          <w14:textFill>
            <w14:solidFill>
              <w14:schemeClr w14:val="tx1"/>
            </w14:solidFill>
          </w14:textFill>
        </w:rPr>
      </w:sdtEndPr>
      <w:sdtContent>
        <w:p w14:paraId="3C6771D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bCs w:val="0"/>
          <w:color w:val="000000" w:themeColor="text1"/>
          <w14:textFill>
            <w14:solidFill>
              <w14:schemeClr w14:val="tx1"/>
            </w14:solidFill>
          </w14:textFill>
        </w:rPr>
        <w:alias w:val="固定资产确认条件"/>
        <w:tag w:val="_GBC_3044d53470b143fa9477fa34b85d4ec5"/>
        <w:id w:val="147480589"/>
        <w:placeholder>
          <w:docPart w:val="GBC22222222222222222222222222222"/>
        </w:placeholder>
      </w:sdtPr>
      <w:sdtEndPr>
        <w:rPr>
          <w:b/>
          <w:bCs w:val="0"/>
          <w:color w:val="000000" w:themeColor="text1"/>
          <w14:textFill>
            <w14:solidFill>
              <w14:schemeClr w14:val="tx1"/>
            </w14:solidFill>
          </w14:textFill>
        </w:rPr>
      </w:sdtEndPr>
      <w:sdtContent>
        <w:p w14:paraId="234BE75B">
          <w:pPr>
            <w:rPr>
              <w:b/>
              <w:bCs w:val="0"/>
              <w:color w:val="000000" w:themeColor="text1"/>
              <w14:textFill>
                <w14:solidFill>
                  <w14:schemeClr w14:val="tx1"/>
                </w14:solidFill>
              </w14:textFill>
            </w:rPr>
          </w:pPr>
          <w:r>
            <w:rPr>
              <w:rFonts w:hint="eastAsia"/>
              <w:bCs w:val="0"/>
              <w:color w:val="000000" w:themeColor="text1"/>
              <w14:textFill>
                <w14:solidFill>
                  <w14:schemeClr w14:val="tx1"/>
                </w14:solidFill>
              </w14:textFill>
            </w:rPr>
            <w:t>固定资产是指为生产商品、提供劳务、出租或经营管理而持有的，使用年限超过一个会计年度的有形资产。固定资产在同时满足经济利益很可能流入、成本能够可靠计量时予以确认。</w:t>
          </w:r>
        </w:p>
      </w:sdtContent>
    </w:sdt>
    <w:p w14:paraId="78122592">
      <w:pPr>
        <w:rPr>
          <w:color w:val="000000" w:themeColor="text1"/>
          <w14:textFill>
            <w14:solidFill>
              <w14:schemeClr w14:val="tx1"/>
            </w14:solidFill>
          </w14:textFill>
        </w:rPr>
      </w:pPr>
    </w:p>
    <w:p w14:paraId="54DD8A7F">
      <w:pPr>
        <w:pStyle w:val="58"/>
        <w:numPr>
          <w:ilvl w:val="0"/>
          <w:numId w:val="48"/>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折旧方法</w:t>
      </w:r>
    </w:p>
    <w:sdt>
      <w:sdtPr>
        <w:rPr>
          <w:color w:val="000000" w:themeColor="text1"/>
          <w14:textFill>
            <w14:solidFill>
              <w14:schemeClr w14:val="tx1"/>
            </w14:solidFill>
          </w14:textFill>
        </w:rPr>
        <w:alias w:val="是否适用：固定资产折旧方法[双击切换]"/>
        <w:tag w:val="_GBC_c221ef38ff6a4242aab725946697311c"/>
        <w:id w:val="147472347"/>
        <w:placeholder>
          <w:docPart w:val="GBC22222222222222222222222222222"/>
        </w:placeholder>
      </w:sdtPr>
      <w:sdtEndPr>
        <w:rPr>
          <w:color w:val="000000" w:themeColor="text1"/>
          <w14:textFill>
            <w14:solidFill>
              <w14:schemeClr w14:val="tx1"/>
            </w14:solidFill>
          </w14:textFill>
        </w:rPr>
      </w:sdtEndPr>
      <w:sdtContent>
        <w:p w14:paraId="7B7300E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1832"/>
        <w:gridCol w:w="1833"/>
        <w:gridCol w:w="1833"/>
        <w:gridCol w:w="1833"/>
      </w:tblGrid>
      <w:tr w14:paraId="0BE31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39db65ac15c4d7583d7fe75cb893517"/>
            <w:id w:val="147470287"/>
          </w:sdtPr>
          <w:sdtContent>
            <w:tc>
              <w:tcPr>
                <w:tcW w:w="949" w:type="pct"/>
                <w:vAlign w:val="center"/>
              </w:tcPr>
              <w:p w14:paraId="6B548321">
                <w:pPr>
                  <w:jc w:val="center"/>
                  <w:rPr>
                    <w:color w:val="000000" w:themeColor="text1"/>
                    <w14:textFill>
                      <w14:solidFill>
                        <w14:schemeClr w14:val="tx1"/>
                      </w14:solidFill>
                    </w14:textFill>
                  </w:rPr>
                </w:pPr>
                <w:r>
                  <w:rPr>
                    <w:color w:val="000000" w:themeColor="text1"/>
                    <w14:textFill>
                      <w14:solidFill>
                        <w14:schemeClr w14:val="tx1"/>
                      </w14:solidFill>
                    </w14:textFill>
                  </w:rPr>
                  <w:t>类别</w:t>
                </w:r>
              </w:p>
            </w:tc>
          </w:sdtContent>
        </w:sdt>
        <w:sdt>
          <w:sdtPr>
            <w:tag w:val="_PLD_1b5147121b9948e5a115c7a4d6c95995"/>
            <w:id w:val="147473837"/>
          </w:sdtPr>
          <w:sdtContent>
            <w:tc>
              <w:tcPr>
                <w:tcW w:w="1012" w:type="pct"/>
                <w:vAlign w:val="center"/>
              </w:tcPr>
              <w:p w14:paraId="21C8F15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折旧方法</w:t>
                </w:r>
              </w:p>
            </w:tc>
          </w:sdtContent>
        </w:sdt>
        <w:sdt>
          <w:sdtPr>
            <w:tag w:val="_PLD_65441224aa3f4fd3be4ca0650b16b1aa"/>
            <w:id w:val="147474292"/>
          </w:sdtPr>
          <w:sdtContent>
            <w:tc>
              <w:tcPr>
                <w:tcW w:w="1013" w:type="pct"/>
                <w:vAlign w:val="center"/>
              </w:tcPr>
              <w:p w14:paraId="1BAE2C93">
                <w:pPr>
                  <w:jc w:val="center"/>
                  <w:rPr>
                    <w:color w:val="000000" w:themeColor="text1"/>
                    <w14:textFill>
                      <w14:solidFill>
                        <w14:schemeClr w14:val="tx1"/>
                      </w14:solidFill>
                    </w14:textFill>
                  </w:rPr>
                </w:pPr>
                <w:r>
                  <w:rPr>
                    <w:color w:val="000000" w:themeColor="text1"/>
                    <w14:textFill>
                      <w14:solidFill>
                        <w14:schemeClr w14:val="tx1"/>
                      </w14:solidFill>
                    </w14:textFill>
                  </w:rPr>
                  <w:t>折旧年限（年）</w:t>
                </w:r>
              </w:p>
            </w:tc>
          </w:sdtContent>
        </w:sdt>
        <w:sdt>
          <w:sdtPr>
            <w:tag w:val="_PLD_1c82a37539a842289bf80f2937f33bee"/>
            <w:id w:val="147479114"/>
          </w:sdtPr>
          <w:sdtContent>
            <w:tc>
              <w:tcPr>
                <w:tcW w:w="1013" w:type="pct"/>
                <w:vAlign w:val="center"/>
              </w:tcPr>
              <w:p w14:paraId="4B74DC2D">
                <w:pPr>
                  <w:jc w:val="center"/>
                  <w:rPr>
                    <w:color w:val="000000" w:themeColor="text1"/>
                    <w14:textFill>
                      <w14:solidFill>
                        <w14:schemeClr w14:val="tx1"/>
                      </w14:solidFill>
                    </w14:textFill>
                  </w:rPr>
                </w:pPr>
                <w:r>
                  <w:rPr>
                    <w:color w:val="000000" w:themeColor="text1"/>
                    <w14:textFill>
                      <w14:solidFill>
                        <w14:schemeClr w14:val="tx1"/>
                      </w14:solidFill>
                    </w14:textFill>
                  </w:rPr>
                  <w:t>残值率</w:t>
                </w:r>
              </w:p>
            </w:tc>
          </w:sdtContent>
        </w:sdt>
        <w:sdt>
          <w:sdtPr>
            <w:tag w:val="_PLD_a67e8338c181496fa22b9944b63ec82c"/>
            <w:id w:val="147475036"/>
          </w:sdtPr>
          <w:sdtContent>
            <w:tc>
              <w:tcPr>
                <w:tcW w:w="1013" w:type="pct"/>
                <w:vAlign w:val="center"/>
              </w:tcPr>
              <w:p w14:paraId="7BFAB65B">
                <w:pPr>
                  <w:jc w:val="center"/>
                  <w:rPr>
                    <w:color w:val="000000" w:themeColor="text1"/>
                    <w14:textFill>
                      <w14:solidFill>
                        <w14:schemeClr w14:val="tx1"/>
                      </w14:solidFill>
                    </w14:textFill>
                  </w:rPr>
                </w:pPr>
                <w:r>
                  <w:rPr>
                    <w:color w:val="000000" w:themeColor="text1"/>
                    <w14:textFill>
                      <w14:solidFill>
                        <w14:schemeClr w14:val="tx1"/>
                      </w14:solidFill>
                    </w14:textFill>
                  </w:rPr>
                  <w:t>年折旧率</w:t>
                </w:r>
              </w:p>
            </w:tc>
          </w:sdtContent>
        </w:sdt>
      </w:tr>
      <w:tr w14:paraId="1CCDD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vAlign w:val="center"/>
          </w:tcPr>
          <w:p w14:paraId="2E16DA06">
            <w:pPr>
              <w:jc w:val="both"/>
            </w:pPr>
            <w:r>
              <w:rPr>
                <w:rFonts w:hint="eastAsia"/>
                <w:color w:val="000000"/>
              </w:rPr>
              <w:t>房屋、建筑物</w:t>
            </w:r>
          </w:p>
        </w:tc>
        <w:tc>
          <w:tcPr>
            <w:tcW w:w="1012" w:type="pct"/>
            <w:vAlign w:val="center"/>
          </w:tcPr>
          <w:p w14:paraId="60CDDABC">
            <w:pPr>
              <w:jc w:val="both"/>
            </w:pPr>
            <w:r>
              <w:rPr>
                <w:rFonts w:hint="eastAsia"/>
                <w:color w:val="000000"/>
              </w:rPr>
              <w:t>年限平均法</w:t>
            </w:r>
          </w:p>
        </w:tc>
        <w:tc>
          <w:tcPr>
            <w:tcW w:w="1013" w:type="pct"/>
            <w:vAlign w:val="center"/>
          </w:tcPr>
          <w:p w14:paraId="6E9FE2C7">
            <w:pPr>
              <w:jc w:val="center"/>
              <w:rPr>
                <w:rFonts w:cs="Times New Roman"/>
              </w:rPr>
            </w:pPr>
            <w:r>
              <w:rPr>
                <w:rFonts w:cs="Times New Roman"/>
                <w:color w:val="000000"/>
              </w:rPr>
              <w:t>20-45</w:t>
            </w:r>
          </w:p>
        </w:tc>
        <w:tc>
          <w:tcPr>
            <w:tcW w:w="1013" w:type="pct"/>
            <w:vAlign w:val="center"/>
          </w:tcPr>
          <w:p w14:paraId="4E0A5158">
            <w:pPr>
              <w:jc w:val="center"/>
              <w:rPr>
                <w:rFonts w:cs="Times New Roman"/>
              </w:rPr>
            </w:pPr>
            <w:r>
              <w:rPr>
                <w:rFonts w:cs="Times New Roman"/>
                <w:color w:val="000000"/>
              </w:rPr>
              <w:t>3%-5%</w:t>
            </w:r>
          </w:p>
        </w:tc>
        <w:tc>
          <w:tcPr>
            <w:tcW w:w="1013" w:type="pct"/>
            <w:vAlign w:val="center"/>
          </w:tcPr>
          <w:p w14:paraId="245568CF">
            <w:pPr>
              <w:jc w:val="center"/>
              <w:rPr>
                <w:rFonts w:cs="Times New Roman"/>
              </w:rPr>
            </w:pPr>
            <w:r>
              <w:rPr>
                <w:rFonts w:cs="Times New Roman"/>
                <w:color w:val="000000"/>
              </w:rPr>
              <w:t>2.11%-4.85%</w:t>
            </w:r>
          </w:p>
        </w:tc>
      </w:tr>
      <w:tr w14:paraId="203FF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vAlign w:val="center"/>
          </w:tcPr>
          <w:p w14:paraId="0731FEC2">
            <w:pPr>
              <w:jc w:val="both"/>
            </w:pPr>
            <w:r>
              <w:rPr>
                <w:rFonts w:hint="eastAsia"/>
                <w:color w:val="000000"/>
              </w:rPr>
              <w:t>机器设备</w:t>
            </w:r>
          </w:p>
        </w:tc>
        <w:tc>
          <w:tcPr>
            <w:tcW w:w="1012" w:type="pct"/>
            <w:vAlign w:val="center"/>
          </w:tcPr>
          <w:p w14:paraId="3CF3249F">
            <w:pPr>
              <w:jc w:val="both"/>
            </w:pPr>
            <w:r>
              <w:rPr>
                <w:rFonts w:hint="eastAsia"/>
                <w:color w:val="000000"/>
              </w:rPr>
              <w:t>年限平均法</w:t>
            </w:r>
          </w:p>
        </w:tc>
        <w:tc>
          <w:tcPr>
            <w:tcW w:w="1013" w:type="pct"/>
            <w:vAlign w:val="center"/>
          </w:tcPr>
          <w:p w14:paraId="548526B8">
            <w:pPr>
              <w:jc w:val="center"/>
              <w:rPr>
                <w:rFonts w:cs="Times New Roman"/>
              </w:rPr>
            </w:pPr>
            <w:r>
              <w:rPr>
                <w:rFonts w:cs="Times New Roman"/>
                <w:color w:val="000000"/>
              </w:rPr>
              <w:t>10-15</w:t>
            </w:r>
          </w:p>
        </w:tc>
        <w:tc>
          <w:tcPr>
            <w:tcW w:w="1013" w:type="pct"/>
            <w:vAlign w:val="center"/>
          </w:tcPr>
          <w:p w14:paraId="5909BA1A">
            <w:pPr>
              <w:jc w:val="center"/>
              <w:rPr>
                <w:rFonts w:cs="Times New Roman"/>
              </w:rPr>
            </w:pPr>
            <w:r>
              <w:rPr>
                <w:rFonts w:cs="Times New Roman"/>
                <w:color w:val="000000"/>
              </w:rPr>
              <w:t>3%</w:t>
            </w:r>
          </w:p>
        </w:tc>
        <w:tc>
          <w:tcPr>
            <w:tcW w:w="1013" w:type="pct"/>
            <w:vAlign w:val="center"/>
          </w:tcPr>
          <w:p w14:paraId="1209BE77">
            <w:pPr>
              <w:jc w:val="center"/>
              <w:rPr>
                <w:rFonts w:cs="Times New Roman"/>
              </w:rPr>
            </w:pPr>
            <w:r>
              <w:rPr>
                <w:rFonts w:cs="Times New Roman"/>
                <w:color w:val="000000"/>
              </w:rPr>
              <w:t>6.47%-9.70%</w:t>
            </w:r>
          </w:p>
        </w:tc>
      </w:tr>
      <w:tr w14:paraId="7F844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vAlign w:val="center"/>
          </w:tcPr>
          <w:p w14:paraId="1251009D">
            <w:pPr>
              <w:jc w:val="both"/>
            </w:pPr>
            <w:r>
              <w:rPr>
                <w:rFonts w:hint="eastAsia"/>
                <w:color w:val="000000"/>
              </w:rPr>
              <w:t>运输工具</w:t>
            </w:r>
          </w:p>
        </w:tc>
        <w:tc>
          <w:tcPr>
            <w:tcW w:w="1012" w:type="pct"/>
            <w:vAlign w:val="center"/>
          </w:tcPr>
          <w:p w14:paraId="5C03FCBB">
            <w:pPr>
              <w:jc w:val="both"/>
            </w:pPr>
            <w:r>
              <w:rPr>
                <w:rFonts w:hint="eastAsia"/>
                <w:color w:val="000000"/>
              </w:rPr>
              <w:t>年限平均法</w:t>
            </w:r>
          </w:p>
        </w:tc>
        <w:tc>
          <w:tcPr>
            <w:tcW w:w="1013" w:type="pct"/>
            <w:vAlign w:val="center"/>
          </w:tcPr>
          <w:p w14:paraId="114408D9">
            <w:pPr>
              <w:jc w:val="center"/>
              <w:rPr>
                <w:rFonts w:cs="Times New Roman"/>
              </w:rPr>
            </w:pPr>
            <w:r>
              <w:rPr>
                <w:rFonts w:cs="Times New Roman"/>
                <w:color w:val="000000"/>
              </w:rPr>
              <w:t>6-10</w:t>
            </w:r>
          </w:p>
        </w:tc>
        <w:tc>
          <w:tcPr>
            <w:tcW w:w="1013" w:type="pct"/>
            <w:vAlign w:val="center"/>
          </w:tcPr>
          <w:p w14:paraId="3011FB6A">
            <w:pPr>
              <w:jc w:val="center"/>
              <w:rPr>
                <w:rFonts w:cs="Times New Roman"/>
              </w:rPr>
            </w:pPr>
            <w:r>
              <w:rPr>
                <w:rFonts w:cs="Times New Roman"/>
                <w:color w:val="000000"/>
              </w:rPr>
              <w:t>0-3%</w:t>
            </w:r>
          </w:p>
        </w:tc>
        <w:tc>
          <w:tcPr>
            <w:tcW w:w="1013" w:type="pct"/>
            <w:vAlign w:val="center"/>
          </w:tcPr>
          <w:p w14:paraId="1800D90F">
            <w:pPr>
              <w:jc w:val="center"/>
              <w:rPr>
                <w:rFonts w:cs="Times New Roman"/>
              </w:rPr>
            </w:pPr>
            <w:r>
              <w:rPr>
                <w:rFonts w:cs="Times New Roman"/>
                <w:color w:val="000000"/>
              </w:rPr>
              <w:t>9.70%-16.67%</w:t>
            </w:r>
          </w:p>
        </w:tc>
      </w:tr>
      <w:tr w14:paraId="7CF8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vAlign w:val="center"/>
          </w:tcPr>
          <w:p w14:paraId="6DCA6E78">
            <w:pPr>
              <w:jc w:val="both"/>
            </w:pPr>
            <w:r>
              <w:rPr>
                <w:rFonts w:hint="eastAsia"/>
                <w:color w:val="000000"/>
              </w:rPr>
              <w:t>其他</w:t>
            </w:r>
          </w:p>
        </w:tc>
        <w:tc>
          <w:tcPr>
            <w:tcW w:w="1012" w:type="pct"/>
            <w:vAlign w:val="center"/>
          </w:tcPr>
          <w:p w14:paraId="742287FE">
            <w:pPr>
              <w:jc w:val="both"/>
            </w:pPr>
            <w:r>
              <w:rPr>
                <w:rFonts w:hint="eastAsia"/>
                <w:color w:val="000000"/>
              </w:rPr>
              <w:t>年限平均法</w:t>
            </w:r>
          </w:p>
        </w:tc>
        <w:tc>
          <w:tcPr>
            <w:tcW w:w="1013" w:type="pct"/>
            <w:vAlign w:val="center"/>
          </w:tcPr>
          <w:p w14:paraId="365D6F57">
            <w:pPr>
              <w:jc w:val="center"/>
              <w:rPr>
                <w:rFonts w:cs="Times New Roman"/>
              </w:rPr>
            </w:pPr>
            <w:r>
              <w:rPr>
                <w:rFonts w:cs="Times New Roman"/>
                <w:color w:val="000000"/>
              </w:rPr>
              <w:t>4-5</w:t>
            </w:r>
          </w:p>
        </w:tc>
        <w:tc>
          <w:tcPr>
            <w:tcW w:w="1013" w:type="pct"/>
            <w:vAlign w:val="center"/>
          </w:tcPr>
          <w:p w14:paraId="51C55D3A">
            <w:pPr>
              <w:jc w:val="center"/>
              <w:rPr>
                <w:rFonts w:cs="Times New Roman"/>
              </w:rPr>
            </w:pPr>
            <w:r>
              <w:rPr>
                <w:rFonts w:cs="Times New Roman"/>
                <w:color w:val="000000"/>
              </w:rPr>
              <w:t>0%</w:t>
            </w:r>
          </w:p>
        </w:tc>
        <w:tc>
          <w:tcPr>
            <w:tcW w:w="1013" w:type="pct"/>
            <w:vAlign w:val="center"/>
          </w:tcPr>
          <w:p w14:paraId="3673B8BA">
            <w:pPr>
              <w:jc w:val="center"/>
              <w:rPr>
                <w:rFonts w:cs="Times New Roman"/>
              </w:rPr>
            </w:pPr>
            <w:r>
              <w:rPr>
                <w:rFonts w:cs="Times New Roman"/>
                <w:color w:val="000000"/>
              </w:rPr>
              <w:t>20.00%-25.00%</w:t>
            </w:r>
          </w:p>
        </w:tc>
      </w:tr>
    </w:tbl>
    <w:p w14:paraId="06330241">
      <w:pPr>
        <w:rPr>
          <w:color w:val="000000" w:themeColor="text1"/>
          <w14:textFill>
            <w14:solidFill>
              <w14:schemeClr w14:val="tx1"/>
            </w14:solidFill>
          </w14:textFill>
        </w:rPr>
      </w:pPr>
    </w:p>
    <w:p w14:paraId="2A05F2C2">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在建工程</w:t>
      </w:r>
    </w:p>
    <w:p w14:paraId="7BB925BA">
      <w:pPr>
        <w:rPr>
          <w:color w:val="000000" w:themeColor="text1"/>
          <w14:textFill>
            <w14:solidFill>
              <w14:schemeClr w14:val="tx1"/>
            </w14:solidFill>
          </w14:textFill>
        </w:rPr>
      </w:pPr>
      <w:sdt>
        <w:sdtPr>
          <w:rPr>
            <w:rFonts w:hint="eastAsia"/>
            <w:color w:val="000000" w:themeColor="text1"/>
            <w14:textFill>
              <w14:solidFill>
                <w14:schemeClr w14:val="tx1"/>
              </w14:solidFill>
            </w14:textFill>
          </w:rPr>
          <w:alias w:val="是否适用：在建工程_重要会计政策和估计[双击切换]"/>
          <w:tag w:val="_GBC_d9803b41f65e4a7fbebb412a259d9bf9"/>
          <w:id w:val="147451190"/>
          <w:placeholder>
            <w:docPart w:val="GBC22222222222222222222222222222"/>
          </w:placeholder>
        </w:sdtPr>
        <w:sdtEndPr>
          <w:rPr>
            <w:rFonts w:hint="eastAsia"/>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sdt>
      <w:sdtPr>
        <w:rPr>
          <w:rFonts w:hint="eastAsia"/>
          <w:color w:val="000000" w:themeColor="text1"/>
          <w14:textFill>
            <w14:solidFill>
              <w14:schemeClr w14:val="tx1"/>
            </w14:solidFill>
          </w14:textFill>
        </w:rPr>
        <w:alias w:val="在建工程核算方法"/>
        <w:tag w:val="_GBC_ed79f983df814c58add61776fe84c76e"/>
        <w:id w:val="147465479"/>
        <w:placeholder>
          <w:docPart w:val="GBC22222222222222222222222222222"/>
        </w:placeholder>
      </w:sdtPr>
      <w:sdtEndPr>
        <w:rPr>
          <w:rFonts w:hint="eastAsia"/>
          <w:color w:val="000000" w:themeColor="text1"/>
          <w14:textFill>
            <w14:solidFill>
              <w14:schemeClr w14:val="tx1"/>
            </w14:solidFill>
          </w14:textFill>
        </w:rPr>
      </w:sdtEndPr>
      <w:sdtContent>
        <w:p w14:paraId="5DAAFEEA">
          <w:pPr>
            <w:rPr>
              <w:color w:val="000000" w:themeColor="text1"/>
              <w14:textFill>
                <w14:solidFill>
                  <w14:schemeClr w14:val="tx1"/>
                </w14:solidFill>
              </w14:textFill>
            </w:rPr>
          </w:pPr>
          <w:r>
            <w:rPr>
              <w:rFonts w:hint="eastAsia"/>
              <w:color w:val="000000" w:themeColor="text1"/>
              <w14:textFill>
                <w14:solidFill>
                  <w14:schemeClr w14:val="tx1"/>
                </w14:solidFill>
              </w14:textFill>
            </w:rPr>
            <w:t>（1）在建工程同时满足经济利益很可能流入、成本能够可靠计量则予以确认。在建工程按建造该项资产达到预定可使用状态前所发生的实际成本计量。</w:t>
          </w:r>
        </w:p>
        <w:p w14:paraId="1B7BE947">
          <w:pPr>
            <w:rPr>
              <w:color w:val="000000" w:themeColor="text1"/>
              <w14:textFill>
                <w14:solidFill>
                  <w14:schemeClr w14:val="tx1"/>
                </w14:solidFill>
              </w14:textFill>
            </w:rPr>
          </w:pPr>
          <w:r>
            <w:rPr>
              <w:rFonts w:hint="eastAsia"/>
              <w:color w:val="000000" w:themeColor="text1"/>
              <w14:textFill>
                <w14:solidFill>
                  <w14:schemeClr w14:val="tx1"/>
                </w14:solidFill>
              </w14:textFill>
            </w:rPr>
            <w:t>（2）在建工程达到预定可使用状态时，按工程实际成本转入固定资产。已达到预定可使用状态但尚未办理竣工决算的，先按估计价值转入固定资产，待办理竣工决算后再按实际成本调整原暂估价值，但不再调整原已计提的折旧。</w:t>
          </w:r>
        </w:p>
        <w:p w14:paraId="4B67E923">
          <w:pPr>
            <w:rPr>
              <w:color w:val="000000" w:themeColor="text1"/>
              <w14:textFill>
                <w14:solidFill>
                  <w14:schemeClr w14:val="tx1"/>
                </w14:solidFill>
              </w14:textFill>
            </w:rPr>
          </w:pPr>
          <w:r>
            <w:rPr>
              <w:rFonts w:hint="eastAsia"/>
              <w:color w:val="000000" w:themeColor="text1"/>
              <w14:textFill>
                <w14:solidFill>
                  <w14:schemeClr w14:val="tx1"/>
                </w14:solidFill>
              </w14:textFill>
            </w:rPr>
            <w:t>在建工程的减值测试方法和减值准备计提方法详见附注五、27、长期资产减值。</w:t>
          </w:r>
        </w:p>
      </w:sdtContent>
    </w:sdt>
    <w:p w14:paraId="1E21E108">
      <w:pPr>
        <w:rPr>
          <w:color w:val="000000" w:themeColor="text1"/>
          <w14:textFill>
            <w14:solidFill>
              <w14:schemeClr w14:val="tx1"/>
            </w14:solidFill>
          </w14:textFill>
        </w:rPr>
      </w:pPr>
    </w:p>
    <w:p w14:paraId="6D21BF49">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借款费用</w:t>
      </w:r>
    </w:p>
    <w:sdt>
      <w:sdtPr>
        <w:rPr>
          <w:rFonts w:hint="eastAsia"/>
          <w:color w:val="000000" w:themeColor="text1"/>
          <w14:textFill>
            <w14:solidFill>
              <w14:schemeClr w14:val="tx1"/>
            </w14:solidFill>
          </w14:textFill>
        </w:rPr>
        <w:alias w:val="是否适用：借款费用_重要会计政策和估计[双击切换]"/>
        <w:tag w:val="_GBC_3f3db73e5cb247009b3840143b5e6627"/>
        <w:id w:val="147451854"/>
        <w:placeholder>
          <w:docPart w:val="GBC22222222222222222222222222222"/>
        </w:placeholder>
      </w:sdtPr>
      <w:sdtEndPr>
        <w:rPr>
          <w:rFonts w:hint="eastAsia"/>
          <w:color w:val="000000" w:themeColor="text1"/>
          <w14:textFill>
            <w14:solidFill>
              <w14:schemeClr w14:val="tx1"/>
            </w14:solidFill>
          </w14:textFill>
        </w:rPr>
      </w:sdtEndPr>
      <w:sdtContent>
        <w:p w14:paraId="48CD7D0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借款费用的会计处理方法"/>
        <w:tag w:val="_GBC_2101c32d32c64f39a8b8fcd2b72dbb0a"/>
        <w:id w:val="147455706"/>
        <w:placeholder>
          <w:docPart w:val="GBC22222222222222222222222222222"/>
        </w:placeholder>
      </w:sdtPr>
      <w:sdtEndPr>
        <w:rPr>
          <w:rFonts w:hint="eastAsia"/>
          <w:color w:val="000000" w:themeColor="text1"/>
          <w14:textFill>
            <w14:solidFill>
              <w14:schemeClr w14:val="tx1"/>
            </w14:solidFill>
          </w14:textFill>
        </w:rPr>
      </w:sdtEndPr>
      <w:sdtContent>
        <w:p w14:paraId="6D9F97D1">
          <w:pPr>
            <w:rPr>
              <w:color w:val="000000" w:themeColor="text1"/>
              <w14:textFill>
                <w14:solidFill>
                  <w14:schemeClr w14:val="tx1"/>
                </w14:solidFill>
              </w14:textFill>
            </w:rPr>
          </w:pPr>
          <w:r>
            <w:rPr>
              <w:rFonts w:hint="eastAsia"/>
              <w:color w:val="000000" w:themeColor="text1"/>
              <w14:textFill>
                <w14:solidFill>
                  <w14:schemeClr w14:val="tx1"/>
                </w14:solidFill>
              </w14:textFill>
            </w:rPr>
            <w:t>（1）借款费用资本化的确认原则</w:t>
          </w:r>
        </w:p>
        <w:p w14:paraId="319D1145">
          <w:pPr>
            <w:rPr>
              <w:color w:val="000000" w:themeColor="text1"/>
              <w14:textFill>
                <w14:solidFill>
                  <w14:schemeClr w14:val="tx1"/>
                </w14:solidFill>
              </w14:textFill>
            </w:rPr>
          </w:pPr>
          <w:r>
            <w:rPr>
              <w:rFonts w:hint="eastAsia"/>
              <w:color w:val="000000" w:themeColor="text1"/>
              <w14:textFill>
                <w14:solidFill>
                  <w14:schemeClr w14:val="tx1"/>
                </w14:solidFill>
              </w14:textFill>
            </w:rPr>
            <w:t>公司发生的借款费用，可直接归属于符合资本化条件的资产的购建或者生产的，予以资本化，计入相关资产成本；其他借款费用，在发生时确认为费用，计入当期损益。</w:t>
          </w:r>
        </w:p>
        <w:p w14:paraId="08E45C70">
          <w:pPr>
            <w:rPr>
              <w:color w:val="000000" w:themeColor="text1"/>
              <w14:textFill>
                <w14:solidFill>
                  <w14:schemeClr w14:val="tx1"/>
                </w14:solidFill>
              </w14:textFill>
            </w:rPr>
          </w:pPr>
          <w:r>
            <w:rPr>
              <w:rFonts w:hint="eastAsia"/>
              <w:color w:val="000000" w:themeColor="text1"/>
              <w14:textFill>
                <w14:solidFill>
                  <w14:schemeClr w14:val="tx1"/>
                </w14:solidFill>
              </w14:textFill>
            </w:rPr>
            <w:t>（2）借款费用资本化期间</w:t>
          </w:r>
        </w:p>
        <w:p w14:paraId="75D151C8">
          <w:pPr>
            <w:rPr>
              <w:color w:val="000000" w:themeColor="text1"/>
              <w14:textFill>
                <w14:solidFill>
                  <w14:schemeClr w14:val="tx1"/>
                </w14:solidFill>
              </w14:textFill>
            </w:rPr>
          </w:pPr>
          <w:r>
            <w:rPr>
              <w:rFonts w:hint="eastAsia"/>
              <w:color w:val="000000" w:themeColor="text1"/>
              <w14:textFill>
                <w14:solidFill>
                  <w14:schemeClr w14:val="tx1"/>
                </w14:solidFill>
              </w14:textFill>
            </w:rPr>
            <w:t>①当借款费用同时满足下列条件时，开始资本化：1) 资产支出已经发生；2) 借款费用已经发生；3) 为使资产达到预定可使用或可销售状态所必要的购建或者生产活动已经开始。</w:t>
          </w:r>
        </w:p>
        <w:p w14:paraId="15246BA4">
          <w:pPr>
            <w:rPr>
              <w:color w:val="000000" w:themeColor="text1"/>
              <w14:textFill>
                <w14:solidFill>
                  <w14:schemeClr w14:val="tx1"/>
                </w14:solidFill>
              </w14:textFill>
            </w:rPr>
          </w:pPr>
          <w:r>
            <w:rPr>
              <w:rFonts w:hint="eastAsia"/>
              <w:color w:val="000000" w:themeColor="text1"/>
              <w14:textFill>
                <w14:solidFill>
                  <w14:schemeClr w14:val="tx1"/>
                </w14:solidFill>
              </w14:textFill>
            </w:rPr>
            <w:t>②若符合资本化条件的资产在购建或者生产过程中发生非正常中断，并且中断时间连续超过3个月，暂停借款费用的资本化；中断期间发生的借款费用确认为当期费用，直至资产的购建或者生产活动重新开始。</w:t>
          </w:r>
        </w:p>
        <w:p w14:paraId="39867AE8">
          <w:pPr>
            <w:rPr>
              <w:color w:val="000000" w:themeColor="text1"/>
              <w14:textFill>
                <w14:solidFill>
                  <w14:schemeClr w14:val="tx1"/>
                </w14:solidFill>
              </w14:textFill>
            </w:rPr>
          </w:pPr>
          <w:r>
            <w:rPr>
              <w:rFonts w:hint="eastAsia"/>
              <w:color w:val="000000" w:themeColor="text1"/>
              <w14:textFill>
                <w14:solidFill>
                  <w14:schemeClr w14:val="tx1"/>
                </w14:solidFill>
              </w14:textFill>
            </w:rPr>
            <w:t>③当所购建或者生产符合资本化条件的资产达到预定可使用或可销售状态时，借款费用停止资本化。</w:t>
          </w:r>
        </w:p>
        <w:p w14:paraId="0FE108FC">
          <w:pPr>
            <w:rPr>
              <w:color w:val="000000" w:themeColor="text1"/>
              <w14:textFill>
                <w14:solidFill>
                  <w14:schemeClr w14:val="tx1"/>
                </w14:solidFill>
              </w14:textFill>
            </w:rPr>
          </w:pPr>
          <w:r>
            <w:rPr>
              <w:rFonts w:hint="eastAsia"/>
              <w:color w:val="000000" w:themeColor="text1"/>
              <w14:textFill>
                <w14:solidFill>
                  <w14:schemeClr w14:val="tx1"/>
                </w14:solidFill>
              </w14:textFill>
            </w:rPr>
            <w:t>（3）借款费用资本化率以及资本化金额</w:t>
          </w:r>
        </w:p>
        <w:p w14:paraId="71364AA2">
          <w:pPr>
            <w:rPr>
              <w:color w:val="000000" w:themeColor="text1"/>
              <w14:textFill>
                <w14:solidFill>
                  <w14:schemeClr w14:val="tx1"/>
                </w14:solidFill>
              </w14:textFill>
            </w:rPr>
          </w:pPr>
          <w:r>
            <w:rPr>
              <w:rFonts w:hint="eastAsia"/>
              <w:color w:val="000000" w:themeColor="text1"/>
              <w14:textFill>
                <w14:solidFill>
                  <w14:schemeClr w14:val="tx1"/>
                </w14:solidFill>
              </w14:textFill>
            </w:rPr>
            <w:t>为购建或者生产符合资本化条件的资产而借入专门借款的，以专门借款当期实际发生的利息费用（包括按照实际利率法确定的折价或溢价的摊销），减去将尚未动用的借款资金存入银行取得的利息收入或进行暂时性投资取得的投资收益后的金额，确定应予资本化的利息金额；为购建或者生产符合资本化条件的资产占用了一般借款的，根据累计资产支出超过专门借款的资产支出加权平均数乘以占用一般借款的资本化率，计算确定一般借款应予资本化的利息金额。</w:t>
          </w:r>
        </w:p>
      </w:sdtContent>
    </w:sdt>
    <w:p w14:paraId="03F9D48B">
      <w:pPr>
        <w:rPr>
          <w:color w:val="000000" w:themeColor="text1"/>
          <w14:textFill>
            <w14:solidFill>
              <w14:schemeClr w14:val="tx1"/>
            </w14:solidFill>
          </w14:textFill>
        </w:rPr>
      </w:pPr>
    </w:p>
    <w:p w14:paraId="7561FCD8">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生物资产</w:t>
      </w:r>
    </w:p>
    <w:sdt>
      <w:sdtPr>
        <w:rPr>
          <w:rFonts w:hint="eastAsia"/>
          <w:color w:val="000000" w:themeColor="text1"/>
          <w14:textFill>
            <w14:solidFill>
              <w14:schemeClr w14:val="tx1"/>
            </w14:solidFill>
          </w14:textFill>
        </w:rPr>
        <w:alias w:val="是否适用：生物资产_重要会计政策和估计[双击切换]"/>
        <w:tag w:val="_GBC_3c525bb9dd0340978b83e74317a40315"/>
        <w:id w:val="147452257"/>
        <w:placeholder>
          <w:docPart w:val="GBC22222222222222222222222222222"/>
        </w:placeholder>
      </w:sdtPr>
      <w:sdtEndPr>
        <w:rPr>
          <w:rFonts w:hint="eastAsia"/>
          <w:color w:val="000000" w:themeColor="text1"/>
          <w14:textFill>
            <w14:solidFill>
              <w14:schemeClr w14:val="tx1"/>
            </w14:solidFill>
          </w14:textFill>
        </w:rPr>
      </w:sdtEndPr>
      <w:sdtContent>
        <w:p w14:paraId="560CB5D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3A3B1D0">
      <w:pPr>
        <w:rPr>
          <w:color w:val="000000" w:themeColor="text1"/>
          <w14:textFill>
            <w14:solidFill>
              <w14:schemeClr w14:val="tx1"/>
            </w14:solidFill>
          </w14:textFill>
        </w:rPr>
      </w:pPr>
    </w:p>
    <w:p w14:paraId="37A192B7">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油气资产</w:t>
      </w:r>
    </w:p>
    <w:sdt>
      <w:sdtPr>
        <w:rPr>
          <w:rFonts w:hint="eastAsia"/>
          <w:color w:val="000000" w:themeColor="text1"/>
          <w14:textFill>
            <w14:solidFill>
              <w14:schemeClr w14:val="tx1"/>
            </w14:solidFill>
          </w14:textFill>
        </w:rPr>
        <w:alias w:val="是否适用：油气资产_重要会计政策和估计[双击切换]"/>
        <w:tag w:val="_GBC_60d99a70431c4b868b6e953077cbfe88"/>
        <w:id w:val="147468632"/>
        <w:placeholder>
          <w:docPart w:val="GBC22222222222222222222222222222"/>
        </w:placeholder>
      </w:sdtPr>
      <w:sdtEndPr>
        <w:rPr>
          <w:rFonts w:hint="eastAsia"/>
          <w:color w:val="000000" w:themeColor="text1"/>
          <w14:textFill>
            <w14:solidFill>
              <w14:schemeClr w14:val="tx1"/>
            </w14:solidFill>
          </w14:textFill>
        </w:rPr>
      </w:sdtEndPr>
      <w:sdtContent>
        <w:p w14:paraId="35B9BFF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CCA48F1">
      <w:pPr>
        <w:rPr>
          <w:rFonts w:cs="Times New Roman"/>
          <w:color w:val="000000" w:themeColor="text1"/>
          <w:kern w:val="2"/>
          <w14:textFill>
            <w14:solidFill>
              <w14:schemeClr w14:val="tx1"/>
            </w14:solidFill>
          </w14:textFill>
        </w:rPr>
      </w:pPr>
    </w:p>
    <w:p w14:paraId="1BA9BA33">
      <w:pPr>
        <w:pStyle w:val="57"/>
        <w:numPr>
          <w:ilvl w:val="0"/>
          <w:numId w:val="46"/>
        </w:numPr>
        <w:rPr>
          <w:rFonts w:ascii="宋体" w:hAnsi="宋体"/>
          <w:color w:val="000000" w:themeColor="text1"/>
          <w14:textFill>
            <w14:solidFill>
              <w14:schemeClr w14:val="tx1"/>
            </w14:solidFill>
          </w14:textFill>
        </w:rPr>
      </w:pPr>
      <w:bookmarkStart w:id="173" w:name="_Hlk169007443"/>
      <w:r>
        <w:rPr>
          <w:rFonts w:ascii="宋体" w:hAnsi="宋体"/>
          <w:color w:val="000000" w:themeColor="text1"/>
          <w14:textFill>
            <w14:solidFill>
              <w14:schemeClr w14:val="tx1"/>
            </w14:solidFill>
          </w14:textFill>
        </w:rPr>
        <w:t>无形资产</w:t>
      </w:r>
    </w:p>
    <w:p w14:paraId="56B17BA2">
      <w:pPr>
        <w:pStyle w:val="58"/>
        <w:numPr>
          <w:ilvl w:val="3"/>
          <w:numId w:val="49"/>
        </w:numPr>
        <w:tabs>
          <w:tab w:val="left" w:pos="448"/>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使用寿命及其确定依据、估计情况、摊销方法</w:t>
      </w:r>
      <w:r>
        <w:rPr>
          <w:rFonts w:hint="eastAsia"/>
          <w:color w:val="000000" w:themeColor="text1"/>
          <w14:textFill>
            <w14:solidFill>
              <w14:schemeClr w14:val="tx1"/>
            </w14:solidFill>
          </w14:textFill>
        </w:rPr>
        <w:t>或复核程序</w:t>
      </w:r>
    </w:p>
    <w:sdt>
      <w:sdtPr>
        <w:rPr>
          <w:rFonts w:hint="eastAsia"/>
          <w:color w:val="000000" w:themeColor="text1"/>
          <w14:textFill>
            <w14:solidFill>
              <w14:schemeClr w14:val="tx1"/>
            </w14:solidFill>
          </w14:textFill>
        </w:rPr>
        <w:alias w:val="是否适用：无形资产计价方法、使用寿命、减值测试[双击切换]"/>
        <w:tag w:val="_GBC_a82698fb1ffd4e75b46a9c35938b4cf4"/>
        <w:id w:val="147481381"/>
        <w:placeholder>
          <w:docPart w:val="GBC22222222222222222222222222222"/>
        </w:placeholder>
      </w:sdtPr>
      <w:sdtEndPr>
        <w:rPr>
          <w:rFonts w:hint="eastAsia"/>
          <w:color w:val="000000" w:themeColor="text1"/>
          <w14:textFill>
            <w14:solidFill>
              <w14:schemeClr w14:val="tx1"/>
            </w14:solidFill>
          </w14:textFill>
        </w:rPr>
      </w:sdtEndPr>
      <w:sdtContent>
        <w:p w14:paraId="7252D5A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无形资产计价方法、使用寿命、减值测试"/>
        <w:tag w:val="_GBC_a9e64b18f452482eb6674ec605618dcc"/>
        <w:id w:val="147459966"/>
        <w:placeholder>
          <w:docPart w:val="GBC22222222222222222222222222222"/>
        </w:placeholder>
      </w:sdtPr>
      <w:sdtEndPr>
        <w:rPr>
          <w:color w:val="000000" w:themeColor="text1"/>
          <w14:textFill>
            <w14:solidFill>
              <w14:schemeClr w14:val="tx1"/>
            </w14:solidFill>
          </w14:textFill>
        </w:rPr>
      </w:sdtEndPr>
      <w:sdtContent>
        <w:p w14:paraId="334C4310">
          <w:pPr>
            <w:rPr>
              <w:color w:val="000000" w:themeColor="text1"/>
              <w14:textFill>
                <w14:solidFill>
                  <w14:schemeClr w14:val="tx1"/>
                </w14:solidFill>
              </w14:textFill>
            </w:rPr>
          </w:pPr>
          <w:r>
            <w:rPr>
              <w:rFonts w:hint="eastAsia"/>
              <w:color w:val="000000" w:themeColor="text1"/>
              <w14:textFill>
                <w14:solidFill>
                  <w14:schemeClr w14:val="tx1"/>
                </w14:solidFill>
              </w14:textFill>
            </w:rPr>
            <w:t>无形资产包括土地使用权、专利权、非专利技术、软件、商标等，按成本进行初始计量。</w:t>
          </w:r>
        </w:p>
        <w:p w14:paraId="4ED41BC4">
          <w:pPr>
            <w:rPr>
              <w:color w:val="000000" w:themeColor="text1"/>
              <w14:textFill>
                <w14:solidFill>
                  <w14:schemeClr w14:val="tx1"/>
                </w14:solidFill>
              </w14:textFill>
            </w:rPr>
          </w:pPr>
          <w:r>
            <w:rPr>
              <w:rFonts w:hint="eastAsia"/>
              <w:color w:val="000000" w:themeColor="text1"/>
              <w14:textFill>
                <w14:solidFill>
                  <w14:schemeClr w14:val="tx1"/>
                </w14:solidFill>
              </w14:textFill>
            </w:rPr>
            <w:t>本公司在取得无形资产时分析判断其使用寿命，划分为使用寿命有限和使用寿命不确定的无</w:t>
          </w:r>
        </w:p>
        <w:p w14:paraId="061AA509">
          <w:pPr>
            <w:rPr>
              <w:color w:val="000000" w:themeColor="text1"/>
              <w14:textFill>
                <w14:solidFill>
                  <w14:schemeClr w14:val="tx1"/>
                </w14:solidFill>
              </w14:textFill>
            </w:rPr>
          </w:pPr>
          <w:r>
            <w:rPr>
              <w:rFonts w:hint="eastAsia"/>
              <w:color w:val="000000" w:themeColor="text1"/>
              <w14:textFill>
                <w14:solidFill>
                  <w14:schemeClr w14:val="tx1"/>
                </w14:solidFill>
              </w14:textFill>
            </w:rPr>
            <w:t>形资产。</w:t>
          </w:r>
        </w:p>
        <w:p w14:paraId="48F0D1E0">
          <w:pPr>
            <w:rPr>
              <w:color w:val="000000" w:themeColor="text1"/>
              <w14:textFill>
                <w14:solidFill>
                  <w14:schemeClr w14:val="tx1"/>
                </w14:solidFill>
              </w14:textFill>
            </w:rPr>
          </w:pPr>
          <w:r>
            <w:rPr>
              <w:rFonts w:hint="eastAsia"/>
              <w:color w:val="000000" w:themeColor="text1"/>
              <w14:textFill>
                <w14:solidFill>
                  <w14:schemeClr w14:val="tx1"/>
                </w14:solidFill>
              </w14:textFill>
            </w:rPr>
            <w:t>①使用寿命有限的无形资产</w:t>
          </w:r>
        </w:p>
        <w:p w14:paraId="37E9EF11">
          <w:pPr>
            <w:rPr>
              <w:color w:val="000000" w:themeColor="text1"/>
              <w14:textFill>
                <w14:solidFill>
                  <w14:schemeClr w14:val="tx1"/>
                </w14:solidFill>
              </w14:textFill>
            </w:rPr>
          </w:pPr>
          <w:r>
            <w:rPr>
              <w:rFonts w:hint="eastAsia"/>
              <w:color w:val="000000" w:themeColor="text1"/>
              <w14:textFill>
                <w14:solidFill>
                  <w14:schemeClr w14:val="tx1"/>
                </w14:solidFill>
              </w14:textFill>
            </w:rPr>
            <w:t>使用寿命有限的无形资产，在使用寿命内按照与该项无形资产有关的经济利益的预期实现方式系统合理地摊销，无法可靠确定预期实现方式的，采用直线法摊销。具体如下：</w:t>
          </w: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4819"/>
            <w:gridCol w:w="2024"/>
          </w:tblGrid>
          <w:tr w14:paraId="3B3A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5B841CF">
                <w:pPr>
                  <w:widowControl w:val="0"/>
                  <w:jc w:val="center"/>
                  <w:rPr>
                    <w:color w:val="000000" w:themeColor="text1"/>
                    <w14:textFill>
                      <w14:solidFill>
                        <w14:schemeClr w14:val="tx1"/>
                      </w14:solidFill>
                    </w14:textFill>
                  </w:rPr>
                </w:pPr>
                <w:r>
                  <w:rPr>
                    <w:rFonts w:cs="Times New Roman"/>
                    <w:color w:val="000000"/>
                  </w:rPr>
                  <w:t>项目</w:t>
                </w:r>
              </w:p>
            </w:tc>
            <w:tc>
              <w:tcPr>
                <w:tcW w:w="4819" w:type="dxa"/>
              </w:tcPr>
              <w:p w14:paraId="1EE6BA55">
                <w:pPr>
                  <w:widowControl w:val="0"/>
                  <w:jc w:val="center"/>
                  <w:rPr>
                    <w:color w:val="000000" w:themeColor="text1"/>
                    <w14:textFill>
                      <w14:solidFill>
                        <w14:schemeClr w14:val="tx1"/>
                      </w14:solidFill>
                    </w14:textFill>
                  </w:rPr>
                </w:pPr>
                <w:r>
                  <w:rPr>
                    <w:rFonts w:hint="eastAsia" w:cs="Times New Roman"/>
                    <w:color w:val="000000"/>
                  </w:rPr>
                  <w:t>使用寿命及其确定依据</w:t>
                </w:r>
              </w:p>
            </w:tc>
            <w:tc>
              <w:tcPr>
                <w:tcW w:w="2024" w:type="dxa"/>
              </w:tcPr>
              <w:p w14:paraId="1D3800C7">
                <w:pPr>
                  <w:widowControl w:val="0"/>
                  <w:jc w:val="center"/>
                  <w:rPr>
                    <w:color w:val="000000" w:themeColor="text1"/>
                    <w14:textFill>
                      <w14:solidFill>
                        <w14:schemeClr w14:val="tx1"/>
                      </w14:solidFill>
                    </w14:textFill>
                  </w:rPr>
                </w:pPr>
                <w:r>
                  <w:rPr>
                    <w:rFonts w:hint="eastAsia" w:cs="Times New Roman"/>
                    <w:color w:val="000000"/>
                  </w:rPr>
                  <w:t>摊销方法</w:t>
                </w:r>
              </w:p>
            </w:tc>
          </w:tr>
          <w:tr w14:paraId="73E5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66C7B27B">
                <w:pPr>
                  <w:widowControl w:val="0"/>
                  <w:jc w:val="both"/>
                  <w:rPr>
                    <w:color w:val="000000" w:themeColor="text1"/>
                    <w14:textFill>
                      <w14:solidFill>
                        <w14:schemeClr w14:val="tx1"/>
                      </w14:solidFill>
                    </w14:textFill>
                  </w:rPr>
                </w:pPr>
                <w:r>
                  <w:rPr>
                    <w:rFonts w:cs="Times New Roman"/>
                    <w:color w:val="000000"/>
                  </w:rPr>
                  <w:t>土地使用权</w:t>
                </w:r>
              </w:p>
            </w:tc>
            <w:tc>
              <w:tcPr>
                <w:tcW w:w="4819" w:type="dxa"/>
              </w:tcPr>
              <w:p w14:paraId="03299072">
                <w:pPr>
                  <w:widowControl w:val="0"/>
                  <w:jc w:val="both"/>
                  <w:rPr>
                    <w:color w:val="000000" w:themeColor="text1"/>
                    <w14:textFill>
                      <w14:solidFill>
                        <w14:schemeClr w14:val="tx1"/>
                      </w14:solidFill>
                    </w14:textFill>
                  </w:rPr>
                </w:pPr>
                <w:r>
                  <w:rPr>
                    <w:rFonts w:hint="eastAsia" w:cs="Times New Roman"/>
                    <w:color w:val="000000"/>
                  </w:rPr>
                  <w:t>按出让年限确定使用寿命</w:t>
                </w:r>
              </w:p>
            </w:tc>
            <w:tc>
              <w:tcPr>
                <w:tcW w:w="2024" w:type="dxa"/>
              </w:tcPr>
              <w:p w14:paraId="44CC427F">
                <w:pPr>
                  <w:widowControl w:val="0"/>
                  <w:jc w:val="both"/>
                  <w:rPr>
                    <w:color w:val="000000" w:themeColor="text1"/>
                    <w14:textFill>
                      <w14:solidFill>
                        <w14:schemeClr w14:val="tx1"/>
                      </w14:solidFill>
                    </w14:textFill>
                  </w:rPr>
                </w:pPr>
                <w:r>
                  <w:rPr>
                    <w:rFonts w:hint="eastAsia" w:cs="Times New Roman"/>
                    <w:color w:val="000000"/>
                  </w:rPr>
                  <w:t>直线法</w:t>
                </w:r>
              </w:p>
            </w:tc>
          </w:tr>
          <w:tr w14:paraId="5B6E0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24231DF7">
                <w:pPr>
                  <w:widowControl w:val="0"/>
                  <w:jc w:val="both"/>
                  <w:rPr>
                    <w:color w:val="000000" w:themeColor="text1"/>
                    <w14:textFill>
                      <w14:solidFill>
                        <w14:schemeClr w14:val="tx1"/>
                      </w14:solidFill>
                    </w14:textFill>
                  </w:rPr>
                </w:pPr>
                <w:r>
                  <w:rPr>
                    <w:rFonts w:cs="Times New Roman"/>
                    <w:color w:val="000000"/>
                  </w:rPr>
                  <w:t>软件</w:t>
                </w:r>
                <w:r>
                  <w:rPr>
                    <w:rFonts w:hint="eastAsia" w:cs="Times New Roman"/>
                    <w:color w:val="000000"/>
                  </w:rPr>
                  <w:t>使用权</w:t>
                </w:r>
              </w:p>
            </w:tc>
            <w:tc>
              <w:tcPr>
                <w:tcW w:w="4819" w:type="dxa"/>
              </w:tcPr>
              <w:p w14:paraId="123E49BB">
                <w:pPr>
                  <w:widowControl w:val="0"/>
                  <w:jc w:val="both"/>
                  <w:rPr>
                    <w:color w:val="000000" w:themeColor="text1"/>
                    <w14:textFill>
                      <w14:solidFill>
                        <w14:schemeClr w14:val="tx1"/>
                      </w14:solidFill>
                    </w14:textFill>
                  </w:rPr>
                </w:pPr>
                <w:r>
                  <w:rPr>
                    <w:rFonts w:hint="eastAsia"/>
                    <w:bCs w:val="0"/>
                  </w:rPr>
                  <w:t>按预期受益期限确定使用寿命为5-10年</w:t>
                </w:r>
              </w:p>
            </w:tc>
            <w:tc>
              <w:tcPr>
                <w:tcW w:w="2024" w:type="dxa"/>
              </w:tcPr>
              <w:p w14:paraId="6C676C99">
                <w:pPr>
                  <w:widowControl w:val="0"/>
                  <w:jc w:val="both"/>
                  <w:rPr>
                    <w:color w:val="000000" w:themeColor="text1"/>
                    <w14:textFill>
                      <w14:solidFill>
                        <w14:schemeClr w14:val="tx1"/>
                      </w14:solidFill>
                    </w14:textFill>
                  </w:rPr>
                </w:pPr>
                <w:r>
                  <w:rPr>
                    <w:rFonts w:hint="eastAsia" w:cs="Times New Roman"/>
                    <w:color w:val="000000"/>
                  </w:rPr>
                  <w:t>直线法</w:t>
                </w:r>
              </w:p>
            </w:tc>
          </w:tr>
        </w:tbl>
        <w:p w14:paraId="2FD1B121">
          <w:pPr>
            <w:rPr>
              <w:color w:val="000000" w:themeColor="text1"/>
              <w14:textFill>
                <w14:solidFill>
                  <w14:schemeClr w14:val="tx1"/>
                </w14:solidFill>
              </w14:textFill>
            </w:rPr>
          </w:pPr>
          <w:r>
            <w:rPr>
              <w:rFonts w:hint="eastAsia"/>
              <w:color w:val="000000" w:themeColor="text1"/>
              <w14:textFill>
                <w14:solidFill>
                  <w14:schemeClr w14:val="tx1"/>
                </w14:solidFill>
              </w14:textFill>
            </w:rPr>
            <w:t>②使用寿命不确定的无形资产</w:t>
          </w:r>
        </w:p>
        <w:p w14:paraId="5BEA7806">
          <w:pPr>
            <w:rPr>
              <w:color w:val="000000" w:themeColor="text1"/>
              <w14:textFill>
                <w14:solidFill>
                  <w14:schemeClr w14:val="tx1"/>
                </w14:solidFill>
              </w14:textFill>
            </w:rPr>
          </w:pPr>
          <w:r>
            <w:rPr>
              <w:rFonts w:hint="eastAsia"/>
              <w:color w:val="000000" w:themeColor="text1"/>
              <w14:textFill>
                <w14:solidFill>
                  <w14:schemeClr w14:val="tx1"/>
                </w14:solidFill>
              </w14:textFill>
            </w:rPr>
            <w:t>使用寿命不确定的无形资产不摊销，公司在每个会计期间均对该无形资产的使用寿命进行复核。对使用寿命不确定的无形资产，使用寿命不确定的判断依据是：</w:t>
          </w:r>
        </w:p>
        <w:p w14:paraId="7FF2CD98">
          <w:pPr>
            <w:rPr>
              <w:color w:val="000000" w:themeColor="text1"/>
              <w14:textFill>
                <w14:solidFill>
                  <w14:schemeClr w14:val="tx1"/>
                </w14:solidFill>
              </w14:textFill>
            </w:rPr>
          </w:pPr>
          <w:r>
            <w:rPr>
              <w:rFonts w:hint="eastAsia"/>
              <w:color w:val="000000" w:themeColor="text1"/>
              <w14:textFill>
                <w14:solidFill>
                  <w14:schemeClr w14:val="tx1"/>
                </w14:solidFill>
              </w14:textFill>
            </w:rPr>
            <w:t>无法预见无形资产为企业带来经济利益期限的，视为使用寿命不确定的无形资产。期末，对使用寿命不确定的无形资产的使用寿命进行复核，如果有证据表明该无形资产为企业带来经济利益的期限是可预见的，则估计其使用寿命并按照使用寿命有限的无形资产的摊销政策进行摊销。</w:t>
          </w:r>
        </w:p>
      </w:sdtContent>
    </w:sdt>
    <w:p w14:paraId="0433525D">
      <w:pPr>
        <w:rPr>
          <w:color w:val="000000" w:themeColor="text1"/>
          <w14:textFill>
            <w14:solidFill>
              <w14:schemeClr w14:val="tx1"/>
            </w14:solidFill>
          </w14:textFill>
        </w:rPr>
      </w:pPr>
    </w:p>
    <w:p w14:paraId="0C5C7EAF">
      <w:pPr>
        <w:pStyle w:val="58"/>
        <w:numPr>
          <w:ilvl w:val="3"/>
          <w:numId w:val="49"/>
        </w:numPr>
        <w:tabs>
          <w:tab w:val="left" w:pos="448"/>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研发支出的归集范围及相关会计处理方法</w:t>
      </w:r>
    </w:p>
    <w:sdt>
      <w:sdtPr>
        <w:rPr>
          <w:rFonts w:hint="eastAsia"/>
          <w:color w:val="000000" w:themeColor="text1"/>
          <w14:textFill>
            <w14:solidFill>
              <w14:schemeClr w14:val="tx1"/>
            </w14:solidFill>
          </w14:textFill>
        </w:rPr>
        <w:alias w:val="是否适用：无形资产内部研究开发支出会计政策[双击切换]"/>
        <w:tag w:val="_GBC_c3cef4c9f19749b8a53b7f49d3b7bac3"/>
        <w:id w:val="147461417"/>
        <w:placeholder>
          <w:docPart w:val="GBC22222222222222222222222222222"/>
        </w:placeholder>
      </w:sdtPr>
      <w:sdtEndPr>
        <w:rPr>
          <w:rFonts w:hint="eastAsia"/>
          <w:color w:val="000000" w:themeColor="text1"/>
          <w14:textFill>
            <w14:solidFill>
              <w14:schemeClr w14:val="tx1"/>
            </w14:solidFill>
          </w14:textFill>
        </w:rPr>
      </w:sdtEndPr>
      <w:sdtContent>
        <w:p w14:paraId="6FED263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无形资产内部研究、开发支出会计政策"/>
        <w:tag w:val="_GBC_af7b1338d88344dfb8cd34ed66bfe672"/>
        <w:id w:val="147473365"/>
        <w:placeholder>
          <w:docPart w:val="GBC22222222222222222222222222222"/>
        </w:placeholder>
      </w:sdtPr>
      <w:sdtEndPr>
        <w:rPr>
          <w:color w:val="000000" w:themeColor="text1"/>
          <w14:textFill>
            <w14:solidFill>
              <w14:schemeClr w14:val="tx1"/>
            </w14:solidFill>
          </w14:textFill>
        </w:rPr>
      </w:sdtEndPr>
      <w:sdtContent>
        <w:p w14:paraId="682D3FDB">
          <w:pPr>
            <w:rPr>
              <w:color w:val="000000" w:themeColor="text1"/>
              <w14:textFill>
                <w14:solidFill>
                  <w14:schemeClr w14:val="tx1"/>
                </w14:solidFill>
              </w14:textFill>
            </w:rPr>
          </w:pPr>
          <w:r>
            <w:rPr>
              <w:rFonts w:hint="eastAsia"/>
              <w:color w:val="000000" w:themeColor="text1"/>
              <w14:textFill>
                <w14:solidFill>
                  <w14:schemeClr w14:val="tx1"/>
                </w14:solidFill>
              </w14:textFill>
            </w:rPr>
            <w:t>1）划分公司内部研究开发项目的研究阶段和开发阶段具体标准</w:t>
          </w:r>
        </w:p>
        <w:p w14:paraId="673FEF9F">
          <w:pPr>
            <w:rPr>
              <w:color w:val="000000" w:themeColor="text1"/>
              <w14:textFill>
                <w14:solidFill>
                  <w14:schemeClr w14:val="tx1"/>
                </w14:solidFill>
              </w14:textFill>
            </w:rPr>
          </w:pPr>
          <w:r>
            <w:rPr>
              <w:rFonts w:hint="eastAsia"/>
              <w:color w:val="000000" w:themeColor="text1"/>
              <w14:textFill>
                <w14:solidFill>
                  <w14:schemeClr w14:val="tx1"/>
                </w14:solidFill>
              </w14:textFill>
            </w:rPr>
            <w:t>研究阶段：为获取并理解新的科学或技术知识等而进行的独创性的有计划调查、研究活动的阶段。</w:t>
          </w:r>
        </w:p>
        <w:p w14:paraId="7BA92A8B">
          <w:pPr>
            <w:rPr>
              <w:color w:val="000000" w:themeColor="text1"/>
              <w14:textFill>
                <w14:solidFill>
                  <w14:schemeClr w14:val="tx1"/>
                </w14:solidFill>
              </w14:textFill>
            </w:rPr>
          </w:pPr>
          <w:r>
            <w:rPr>
              <w:rFonts w:hint="eastAsia"/>
              <w:color w:val="000000" w:themeColor="text1"/>
              <w14:textFill>
                <w14:solidFill>
                  <w14:schemeClr w14:val="tx1"/>
                </w14:solidFill>
              </w14:textFill>
            </w:rPr>
            <w:t>开发阶段：在进行商业性生产或使用前，将研究成果或其他知识应用于某项计划或设计，以生产出新的或具有实质性改进的材料、装置、产品等活动的阶段。</w:t>
          </w:r>
        </w:p>
        <w:p w14:paraId="20A87B7A">
          <w:pPr>
            <w:rPr>
              <w:color w:val="000000" w:themeColor="text1"/>
              <w14:textFill>
                <w14:solidFill>
                  <w14:schemeClr w14:val="tx1"/>
                </w14:solidFill>
              </w14:textFill>
            </w:rPr>
          </w:pPr>
          <w:r>
            <w:rPr>
              <w:rFonts w:hint="eastAsia"/>
              <w:color w:val="000000" w:themeColor="text1"/>
              <w14:textFill>
                <w14:solidFill>
                  <w14:schemeClr w14:val="tx1"/>
                </w14:solidFill>
              </w14:textFill>
            </w:rPr>
            <w:t>内部研究开发项目研究阶段的支出，在发生时计入当期损益。</w:t>
          </w:r>
        </w:p>
        <w:p w14:paraId="3A3CE7D7">
          <w:pPr>
            <w:rPr>
              <w:color w:val="000000" w:themeColor="text1"/>
              <w14:textFill>
                <w14:solidFill>
                  <w14:schemeClr w14:val="tx1"/>
                </w14:solidFill>
              </w14:textFill>
            </w:rPr>
          </w:pPr>
          <w:r>
            <w:rPr>
              <w:rFonts w:hint="eastAsia"/>
              <w:color w:val="000000" w:themeColor="text1"/>
              <w14:textFill>
                <w14:solidFill>
                  <w14:schemeClr w14:val="tx1"/>
                </w14:solidFill>
              </w14:textFill>
            </w:rPr>
            <w:t>2）开发阶段支出符合资本化的具体标准</w:t>
          </w:r>
        </w:p>
        <w:p w14:paraId="6F1B0856">
          <w:pPr>
            <w:rPr>
              <w:color w:val="000000" w:themeColor="text1"/>
              <w14:textFill>
                <w14:solidFill>
                  <w14:schemeClr w14:val="tx1"/>
                </w14:solidFill>
              </w14:textFill>
            </w:rPr>
          </w:pPr>
          <w:r>
            <w:rPr>
              <w:rFonts w:hint="eastAsia"/>
              <w:color w:val="000000" w:themeColor="text1"/>
              <w14:textFill>
                <w14:solidFill>
                  <w14:schemeClr w14:val="tx1"/>
                </w14:solidFill>
              </w14:textFill>
            </w:rPr>
            <w:t>内部研究开发项目开发阶段的支出，同时满足下列条件时确认为无形资产：</w:t>
          </w:r>
        </w:p>
        <w:p w14:paraId="7AC47364">
          <w:pPr>
            <w:rPr>
              <w:color w:val="000000" w:themeColor="text1"/>
              <w14:textFill>
                <w14:solidFill>
                  <w14:schemeClr w14:val="tx1"/>
                </w14:solidFill>
              </w14:textFill>
            </w:rPr>
          </w:pPr>
          <w:r>
            <w:rPr>
              <w:rFonts w:hint="eastAsia"/>
              <w:color w:val="000000" w:themeColor="text1"/>
              <w14:textFill>
                <w14:solidFill>
                  <w14:schemeClr w14:val="tx1"/>
                </w14:solidFill>
              </w14:textFill>
            </w:rPr>
            <w:t>①完成该无形资产以使其能够使用或出售在技术上具有可行性；</w:t>
          </w:r>
        </w:p>
        <w:p w14:paraId="4FBBF1F4">
          <w:pPr>
            <w:rPr>
              <w:color w:val="000000" w:themeColor="text1"/>
              <w14:textFill>
                <w14:solidFill>
                  <w14:schemeClr w14:val="tx1"/>
                </w14:solidFill>
              </w14:textFill>
            </w:rPr>
          </w:pPr>
          <w:r>
            <w:rPr>
              <w:rFonts w:hint="eastAsia"/>
              <w:color w:val="000000" w:themeColor="text1"/>
              <w14:textFill>
                <w14:solidFill>
                  <w14:schemeClr w14:val="tx1"/>
                </w14:solidFill>
              </w14:textFill>
            </w:rPr>
            <w:t>②具有完成该无形资产并使用或出售的意图；</w:t>
          </w:r>
        </w:p>
        <w:p w14:paraId="3D7B5695">
          <w:pPr>
            <w:rPr>
              <w:color w:val="000000" w:themeColor="text1"/>
              <w14:textFill>
                <w14:solidFill>
                  <w14:schemeClr w14:val="tx1"/>
                </w14:solidFill>
              </w14:textFill>
            </w:rPr>
          </w:pPr>
          <w:r>
            <w:rPr>
              <w:rFonts w:hint="eastAsia"/>
              <w:color w:val="000000" w:themeColor="text1"/>
              <w14:textFill>
                <w14:solidFill>
                  <w14:schemeClr w14:val="tx1"/>
                </w14:solidFill>
              </w14:textFill>
            </w:rPr>
            <w:t>③无形资产产生经济利益的方式，包括能够证明运用该无形资产生产的产品存在市场或无形资产自身存在市场，无形资产将在内部使用的，能够证明其有用性；</w:t>
          </w:r>
        </w:p>
        <w:p w14:paraId="369BA044">
          <w:pPr>
            <w:rPr>
              <w:color w:val="000000" w:themeColor="text1"/>
              <w14:textFill>
                <w14:solidFill>
                  <w14:schemeClr w14:val="tx1"/>
                </w14:solidFill>
              </w14:textFill>
            </w:rPr>
          </w:pPr>
          <w:r>
            <w:rPr>
              <w:rFonts w:hint="eastAsia"/>
              <w:color w:val="000000" w:themeColor="text1"/>
              <w14:textFill>
                <w14:solidFill>
                  <w14:schemeClr w14:val="tx1"/>
                </w14:solidFill>
              </w14:textFill>
            </w:rPr>
            <w:t>④有足够的技术、财务资源和其他资源支持，以完成该无形资产的开发，并有能力使用或出售该无形资产；</w:t>
          </w:r>
        </w:p>
        <w:p w14:paraId="56B73573">
          <w:pPr>
            <w:rPr>
              <w:color w:val="000000" w:themeColor="text1"/>
              <w14:textFill>
                <w14:solidFill>
                  <w14:schemeClr w14:val="tx1"/>
                </w14:solidFill>
              </w14:textFill>
            </w:rPr>
          </w:pPr>
          <w:r>
            <w:rPr>
              <w:rFonts w:hint="eastAsia"/>
              <w:color w:val="000000" w:themeColor="text1"/>
              <w14:textFill>
                <w14:solidFill>
                  <w14:schemeClr w14:val="tx1"/>
                </w14:solidFill>
              </w14:textFill>
            </w:rPr>
            <w:t>⑤归属于该无形资产开发阶段的支出能够可靠地计量。</w:t>
          </w:r>
        </w:p>
        <w:p w14:paraId="24B36E34">
          <w:pPr>
            <w:rPr>
              <w:color w:val="000000" w:themeColor="text1"/>
              <w14:textFill>
                <w14:solidFill>
                  <w14:schemeClr w14:val="tx1"/>
                </w14:solidFill>
              </w14:textFill>
            </w:rPr>
          </w:pPr>
          <w:r>
            <w:rPr>
              <w:rFonts w:hint="eastAsia"/>
              <w:color w:val="000000" w:themeColor="text1"/>
              <w14:textFill>
                <w14:solidFill>
                  <w14:schemeClr w14:val="tx1"/>
                </w14:solidFill>
              </w14:textFill>
            </w:rPr>
            <w:t>不满足上述条件的开发阶段的支出，于发生时计入当期损益。以前期间已计入损益的开发支出不在以后期间重新确认为资产。已资本化的开发阶段的支出在资产负债表上列示为开发支出，自该项目达到预定用途之日起转为无形资产。</w:t>
          </w:r>
        </w:p>
      </w:sdtContent>
    </w:sdt>
    <w:bookmarkEnd w:id="173"/>
    <w:p w14:paraId="478AE92F">
      <w:pPr>
        <w:rPr>
          <w:color w:val="000000" w:themeColor="text1"/>
          <w14:textFill>
            <w14:solidFill>
              <w14:schemeClr w14:val="tx1"/>
            </w14:solidFill>
          </w14:textFill>
        </w:rPr>
      </w:pPr>
    </w:p>
    <w:p w14:paraId="264D92E4">
      <w:pPr>
        <w:pStyle w:val="57"/>
        <w:numPr>
          <w:ilvl w:val="0"/>
          <w:numId w:val="46"/>
        </w:numPr>
        <w:rPr>
          <w:rFonts w:ascii="宋体" w:hAnsi="宋体"/>
          <w:color w:val="000000" w:themeColor="text1"/>
          <w14:textFill>
            <w14:solidFill>
              <w14:schemeClr w14:val="tx1"/>
            </w14:solidFill>
          </w14:textFill>
        </w:rPr>
      </w:pPr>
      <w:bookmarkStart w:id="174" w:name="_Hlk44405424"/>
      <w:r>
        <w:rPr>
          <w:rFonts w:ascii="宋体" w:hAnsi="宋体"/>
          <w:color w:val="000000" w:themeColor="text1"/>
          <w14:textFill>
            <w14:solidFill>
              <w14:schemeClr w14:val="tx1"/>
            </w14:solidFill>
          </w14:textFill>
        </w:rPr>
        <w:t>长期资产减值</w:t>
      </w:r>
    </w:p>
    <w:sdt>
      <w:sdtPr>
        <w:rPr>
          <w:rFonts w:hint="eastAsia"/>
          <w:color w:val="000000" w:themeColor="text1"/>
          <w14:textFill>
            <w14:solidFill>
              <w14:schemeClr w14:val="tx1"/>
            </w14:solidFill>
          </w14:textFill>
        </w:rPr>
        <w:alias w:val="是否适用：长期资产减值_重要会计政策和估计[双击切换]"/>
        <w:tag w:val="_GBC_d0feb744f96144ffa5335cd194c6cdf9"/>
        <w:id w:val="147462485"/>
        <w:placeholder>
          <w:docPart w:val="GBC22222222222222222222222222222"/>
        </w:placeholder>
      </w:sdtPr>
      <w:sdtEndPr>
        <w:rPr>
          <w:rFonts w:hint="eastAsia"/>
          <w:color w:val="000000" w:themeColor="text1"/>
          <w14:textFill>
            <w14:solidFill>
              <w14:schemeClr w14:val="tx1"/>
            </w14:solidFill>
          </w14:textFill>
        </w:rPr>
      </w:sdtEndPr>
      <w:sdtContent>
        <w:p w14:paraId="4414D81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非金融长期资产减值测试方法及会计处理方法"/>
        <w:tag w:val="_GBC_e8cb396d7101453b9e9cd1bc11b8633e"/>
        <w:id w:val="147477147"/>
        <w:placeholder>
          <w:docPart w:val="GBC22222222222222222222222222222"/>
        </w:placeholder>
      </w:sdtPr>
      <w:sdtEndPr>
        <w:rPr>
          <w:rFonts w:hint="eastAsia"/>
          <w:color w:val="000000" w:themeColor="text1"/>
          <w14:textFill>
            <w14:solidFill>
              <w14:schemeClr w14:val="tx1"/>
            </w14:solidFill>
          </w14:textFill>
        </w:rPr>
      </w:sdtEndPr>
      <w:sdtContent>
        <w:p w14:paraId="5AAC0B49">
          <w:pPr>
            <w:rPr>
              <w:color w:val="000000" w:themeColor="text1"/>
              <w14:textFill>
                <w14:solidFill>
                  <w14:schemeClr w14:val="tx1"/>
                </w14:solidFill>
              </w14:textFill>
            </w:rPr>
          </w:pPr>
          <w:r>
            <w:rPr>
              <w:rFonts w:hint="eastAsia"/>
              <w:color w:val="000000" w:themeColor="text1"/>
              <w14:textFill>
                <w14:solidFill>
                  <w14:schemeClr w14:val="tx1"/>
                </w14:solidFill>
              </w14:textFill>
            </w:rPr>
            <w:t>本公司在资产负债表日判断长期资产是否存在可能发生减值的迹象。如果长期资产存在减值迹象的，以单项资产为基础估计其可收回金额；难以对单项资产的可收回金额进行估计的，以该资产所属的资产组为基础确定资产组的可收回金额。</w:t>
          </w:r>
        </w:p>
        <w:p w14:paraId="501D9D4B">
          <w:pPr>
            <w:rPr>
              <w:color w:val="000000" w:themeColor="text1"/>
              <w14:textFill>
                <w14:solidFill>
                  <w14:schemeClr w14:val="tx1"/>
                </w14:solidFill>
              </w14:textFill>
            </w:rPr>
          </w:pPr>
          <w:r>
            <w:rPr>
              <w:rFonts w:hint="eastAsia"/>
              <w:color w:val="000000" w:themeColor="text1"/>
              <w14:textFill>
                <w14:solidFill>
                  <w14:schemeClr w14:val="tx1"/>
                </w14:solidFill>
              </w14:textFill>
            </w:rPr>
            <w:t>资产可收回金额的估计，根据其公允价值减去处置费用后的净额与资产预计未来现金流量的现值两者之间较高者确定。</w:t>
          </w:r>
        </w:p>
        <w:p w14:paraId="1DC70689">
          <w:pPr>
            <w:rPr>
              <w:color w:val="000000" w:themeColor="text1"/>
              <w14:textFill>
                <w14:solidFill>
                  <w14:schemeClr w14:val="tx1"/>
                </w14:solidFill>
              </w14:textFill>
            </w:rPr>
          </w:pPr>
          <w:r>
            <w:rPr>
              <w:rFonts w:hint="eastAsia"/>
              <w:color w:val="000000" w:themeColor="text1"/>
              <w14:textFill>
                <w14:solidFill>
                  <w14:schemeClr w14:val="tx1"/>
                </w14:solidFill>
              </w14:textFill>
            </w:rPr>
            <w:t>可收回金额的计量结果表明，长期资产的可收回金额低于其账面价值的，将长期资产的账面价值减记至可收回金额，减记的金额确认为资产减值损失，计入当期损益，同时计提相应的资产减值准备。资产减值损失一经确认，在以后会计期间不得转回。</w:t>
          </w:r>
        </w:p>
        <w:p w14:paraId="27CDB91C">
          <w:pPr>
            <w:rPr>
              <w:color w:val="000000" w:themeColor="text1"/>
              <w14:textFill>
                <w14:solidFill>
                  <w14:schemeClr w14:val="tx1"/>
                </w14:solidFill>
              </w14:textFill>
            </w:rPr>
          </w:pPr>
          <w:r>
            <w:rPr>
              <w:rFonts w:hint="eastAsia"/>
              <w:color w:val="000000" w:themeColor="text1"/>
              <w14:textFill>
                <w14:solidFill>
                  <w14:schemeClr w14:val="tx1"/>
                </w14:solidFill>
              </w14:textFill>
            </w:rPr>
            <w:t>资产减值损失确认后，减值资产的折旧或者摊销费用在未来期间作相应调整，以使该资产在剩余使用寿命内，系统地分摊调整后的资产账面价值（扣除预计净残值）。</w:t>
          </w:r>
        </w:p>
        <w:p w14:paraId="3C46E76D">
          <w:pPr>
            <w:rPr>
              <w:color w:val="000000" w:themeColor="text1"/>
              <w14:textFill>
                <w14:solidFill>
                  <w14:schemeClr w14:val="tx1"/>
                </w14:solidFill>
              </w14:textFill>
            </w:rPr>
          </w:pPr>
          <w:r>
            <w:rPr>
              <w:rFonts w:hint="eastAsia"/>
              <w:color w:val="000000" w:themeColor="text1"/>
              <w14:textFill>
                <w14:solidFill>
                  <w14:schemeClr w14:val="tx1"/>
                </w14:solidFill>
              </w14:textFill>
            </w:rPr>
            <w:t>因企业合并所形成的商誉和使用寿命不确定的无形资产，无论是否存在减值迹象，每年都进行减值测试。</w:t>
          </w:r>
        </w:p>
        <w:p w14:paraId="4CCAE416">
          <w:pPr>
            <w:rPr>
              <w:color w:val="000000" w:themeColor="text1"/>
              <w14:textFill>
                <w14:solidFill>
                  <w14:schemeClr w14:val="tx1"/>
                </w14:solidFill>
              </w14:textFill>
            </w:rPr>
          </w:pPr>
          <w:r>
            <w:rPr>
              <w:rFonts w:hint="eastAsia"/>
              <w:color w:val="000000" w:themeColor="text1"/>
              <w14:textFill>
                <w14:solidFill>
                  <w14:schemeClr w14:val="tx1"/>
                </w14:solidFill>
              </w14:textFill>
            </w:rPr>
            <w:t>在对商誉进行减值测试时，将商誉的账面价值分摊至预期从企业合并的协同效应中受益的资产组或资产组组合。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这些相关资产组或者资产组组合的账面价值（包括所分摊的商誉的账面价值部分）与其可收回金额，如相关资产组或者资产组组合的可收回金额低于其账面价值的，确认商誉的减值损失。</w:t>
          </w:r>
        </w:p>
      </w:sdtContent>
    </w:sdt>
    <w:bookmarkEnd w:id="174"/>
    <w:p w14:paraId="2E841361">
      <w:pPr>
        <w:rPr>
          <w:color w:val="000000" w:themeColor="text1"/>
          <w14:textFill>
            <w14:solidFill>
              <w14:schemeClr w14:val="tx1"/>
            </w14:solidFill>
          </w14:textFill>
        </w:rPr>
      </w:pPr>
    </w:p>
    <w:p w14:paraId="684CDD94">
      <w:pPr>
        <w:pStyle w:val="57"/>
        <w:numPr>
          <w:ilvl w:val="0"/>
          <w:numId w:val="46"/>
        </w:numPr>
        <w:rPr>
          <w:rFonts w:ascii="宋体" w:hAnsi="宋体"/>
          <w:color w:val="000000" w:themeColor="text1"/>
          <w14:textFill>
            <w14:solidFill>
              <w14:schemeClr w14:val="tx1"/>
            </w14:solidFill>
          </w14:textFill>
        </w:rPr>
      </w:pPr>
      <w:bookmarkStart w:id="175" w:name="_Hlk44405475"/>
      <w:r>
        <w:rPr>
          <w:rFonts w:ascii="宋体" w:hAnsi="宋体"/>
          <w:color w:val="000000" w:themeColor="text1"/>
          <w14:textFill>
            <w14:solidFill>
              <w14:schemeClr w14:val="tx1"/>
            </w14:solidFill>
          </w14:textFill>
        </w:rPr>
        <w:t>长期待摊费用</w:t>
      </w:r>
    </w:p>
    <w:sdt>
      <w:sdtPr>
        <w:rPr>
          <w:rFonts w:hint="eastAsia"/>
          <w:color w:val="000000" w:themeColor="text1"/>
          <w14:textFill>
            <w14:solidFill>
              <w14:schemeClr w14:val="tx1"/>
            </w14:solidFill>
          </w14:textFill>
        </w:rPr>
        <w:alias w:val="是否适用：长期待摊费用_重要会计政策和估计[双击切换]"/>
        <w:tag w:val="_GBC_75739ccc62204f0490525060b33e330f"/>
        <w:id w:val="147463816"/>
        <w:placeholder>
          <w:docPart w:val="GBC22222222222222222222222222222"/>
        </w:placeholder>
      </w:sdtPr>
      <w:sdtEndPr>
        <w:rPr>
          <w:rFonts w:hint="eastAsia"/>
          <w:color w:val="000000" w:themeColor="text1"/>
          <w14:textFill>
            <w14:solidFill>
              <w14:schemeClr w14:val="tx1"/>
            </w14:solidFill>
          </w14:textFill>
        </w:rPr>
      </w:sdtEndPr>
      <w:sdtContent>
        <w:p w14:paraId="27EB45D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开办费、长期待摊费用摊销方法"/>
        <w:tag w:val="_GBC_e4e695ce4aea4c878acb6f8ad7190139"/>
        <w:id w:val="147465304"/>
        <w:placeholder>
          <w:docPart w:val="GBC22222222222222222222222222222"/>
        </w:placeholder>
      </w:sdtPr>
      <w:sdtEndPr>
        <w:rPr>
          <w:rFonts w:hint="eastAsia"/>
          <w:color w:val="000000" w:themeColor="text1"/>
          <w14:textFill>
            <w14:solidFill>
              <w14:schemeClr w14:val="tx1"/>
            </w14:solidFill>
          </w14:textFill>
        </w:rPr>
      </w:sdtEndPr>
      <w:sdtContent>
        <w:p w14:paraId="5A2DDDD1">
          <w:pPr>
            <w:rPr>
              <w:color w:val="000000" w:themeColor="text1"/>
              <w14:textFill>
                <w14:solidFill>
                  <w14:schemeClr w14:val="tx1"/>
                </w14:solidFill>
              </w14:textFill>
            </w:rPr>
          </w:pPr>
          <w:r>
            <w:rPr>
              <w:rFonts w:hint="eastAsia"/>
              <w:color w:val="000000" w:themeColor="text1"/>
              <w14:textFill>
                <w14:solidFill>
                  <w14:schemeClr w14:val="tx1"/>
                </w14:solidFill>
              </w14:textFill>
            </w:rPr>
            <w:t>长期待摊费用，是指本公司已经发生但应由本期和以后各期负担的分摊期限在1年以上的各项费用。</w:t>
          </w:r>
        </w:p>
        <w:p w14:paraId="322669F9">
          <w:pPr>
            <w:rPr>
              <w:color w:val="000000" w:themeColor="text1"/>
              <w14:textFill>
                <w14:solidFill>
                  <w14:schemeClr w14:val="tx1"/>
                </w14:solidFill>
              </w14:textFill>
            </w:rPr>
          </w:pPr>
          <w:r>
            <w:rPr>
              <w:rFonts w:hint="eastAsia"/>
              <w:color w:val="000000" w:themeColor="text1"/>
              <w14:textFill>
                <w14:solidFill>
                  <w14:schemeClr w14:val="tx1"/>
                </w14:solidFill>
              </w14:textFill>
            </w:rPr>
            <w:t>（1）摊销方法</w:t>
          </w:r>
        </w:p>
        <w:p w14:paraId="40001601">
          <w:pPr>
            <w:rPr>
              <w:color w:val="000000" w:themeColor="text1"/>
              <w14:textFill>
                <w14:solidFill>
                  <w14:schemeClr w14:val="tx1"/>
                </w14:solidFill>
              </w14:textFill>
            </w:rPr>
          </w:pPr>
          <w:r>
            <w:rPr>
              <w:rFonts w:hint="eastAsia"/>
              <w:color w:val="000000" w:themeColor="text1"/>
              <w14:textFill>
                <w14:solidFill>
                  <w14:schemeClr w14:val="tx1"/>
                </w14:solidFill>
              </w14:textFill>
            </w:rPr>
            <w:t>长期待摊费用在受益期内按直线法分期摊销。</w:t>
          </w:r>
        </w:p>
        <w:p w14:paraId="3F4AC43E">
          <w:pPr>
            <w:rPr>
              <w:color w:val="000000" w:themeColor="text1"/>
              <w14:textFill>
                <w14:solidFill>
                  <w14:schemeClr w14:val="tx1"/>
                </w14:solidFill>
              </w14:textFill>
            </w:rPr>
          </w:pPr>
          <w:r>
            <w:rPr>
              <w:rFonts w:hint="eastAsia"/>
              <w:color w:val="000000" w:themeColor="text1"/>
              <w14:textFill>
                <w14:solidFill>
                  <w14:schemeClr w14:val="tx1"/>
                </w14:solidFill>
              </w14:textFill>
            </w:rPr>
            <w:t>（2）摊销年限</w:t>
          </w:r>
        </w:p>
        <w:p w14:paraId="23A691AF">
          <w:pPr>
            <w:rPr>
              <w:rFonts w:cs="Times New Roman"/>
              <w:color w:val="000000" w:themeColor="text1"/>
              <w:kern w:val="2"/>
              <w14:textFill>
                <w14:solidFill>
                  <w14:schemeClr w14:val="tx1"/>
                </w14:solidFill>
              </w14:textFill>
            </w:rPr>
          </w:pPr>
          <w:r>
            <w:rPr>
              <w:rFonts w:hint="eastAsia"/>
              <w:color w:val="000000" w:themeColor="text1"/>
              <w14:textFill>
                <w14:solidFill>
                  <w14:schemeClr w14:val="tx1"/>
                </w14:solidFill>
              </w14:textFill>
            </w:rPr>
            <w:t>根据房屋租赁期限及预计受益期限确定摊销年限。</w:t>
          </w:r>
        </w:p>
      </w:sdtContent>
    </w:sdt>
    <w:p w14:paraId="2BC0FEB6">
      <w:pPr>
        <w:rPr>
          <w:color w:val="000000" w:themeColor="text1"/>
          <w14:textFill>
            <w14:solidFill>
              <w14:schemeClr w14:val="tx1"/>
            </w14:solidFill>
          </w14:textFill>
        </w:rPr>
      </w:pPr>
    </w:p>
    <w:bookmarkEnd w:id="175"/>
    <w:p w14:paraId="20B23187">
      <w:pPr>
        <w:pStyle w:val="57"/>
        <w:numPr>
          <w:ilvl w:val="0"/>
          <w:numId w:val="46"/>
        </w:numPr>
        <w:rPr>
          <w:rFonts w:ascii="宋体" w:hAnsi="宋体"/>
          <w:color w:val="000000" w:themeColor="text1"/>
          <w14:textFill>
            <w14:solidFill>
              <w14:schemeClr w14:val="tx1"/>
            </w14:solidFill>
          </w14:textFill>
        </w:rPr>
      </w:pPr>
      <w:bookmarkStart w:id="176" w:name="_Hlk10465482"/>
      <w:r>
        <w:rPr>
          <w:rFonts w:ascii="宋体" w:hAnsi="宋体"/>
          <w:color w:val="000000" w:themeColor="text1"/>
          <w14:textFill>
            <w14:solidFill>
              <w14:schemeClr w14:val="tx1"/>
            </w14:solidFill>
          </w14:textFill>
        </w:rPr>
        <w:t>合同负债</w:t>
      </w:r>
    </w:p>
    <w:sdt>
      <w:sdtPr>
        <w:rPr>
          <w:color w:val="000000" w:themeColor="text1"/>
          <w14:textFill>
            <w14:solidFill>
              <w14:schemeClr w14:val="tx1"/>
            </w14:solidFill>
          </w14:textFill>
        </w:rPr>
        <w:alias w:val="是否适用：合同负债的确定方法、摊销方法和减值测试方法[双击切换]"/>
        <w:tag w:val="_GBC_f210968f2ea04a338a3253827b172c25"/>
        <w:id w:val="147465140"/>
        <w:placeholder>
          <w:docPart w:val="GBC22222222222222222222222222222"/>
        </w:placeholder>
      </w:sdtPr>
      <w:sdtEndPr>
        <w:rPr>
          <w:color w:val="000000" w:themeColor="text1"/>
          <w14:textFill>
            <w14:solidFill>
              <w14:schemeClr w14:val="tx1"/>
            </w14:solidFill>
          </w14:textFill>
        </w:rPr>
      </w:sdtEndPr>
      <w:sdtContent>
        <w:p w14:paraId="03E4CFC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合同负债的确定方法、摊销方法和减值测试方法"/>
        <w:tag w:val="_GBC_adbfb902bae348178906cb42c1932267"/>
        <w:id w:val="147475080"/>
        <w:placeholder>
          <w:docPart w:val="GBC22222222222222222222222222222"/>
        </w:placeholder>
      </w:sdtPr>
      <w:sdtEndPr>
        <w:rPr>
          <w:color w:val="000000" w:themeColor="text1"/>
          <w14:textFill>
            <w14:solidFill>
              <w14:schemeClr w14:val="tx1"/>
            </w14:solidFill>
          </w14:textFill>
        </w:rPr>
      </w:sdtEndPr>
      <w:sdtContent>
        <w:p w14:paraId="7CF61DA9">
          <w:pPr>
            <w:rPr>
              <w:color w:val="000000" w:themeColor="text1"/>
              <w14:textFill>
                <w14:solidFill>
                  <w14:schemeClr w14:val="tx1"/>
                </w14:solidFill>
              </w14:textFill>
            </w:rPr>
          </w:pPr>
          <w:r>
            <w:rPr>
              <w:rFonts w:hint="eastAsia"/>
              <w:color w:val="000000" w:themeColor="text1"/>
              <w14:textFill>
                <w14:solidFill>
                  <w14:schemeClr w14:val="tx1"/>
                </w14:solidFill>
              </w14:textFill>
            </w:rPr>
            <w:t>本公司将已收或应收客户对价而应向客户转让商品的义务部分确认为合同负债。</w:t>
          </w:r>
        </w:p>
      </w:sdtContent>
    </w:sdt>
    <w:p w14:paraId="6FFD626D">
      <w:pPr>
        <w:rPr>
          <w:color w:val="000000" w:themeColor="text1"/>
          <w14:textFill>
            <w14:solidFill>
              <w14:schemeClr w14:val="tx1"/>
            </w14:solidFill>
          </w14:textFill>
        </w:rPr>
      </w:pPr>
    </w:p>
    <w:bookmarkEnd w:id="176"/>
    <w:p w14:paraId="4BE64A2E">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职工薪酬</w:t>
      </w:r>
    </w:p>
    <w:p w14:paraId="1110C423">
      <w:pPr>
        <w:pStyle w:val="58"/>
        <w:numPr>
          <w:ilvl w:val="0"/>
          <w:numId w:val="50"/>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短期薪酬的会计处理方法</w:t>
      </w:r>
    </w:p>
    <w:sdt>
      <w:sdtPr>
        <w:rPr>
          <w:color w:val="000000" w:themeColor="text1"/>
          <w14:textFill>
            <w14:solidFill>
              <w14:schemeClr w14:val="tx1"/>
            </w14:solidFill>
          </w14:textFill>
        </w:rPr>
        <w:alias w:val="是否适用：短期薪酬的会计处理方法[双击切换]"/>
        <w:tag w:val="_GBC_eefed2a465e349b6a35598930bd9541d"/>
        <w:id w:val="147457838"/>
        <w:placeholder>
          <w:docPart w:val="GBC22222222222222222222222222222"/>
        </w:placeholder>
      </w:sdtPr>
      <w:sdtEndPr>
        <w:rPr>
          <w:color w:val="000000" w:themeColor="text1"/>
          <w14:textFill>
            <w14:solidFill>
              <w14:schemeClr w14:val="tx1"/>
            </w14:solidFill>
          </w14:textFill>
        </w:rPr>
      </w:sdtEndPr>
      <w:sdtContent>
        <w:p w14:paraId="51D3287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短期薪酬的会计处理方法"/>
        <w:tag w:val="_GBC_8fdf44b194ac45fb945d36b9896df796"/>
        <w:id w:val="147462327"/>
        <w:placeholder>
          <w:docPart w:val="GBC22222222222222222222222222222"/>
        </w:placeholder>
      </w:sdtPr>
      <w:sdtEndPr>
        <w:rPr>
          <w:color w:val="000000" w:themeColor="text1"/>
          <w14:textFill>
            <w14:solidFill>
              <w14:schemeClr w14:val="tx1"/>
            </w14:solidFill>
          </w14:textFill>
        </w:rPr>
      </w:sdtEndPr>
      <w:sdtContent>
        <w:p w14:paraId="76525727">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在职工为公司提供服务的会计期间，将实际发生的短期薪酬确认为负债，并计入当期损益或相关资产成本。</w:t>
          </w:r>
        </w:p>
      </w:sdtContent>
    </w:sdt>
    <w:p w14:paraId="4F4FED77">
      <w:pPr>
        <w:rPr>
          <w:color w:val="000000" w:themeColor="text1"/>
          <w14:textFill>
            <w14:solidFill>
              <w14:schemeClr w14:val="tx1"/>
            </w14:solidFill>
          </w14:textFill>
        </w:rPr>
      </w:pPr>
    </w:p>
    <w:p w14:paraId="35934797">
      <w:pPr>
        <w:pStyle w:val="58"/>
        <w:numPr>
          <w:ilvl w:val="0"/>
          <w:numId w:val="50"/>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离职后福利的会计处理方法</w:t>
      </w:r>
    </w:p>
    <w:sdt>
      <w:sdtPr>
        <w:rPr>
          <w:rFonts w:hint="eastAsia"/>
          <w:color w:val="000000" w:themeColor="text1"/>
          <w14:textFill>
            <w14:solidFill>
              <w14:schemeClr w14:val="tx1"/>
            </w14:solidFill>
          </w14:textFill>
        </w:rPr>
        <w:alias w:val="是否适用：离职后福利的会计处理方法[双击切换]"/>
        <w:tag w:val="_GBC_35bbae299fda438d9e595058bbecbcdc"/>
        <w:id w:val="147458956"/>
        <w:placeholder>
          <w:docPart w:val="GBC22222222222222222222222222222"/>
        </w:placeholder>
      </w:sdtPr>
      <w:sdtEndPr>
        <w:rPr>
          <w:rFonts w:hint="eastAsia"/>
          <w:color w:val="000000" w:themeColor="text1"/>
          <w14:textFill>
            <w14:solidFill>
              <w14:schemeClr w14:val="tx1"/>
            </w14:solidFill>
          </w14:textFill>
        </w:rPr>
      </w:sdtEndPr>
      <w:sdtContent>
        <w:p w14:paraId="17694C2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离职后福利的会计处理方法"/>
        <w:tag w:val="_GBC_3b0bafa6ef784ba99c829e2f60cf828e"/>
        <w:id w:val="147461196"/>
        <w:placeholder>
          <w:docPart w:val="GBC22222222222222222222222222222"/>
        </w:placeholder>
      </w:sdtPr>
      <w:sdtEndPr>
        <w:rPr>
          <w:color w:val="000000" w:themeColor="text1"/>
          <w14:textFill>
            <w14:solidFill>
              <w14:schemeClr w14:val="tx1"/>
            </w14:solidFill>
          </w14:textFill>
        </w:rPr>
      </w:sdtEndPr>
      <w:sdtContent>
        <w:p w14:paraId="7299A6A1">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离职后福利分为设定提存计划和设定受益计划。</w:t>
          </w:r>
        </w:p>
        <w:p w14:paraId="19E155D5">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 在职工为公司提供服务的会计期间，根据设定提存计划计算的应缴存金额确认为负债，并计入当期损益或相关资产成本。</w:t>
          </w:r>
        </w:p>
        <w:p w14:paraId="76801341">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②对设定受益计划的会计处理通常包括下列步骤：</w:t>
          </w:r>
        </w:p>
        <w:p w14:paraId="4A1F15D3">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 根据预期累计福利单位法，采用无偏且相互一致的精算假设对有关人口统计变量和财务变量等作出估计，计量设定受益计划所产生的义务，并确定相关义务的所属期间。同时，对设定受益计划所产生的义务予以折现，以确定设定受益计划义务的现值和当期服务成本；</w:t>
          </w:r>
        </w:p>
        <w:p w14:paraId="69248F75">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 设定受益计划存在资产的，将设定受益计划义务现值减去设定受益计划资产公允价值所形成的赤字或盈余确认为一项设定受益计划净负债或净资产。设定受益计划存在盈余的，以设定受益计划的盈余和资产上限两项的孰低者计量设定受益计划净资产；</w:t>
          </w:r>
        </w:p>
        <w:p w14:paraId="1AE8C688">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 期末，将设定受益计划产生的职工薪酬成本确认为服务成本、设定受益计划净负债或净资产的利息净额以及重新计量设定受益计划净负债或净资产所产生的变动等三部分，其中服务成本和设定受益计划净负债或净资产的利息净额计入当期损益或相关资产成本，重新计量设定受益计划净负债或净资产所产生的变动计入其他综合收益，并且在后续会计期间不允许转回至损益，但可以在权益范围内转移这些在其他综合收益确认的金额。</w:t>
          </w:r>
        </w:p>
      </w:sdtContent>
    </w:sdt>
    <w:p w14:paraId="4E67999A">
      <w:pPr>
        <w:rPr>
          <w:color w:val="000000" w:themeColor="text1"/>
          <w14:textFill>
            <w14:solidFill>
              <w14:schemeClr w14:val="tx1"/>
            </w14:solidFill>
          </w14:textFill>
        </w:rPr>
      </w:pPr>
    </w:p>
    <w:p w14:paraId="2447A211">
      <w:pPr>
        <w:pStyle w:val="58"/>
        <w:numPr>
          <w:ilvl w:val="0"/>
          <w:numId w:val="50"/>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辞退福利的会计处理方法</w:t>
      </w:r>
    </w:p>
    <w:sdt>
      <w:sdtPr>
        <w:rPr>
          <w:rFonts w:hint="eastAsia"/>
          <w:color w:val="000000" w:themeColor="text1"/>
          <w14:textFill>
            <w14:solidFill>
              <w14:schemeClr w14:val="tx1"/>
            </w14:solidFill>
          </w14:textFill>
        </w:rPr>
        <w:alias w:val="是否适用：辞退福利的会计处理方法[双击切换]"/>
        <w:tag w:val="_GBC_b6be1c30b6144d54b0e20b3cb9d3a691"/>
        <w:id w:val="147460004"/>
        <w:placeholder>
          <w:docPart w:val="GBC22222222222222222222222222222"/>
        </w:placeholder>
      </w:sdtPr>
      <w:sdtEndPr>
        <w:rPr>
          <w:rFonts w:hint="eastAsia"/>
          <w:color w:val="000000" w:themeColor="text1"/>
          <w14:textFill>
            <w14:solidFill>
              <w14:schemeClr w14:val="tx1"/>
            </w14:solidFill>
          </w14:textFill>
        </w:rPr>
      </w:sdtEndPr>
      <w:sdtContent>
        <w:p w14:paraId="3748D63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辞退福利的会计处理方法"/>
        <w:tag w:val="_GBC_a93705fb60b24bceb25c88a68ed87432"/>
        <w:id w:val="147452138"/>
        <w:placeholder>
          <w:docPart w:val="GBC22222222222222222222222222222"/>
        </w:placeholder>
      </w:sdtPr>
      <w:sdtEndPr>
        <w:rPr>
          <w:color w:val="000000" w:themeColor="text1"/>
          <w14:textFill>
            <w14:solidFill>
              <w14:schemeClr w14:val="tx1"/>
            </w14:solidFill>
          </w14:textFill>
        </w:rPr>
      </w:sdtEndPr>
      <w:sdtContent>
        <w:p w14:paraId="4B3AE241">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向职工提供的辞退福利，在下列两者孰早日确认辞退福利产生的职工薪酬负债，并计入当期损益：①公司不能单方面撤回因解除劳动关系计划或裁减建议所提供的辞退福利时；②公司确认与涉及支付辞退福利的重组相关的成本或费用时。</w:t>
          </w:r>
        </w:p>
      </w:sdtContent>
    </w:sdt>
    <w:p w14:paraId="2C374F75">
      <w:pPr>
        <w:rPr>
          <w:color w:val="000000" w:themeColor="text1"/>
          <w14:textFill>
            <w14:solidFill>
              <w14:schemeClr w14:val="tx1"/>
            </w14:solidFill>
          </w14:textFill>
        </w:rPr>
      </w:pPr>
    </w:p>
    <w:p w14:paraId="70057928">
      <w:pPr>
        <w:pStyle w:val="58"/>
        <w:numPr>
          <w:ilvl w:val="0"/>
          <w:numId w:val="50"/>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其他长期职工福利的会计处理方法</w:t>
      </w:r>
    </w:p>
    <w:sdt>
      <w:sdtPr>
        <w:rPr>
          <w:rFonts w:hint="eastAsia"/>
          <w:color w:val="000000" w:themeColor="text1"/>
          <w14:textFill>
            <w14:solidFill>
              <w14:schemeClr w14:val="tx1"/>
            </w14:solidFill>
          </w14:textFill>
        </w:rPr>
        <w:alias w:val="是否适用：其他长期职工福利的会计处理方法[双击切换]"/>
        <w:tag w:val="_GBC_6650f3bc6a474b318e05b9d60314cb7f"/>
        <w:id w:val="147478266"/>
        <w:placeholder>
          <w:docPart w:val="GBC22222222222222222222222222222"/>
        </w:placeholder>
      </w:sdtPr>
      <w:sdtEndPr>
        <w:rPr>
          <w:rFonts w:hint="eastAsia"/>
          <w:color w:val="000000" w:themeColor="text1"/>
          <w14:textFill>
            <w14:solidFill>
              <w14:schemeClr w14:val="tx1"/>
            </w14:solidFill>
          </w14:textFill>
        </w:rPr>
      </w:sdtEndPr>
      <w:sdtContent>
        <w:p w14:paraId="0D229A0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其他长期职工福利的会计处理方法"/>
        <w:tag w:val="_GBC_0e549e9400284de7b64ddf6ecc255dea"/>
        <w:id w:val="147471279"/>
        <w:placeholder>
          <w:docPart w:val="GBC22222222222222222222222222222"/>
        </w:placeholder>
      </w:sdtPr>
      <w:sdtEndPr>
        <w:rPr>
          <w:color w:val="000000" w:themeColor="text1"/>
          <w14:textFill>
            <w14:solidFill>
              <w14:schemeClr w14:val="tx1"/>
            </w14:solidFill>
          </w14:textFill>
        </w:rPr>
      </w:sdtEndPr>
      <w:sdtContent>
        <w:p w14:paraId="3526FDE8">
          <w:pPr>
            <w:ind w:firstLine="420" w:firstLineChars="20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向职工提供的其他长期福利，符合设定提存计划条件的，按照设定提存计划的有关规定进行会计处理；除此之外的其他长期福利，按照设定受益计划的有关规定进行会计处理，为简化相关会计处理，将其产生的职工薪酬成本确认为服务成本、其他长期职工福利净负债或净资产的利息净额以及重新计量其他长期职工福利净负债或净资产所产生的变动等组成项目的总净额计入当期损益或相关资产成本。</w:t>
          </w:r>
        </w:p>
      </w:sdtContent>
    </w:sdt>
    <w:p w14:paraId="0FBBECC7">
      <w:pPr>
        <w:rPr>
          <w:color w:val="000000" w:themeColor="text1"/>
          <w14:textFill>
            <w14:solidFill>
              <w14:schemeClr w14:val="tx1"/>
            </w14:solidFill>
          </w14:textFill>
        </w:rPr>
      </w:pPr>
    </w:p>
    <w:p w14:paraId="53F6FE86">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预计负债</w:t>
      </w:r>
    </w:p>
    <w:sdt>
      <w:sdtPr>
        <w:rPr>
          <w:rFonts w:hint="eastAsia"/>
          <w:color w:val="000000" w:themeColor="text1"/>
          <w14:textFill>
            <w14:solidFill>
              <w14:schemeClr w14:val="tx1"/>
            </w14:solidFill>
          </w14:textFill>
        </w:rPr>
        <w:alias w:val="是否适用：预计负债_重要会计政策和估计[双击切换]"/>
        <w:tag w:val="_GBC_60f7f598e5d5458986c0f06775dc38fd"/>
        <w:id w:val="147483442"/>
        <w:placeholder>
          <w:docPart w:val="GBC22222222222222222222222222222"/>
        </w:placeholder>
      </w:sdtPr>
      <w:sdtEndPr>
        <w:rPr>
          <w:rFonts w:hint="eastAsia"/>
          <w:color w:val="000000" w:themeColor="text1"/>
          <w14:textFill>
            <w14:solidFill>
              <w14:schemeClr w14:val="tx1"/>
            </w14:solidFill>
          </w14:textFill>
        </w:rPr>
      </w:sdtEndPr>
      <w:sdtContent>
        <w:p w14:paraId="4353920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预计负债的核算方法"/>
        <w:tag w:val="_GBC_d6934772e41e485d9e00e349486f9d7e"/>
        <w:id w:val="147463377"/>
        <w:placeholder>
          <w:docPart w:val="GBC22222222222222222222222222222"/>
        </w:placeholder>
      </w:sdtPr>
      <w:sdtEndPr>
        <w:rPr>
          <w:rFonts w:hint="eastAsia"/>
          <w:color w:val="000000" w:themeColor="text1"/>
          <w14:textFill>
            <w14:solidFill>
              <w14:schemeClr w14:val="tx1"/>
            </w14:solidFill>
          </w14:textFill>
        </w:rPr>
      </w:sdtEndPr>
      <w:sdtContent>
        <w:p w14:paraId="0C7C48A0">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因对外提供担保、诉讼事项、产品质量保证、亏损合同等或有事项形成的义务成为公司承担的现时义务，履行该义务很可能导致经济利益流出公司，且该义务的金额能够可靠的计量时，公司将该项义务确认为预计负债。</w:t>
          </w:r>
        </w:p>
        <w:p w14:paraId="0A913B0C">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（2）公司按照履行相关现时义务所需支出的最佳估计数对预计负债进行初始计量，并在资产负债表日对预计负债的账面价值进行复核。</w:t>
          </w:r>
        </w:p>
      </w:sdtContent>
    </w:sdt>
    <w:p w14:paraId="52F781D1">
      <w:pPr>
        <w:rPr>
          <w:color w:val="000000" w:themeColor="text1"/>
          <w14:textFill>
            <w14:solidFill>
              <w14:schemeClr w14:val="tx1"/>
            </w14:solidFill>
          </w14:textFill>
        </w:rPr>
      </w:pPr>
    </w:p>
    <w:p w14:paraId="011F335F">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股份支付</w:t>
      </w:r>
    </w:p>
    <w:sdt>
      <w:sdtPr>
        <w:rPr>
          <w:rFonts w:hint="eastAsia"/>
          <w:color w:val="000000" w:themeColor="text1"/>
          <w14:textFill>
            <w14:solidFill>
              <w14:schemeClr w14:val="tx1"/>
            </w14:solidFill>
          </w14:textFill>
        </w:rPr>
        <w:alias w:val="是否适用：股份支付_重要会计政策和估计[双击切换]"/>
        <w:tag w:val="_GBC_cfe00a6b35f24950855f2412f34bcf7a"/>
        <w:id w:val="147455056"/>
        <w:placeholder>
          <w:docPart w:val="GBC22222222222222222222222222222"/>
        </w:placeholder>
      </w:sdtPr>
      <w:sdtEndPr>
        <w:rPr>
          <w:rFonts w:hint="eastAsia"/>
          <w:color w:val="000000" w:themeColor="text1"/>
          <w14:textFill>
            <w14:solidFill>
              <w14:schemeClr w14:val="tx1"/>
            </w14:solidFill>
          </w14:textFill>
        </w:rPr>
      </w:sdtEndPr>
      <w:sdtContent>
        <w:p w14:paraId="3C465E7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97B3653">
      <w:pPr>
        <w:rPr>
          <w:color w:val="000000" w:themeColor="text1"/>
          <w14:textFill>
            <w14:solidFill>
              <w14:schemeClr w14:val="tx1"/>
            </w14:solidFill>
          </w14:textFill>
        </w:rPr>
      </w:pPr>
    </w:p>
    <w:p w14:paraId="23B9539C">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优先股、永续债等其他金融工具</w:t>
      </w:r>
    </w:p>
    <w:sdt>
      <w:sdtPr>
        <w:rPr>
          <w:rFonts w:hint="eastAsia"/>
          <w:color w:val="000000" w:themeColor="text1"/>
          <w14:textFill>
            <w14:solidFill>
              <w14:schemeClr w14:val="tx1"/>
            </w14:solidFill>
          </w14:textFill>
        </w:rPr>
        <w:alias w:val="是否适用：优先股、永续债等其他金融工具[双击切换]"/>
        <w:tag w:val="_GBC_34eb80e2168144958293aa1351780303"/>
        <w:id w:val="147464784"/>
        <w:placeholder>
          <w:docPart w:val="GBC22222222222222222222222222222"/>
        </w:placeholder>
      </w:sdtPr>
      <w:sdtEndPr>
        <w:rPr>
          <w:rFonts w:hint="eastAsia"/>
          <w:color w:val="000000" w:themeColor="text1"/>
          <w14:textFill>
            <w14:solidFill>
              <w14:schemeClr w14:val="tx1"/>
            </w14:solidFill>
          </w14:textFill>
        </w:rPr>
      </w:sdtEndPr>
      <w:sdtContent>
        <w:p w14:paraId="4F606B9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248C1AC">
      <w:pPr>
        <w:rPr>
          <w:color w:val="000000" w:themeColor="text1"/>
          <w14:textFill>
            <w14:solidFill>
              <w14:schemeClr w14:val="tx1"/>
            </w14:solidFill>
          </w14:textFill>
        </w:rPr>
      </w:pPr>
    </w:p>
    <w:p w14:paraId="1A32FB0F">
      <w:pPr>
        <w:pStyle w:val="57"/>
        <w:numPr>
          <w:ilvl w:val="0"/>
          <w:numId w:val="46"/>
        </w:numPr>
        <w:rPr>
          <w:rFonts w:ascii="宋体" w:hAnsi="宋体"/>
          <w:color w:val="000000" w:themeColor="text1"/>
          <w14:textFill>
            <w14:solidFill>
              <w14:schemeClr w14:val="tx1"/>
            </w14:solidFill>
          </w14:textFill>
        </w:rPr>
      </w:pPr>
      <w:bookmarkStart w:id="177" w:name="_Hlk10465559"/>
      <w:r>
        <w:rPr>
          <w:rFonts w:ascii="宋体" w:hAnsi="宋体"/>
          <w:color w:val="000000" w:themeColor="text1"/>
          <w14:textFill>
            <w14:solidFill>
              <w14:schemeClr w14:val="tx1"/>
            </w14:solidFill>
          </w14:textFill>
        </w:rPr>
        <w:t>收入</w:t>
      </w:r>
    </w:p>
    <w:p w14:paraId="53905A59">
      <w:pPr>
        <w:pStyle w:val="58"/>
        <w:numPr>
          <w:ilvl w:val="3"/>
          <w:numId w:val="51"/>
        </w:numPr>
        <w:ind w:left="426" w:hanging="42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按照业务类型披露收入确认和计量所采用的会计政策</w:t>
      </w:r>
    </w:p>
    <w:sdt>
      <w:sdtPr>
        <w:rPr>
          <w:color w:val="000000" w:themeColor="text1"/>
          <w14:textFill>
            <w14:solidFill>
              <w14:schemeClr w14:val="tx1"/>
            </w14:solidFill>
          </w14:textFill>
        </w:rPr>
        <w:alias w:val="是否适用：收入确认和计量所采用的会计政策[双击切换]"/>
        <w:tag w:val="_GBC_b6eb71cc057645f3b05fb68d8273c681"/>
        <w:id w:val="147483572"/>
        <w:placeholder>
          <w:docPart w:val="GBC22222222222222222222222222222"/>
        </w:placeholder>
      </w:sdtPr>
      <w:sdtEndPr>
        <w:rPr>
          <w:color w:val="000000" w:themeColor="text1"/>
          <w14:textFill>
            <w14:solidFill>
              <w14:schemeClr w14:val="tx1"/>
            </w14:solidFill>
          </w14:textFill>
        </w:rPr>
      </w:sdtEndPr>
      <w:sdtContent>
        <w:p w14:paraId="197536C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alias w:val="收入确认和计量所采用的会计政策"/>
        <w:tag w:val="_GBC_c9c2b3029c08405387c460d2d7eacc7d"/>
        <w:id w:val="147465818"/>
        <w:placeholder>
          <w:docPart w:val="GBC22222222222222222222222222222"/>
        </w:placeholder>
      </w:sdtPr>
      <w:sdtEndPr>
        <w:rPr>
          <w:color w:val="000000" w:themeColor="text1"/>
          <w14:textFill>
            <w14:solidFill>
              <w14:schemeClr w14:val="tx1"/>
            </w14:solidFill>
          </w14:textFill>
        </w:rPr>
      </w:sdtEndPr>
      <w:sdtContent>
        <w:p w14:paraId="544F7C88">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①收入确认原则 </w:t>
          </w:r>
        </w:p>
        <w:p w14:paraId="2D472CF5">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于合同开始日，公司对合同进行评估，识别合同所包含的各单项履约义务，并确定各单项履约义务是在某一时段内履行，还是在某一时点履行。</w:t>
          </w:r>
        </w:p>
        <w:p w14:paraId="79E1D397">
          <w:pPr>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满足下列条件之一时，属于在某一时段内履行履约义务，否则，属于在某一时点履行履约义务：1) 客户在公司履约的同时即取得并消耗公司履约所带来的经济利益；2) 客户能够控制公司履约过程中在建商品；3) 公司履约过程中所产出的商品具有不可替代用途，且公司在整个合同期间内有权就累计至今已完成的履约部分收取款项。</w:t>
          </w:r>
        </w:p>
        <w:p w14:paraId="299283FF">
          <w:pPr>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对于在某一时段内履行的履约义务，公司在该段时间内按照履约进度确认收入。履约进度不能合理确定时，已经发生的成本预计能够得到补偿的，按照已经发生的成本金额确认收入，直到履约进度能够合理确定为止。对于在某一时点履行的履约义务，在客户取得相关商品或服务控制权时点确认收入。在判断客户是否已取得商品控制权时，公司考虑下列迹象：1) 公司就该商品享有现时收款权利，即客户就该商品负有现时付款义务；2) 公司已将该商品的法定所有权转移给客户，即客户已拥有该商品的法定所有权；3) 公司已将该商品实物转移给客户，即客户已实物占有该商品；4) 公司已将该商品所有权上的主要风险和报酬转移给客户，即客户已取得该商品所有权上的主要风险和报酬；5) 客户已接受该商品；6) 其他表明客户已取得商品控制权的迹象。 </w:t>
          </w:r>
        </w:p>
        <w:p w14:paraId="22058E25">
          <w:pPr>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②收入计量原则 </w:t>
          </w:r>
        </w:p>
        <w:p w14:paraId="219094BB">
          <w:pPr>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 公司按照分摊至各单项履约义务的交易价格计量收入。交易价格是公司因向客户转让商品或服务而预期有权收取的对价金额，不包括代第三方收取的款项以及预期将退还给客户的款项。 </w:t>
          </w:r>
        </w:p>
        <w:p w14:paraId="2CFFCD53">
          <w:pPr>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 合同中存在可变对价的，公司按照期望值或最可能发生金额确定可变对价的最佳估计数，但包含可变对价的交易价格，不超过在相关不确定性消除时累计已确认收入极可能不会发生重大转回的金额。 </w:t>
          </w:r>
        </w:p>
        <w:p w14:paraId="48782C2F">
          <w:pPr>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 合同中存在重大融资成分的，公司按照假定客户在取得商品或服务控制权时即以现金支付的应付金额确定交易价格。该交易价格与合同对价之间的差额，在合同期间内采用实际利率法摊销。合同开始日，公司预计客户取得商品或服务控制权与客户支付价款间隔不超过一年的，不考虑合同中存在的重大融资成分。</w:t>
          </w:r>
        </w:p>
        <w:p w14:paraId="53484672">
          <w:pPr>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 合同中包含两项或多项履约义务的，公司于合同开始日，按照各单项履约义务所承诺商品的单独售价的相对比例，将交易价格分摊至各单项履约义务。</w:t>
          </w:r>
        </w:p>
        <w:p w14:paraId="7B4473B9">
          <w:pPr>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③收入确认的具体方法 </w:t>
          </w:r>
        </w:p>
        <w:p w14:paraId="7F177E58">
          <w:pPr>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 军需品销售收入，在商品已发至购买方指定的接收单位，并取得接收单位验收回执后，确认收入。</w:t>
          </w:r>
        </w:p>
        <w:p w14:paraId="7B3DD079">
          <w:pPr>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 民品销售收入，在向客户发货并经验收后确认收入。合同或协议价款的收取采用递延方式，实质上具有融资性质的，按照应收的合同或协议价款的公允价值确定销售商品收入金额。</w:t>
          </w:r>
        </w:p>
      </w:sdtContent>
    </w:sdt>
    <w:p w14:paraId="43D5571A">
      <w:pPr>
        <w:rPr>
          <w:color w:val="000000" w:themeColor="text1"/>
          <w14:textFill>
            <w14:solidFill>
              <w14:schemeClr w14:val="tx1"/>
            </w14:solidFill>
          </w14:textFill>
        </w:rPr>
      </w:pPr>
    </w:p>
    <w:bookmarkEnd w:id="177"/>
    <w:p w14:paraId="2C0DF12C">
      <w:pPr>
        <w:pStyle w:val="58"/>
        <w:numPr>
          <w:ilvl w:val="3"/>
          <w:numId w:val="51"/>
        </w:numPr>
        <w:ind w:left="426" w:hanging="426"/>
        <w:rPr>
          <w:rFonts w:ascii="宋体" w:hAnsi="宋体"/>
          <w:color w:val="000000" w:themeColor="text1"/>
          <w:szCs w:val="21"/>
          <w14:textFill>
            <w14:solidFill>
              <w14:schemeClr w14:val="tx1"/>
            </w14:solidFill>
          </w14:textFill>
        </w:rPr>
      </w:pPr>
      <w:bookmarkStart w:id="178" w:name="_Hlk10465594"/>
      <w:r>
        <w:rPr>
          <w:rFonts w:hint="eastAsia" w:ascii="宋体" w:hAnsi="宋体"/>
          <w:color w:val="000000" w:themeColor="text1"/>
          <w:szCs w:val="21"/>
          <w14:textFill>
            <w14:solidFill>
              <w14:schemeClr w14:val="tx1"/>
            </w14:solidFill>
          </w14:textFill>
        </w:rPr>
        <w:t>同类业务采用不同经营模式涉及不同收入确认方式及计量方法</w:t>
      </w:r>
    </w:p>
    <w:sdt>
      <w:sdtPr>
        <w:rPr>
          <w:color w:val="000000" w:themeColor="text1"/>
          <w14:textFill>
            <w14:solidFill>
              <w14:schemeClr w14:val="tx1"/>
            </w14:solidFill>
          </w14:textFill>
        </w:rPr>
        <w:alias w:val="是否适用：同类业务采用不同经营模式导致收入确认会计政策存在差异的情况[双击切换]"/>
        <w:tag w:val="_GBC_f4f4337356c44180a833322bec4248a8"/>
        <w:id w:val="147469628"/>
        <w:placeholder>
          <w:docPart w:val="GBC22222222222222222222222222222"/>
        </w:placeholder>
      </w:sdtPr>
      <w:sdtEndPr>
        <w:rPr>
          <w:color w:val="000000" w:themeColor="text1"/>
          <w14:textFill>
            <w14:solidFill>
              <w14:schemeClr w14:val="tx1"/>
            </w14:solidFill>
          </w14:textFill>
        </w:rPr>
      </w:sdtEndPr>
      <w:sdtContent>
        <w:p w14:paraId="44A06AB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A0DF207">
      <w:pPr>
        <w:rPr>
          <w:color w:val="000000" w:themeColor="text1"/>
          <w14:textFill>
            <w14:solidFill>
              <w14:schemeClr w14:val="tx1"/>
            </w14:solidFill>
          </w14:textFill>
        </w:rPr>
      </w:pPr>
    </w:p>
    <w:bookmarkEnd w:id="178"/>
    <w:p w14:paraId="0750DDD5">
      <w:pPr>
        <w:pStyle w:val="57"/>
        <w:numPr>
          <w:ilvl w:val="0"/>
          <w:numId w:val="46"/>
        </w:numPr>
        <w:rPr>
          <w:rFonts w:ascii="宋体" w:hAnsi="宋体"/>
          <w:color w:val="000000" w:themeColor="text1"/>
          <w14:textFill>
            <w14:solidFill>
              <w14:schemeClr w14:val="tx1"/>
            </w14:solidFill>
          </w14:textFill>
        </w:rPr>
      </w:pPr>
      <w:bookmarkStart w:id="179" w:name="_Hlk10465679"/>
      <w:r>
        <w:rPr>
          <w:rFonts w:ascii="宋体" w:hAnsi="宋体"/>
          <w:color w:val="000000" w:themeColor="text1"/>
          <w14:textFill>
            <w14:solidFill>
              <w14:schemeClr w14:val="tx1"/>
            </w14:solidFill>
          </w14:textFill>
        </w:rPr>
        <w:t>合同成本</w:t>
      </w:r>
    </w:p>
    <w:sdt>
      <w:sdtPr>
        <w:rPr>
          <w:color w:val="000000" w:themeColor="text1"/>
          <w14:textFill>
            <w14:solidFill>
              <w14:schemeClr w14:val="tx1"/>
            </w14:solidFill>
          </w14:textFill>
        </w:rPr>
        <w:alias w:val="是否适用：合同成本_重要会计政策和估计[双击切换]"/>
        <w:tag w:val="_GBC_d7752b20e4914f04bf87bad019929fe8"/>
        <w:id w:val="147474032"/>
        <w:placeholder>
          <w:docPart w:val="GBC22222222222222222222222222222"/>
        </w:placeholder>
      </w:sdtPr>
      <w:sdtEndPr>
        <w:rPr>
          <w:color w:val="000000" w:themeColor="text1"/>
          <w14:textFill>
            <w14:solidFill>
              <w14:schemeClr w14:val="tx1"/>
            </w14:solidFill>
          </w14:textFill>
        </w:rPr>
      </w:sdtEndPr>
      <w:sdtContent>
        <w:p w14:paraId="2D4EB33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合同成本_重要会计政策和估计"/>
        <w:tag w:val="_GBC_6936a4a013d94bae8da35405dbef11fd"/>
        <w:id w:val="147475833"/>
        <w:placeholder>
          <w:docPart w:val="GBC22222222222222222222222222222"/>
        </w:placeholder>
      </w:sdtPr>
      <w:sdtEndPr>
        <w:rPr>
          <w:color w:val="000000" w:themeColor="text1"/>
          <w14:textFill>
            <w14:solidFill>
              <w14:schemeClr w14:val="tx1"/>
            </w14:solidFill>
          </w14:textFill>
        </w:rPr>
      </w:sdtEndPr>
      <w:sdtContent>
        <w:p w14:paraId="6F26CE02">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公司为取得合同发生的增量成本预期能够收回的，作为合同取得成本确认为一项资产。如果合同取得成本的摊销期限不超过一年，在发生时直接计入当期损益。</w:t>
          </w:r>
        </w:p>
        <w:p w14:paraId="61F36108">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公司为履行合同发生的成本，不适用存货、固定资产或无形资产等相关准则的规范范围且同时满足下列条件的，作为合同履约成本确认为一项资产：</w:t>
          </w:r>
        </w:p>
        <w:p w14:paraId="37CE3561">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（1）该成本与一份当前或预期取得的合同直接相关，包括直接人工、直接材料、制造费用（或类似费用）、明确由客户承担的成本以及仅因该合同而发生的其他成本；</w:t>
          </w:r>
        </w:p>
        <w:p w14:paraId="61181D8C">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（2）该成本增加了公司未来用于履行履约义务的资源；</w:t>
          </w:r>
        </w:p>
        <w:p w14:paraId="2C6E741D">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（3）该成本预期能够收回。</w:t>
          </w:r>
        </w:p>
        <w:p w14:paraId="6BBF2F30">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公司对于与合同成本有关的资产采用与该资产相关的商品或服务收入确认相同的基础进行摊销，计入当期损益。</w:t>
          </w:r>
        </w:p>
        <w:p w14:paraId="5C5BD5E2">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果与合同成本有关的资产的账面价值高于因转让与该资产相关的商品或服务预期能够取得的剩余对价减去估计将要发生的成本，公司对超出部分计提减值准备，并确认为资产减值损失。以前期间减值的因素之后发生变化，使得转让该资产相关的商品或服务预期能够取得的剩余对价减去估计将要发生的成本高于该资产账面价值的，转回原已计提的资产减值准备，并计入当期损益，但转回后的资产账面价值不超过假定不计提减值准备情况下该资产在转回日的账面价值。</w:t>
          </w:r>
        </w:p>
      </w:sdtContent>
    </w:sdt>
    <w:p w14:paraId="58FF0BCE">
      <w:pPr>
        <w:rPr>
          <w:color w:val="000000" w:themeColor="text1"/>
          <w14:textFill>
            <w14:solidFill>
              <w14:schemeClr w14:val="tx1"/>
            </w14:solidFill>
          </w14:textFill>
        </w:rPr>
      </w:pPr>
    </w:p>
    <w:bookmarkEnd w:id="179"/>
    <w:p w14:paraId="6E9D1A5E">
      <w:pPr>
        <w:pStyle w:val="57"/>
        <w:numPr>
          <w:ilvl w:val="0"/>
          <w:numId w:val="46"/>
        </w:numPr>
        <w:rPr>
          <w:rFonts w:ascii="宋体" w:hAnsi="宋体"/>
          <w:color w:val="000000" w:themeColor="text1"/>
          <w14:textFill>
            <w14:solidFill>
              <w14:schemeClr w14:val="tx1"/>
            </w14:solidFill>
          </w14:textFill>
        </w:rPr>
      </w:pPr>
      <w:bookmarkStart w:id="180" w:name="_Hlk10465775"/>
      <w:r>
        <w:rPr>
          <w:rFonts w:ascii="宋体" w:hAnsi="宋体"/>
          <w:color w:val="000000" w:themeColor="text1"/>
          <w14:textFill>
            <w14:solidFill>
              <w14:schemeClr w14:val="tx1"/>
            </w14:solidFill>
          </w14:textFill>
        </w:rPr>
        <w:t>政府补助</w:t>
      </w:r>
    </w:p>
    <w:sdt>
      <w:sdtPr>
        <w:rPr>
          <w:color w:val="000000" w:themeColor="text1"/>
          <w14:textFill>
            <w14:solidFill>
              <w14:schemeClr w14:val="tx1"/>
            </w14:solidFill>
          </w14:textFill>
        </w:rPr>
        <w:alias w:val="是否适用：政府补助_重要会计政策和估计[双击切换]"/>
        <w:tag w:val="_GBC_09d5ec3540ea4d9a8e10c93326c490a0"/>
        <w:id w:val="147477479"/>
        <w:placeholder>
          <w:docPart w:val="GBC22222222222222222222222222222"/>
        </w:placeholder>
      </w:sdtPr>
      <w:sdtEndPr>
        <w:rPr>
          <w:color w:val="000000" w:themeColor="text1"/>
          <w14:textFill>
            <w14:solidFill>
              <w14:schemeClr w14:val="tx1"/>
            </w14:solidFill>
          </w14:textFill>
        </w:rPr>
      </w:sdtEndPr>
      <w:sdtContent>
        <w:p w14:paraId="24C58EE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政府补助_重要会计政策和估计"/>
        <w:tag w:val="_GBC_f313a7b8b81b4ed0845a3af1ac57e5e8"/>
        <w:id w:val="147463201"/>
        <w:placeholder>
          <w:docPart w:val="GBC22222222222222222222222222222"/>
        </w:placeholder>
      </w:sdtPr>
      <w:sdtEndPr>
        <w:rPr>
          <w:color w:val="000000" w:themeColor="text1"/>
          <w14:textFill>
            <w14:solidFill>
              <w14:schemeClr w14:val="tx1"/>
            </w14:solidFill>
          </w14:textFill>
        </w:rPr>
      </w:sdtEndPr>
      <w:sdtContent>
        <w:p w14:paraId="7414B1FA">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政府补助在同时满足下列条件时予以确认：①公司能够满足政府补助所附的条件；②公司能够收到政府补助。政府补助为货币性资产的，按照收到或应收的金额计量。政府补助为非货币性资产的，按照公允价值计量；公允价值不能可靠取得的，按照名义金额计量。 </w:t>
          </w:r>
        </w:p>
        <w:p w14:paraId="0F38E29D">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（2）与资产相关的政府补助判断依据及会计处理方法</w:t>
          </w:r>
        </w:p>
        <w:p w14:paraId="4C0D8B7B">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政府文件规定用于购建或以其他方式形成长期资产的政府补助划分为与资产相关的政府补助。政府文件不明确的，以取得该补助必须具备的基本条件为基础进行判断，以购建或其他方式形成长期资产为基本条件的作为与资产相关的政府补助。与资产相关的政府补助，冲减相关资产的账面价值或确认为递延收益。与资产相关的政府补助确认为递延收益的，在相关资产使用寿命内按照合理、系统的方法分期计入损益。按照名义金额计量的政府补助，直接计入当期损益。相关资产在使用寿命结束前被出售、转让、报废或发生毁损的，将尚未分配的相关递延收益余额转入资产处置当期的损益。 </w:t>
          </w:r>
        </w:p>
        <w:p w14:paraId="4A1DF009">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（3）与收益相关的政府补助判断依据及会计处理方法</w:t>
          </w:r>
        </w:p>
        <w:p w14:paraId="60FEC3E9">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除与资产相关的政府补助之外的政府补助划分为与收益相关的政府补助。对于同时包含与资产相关部分和与收益相关部分的政府补助，难以区分与资产相关或与收益相关的，整体归类为与收益相关的政府补助。与收益相关的政府补助，用于补偿以后期间的相关成本费用或损失的，确认为递延收益，在确认相关成本费用或损失的期间，计入当期损益或冲减相关成本；用于补偿已发生的相关成本费用或损失的，直接计入当期损益或冲减相关成本。</w:t>
          </w:r>
        </w:p>
        <w:p w14:paraId="3417459F">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（4）与公司日常经营活动相关的政府补助，按照经济业务实质，计入其他收益或冲减相关成本费用。与公司日常活动无关的政府补助，计入营业外收支。</w:t>
          </w:r>
        </w:p>
        <w:p w14:paraId="411BE509">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（5）政策性优惠贷款贴息的会计处理方法</w:t>
          </w:r>
        </w:p>
        <w:p w14:paraId="76631DD9">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 财政将贴息资金拨付给贷款银行，由贷款银行以政策性优惠利率向公司提供贷款的，以实际收到的借款金额作为借款的入账价值，按照借款本金和该政策性优惠利率计算相关借款费用。</w:t>
          </w:r>
        </w:p>
        <w:p w14:paraId="628EDD6E">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 财政将贴息资金直接拨付给公司的，将对应的贴息冲减相关借款费用。</w:t>
          </w:r>
        </w:p>
      </w:sdtContent>
    </w:sdt>
    <w:bookmarkEnd w:id="180"/>
    <w:p w14:paraId="57E83FFF">
      <w:pPr>
        <w:rPr>
          <w:color w:val="000000" w:themeColor="text1"/>
          <w14:textFill>
            <w14:solidFill>
              <w14:schemeClr w14:val="tx1"/>
            </w14:solidFill>
          </w14:textFill>
        </w:rPr>
      </w:pPr>
    </w:p>
    <w:p w14:paraId="625038D4">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递延所得税资产/递延所得税负债</w:t>
      </w:r>
    </w:p>
    <w:sdt>
      <w:sdtPr>
        <w:rPr>
          <w:rFonts w:hint="eastAsia"/>
          <w:color w:val="000000" w:themeColor="text1"/>
          <w14:textFill>
            <w14:solidFill>
              <w14:schemeClr w14:val="tx1"/>
            </w14:solidFill>
          </w14:textFill>
        </w:rPr>
        <w:alias w:val="是否适用：所得税的会计处理方法[双击切换]"/>
        <w:tag w:val="_GBC_3e4bb828d17944599248216201e65683"/>
        <w:id w:val="147461938"/>
        <w:placeholder>
          <w:docPart w:val="GBC22222222222222222222222222222"/>
        </w:placeholder>
      </w:sdtPr>
      <w:sdtEndPr>
        <w:rPr>
          <w:rFonts w:hint="eastAsia"/>
          <w:color w:val="000000" w:themeColor="text1"/>
          <w14:textFill>
            <w14:solidFill>
              <w14:schemeClr w14:val="tx1"/>
            </w14:solidFill>
          </w14:textFill>
        </w:rPr>
      </w:sdtEndPr>
      <w:sdtContent>
        <w:p w14:paraId="7A34F23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所得税的会计处理方法"/>
        <w:tag w:val="_GBC_545dd84ed2b9458fa5e2b87aa1e1cc1c"/>
        <w:id w:val="147470682"/>
        <w:placeholder>
          <w:docPart w:val="GBC22222222222222222222222222222"/>
        </w:placeholder>
      </w:sdtPr>
      <w:sdtEndPr>
        <w:rPr>
          <w:rFonts w:hint="eastAsia"/>
          <w:color w:val="000000" w:themeColor="text1"/>
          <w14:textFill>
            <w14:solidFill>
              <w14:schemeClr w14:val="tx1"/>
            </w14:solidFill>
          </w14:textFill>
        </w:rPr>
      </w:sdtEndPr>
      <w:sdtContent>
        <w:p w14:paraId="2974CD9D">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根据资产、负债的账面价值与其计税基础之间的差额（未作为资产和负债确认的项目按照税法规定可以确定其计税基础的，该计税基础与其账面数之间的差额），按照预期收回该资产或清偿该负债期间的适用税率计算确认递延所得税资产或递延所得税负债。</w:t>
          </w:r>
        </w:p>
        <w:p w14:paraId="75ABA7AA">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确认递延所得税资产以很可能取得用来抵扣可抵扣暂时性差异的应纳税所得额为限。资产负债表日，有确凿证据表明未来期间很可能获得足够的应纳税所得额用来抵扣可抵扣暂时性差异的，确认以前会计期间未确认的递延所得税资产。</w:t>
          </w:r>
        </w:p>
        <w:p w14:paraId="03513938">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资产负债表日，对递延所得税资产的账面价值进行复核，如果未来期间很可能无法获得足够的应纳税所得额用以抵扣递延所得税资产的利益，则减记递延所得税资产的账面价值。在很可能获得足够的应纳税所得额时，转回减记的金额。</w:t>
          </w:r>
        </w:p>
        <w:p w14:paraId="572B1F17">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（4）公司当期所得税和递延所得税作为所得税费用或收益计入当期损益，但不包括下列情况产生的所得税：①企业合并；②直接在所有者权益中确认的交易或者事项。</w:t>
          </w:r>
        </w:p>
        <w:p w14:paraId="08B69CBD">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同时满足下列条件时，公司将递延所得税资产及递延所得税负债以抵销后的净额列示：①拥有以净额结算当期所得税资产及当期所得税负债的法定权利；②递延所得税资产和递延所得税负债是与同一税收征管部门对同一纳税主体征收的所得税相关或者对不同的纳税主体相关，但在未来每一具有重要性的递延所得税资产和递延所得税负债转回的期间内，涉及的纳税主体意图以净额结算当期所得税资产及当期所得税负债或是同时取得资产、清偿债务。</w:t>
          </w:r>
        </w:p>
      </w:sdtContent>
    </w:sdt>
    <w:p w14:paraId="4D8C1631">
      <w:pPr>
        <w:pStyle w:val="57"/>
        <w:numPr>
          <w:ilvl w:val="0"/>
          <w:numId w:val="46"/>
        </w:numPr>
        <w:rPr>
          <w:rFonts w:ascii="宋体" w:hAnsi="宋体"/>
          <w:color w:val="000000" w:themeColor="text1"/>
          <w14:textFill>
            <w14:solidFill>
              <w14:schemeClr w14:val="tx1"/>
            </w14:solidFill>
          </w14:textFill>
        </w:rPr>
      </w:pPr>
      <w:bookmarkStart w:id="181" w:name="_Hlk167884177"/>
      <w:bookmarkStart w:id="182" w:name="_Hlk169007779"/>
      <w:r>
        <w:rPr>
          <w:rFonts w:ascii="宋体" w:hAnsi="宋体"/>
          <w:color w:val="000000" w:themeColor="text1"/>
          <w14:textFill>
            <w14:solidFill>
              <w14:schemeClr w14:val="tx1"/>
            </w14:solidFill>
          </w14:textFill>
        </w:rPr>
        <w:t>租赁</w:t>
      </w:r>
    </w:p>
    <w:sdt>
      <w:sdtPr>
        <w:rPr>
          <w:color w:val="000000" w:themeColor="text1"/>
          <w14:textFill>
            <w14:solidFill>
              <w14:schemeClr w14:val="tx1"/>
            </w14:solidFill>
          </w14:textFill>
        </w:rPr>
        <w:alias w:val="是否适用：租赁_重要会计政策和估计[双击切换]"/>
        <w:tag w:val="_GBC_7f954ee357264e2c946d2c530d8787c5"/>
        <w:id w:val="-804698688"/>
        <w:placeholder>
          <w:docPart w:val="{0740b8a5-1ba0-4fc1-adab-1023569073ee}"/>
        </w:placeholder>
      </w:sdtPr>
      <w:sdtEndPr>
        <w:rPr>
          <w:color w:val="000000" w:themeColor="text1"/>
          <w14:textFill>
            <w14:solidFill>
              <w14:schemeClr w14:val="tx1"/>
            </w14:solidFill>
          </w14:textFill>
        </w:rPr>
      </w:sdtEndPr>
      <w:sdtContent>
        <w:p w14:paraId="60C314D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3112C6A">
      <w:pPr>
        <w:rPr>
          <w:rFonts w:ascii="Calibri" w:hAnsi="Calibri" w:cs="Times New Roman"/>
          <w:b/>
          <w:color w:val="000000" w:themeColor="text1"/>
          <w:kern w:val="2"/>
          <w:szCs w:val="32"/>
          <w14:textFill>
            <w14:solidFill>
              <w14:schemeClr w14:val="tx1"/>
            </w14:solidFill>
          </w14:textFill>
        </w:rPr>
      </w:pPr>
      <w:r>
        <w:rPr>
          <w:rFonts w:ascii="Calibri" w:hAnsi="Calibri" w:cs="Times New Roman"/>
          <w:b/>
          <w:color w:val="000000" w:themeColor="text1"/>
          <w:kern w:val="2"/>
          <w:szCs w:val="32"/>
          <w14:textFill>
            <w14:solidFill>
              <w14:schemeClr w14:val="tx1"/>
            </w14:solidFill>
          </w14:textFill>
        </w:rPr>
        <w:t>作为承租方对短期租赁和低价值资产租赁进行简化处理的判断依据和会计处理方法</w:t>
      </w:r>
    </w:p>
    <w:sdt>
      <w:sdtPr>
        <w:rPr>
          <w:color w:val="000000" w:themeColor="text1"/>
          <w14:textFill>
            <w14:solidFill>
              <w14:schemeClr w14:val="tx1"/>
            </w14:solidFill>
          </w14:textFill>
        </w:rPr>
        <w:alias w:val="是否适用：作为承租方对短期租赁和低价值资产租赁进行简化处理的判断依据和会计处理方法[双击切换]"/>
        <w:tag w:val="_GBC_7bcaad3acb7c40ecbe59ad19b127555f"/>
        <w:id w:val="534542676"/>
        <w:placeholder>
          <w:docPart w:val="{0740b8a5-1ba0-4fc1-adab-1023569073ee}"/>
        </w:placeholder>
      </w:sdtPr>
      <w:sdtEndPr>
        <w:rPr>
          <w:color w:val="000000" w:themeColor="text1"/>
          <w14:textFill>
            <w14:solidFill>
              <w14:schemeClr w14:val="tx1"/>
            </w14:solidFill>
          </w14:textFill>
        </w:rPr>
      </w:sdtEndPr>
      <w:sdtContent>
        <w:p w14:paraId="5FCFECF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作为承租方对短期租赁和低价值资产租赁进行简化处理的判断依据和会计处理方法"/>
        <w:tag w:val="_GBC_83c59a0eb4ac4ef2afb783bc5dd4efb6"/>
        <w:id w:val="-300851453"/>
        <w:placeholder>
          <w:docPart w:val="{0740b8a5-1ba0-4fc1-adab-1023569073ee}"/>
        </w:placeholder>
      </w:sdtPr>
      <w:sdtEndPr>
        <w:rPr>
          <w:color w:val="000000" w:themeColor="text1"/>
          <w14:textFill>
            <w14:solidFill>
              <w14:schemeClr w14:val="tx1"/>
            </w14:solidFill>
          </w14:textFill>
        </w:rPr>
      </w:sdtEndPr>
      <w:sdtContent>
        <w:p w14:paraId="07F2D18C">
          <w:pPr>
            <w:rPr>
              <w:color w:val="000000" w:themeColor="text1"/>
              <w14:textFill>
                <w14:solidFill>
                  <w14:schemeClr w14:val="tx1"/>
                </w14:solidFill>
              </w14:textFill>
            </w:rPr>
          </w:pPr>
          <w:r>
            <w:rPr>
              <w:rFonts w:hint="eastAsia"/>
              <w:color w:val="000000" w:themeColor="text1"/>
              <w14:textFill>
                <w14:solidFill>
                  <w14:schemeClr w14:val="tx1"/>
                </w14:solidFill>
              </w14:textFill>
            </w:rPr>
            <w:t>在租赁期开始日，公司将租赁期不超过 12 个月，且不包含购买选择权的租赁认定为短期租赁；将单项租赁资产为全新资产时价值较低的租赁认定为低价值资产租赁。</w:t>
          </w:r>
        </w:p>
        <w:p w14:paraId="45C9B146">
          <w:pPr>
            <w:rPr>
              <w:color w:val="000000" w:themeColor="text1"/>
              <w14:textFill>
                <w14:solidFill>
                  <w14:schemeClr w14:val="tx1"/>
                </w14:solidFill>
              </w14:textFill>
            </w:rPr>
          </w:pPr>
          <w:r>
            <w:rPr>
              <w:rFonts w:hint="eastAsia"/>
              <w:color w:val="000000" w:themeColor="text1"/>
              <w14:textFill>
                <w14:solidFill>
                  <w14:schemeClr w14:val="tx1"/>
                </w14:solidFill>
              </w14:textFill>
            </w:rPr>
            <w:t>对于所有短期租赁和低价值资产租赁，公司在租赁期内各个期间按照直线法将租赁付款额计入相关资产成本或当期损益。</w:t>
          </w:r>
        </w:p>
      </w:sdtContent>
    </w:sdt>
    <w:p w14:paraId="3294FC51">
      <w:pPr>
        <w:rPr>
          <w:rFonts w:ascii="Calibri" w:hAnsi="Calibri" w:cs="Times New Roman"/>
          <w:color w:val="000000" w:themeColor="text1"/>
          <w:kern w:val="2"/>
          <w:szCs w:val="32"/>
          <w14:textFill>
            <w14:solidFill>
              <w14:schemeClr w14:val="tx1"/>
            </w14:solidFill>
          </w14:textFill>
        </w:rPr>
      </w:pPr>
    </w:p>
    <w:p w14:paraId="6DADF93A">
      <w:pPr>
        <w:rPr>
          <w:rFonts w:ascii="Calibri" w:hAnsi="Calibri" w:cs="Times New Roman"/>
          <w:b/>
          <w:color w:val="000000" w:themeColor="text1"/>
          <w:kern w:val="2"/>
          <w:szCs w:val="32"/>
          <w14:textFill>
            <w14:solidFill>
              <w14:schemeClr w14:val="tx1"/>
            </w14:solidFill>
          </w14:textFill>
        </w:rPr>
      </w:pPr>
      <w:r>
        <w:rPr>
          <w:rFonts w:ascii="Calibri" w:hAnsi="Calibri" w:cs="Times New Roman"/>
          <w:b/>
          <w:color w:val="000000" w:themeColor="text1"/>
          <w:kern w:val="2"/>
          <w:szCs w:val="32"/>
          <w14:textFill>
            <w14:solidFill>
              <w14:schemeClr w14:val="tx1"/>
            </w14:solidFill>
          </w14:textFill>
        </w:rPr>
        <w:t>作为出租方的租赁分类标准和会计处理方法</w:t>
      </w:r>
    </w:p>
    <w:sdt>
      <w:sdtPr>
        <w:rPr>
          <w:color w:val="000000" w:themeColor="text1"/>
          <w14:textFill>
            <w14:solidFill>
              <w14:schemeClr w14:val="tx1"/>
            </w14:solidFill>
          </w14:textFill>
        </w:rPr>
        <w:alias w:val="是否适用：作为出租方的租赁分类标准和会计处理方法[双击切换]"/>
        <w:tag w:val="_GBC_5f67d3c5f08047cab6976824f73e97e9"/>
        <w:id w:val="1309276138"/>
        <w:placeholder>
          <w:docPart w:val="{0740b8a5-1ba0-4fc1-adab-1023569073ee}"/>
        </w:placeholder>
      </w:sdtPr>
      <w:sdtEndPr>
        <w:rPr>
          <w:color w:val="000000" w:themeColor="text1"/>
          <w14:textFill>
            <w14:solidFill>
              <w14:schemeClr w14:val="tx1"/>
            </w14:solidFill>
          </w14:textFill>
        </w:rPr>
      </w:sdtEndPr>
      <w:sdtContent>
        <w:p w14:paraId="3735453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作为出租方的租赁分类标准和会计处理方法"/>
        <w:tag w:val="_GBC_32ac25e0a5c442ef8da612bad391098d"/>
        <w:id w:val="915752831"/>
        <w:placeholder>
          <w:docPart w:val="{0740b8a5-1ba0-4fc1-adab-1023569073ee}"/>
        </w:placeholder>
      </w:sdtPr>
      <w:sdtEndPr>
        <w:rPr>
          <w:color w:val="000000" w:themeColor="text1"/>
          <w14:textFill>
            <w14:solidFill>
              <w14:schemeClr w14:val="tx1"/>
            </w14:solidFill>
          </w14:textFill>
        </w:rPr>
      </w:sdtEndPr>
      <w:sdtContent>
        <w:p w14:paraId="606F1761">
          <w:pPr>
            <w:rPr>
              <w:color w:val="000000" w:themeColor="text1"/>
              <w14:textFill>
                <w14:solidFill>
                  <w14:schemeClr w14:val="tx1"/>
                </w14:solidFill>
              </w14:textFill>
            </w:rPr>
          </w:pPr>
          <w:r>
            <w:rPr>
              <w:rFonts w:hint="eastAsia"/>
              <w:color w:val="000000" w:themeColor="text1"/>
              <w14:textFill>
                <w14:solidFill>
                  <w14:schemeClr w14:val="tx1"/>
                </w14:solidFill>
              </w14:textFill>
            </w:rPr>
            <w:t>在租赁开始日，公司将实质上转移了与租赁资产所有权有关的几乎全部风险和报酬的租赁划分为融资租赁，除此之外的均为经营租赁。</w:t>
          </w:r>
        </w:p>
        <w:p w14:paraId="3AD1D392">
          <w:pPr>
            <w:rPr>
              <w:color w:val="000000" w:themeColor="text1"/>
              <w14:textFill>
                <w14:solidFill>
                  <w14:schemeClr w14:val="tx1"/>
                </w14:solidFill>
              </w14:textFill>
            </w:rPr>
          </w:pPr>
          <w:r>
            <w:rPr>
              <w:rFonts w:hint="eastAsia"/>
              <w:color w:val="000000" w:themeColor="text1"/>
              <w14:textFill>
                <w14:solidFill>
                  <w14:schemeClr w14:val="tx1"/>
                </w14:solidFill>
              </w14:textFill>
            </w:rPr>
            <w:t>(1) 经营租赁</w:t>
          </w:r>
        </w:p>
        <w:p w14:paraId="07B343D7">
          <w:pPr>
            <w:rPr>
              <w:color w:val="000000" w:themeColor="text1"/>
              <w14:textFill>
                <w14:solidFill>
                  <w14:schemeClr w14:val="tx1"/>
                </w14:solidFill>
              </w14:textFill>
            </w:rPr>
          </w:pPr>
          <w:r>
            <w:rPr>
              <w:rFonts w:hint="eastAsia"/>
              <w:color w:val="000000" w:themeColor="text1"/>
              <w14:textFill>
                <w14:solidFill>
                  <w14:schemeClr w14:val="tx1"/>
                </w14:solidFill>
              </w14:textFill>
            </w:rPr>
            <w:t>公司在租赁期内各个期间按照直线法将租赁收款额确认为租金收入，发生的初始直接费用予以资本化并按照与租金收入确认相同的基础进行分摊，分期计入当期损益。公司取得的与经营租赁有关的未计入租赁收款额的可变租赁付款额在实际发生时计入当期损益。</w:t>
          </w:r>
        </w:p>
        <w:p w14:paraId="61B05C30">
          <w:pPr>
            <w:rPr>
              <w:color w:val="000000" w:themeColor="text1"/>
              <w14:textFill>
                <w14:solidFill>
                  <w14:schemeClr w14:val="tx1"/>
                </w14:solidFill>
              </w14:textFill>
            </w:rPr>
          </w:pPr>
          <w:r>
            <w:rPr>
              <w:rFonts w:hint="eastAsia"/>
              <w:color w:val="000000" w:themeColor="text1"/>
              <w14:textFill>
                <w14:solidFill>
                  <w14:schemeClr w14:val="tx1"/>
                </w14:solidFill>
              </w14:textFill>
            </w:rPr>
            <w:t>(2) 融资租赁</w:t>
          </w:r>
        </w:p>
        <w:p w14:paraId="21C5ED82">
          <w:pPr>
            <w:rPr>
              <w:color w:val="000000" w:themeColor="text1"/>
              <w14:textFill>
                <w14:solidFill>
                  <w14:schemeClr w14:val="tx1"/>
                </w14:solidFill>
              </w14:textFill>
            </w:rPr>
          </w:pPr>
          <w:r>
            <w:rPr>
              <w:rFonts w:hint="eastAsia"/>
              <w:color w:val="000000" w:themeColor="text1"/>
              <w14:textFill>
                <w14:solidFill>
                  <w14:schemeClr w14:val="tx1"/>
                </w14:solidFill>
              </w14:textFill>
            </w:rPr>
            <w:t>在租赁期开始日，公司按照租赁投资净额（未担保余值和租赁期开始日尚未收到的租赁收款额按照租赁内含利率折现的现值之和）确认应收融资租赁款，并终止确认融资租赁资产。在租赁期的各个期间，公司按照租赁内含利率计算并确认利息收入。</w:t>
          </w:r>
        </w:p>
        <w:p w14:paraId="3971CC00">
          <w:pPr>
            <w:rPr>
              <w:color w:val="000000" w:themeColor="text1"/>
              <w14:textFill>
                <w14:solidFill>
                  <w14:schemeClr w14:val="tx1"/>
                </w14:solidFill>
              </w14:textFill>
            </w:rPr>
          </w:pPr>
          <w:r>
            <w:rPr>
              <w:rFonts w:hint="eastAsia"/>
              <w:color w:val="000000" w:themeColor="text1"/>
              <w14:textFill>
                <w14:solidFill>
                  <w14:schemeClr w14:val="tx1"/>
                </w14:solidFill>
              </w14:textFill>
            </w:rPr>
            <w:t>公司取得的未纳入租赁投资净额计量的可变租赁付款额在实际发生时计入当期损益。</w:t>
          </w:r>
        </w:p>
      </w:sdtContent>
    </w:sdt>
    <w:p w14:paraId="79A8A2A3">
      <w:pPr>
        <w:rPr>
          <w:color w:val="000000" w:themeColor="text1"/>
          <w14:textFill>
            <w14:solidFill>
              <w14:schemeClr w14:val="tx1"/>
            </w14:solidFill>
          </w14:textFill>
        </w:rPr>
      </w:pPr>
    </w:p>
    <w:bookmarkEnd w:id="181"/>
    <w:bookmarkEnd w:id="182"/>
    <w:p w14:paraId="2E756AD1">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其他重要的会计政策和会计估计</w:t>
      </w:r>
    </w:p>
    <w:sdt>
      <w:sdtPr>
        <w:rPr>
          <w:color w:val="000000" w:themeColor="text1"/>
          <w14:textFill>
            <w14:solidFill>
              <w14:schemeClr w14:val="tx1"/>
            </w14:solidFill>
          </w14:textFill>
        </w:rPr>
        <w:alias w:val="是否适用：其他重要的会计政策和会计估计[双击切换]"/>
        <w:tag w:val="_GBC_b4281f4538de4623a036697d3903e1f8"/>
        <w:id w:val="147453258"/>
        <w:placeholder>
          <w:docPart w:val="GBC22222222222222222222222222222"/>
        </w:placeholder>
      </w:sdtPr>
      <w:sdtEndPr>
        <w:rPr>
          <w:color w:val="000000" w:themeColor="text1"/>
          <w14:textFill>
            <w14:solidFill>
              <w14:schemeClr w14:val="tx1"/>
            </w14:solidFill>
          </w14:textFill>
        </w:rPr>
      </w:sdtEndPr>
      <w:sdtContent>
        <w:p w14:paraId="481479B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22C678A">
      <w:pPr>
        <w:rPr>
          <w:color w:val="000000" w:themeColor="text1"/>
          <w14:textFill>
            <w14:solidFill>
              <w14:schemeClr w14:val="tx1"/>
            </w14:solidFill>
          </w14:textFill>
        </w:rPr>
      </w:pPr>
    </w:p>
    <w:p w14:paraId="12B23308">
      <w:pPr>
        <w:pStyle w:val="57"/>
        <w:numPr>
          <w:ilvl w:val="0"/>
          <w:numId w:val="46"/>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重要会计政策和会计估计的变更</w:t>
      </w:r>
    </w:p>
    <w:p w14:paraId="71C43056">
      <w:pPr>
        <w:pStyle w:val="58"/>
        <w:numPr>
          <w:ilvl w:val="3"/>
          <w:numId w:val="52"/>
        </w:numPr>
        <w:ind w:left="426" w:hanging="426"/>
        <w:rPr>
          <w:rFonts w:ascii="宋体" w:hAnsi="宋体"/>
          <w:color w:val="000000" w:themeColor="text1"/>
          <w14:textFill>
            <w14:solidFill>
              <w14:schemeClr w14:val="tx1"/>
            </w14:solidFill>
          </w14:textFill>
        </w:rPr>
      </w:pPr>
      <w:bookmarkStart w:id="183" w:name="_Hlk169007887"/>
      <w:r>
        <w:rPr>
          <w:rFonts w:hint="eastAsia" w:ascii="宋体" w:hAnsi="宋体"/>
          <w:color w:val="000000" w:themeColor="text1"/>
          <w14:textFill>
            <w14:solidFill>
              <w14:schemeClr w14:val="tx1"/>
            </w14:solidFill>
          </w14:textFill>
        </w:rPr>
        <w:t>重要</w:t>
      </w:r>
      <w:r>
        <w:rPr>
          <w:rFonts w:ascii="宋体" w:hAnsi="宋体"/>
          <w:color w:val="000000" w:themeColor="text1"/>
          <w14:textFill>
            <w14:solidFill>
              <w14:schemeClr w14:val="tx1"/>
            </w14:solidFill>
          </w14:textFill>
        </w:rPr>
        <w:t>会计政策变更</w:t>
      </w:r>
    </w:p>
    <w:sdt>
      <w:sdtPr>
        <w:rPr>
          <w:color w:val="000000" w:themeColor="text1"/>
          <w14:textFill>
            <w14:solidFill>
              <w14:schemeClr w14:val="tx1"/>
            </w14:solidFill>
          </w14:textFill>
        </w:rPr>
        <w:alias w:val="是否适用：重要会计政策变更[双击切换]"/>
        <w:tag w:val="_GBC_f1ebc580f60c4d30a80747190ffbec4f"/>
        <w:id w:val="147458043"/>
        <w:placeholder>
          <w:docPart w:val="GBC22222222222222222222222222222"/>
        </w:placeholder>
      </w:sdtPr>
      <w:sdtEndPr>
        <w:rPr>
          <w:color w:val="000000" w:themeColor="text1"/>
          <w14:textFill>
            <w14:solidFill>
              <w14:schemeClr w14:val="tx1"/>
            </w14:solidFill>
          </w14:textFill>
        </w:rPr>
      </w:sdtEndPr>
      <w:sdtContent>
        <w:p w14:paraId="378E20BC">
          <w:pPr>
            <w:rPr>
              <w:rFonts w:cs="Times New Roman"/>
              <w:color w:val="000000" w:themeColor="text1"/>
              <w:kern w:val="2"/>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C3500CD">
      <w:pPr>
        <w:rPr>
          <w:color w:val="000000" w:themeColor="text1"/>
          <w14:textFill>
            <w14:solidFill>
              <w14:schemeClr w14:val="tx1"/>
            </w14:solidFill>
          </w14:textFill>
        </w:rPr>
      </w:pPr>
    </w:p>
    <w:p w14:paraId="385AF571">
      <w:pPr>
        <w:pStyle w:val="58"/>
        <w:numPr>
          <w:ilvl w:val="3"/>
          <w:numId w:val="52"/>
        </w:numPr>
        <w:ind w:left="426" w:hanging="42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重要会计估计变更</w:t>
      </w:r>
    </w:p>
    <w:sdt>
      <w:sdtPr>
        <w:rPr>
          <w:color w:val="000000" w:themeColor="text1"/>
          <w14:textFill>
            <w14:solidFill>
              <w14:schemeClr w14:val="tx1"/>
            </w14:solidFill>
          </w14:textFill>
        </w:rPr>
        <w:alias w:val="是否适用：重要会计估计变更[双击切换]"/>
        <w:tag w:val="_GBC_902f08bd36774074945386d2d1f9b67d"/>
        <w:id w:val="147455783"/>
        <w:placeholder>
          <w:docPart w:val="GBC22222222222222222222222222222"/>
        </w:placeholder>
      </w:sdtPr>
      <w:sdtEndPr>
        <w:rPr>
          <w:color w:val="000000" w:themeColor="text1"/>
          <w14:textFill>
            <w14:solidFill>
              <w14:schemeClr w14:val="tx1"/>
            </w14:solidFill>
          </w14:textFill>
        </w:rPr>
      </w:sdtEndPr>
      <w:sdtContent>
        <w:p w14:paraId="22CE4CCB">
          <w:pPr>
            <w:rPr>
              <w:rFonts w:cs="Times New Roman"/>
              <w:color w:val="000000" w:themeColor="text1"/>
              <w:kern w:val="2"/>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58C6108">
      <w:pPr>
        <w:rPr>
          <w:color w:val="000000" w:themeColor="text1"/>
          <w14:textFill>
            <w14:solidFill>
              <w14:schemeClr w14:val="tx1"/>
            </w14:solidFill>
          </w14:textFill>
        </w:rPr>
      </w:pPr>
    </w:p>
    <w:bookmarkEnd w:id="183"/>
    <w:p w14:paraId="769D488B">
      <w:pPr>
        <w:pStyle w:val="58"/>
        <w:numPr>
          <w:ilvl w:val="3"/>
          <w:numId w:val="52"/>
        </w:numPr>
        <w:ind w:left="426" w:hanging="426"/>
        <w:rPr>
          <w:rFonts w:ascii="宋体" w:hAnsi="宋体"/>
          <w:color w:val="000000" w:themeColor="text1"/>
          <w14:textFill>
            <w14:solidFill>
              <w14:schemeClr w14:val="tx1"/>
            </w14:solidFill>
          </w14:textFill>
        </w:rPr>
      </w:pPr>
      <w:bookmarkStart w:id="184" w:name="_Hlk10465969"/>
      <w:bookmarkEnd w:id="184"/>
      <w:bookmarkStart w:id="185" w:name="_Hlk24100246"/>
      <w:bookmarkStart w:id="186" w:name="_Hlk137050657"/>
      <w:r>
        <w:rPr>
          <w:rFonts w:hint="eastAsia" w:ascii="宋体" w:hAnsi="宋体"/>
          <w:color w:val="000000" w:themeColor="text1"/>
          <w14:textFill>
            <w14:solidFill>
              <w14:schemeClr w14:val="tx1"/>
            </w14:solidFill>
          </w14:textFill>
        </w:rPr>
        <w:t>2025年起首次执行新会计准则或准则解释等涉及调整首次执行当年年初的财务报表</w:t>
      </w:r>
    </w:p>
    <w:sdt>
      <w:sdtPr>
        <w:rPr>
          <w:rFonts w:hint="eastAsia"/>
          <w:color w:val="000000" w:themeColor="text1"/>
          <w14:textFill>
            <w14:solidFill>
              <w14:schemeClr w14:val="tx1"/>
            </w14:solidFill>
          </w14:textFill>
        </w:rPr>
        <w:alias w:val="是否适用：首次执行新金融工具准则或新收入准则调整首次执行当年年初财务报表相关项目情况[双击切换]"/>
        <w:tag w:val="_GBC_8608c1ec447d48978e05546e78cb2ffc"/>
        <w:id w:val="147478794"/>
        <w:placeholder>
          <w:docPart w:val="GBC22222222222222222222222222222"/>
        </w:placeholder>
      </w:sdtPr>
      <w:sdtEndPr>
        <w:rPr>
          <w:rFonts w:hint="eastAsia"/>
          <w:color w:val="000000" w:themeColor="text1"/>
          <w14:textFill>
            <w14:solidFill>
              <w14:schemeClr w14:val="tx1"/>
            </w14:solidFill>
          </w14:textFill>
        </w:rPr>
      </w:sdtEndPr>
      <w:sdtContent>
        <w:p w14:paraId="24B1F41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563151D">
      <w:pPr>
        <w:rPr>
          <w:color w:val="000000" w:themeColor="text1"/>
          <w14:textFill>
            <w14:solidFill>
              <w14:schemeClr w14:val="tx1"/>
            </w14:solidFill>
          </w14:textFill>
        </w:rPr>
      </w:pPr>
    </w:p>
    <w:bookmarkEnd w:id="185"/>
    <w:bookmarkEnd w:id="186"/>
    <w:p w14:paraId="5CBD79A6">
      <w:pPr>
        <w:pStyle w:val="57"/>
        <w:numPr>
          <w:ilvl w:val="0"/>
          <w:numId w:val="46"/>
        </w:numPr>
        <w:rPr>
          <w:rFonts w:ascii="宋体" w:hAnsi="宋体"/>
          <w:color w:val="000000" w:themeColor="text1"/>
          <w14:textFill>
            <w14:solidFill>
              <w14:schemeClr w14:val="tx1"/>
            </w14:solidFill>
          </w14:textFill>
        </w:rPr>
      </w:pPr>
      <w:bookmarkStart w:id="187" w:name="_Hlk137051084"/>
      <w:bookmarkEnd w:id="187"/>
      <w:bookmarkStart w:id="188" w:name="_Hlk24100423"/>
      <w:bookmarkEnd w:id="188"/>
      <w:r>
        <w:rPr>
          <w:rFonts w:ascii="宋体" w:hAnsi="宋体"/>
          <w:color w:val="000000" w:themeColor="text1"/>
          <w14:textFill>
            <w14:solidFill>
              <w14:schemeClr w14:val="tx1"/>
            </w14:solidFill>
          </w14:textFill>
        </w:rPr>
        <w:t>其他</w:t>
      </w:r>
    </w:p>
    <w:sdt>
      <w:sdtPr>
        <w:rPr>
          <w:rFonts w:hint="eastAsia"/>
          <w:color w:val="000000" w:themeColor="text1"/>
          <w14:textFill>
            <w14:solidFill>
              <w14:schemeClr w14:val="tx1"/>
            </w14:solidFill>
          </w14:textFill>
        </w:rPr>
        <w:alias w:val="是否适用：公司主要会计政策、会计估计和前期差错的其他说明[双击切换]"/>
        <w:tag w:val="_GBC_6deb29735f384e0d9a2b017d4265a493"/>
        <w:id w:val="147470207"/>
        <w:placeholder>
          <w:docPart w:val="GBC22222222222222222222222222222"/>
        </w:placeholder>
      </w:sdtPr>
      <w:sdtEndPr>
        <w:rPr>
          <w:rFonts w:hint="eastAsia"/>
          <w:color w:val="000000" w:themeColor="text1"/>
          <w14:textFill>
            <w14:solidFill>
              <w14:schemeClr w14:val="tx1"/>
            </w14:solidFill>
          </w14:textFill>
        </w:rPr>
      </w:sdtEndPr>
      <w:sdtContent>
        <w:p w14:paraId="591B6AF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9EFCF0F">
      <w:pPr>
        <w:rPr>
          <w:color w:val="000000" w:themeColor="text1"/>
          <w14:textFill>
            <w14:solidFill>
              <w14:schemeClr w14:val="tx1"/>
            </w14:solidFill>
          </w14:textFill>
        </w:rPr>
      </w:pPr>
    </w:p>
    <w:p w14:paraId="373AAF70">
      <w:pPr>
        <w:rPr>
          <w:color w:val="000000" w:themeColor="text1"/>
          <w14:textFill>
            <w14:solidFill>
              <w14:schemeClr w14:val="tx1"/>
            </w14:solidFill>
          </w14:textFill>
        </w:rPr>
      </w:pPr>
    </w:p>
    <w:p w14:paraId="41D64816">
      <w:pPr>
        <w:pStyle w:val="56"/>
        <w:numPr>
          <w:ilvl w:val="0"/>
          <w:numId w:val="43"/>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税项</w:t>
      </w:r>
    </w:p>
    <w:p w14:paraId="6C3C75DF">
      <w:pPr>
        <w:pStyle w:val="57"/>
        <w:numPr>
          <w:ilvl w:val="0"/>
          <w:numId w:val="53"/>
        </w:numPr>
        <w:tabs>
          <w:tab w:val="left" w:pos="546"/>
        </w:tabs>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主要税种及税率</w:t>
      </w:r>
    </w:p>
    <w:p w14:paraId="6925B03A">
      <w:pPr>
        <w:rPr>
          <w:color w:val="000000" w:themeColor="text1"/>
          <w14:textFill>
            <w14:solidFill>
              <w14:schemeClr w14:val="tx1"/>
            </w14:solidFill>
          </w14:textFill>
        </w:rPr>
      </w:pPr>
      <w:r>
        <w:rPr>
          <w:rFonts w:hint="eastAsia"/>
          <w:color w:val="000000" w:themeColor="text1"/>
          <w14:textFill>
            <w14:solidFill>
              <w14:schemeClr w14:val="tx1"/>
            </w14:solidFill>
          </w14:textFill>
        </w:rPr>
        <w:t>主要税种及税率情况</w:t>
      </w:r>
    </w:p>
    <w:sdt>
      <w:sdtPr>
        <w:rPr>
          <w:color w:val="000000" w:themeColor="text1"/>
          <w14:textFill>
            <w14:solidFill>
              <w14:schemeClr w14:val="tx1"/>
            </w14:solidFill>
          </w14:textFill>
        </w:rPr>
        <w:alias w:val="是否适用：主要税种及税率情况 [双击切换]"/>
        <w:tag w:val="_GBC_fd47fa4fd9aa499c8903795268a25582"/>
        <w:id w:val="147464734"/>
        <w:placeholder>
          <w:docPart w:val="GBC22222222222222222222222222222"/>
        </w:placeholder>
      </w:sdtPr>
      <w:sdtEndPr>
        <w:rPr>
          <w:color w:val="000000" w:themeColor="text1"/>
          <w14:textFill>
            <w14:solidFill>
              <w14:schemeClr w14:val="tx1"/>
            </w14:solidFill>
          </w14:textFill>
        </w:rPr>
      </w:sdtEndPr>
      <w:sdtContent>
        <w:p w14:paraId="7293CE9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5"/>
        <w:gridCol w:w="4362"/>
        <w:gridCol w:w="2802"/>
      </w:tblGrid>
      <w:tr w14:paraId="728DE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7d49d0412b143bf84fec865b918065a"/>
            <w:id w:val="147465845"/>
          </w:sdtPr>
          <w:sdtContent>
            <w:tc>
              <w:tcPr>
                <w:tcW w:w="1042" w:type="pct"/>
                <w:vAlign w:val="center"/>
              </w:tcPr>
              <w:p w14:paraId="6540B72C">
                <w:pPr>
                  <w:jc w:val="center"/>
                  <w:rPr>
                    <w:color w:val="000000" w:themeColor="text1"/>
                    <w14:textFill>
                      <w14:solidFill>
                        <w14:schemeClr w14:val="tx1"/>
                      </w14:solidFill>
                    </w14:textFill>
                  </w:rPr>
                </w:pPr>
                <w:r>
                  <w:rPr>
                    <w:color w:val="000000" w:themeColor="text1"/>
                    <w14:textFill>
                      <w14:solidFill>
                        <w14:schemeClr w14:val="tx1"/>
                      </w14:solidFill>
                    </w14:textFill>
                  </w:rPr>
                  <w:t>税种</w:t>
                </w:r>
              </w:p>
            </w:tc>
          </w:sdtContent>
        </w:sdt>
        <w:sdt>
          <w:sdtPr>
            <w:tag w:val="_PLD_e42202809983483baa812ed26e1b27a2"/>
            <w:id w:val="147466992"/>
          </w:sdtPr>
          <w:sdtContent>
            <w:tc>
              <w:tcPr>
                <w:tcW w:w="2410" w:type="pct"/>
                <w:vAlign w:val="center"/>
              </w:tcPr>
              <w:p w14:paraId="0386AF4D">
                <w:pPr>
                  <w:jc w:val="center"/>
                  <w:rPr>
                    <w:color w:val="000000" w:themeColor="text1"/>
                    <w14:textFill>
                      <w14:solidFill>
                        <w14:schemeClr w14:val="tx1"/>
                      </w14:solidFill>
                    </w14:textFill>
                  </w:rPr>
                </w:pPr>
                <w:r>
                  <w:rPr>
                    <w:color w:val="000000" w:themeColor="text1"/>
                    <w14:textFill>
                      <w14:solidFill>
                        <w14:schemeClr w14:val="tx1"/>
                      </w14:solidFill>
                    </w14:textFill>
                  </w:rPr>
                  <w:t>计税依据</w:t>
                </w:r>
              </w:p>
            </w:tc>
          </w:sdtContent>
        </w:sdt>
        <w:sdt>
          <w:sdtPr>
            <w:tag w:val="_PLD_0cebc7a4c62844c6b35146cd64cd4277"/>
            <w:id w:val="147468173"/>
          </w:sdtPr>
          <w:sdtContent>
            <w:tc>
              <w:tcPr>
                <w:tcW w:w="1548" w:type="pct"/>
                <w:vAlign w:val="center"/>
              </w:tcPr>
              <w:p w14:paraId="42438B6C">
                <w:pPr>
                  <w:jc w:val="center"/>
                  <w:rPr>
                    <w:color w:val="000000" w:themeColor="text1"/>
                    <w14:textFill>
                      <w14:solidFill>
                        <w14:schemeClr w14:val="tx1"/>
                      </w14:solidFill>
                    </w14:textFill>
                  </w:rPr>
                </w:pPr>
                <w:r>
                  <w:rPr>
                    <w:color w:val="000000" w:themeColor="text1"/>
                    <w14:textFill>
                      <w14:solidFill>
                        <w14:schemeClr w14:val="tx1"/>
                      </w14:solidFill>
                    </w14:textFill>
                  </w:rPr>
                  <w:t>税率</w:t>
                </w:r>
              </w:p>
            </w:tc>
          </w:sdtContent>
        </w:sdt>
      </w:tr>
      <w:tr w14:paraId="17C4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72270E0F">
            <w:pPr>
              <w:jc w:val="both"/>
              <w:rPr>
                <w:color w:val="000000" w:themeColor="text1"/>
                <w14:textFill>
                  <w14:solidFill>
                    <w14:schemeClr w14:val="tx1"/>
                  </w14:solidFill>
                </w14:textFill>
              </w:rPr>
            </w:pPr>
            <w:r>
              <w:rPr>
                <w:color w:val="000000" w:themeColor="text1"/>
                <w14:textFill>
                  <w14:solidFill>
                    <w14:schemeClr w14:val="tx1"/>
                  </w14:solidFill>
                </w14:textFill>
              </w:rPr>
              <w:t>增值税</w:t>
            </w:r>
          </w:p>
        </w:tc>
        <w:tc>
          <w:tcPr>
            <w:tcW w:w="2410" w:type="pct"/>
            <w:vAlign w:val="center"/>
          </w:tcPr>
          <w:p w14:paraId="0559670B">
            <w:pPr>
              <w:jc w:val="both"/>
            </w:pPr>
            <w:r>
              <w:rPr>
                <w:rFonts w:hint="eastAsia"/>
                <w:color w:val="000000"/>
              </w:rPr>
              <w:t>按税法规定计算的销售货物和应税劳务收入为基础计算销项税额，在扣除当期允许抵扣的进项税额后，差额部分为应交增值税</w:t>
            </w:r>
          </w:p>
        </w:tc>
        <w:tc>
          <w:tcPr>
            <w:tcW w:w="1548" w:type="pct"/>
            <w:vAlign w:val="center"/>
          </w:tcPr>
          <w:p w14:paraId="60012EB9">
            <w:pPr>
              <w:jc w:val="both"/>
            </w:pPr>
            <w:r>
              <w:rPr>
                <w:rFonts w:hint="eastAsia"/>
                <w:color w:val="000000"/>
              </w:rPr>
              <w:t>3%、5%、6%、9%、13%</w:t>
            </w:r>
          </w:p>
        </w:tc>
      </w:tr>
      <w:tr w14:paraId="67C5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36D4E5B8">
            <w:pPr>
              <w:jc w:val="both"/>
              <w:rPr>
                <w:color w:val="000000" w:themeColor="text1"/>
                <w14:textFill>
                  <w14:solidFill>
                    <w14:schemeClr w14:val="tx1"/>
                  </w14:solidFill>
                </w14:textFill>
              </w:rPr>
            </w:pPr>
            <w:r>
              <w:rPr>
                <w:color w:val="000000" w:themeColor="text1"/>
                <w14:textFill>
                  <w14:solidFill>
                    <w14:schemeClr w14:val="tx1"/>
                  </w14:solidFill>
                </w14:textFill>
              </w:rPr>
              <w:t>城市维护建设税</w:t>
            </w:r>
          </w:p>
        </w:tc>
        <w:tc>
          <w:tcPr>
            <w:tcW w:w="2410" w:type="pct"/>
            <w:vAlign w:val="center"/>
          </w:tcPr>
          <w:p w14:paraId="54C64E93">
            <w:pPr>
              <w:jc w:val="both"/>
            </w:pPr>
            <w:r>
              <w:rPr>
                <w:rFonts w:hint="eastAsia"/>
                <w:color w:val="000000"/>
              </w:rPr>
              <w:t>按实际缴纳的增值税计缴</w:t>
            </w:r>
          </w:p>
        </w:tc>
        <w:tc>
          <w:tcPr>
            <w:tcW w:w="1548" w:type="pct"/>
            <w:vAlign w:val="center"/>
          </w:tcPr>
          <w:p w14:paraId="55FBBCDD">
            <w:pPr>
              <w:jc w:val="both"/>
            </w:pPr>
            <w:r>
              <w:rPr>
                <w:rFonts w:hint="eastAsia"/>
                <w:color w:val="000000"/>
              </w:rPr>
              <w:t>5%、7%</w:t>
            </w:r>
          </w:p>
        </w:tc>
      </w:tr>
      <w:tr w14:paraId="6E1F6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5CE16B86">
            <w:pPr>
              <w:jc w:val="both"/>
              <w:rPr>
                <w:color w:val="000000" w:themeColor="text1"/>
                <w14:textFill>
                  <w14:solidFill>
                    <w14:schemeClr w14:val="tx1"/>
                  </w14:solidFill>
                </w14:textFill>
              </w:rPr>
            </w:pPr>
            <w:r>
              <w:rPr>
                <w:color w:val="000000" w:themeColor="text1"/>
                <w14:textFill>
                  <w14:solidFill>
                    <w14:schemeClr w14:val="tx1"/>
                  </w14:solidFill>
                </w14:textFill>
              </w:rPr>
              <w:t>教育费附加</w:t>
            </w:r>
          </w:p>
        </w:tc>
        <w:tc>
          <w:tcPr>
            <w:tcW w:w="2410" w:type="pct"/>
            <w:vAlign w:val="center"/>
          </w:tcPr>
          <w:p w14:paraId="3D3289EF">
            <w:pPr>
              <w:jc w:val="both"/>
            </w:pPr>
            <w:r>
              <w:rPr>
                <w:rFonts w:hint="eastAsia"/>
                <w:color w:val="000000"/>
              </w:rPr>
              <w:t>按实际缴纳的增值税计缴</w:t>
            </w:r>
          </w:p>
        </w:tc>
        <w:tc>
          <w:tcPr>
            <w:tcW w:w="1548" w:type="pct"/>
            <w:vAlign w:val="center"/>
          </w:tcPr>
          <w:p w14:paraId="154A7DB0">
            <w:pPr>
              <w:jc w:val="both"/>
            </w:pPr>
            <w:r>
              <w:rPr>
                <w:rFonts w:hint="eastAsia"/>
                <w:color w:val="000000"/>
              </w:rPr>
              <w:t>3%</w:t>
            </w:r>
          </w:p>
        </w:tc>
      </w:tr>
      <w:tr w14:paraId="3F370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1160B2FB">
            <w:pPr>
              <w:jc w:val="both"/>
            </w:pPr>
            <w:r>
              <w:rPr>
                <w:color w:val="000000" w:themeColor="text1"/>
                <w14:textFill>
                  <w14:solidFill>
                    <w14:schemeClr w14:val="tx1"/>
                  </w14:solidFill>
                </w14:textFill>
              </w:rPr>
              <w:t>地方教育费附加</w:t>
            </w:r>
          </w:p>
        </w:tc>
        <w:tc>
          <w:tcPr>
            <w:tcW w:w="2410" w:type="pct"/>
            <w:vAlign w:val="center"/>
          </w:tcPr>
          <w:p w14:paraId="4BFDF7CE">
            <w:pPr>
              <w:jc w:val="both"/>
            </w:pPr>
            <w:r>
              <w:rPr>
                <w:rFonts w:hint="eastAsia"/>
                <w:color w:val="000000"/>
              </w:rPr>
              <w:t>按实际缴纳的增值税计缴</w:t>
            </w:r>
          </w:p>
        </w:tc>
        <w:tc>
          <w:tcPr>
            <w:tcW w:w="1548" w:type="pct"/>
            <w:vAlign w:val="center"/>
          </w:tcPr>
          <w:p w14:paraId="472177CD">
            <w:pPr>
              <w:jc w:val="both"/>
            </w:pPr>
            <w:r>
              <w:rPr>
                <w:rFonts w:hint="eastAsia"/>
                <w:color w:val="000000"/>
              </w:rPr>
              <w:t>2%</w:t>
            </w:r>
          </w:p>
        </w:tc>
      </w:tr>
      <w:tr w14:paraId="3C0BF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50D52AE2">
            <w:pPr>
              <w:jc w:val="both"/>
            </w:pPr>
            <w:r>
              <w:rPr>
                <w:color w:val="000000" w:themeColor="text1"/>
                <w14:textFill>
                  <w14:solidFill>
                    <w14:schemeClr w14:val="tx1"/>
                  </w14:solidFill>
                </w14:textFill>
              </w:rPr>
              <w:t>企业所得税</w:t>
            </w:r>
          </w:p>
        </w:tc>
        <w:tc>
          <w:tcPr>
            <w:tcW w:w="2410" w:type="pct"/>
            <w:vAlign w:val="center"/>
          </w:tcPr>
          <w:p w14:paraId="7BFBC590">
            <w:pPr>
              <w:jc w:val="both"/>
            </w:pPr>
            <w:r>
              <w:rPr>
                <w:rFonts w:hint="eastAsia"/>
                <w:color w:val="000000"/>
              </w:rPr>
              <w:t>应纳税所得额</w:t>
            </w:r>
          </w:p>
        </w:tc>
        <w:tc>
          <w:tcPr>
            <w:tcW w:w="1548" w:type="pct"/>
            <w:vAlign w:val="center"/>
          </w:tcPr>
          <w:p w14:paraId="47623890">
            <w:pPr>
              <w:jc w:val="both"/>
            </w:pPr>
            <w:r>
              <w:rPr>
                <w:rFonts w:hint="eastAsia"/>
                <w:color w:val="000000"/>
              </w:rPr>
              <w:t>15%、20%、25%</w:t>
            </w:r>
          </w:p>
        </w:tc>
      </w:tr>
      <w:tr w14:paraId="690B7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7E63BDB6">
            <w:pPr>
              <w:jc w:val="both"/>
              <w:rPr>
                <w:color w:val="000000" w:themeColor="text1"/>
                <w14:textFill>
                  <w14:solidFill>
                    <w14:schemeClr w14:val="tx1"/>
                  </w14:solidFill>
                </w14:textFill>
              </w:rPr>
            </w:pPr>
            <w:r>
              <w:rPr>
                <w:color w:val="000000" w:themeColor="text1"/>
                <w14:textFill>
                  <w14:solidFill>
                    <w14:schemeClr w14:val="tx1"/>
                  </w14:solidFill>
                </w14:textFill>
              </w:rPr>
              <w:t>房产税</w:t>
            </w:r>
          </w:p>
        </w:tc>
        <w:tc>
          <w:tcPr>
            <w:tcW w:w="2410" w:type="pct"/>
            <w:vAlign w:val="center"/>
          </w:tcPr>
          <w:p w14:paraId="7DDFD86C">
            <w:pPr>
              <w:jc w:val="both"/>
              <w:rPr>
                <w:color w:val="000000"/>
              </w:rPr>
            </w:pPr>
            <w:r>
              <w:rPr>
                <w:color w:val="000000"/>
              </w:rPr>
              <w:t>从价计征的，按房产原值一次减除20%-30%后余值的1.2%计缴；从租计征的，按租金收入的12%计缴</w:t>
            </w:r>
          </w:p>
        </w:tc>
        <w:tc>
          <w:tcPr>
            <w:tcW w:w="1548" w:type="pct"/>
            <w:vAlign w:val="center"/>
          </w:tcPr>
          <w:p w14:paraId="698F31DF">
            <w:pPr>
              <w:jc w:val="both"/>
              <w:rPr>
                <w:color w:val="000000"/>
              </w:rPr>
            </w:pPr>
            <w:r>
              <w:rPr>
                <w:color w:val="000000"/>
              </w:rPr>
              <w:t>1.2%、12%</w:t>
            </w:r>
          </w:p>
        </w:tc>
      </w:tr>
    </w:tbl>
    <w:p w14:paraId="0A507F42">
      <w:pPr>
        <w:rPr>
          <w:color w:val="000000" w:themeColor="text1"/>
          <w14:textFill>
            <w14:solidFill>
              <w14:schemeClr w14:val="tx1"/>
            </w14:solidFill>
          </w14:textFill>
        </w:rPr>
      </w:pPr>
    </w:p>
    <w:p w14:paraId="76800A79">
      <w:pPr>
        <w:rPr>
          <w:color w:val="000000" w:themeColor="text1"/>
          <w14:textFill>
            <w14:solidFill>
              <w14:schemeClr w14:val="tx1"/>
            </w14:solidFill>
          </w14:textFill>
        </w:rPr>
      </w:pPr>
      <w:r>
        <w:rPr>
          <w:rFonts w:hint="eastAsia"/>
          <w:color w:val="000000" w:themeColor="text1"/>
          <w14:textFill>
            <w14:solidFill>
              <w14:schemeClr w14:val="tx1"/>
            </w14:solidFill>
          </w14:textFill>
        </w:rPr>
        <w:t>存在不同企业所得税税率纳税主体的，披露情况说明</w:t>
      </w:r>
    </w:p>
    <w:sdt>
      <w:sdtPr>
        <w:rPr>
          <w:color w:val="000000" w:themeColor="text1"/>
          <w14:textFill>
            <w14:solidFill>
              <w14:schemeClr w14:val="tx1"/>
            </w14:solidFill>
          </w14:textFill>
        </w:rPr>
        <w:alias w:val="是否适用：存在不同企业所得税税率纳税主体的，披露情况说明[双击切换]"/>
        <w:tag w:val="_GBC_848dc0d1182048ccb5485f3b0d7d1d70"/>
        <w:id w:val="147478491"/>
        <w:placeholder>
          <w:docPart w:val="GBC22222222222222222222222222222"/>
        </w:placeholder>
      </w:sdtPr>
      <w:sdtEndPr>
        <w:rPr>
          <w:color w:val="000000" w:themeColor="text1"/>
          <w14:textFill>
            <w14:solidFill>
              <w14:schemeClr w14:val="tx1"/>
            </w14:solidFill>
          </w14:textFill>
        </w:rPr>
      </w:sdtEndPr>
      <w:sdtContent>
        <w:p w14:paraId="2D0475A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602"/>
        <w:gridCol w:w="4447"/>
      </w:tblGrid>
      <w:tr w14:paraId="4AB8A8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blHeader/>
        </w:trPr>
        <w:sdt>
          <w:sdtPr>
            <w:tag w:val="_PLD_440a50b0d3fa4b22b061006e717665d8"/>
            <w:id w:val="147470230"/>
          </w:sdtPr>
          <w:sdtContent>
            <w:tc>
              <w:tcPr>
                <w:tcW w:w="2543" w:type="pct"/>
                <w:tcBorders>
                  <w:bottom w:val="single" w:color="auto" w:sz="4" w:space="0"/>
                </w:tcBorders>
                <w:vAlign w:val="center"/>
              </w:tcPr>
              <w:p w14:paraId="1AC53239">
                <w:pPr>
                  <w:jc w:val="center"/>
                </w:pPr>
                <w:r>
                  <w:rPr>
                    <w:rFonts w:hint="eastAsia"/>
                  </w:rPr>
                  <w:t>纳税主体名称</w:t>
                </w:r>
              </w:p>
            </w:tc>
          </w:sdtContent>
        </w:sdt>
        <w:sdt>
          <w:sdtPr>
            <w:tag w:val="_PLD_5c2541995bc04204a53104c1e5a4c9da"/>
            <w:id w:val="147479875"/>
          </w:sdtPr>
          <w:sdtContent>
            <w:tc>
              <w:tcPr>
                <w:tcW w:w="2457" w:type="pct"/>
                <w:tcBorders>
                  <w:bottom w:val="single" w:color="auto" w:sz="4" w:space="0"/>
                </w:tcBorders>
                <w:vAlign w:val="center"/>
              </w:tcPr>
              <w:p w14:paraId="263216C9">
                <w:pPr>
                  <w:jc w:val="center"/>
                </w:pPr>
                <w:r>
                  <w:rPr>
                    <w:rFonts w:hint="eastAsia"/>
                  </w:rPr>
                  <w:t>所得税税率（%）</w:t>
                </w:r>
              </w:p>
            </w:tc>
          </w:sdtContent>
        </w:sdt>
      </w:tr>
      <w:tr w14:paraId="5B2A3D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548752A3">
            <w:r>
              <w:rPr>
                <w:rFonts w:hint="eastAsia"/>
              </w:rPr>
              <w:t>内蒙古际华森普利服装皮业有限公司</w:t>
            </w:r>
          </w:p>
        </w:tc>
        <w:tc>
          <w:tcPr>
            <w:tcW w:w="2457" w:type="pct"/>
            <w:tcBorders>
              <w:top w:val="single" w:color="auto" w:sz="4" w:space="0"/>
              <w:left w:val="single" w:color="auto" w:sz="4" w:space="0"/>
              <w:bottom w:val="single" w:color="auto" w:sz="4" w:space="0"/>
            </w:tcBorders>
            <w:vAlign w:val="center"/>
          </w:tcPr>
          <w:p w14:paraId="2D9271EA">
            <w:pPr>
              <w:jc w:val="center"/>
            </w:pPr>
            <w:r>
              <w:rPr>
                <w:rFonts w:hint="eastAsia"/>
                <w:color w:val="000000"/>
              </w:rPr>
              <w:t>15</w:t>
            </w:r>
          </w:p>
        </w:tc>
      </w:tr>
      <w:tr w14:paraId="53653C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4EC5CFE0">
            <w:r>
              <w:rPr>
                <w:rFonts w:hint="eastAsia"/>
                <w:color w:val="000000"/>
              </w:rPr>
              <w:t>际华三五三六实业有限公司</w:t>
            </w:r>
          </w:p>
        </w:tc>
        <w:tc>
          <w:tcPr>
            <w:tcW w:w="2457" w:type="pct"/>
            <w:tcBorders>
              <w:top w:val="single" w:color="auto" w:sz="4" w:space="0"/>
              <w:left w:val="single" w:color="auto" w:sz="4" w:space="0"/>
              <w:bottom w:val="single" w:color="auto" w:sz="4" w:space="0"/>
            </w:tcBorders>
            <w:vAlign w:val="center"/>
          </w:tcPr>
          <w:p w14:paraId="7868E97B">
            <w:pPr>
              <w:jc w:val="center"/>
            </w:pPr>
            <w:r>
              <w:rPr>
                <w:rFonts w:hint="eastAsia"/>
                <w:color w:val="000000"/>
              </w:rPr>
              <w:t>15</w:t>
            </w:r>
          </w:p>
        </w:tc>
      </w:tr>
      <w:tr w14:paraId="1E1D7A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65DAC475">
            <w:r>
              <w:rPr>
                <w:rFonts w:hint="eastAsia"/>
                <w:color w:val="000000"/>
              </w:rPr>
              <w:t>际华制鞋工业有限公司</w:t>
            </w:r>
          </w:p>
        </w:tc>
        <w:tc>
          <w:tcPr>
            <w:tcW w:w="2457" w:type="pct"/>
            <w:tcBorders>
              <w:top w:val="single" w:color="auto" w:sz="4" w:space="0"/>
              <w:left w:val="single" w:color="auto" w:sz="4" w:space="0"/>
              <w:bottom w:val="single" w:color="auto" w:sz="4" w:space="0"/>
            </w:tcBorders>
            <w:vAlign w:val="center"/>
          </w:tcPr>
          <w:p w14:paraId="467AF380">
            <w:pPr>
              <w:jc w:val="center"/>
            </w:pPr>
            <w:r>
              <w:rPr>
                <w:rFonts w:hint="eastAsia"/>
                <w:color w:val="000000"/>
              </w:rPr>
              <w:t>15</w:t>
            </w:r>
          </w:p>
        </w:tc>
      </w:tr>
      <w:tr w14:paraId="582086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2E164474">
            <w:r>
              <w:rPr>
                <w:rFonts w:hint="eastAsia"/>
                <w:color w:val="000000"/>
              </w:rPr>
              <w:t>际华三五一二皮革服装有限公司</w:t>
            </w:r>
          </w:p>
        </w:tc>
        <w:tc>
          <w:tcPr>
            <w:tcW w:w="2457" w:type="pct"/>
            <w:tcBorders>
              <w:top w:val="single" w:color="auto" w:sz="4" w:space="0"/>
              <w:left w:val="single" w:color="auto" w:sz="4" w:space="0"/>
              <w:bottom w:val="single" w:color="auto" w:sz="4" w:space="0"/>
            </w:tcBorders>
            <w:vAlign w:val="center"/>
          </w:tcPr>
          <w:p w14:paraId="5DC10B82">
            <w:pPr>
              <w:jc w:val="center"/>
            </w:pPr>
            <w:r>
              <w:rPr>
                <w:rFonts w:hint="eastAsia"/>
                <w:color w:val="000000"/>
              </w:rPr>
              <w:t>15</w:t>
            </w:r>
          </w:p>
        </w:tc>
      </w:tr>
      <w:tr w14:paraId="7A88D9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6A023988">
            <w:r>
              <w:rPr>
                <w:rFonts w:hint="eastAsia"/>
                <w:color w:val="000000"/>
              </w:rPr>
              <w:t>新疆际华七五五五职业装有限公司</w:t>
            </w:r>
          </w:p>
        </w:tc>
        <w:tc>
          <w:tcPr>
            <w:tcW w:w="2457" w:type="pct"/>
            <w:tcBorders>
              <w:top w:val="single" w:color="auto" w:sz="4" w:space="0"/>
              <w:left w:val="single" w:color="auto" w:sz="4" w:space="0"/>
              <w:bottom w:val="single" w:color="auto" w:sz="4" w:space="0"/>
            </w:tcBorders>
            <w:vAlign w:val="center"/>
          </w:tcPr>
          <w:p w14:paraId="6B2585FF">
            <w:pPr>
              <w:jc w:val="center"/>
            </w:pPr>
            <w:r>
              <w:rPr>
                <w:rFonts w:hint="eastAsia"/>
                <w:color w:val="000000"/>
              </w:rPr>
              <w:t>15</w:t>
            </w:r>
          </w:p>
        </w:tc>
      </w:tr>
      <w:tr w14:paraId="61D116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07A90974">
            <w:r>
              <w:rPr>
                <w:rFonts w:hint="eastAsia"/>
                <w:color w:val="000000"/>
              </w:rPr>
              <w:t>际华三五四二纺织有限公司</w:t>
            </w:r>
          </w:p>
        </w:tc>
        <w:tc>
          <w:tcPr>
            <w:tcW w:w="2457" w:type="pct"/>
            <w:tcBorders>
              <w:top w:val="single" w:color="auto" w:sz="4" w:space="0"/>
              <w:left w:val="single" w:color="auto" w:sz="4" w:space="0"/>
              <w:bottom w:val="single" w:color="auto" w:sz="4" w:space="0"/>
            </w:tcBorders>
            <w:vAlign w:val="center"/>
          </w:tcPr>
          <w:p w14:paraId="6F78789A">
            <w:pPr>
              <w:jc w:val="center"/>
            </w:pPr>
            <w:r>
              <w:rPr>
                <w:rFonts w:hint="eastAsia"/>
                <w:color w:val="000000"/>
              </w:rPr>
              <w:t>15</w:t>
            </w:r>
          </w:p>
        </w:tc>
      </w:tr>
      <w:tr w14:paraId="40A3DC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5534B43D">
            <w:r>
              <w:rPr>
                <w:rFonts w:hint="eastAsia"/>
                <w:color w:val="000000"/>
              </w:rPr>
              <w:t>际华三五四三针织服饰有限公司</w:t>
            </w:r>
          </w:p>
        </w:tc>
        <w:tc>
          <w:tcPr>
            <w:tcW w:w="2457" w:type="pct"/>
            <w:tcBorders>
              <w:top w:val="single" w:color="auto" w:sz="4" w:space="0"/>
              <w:left w:val="single" w:color="auto" w:sz="4" w:space="0"/>
              <w:bottom w:val="single" w:color="auto" w:sz="4" w:space="0"/>
            </w:tcBorders>
            <w:vAlign w:val="center"/>
          </w:tcPr>
          <w:p w14:paraId="23508429">
            <w:pPr>
              <w:jc w:val="center"/>
            </w:pPr>
            <w:r>
              <w:rPr>
                <w:rFonts w:hint="eastAsia"/>
                <w:color w:val="000000"/>
              </w:rPr>
              <w:t>15</w:t>
            </w:r>
          </w:p>
        </w:tc>
      </w:tr>
      <w:tr w14:paraId="4D94DA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2AA62EC3">
            <w:r>
              <w:rPr>
                <w:rFonts w:hint="eastAsia"/>
                <w:color w:val="000000"/>
              </w:rPr>
              <w:t>湖北际华针织有限公司</w:t>
            </w:r>
          </w:p>
        </w:tc>
        <w:tc>
          <w:tcPr>
            <w:tcW w:w="2457" w:type="pct"/>
            <w:tcBorders>
              <w:top w:val="single" w:color="auto" w:sz="4" w:space="0"/>
              <w:left w:val="single" w:color="auto" w:sz="4" w:space="0"/>
              <w:bottom w:val="single" w:color="auto" w:sz="4" w:space="0"/>
            </w:tcBorders>
            <w:vAlign w:val="center"/>
          </w:tcPr>
          <w:p w14:paraId="579ECBAB">
            <w:pPr>
              <w:jc w:val="center"/>
            </w:pPr>
            <w:r>
              <w:rPr>
                <w:rFonts w:hint="eastAsia"/>
                <w:color w:val="000000"/>
              </w:rPr>
              <w:t>15</w:t>
            </w:r>
          </w:p>
        </w:tc>
      </w:tr>
      <w:tr w14:paraId="533BE2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5094139F">
            <w:r>
              <w:rPr>
                <w:rFonts w:hint="eastAsia"/>
                <w:color w:val="000000"/>
              </w:rPr>
              <w:t>际华三五二二装具饰品有限公司</w:t>
            </w:r>
          </w:p>
        </w:tc>
        <w:tc>
          <w:tcPr>
            <w:tcW w:w="2457" w:type="pct"/>
            <w:tcBorders>
              <w:top w:val="single" w:color="auto" w:sz="4" w:space="0"/>
              <w:left w:val="single" w:color="auto" w:sz="4" w:space="0"/>
              <w:bottom w:val="single" w:color="auto" w:sz="4" w:space="0"/>
            </w:tcBorders>
            <w:vAlign w:val="center"/>
          </w:tcPr>
          <w:p w14:paraId="4372AD7B">
            <w:pPr>
              <w:jc w:val="center"/>
            </w:pPr>
            <w:r>
              <w:rPr>
                <w:rFonts w:hint="eastAsia"/>
                <w:color w:val="000000"/>
              </w:rPr>
              <w:t>15</w:t>
            </w:r>
          </w:p>
        </w:tc>
      </w:tr>
      <w:tr w14:paraId="7FA539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02BB4CF9">
            <w:r>
              <w:rPr>
                <w:rFonts w:hint="eastAsia"/>
                <w:color w:val="000000"/>
              </w:rPr>
              <w:t>南京际华三五二一环保科技有限公司</w:t>
            </w:r>
          </w:p>
        </w:tc>
        <w:tc>
          <w:tcPr>
            <w:tcW w:w="2457" w:type="pct"/>
            <w:tcBorders>
              <w:top w:val="single" w:color="auto" w:sz="4" w:space="0"/>
              <w:left w:val="single" w:color="auto" w:sz="4" w:space="0"/>
              <w:bottom w:val="single" w:color="auto" w:sz="4" w:space="0"/>
            </w:tcBorders>
            <w:vAlign w:val="center"/>
          </w:tcPr>
          <w:p w14:paraId="5C5EDFB4">
            <w:pPr>
              <w:jc w:val="center"/>
            </w:pPr>
            <w:r>
              <w:rPr>
                <w:rFonts w:hint="eastAsia"/>
                <w:color w:val="000000"/>
              </w:rPr>
              <w:t>15</w:t>
            </w:r>
          </w:p>
        </w:tc>
      </w:tr>
      <w:tr w14:paraId="07FD07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7C6FC27C">
            <w:r>
              <w:rPr>
                <w:rFonts w:hint="eastAsia"/>
                <w:color w:val="000000"/>
              </w:rPr>
              <w:t>际华三五零二职业装有限公司</w:t>
            </w:r>
          </w:p>
        </w:tc>
        <w:tc>
          <w:tcPr>
            <w:tcW w:w="2457" w:type="pct"/>
            <w:tcBorders>
              <w:top w:val="single" w:color="auto" w:sz="4" w:space="0"/>
              <w:left w:val="single" w:color="auto" w:sz="4" w:space="0"/>
              <w:bottom w:val="single" w:color="auto" w:sz="4" w:space="0"/>
            </w:tcBorders>
            <w:vAlign w:val="center"/>
          </w:tcPr>
          <w:p w14:paraId="73223647">
            <w:pPr>
              <w:jc w:val="center"/>
            </w:pPr>
            <w:r>
              <w:rPr>
                <w:rFonts w:hint="eastAsia"/>
                <w:color w:val="000000"/>
              </w:rPr>
              <w:t>15</w:t>
            </w:r>
          </w:p>
        </w:tc>
      </w:tr>
      <w:tr w14:paraId="0F9EB9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25187A00">
            <w:r>
              <w:rPr>
                <w:rFonts w:hint="eastAsia"/>
                <w:color w:val="000000"/>
              </w:rPr>
              <w:t>际华三五零六纺织服装有限公司</w:t>
            </w:r>
          </w:p>
        </w:tc>
        <w:tc>
          <w:tcPr>
            <w:tcW w:w="2457" w:type="pct"/>
            <w:tcBorders>
              <w:top w:val="single" w:color="auto" w:sz="4" w:space="0"/>
              <w:left w:val="single" w:color="auto" w:sz="4" w:space="0"/>
              <w:bottom w:val="single" w:color="auto" w:sz="4" w:space="0"/>
            </w:tcBorders>
            <w:vAlign w:val="center"/>
          </w:tcPr>
          <w:p w14:paraId="55F59CA7">
            <w:pPr>
              <w:jc w:val="center"/>
            </w:pPr>
            <w:r>
              <w:rPr>
                <w:rFonts w:hint="eastAsia"/>
                <w:color w:val="000000"/>
              </w:rPr>
              <w:t>15</w:t>
            </w:r>
          </w:p>
        </w:tc>
      </w:tr>
      <w:tr w14:paraId="70E970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23CB9033">
            <w:r>
              <w:rPr>
                <w:rFonts w:hint="eastAsia"/>
                <w:color w:val="000000"/>
              </w:rPr>
              <w:t>际华三五零九纺织有限公司</w:t>
            </w:r>
          </w:p>
        </w:tc>
        <w:tc>
          <w:tcPr>
            <w:tcW w:w="2457" w:type="pct"/>
            <w:tcBorders>
              <w:top w:val="single" w:color="auto" w:sz="4" w:space="0"/>
              <w:left w:val="single" w:color="auto" w:sz="4" w:space="0"/>
              <w:bottom w:val="single" w:color="auto" w:sz="4" w:space="0"/>
            </w:tcBorders>
            <w:vAlign w:val="center"/>
          </w:tcPr>
          <w:p w14:paraId="697A65EF">
            <w:pPr>
              <w:jc w:val="center"/>
            </w:pPr>
            <w:r>
              <w:rPr>
                <w:rFonts w:hint="eastAsia"/>
                <w:color w:val="000000"/>
              </w:rPr>
              <w:t>15</w:t>
            </w:r>
          </w:p>
        </w:tc>
      </w:tr>
      <w:tr w14:paraId="747F66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4CB44EE4">
            <w:r>
              <w:rPr>
                <w:rFonts w:hint="eastAsia"/>
                <w:color w:val="000000"/>
              </w:rPr>
              <w:t>际华橡胶工业有限公司</w:t>
            </w:r>
          </w:p>
        </w:tc>
        <w:tc>
          <w:tcPr>
            <w:tcW w:w="2457" w:type="pct"/>
            <w:tcBorders>
              <w:top w:val="single" w:color="auto" w:sz="4" w:space="0"/>
              <w:left w:val="single" w:color="auto" w:sz="4" w:space="0"/>
              <w:bottom w:val="single" w:color="auto" w:sz="4" w:space="0"/>
            </w:tcBorders>
            <w:vAlign w:val="center"/>
          </w:tcPr>
          <w:p w14:paraId="0D517A52">
            <w:pPr>
              <w:jc w:val="center"/>
            </w:pPr>
            <w:r>
              <w:rPr>
                <w:rFonts w:hint="eastAsia"/>
                <w:color w:val="000000"/>
              </w:rPr>
              <w:t>15</w:t>
            </w:r>
          </w:p>
        </w:tc>
      </w:tr>
      <w:tr w14:paraId="37F460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1CEC7326">
            <w:r>
              <w:rPr>
                <w:rFonts w:hint="eastAsia"/>
                <w:color w:val="000000"/>
              </w:rPr>
              <w:t>际华三五一五皮革皮鞋有限公司</w:t>
            </w:r>
          </w:p>
        </w:tc>
        <w:tc>
          <w:tcPr>
            <w:tcW w:w="2457" w:type="pct"/>
            <w:tcBorders>
              <w:top w:val="single" w:color="auto" w:sz="4" w:space="0"/>
              <w:left w:val="single" w:color="auto" w:sz="4" w:space="0"/>
              <w:bottom w:val="single" w:color="auto" w:sz="4" w:space="0"/>
            </w:tcBorders>
            <w:vAlign w:val="center"/>
          </w:tcPr>
          <w:p w14:paraId="66306D8A">
            <w:pPr>
              <w:jc w:val="center"/>
            </w:pPr>
            <w:r>
              <w:rPr>
                <w:rFonts w:hint="eastAsia"/>
                <w:color w:val="000000"/>
              </w:rPr>
              <w:t>15</w:t>
            </w:r>
          </w:p>
        </w:tc>
      </w:tr>
      <w:tr w14:paraId="1B8630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3760160B">
            <w:r>
              <w:rPr>
                <w:rFonts w:hint="eastAsia"/>
                <w:color w:val="000000"/>
              </w:rPr>
              <w:t>际华三五一三实业有限公司</w:t>
            </w:r>
          </w:p>
        </w:tc>
        <w:tc>
          <w:tcPr>
            <w:tcW w:w="2457" w:type="pct"/>
            <w:tcBorders>
              <w:top w:val="single" w:color="auto" w:sz="4" w:space="0"/>
              <w:left w:val="single" w:color="auto" w:sz="4" w:space="0"/>
              <w:bottom w:val="single" w:color="auto" w:sz="4" w:space="0"/>
            </w:tcBorders>
            <w:vAlign w:val="center"/>
          </w:tcPr>
          <w:p w14:paraId="54557536">
            <w:pPr>
              <w:jc w:val="center"/>
            </w:pPr>
            <w:r>
              <w:rPr>
                <w:rFonts w:hint="eastAsia"/>
                <w:color w:val="000000"/>
              </w:rPr>
              <w:t>15</w:t>
            </w:r>
          </w:p>
        </w:tc>
      </w:tr>
      <w:tr w14:paraId="723C2D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1D600045">
            <w:r>
              <w:rPr>
                <w:rFonts w:hint="eastAsia"/>
                <w:color w:val="000000"/>
              </w:rPr>
              <w:t>南京际华三五二一特种装备有限公司</w:t>
            </w:r>
          </w:p>
        </w:tc>
        <w:tc>
          <w:tcPr>
            <w:tcW w:w="2457" w:type="pct"/>
            <w:tcBorders>
              <w:top w:val="single" w:color="auto" w:sz="4" w:space="0"/>
              <w:left w:val="single" w:color="auto" w:sz="4" w:space="0"/>
              <w:bottom w:val="single" w:color="auto" w:sz="4" w:space="0"/>
            </w:tcBorders>
            <w:vAlign w:val="center"/>
          </w:tcPr>
          <w:p w14:paraId="0F2AEB1F">
            <w:pPr>
              <w:jc w:val="center"/>
            </w:pPr>
            <w:r>
              <w:rPr>
                <w:rFonts w:hint="eastAsia"/>
                <w:color w:val="000000"/>
              </w:rPr>
              <w:t>15</w:t>
            </w:r>
          </w:p>
        </w:tc>
      </w:tr>
      <w:tr w14:paraId="092E89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6B47D55F">
            <w:r>
              <w:rPr>
                <w:rFonts w:hint="eastAsia"/>
                <w:color w:val="000000"/>
              </w:rPr>
              <w:t>际华三五一四制革制鞋有限公司</w:t>
            </w:r>
          </w:p>
        </w:tc>
        <w:tc>
          <w:tcPr>
            <w:tcW w:w="2457" w:type="pct"/>
            <w:tcBorders>
              <w:top w:val="single" w:color="auto" w:sz="4" w:space="0"/>
              <w:left w:val="single" w:color="auto" w:sz="4" w:space="0"/>
              <w:bottom w:val="single" w:color="auto" w:sz="4" w:space="0"/>
            </w:tcBorders>
            <w:vAlign w:val="center"/>
          </w:tcPr>
          <w:p w14:paraId="20E161BB">
            <w:pPr>
              <w:jc w:val="center"/>
            </w:pPr>
            <w:r>
              <w:rPr>
                <w:rFonts w:hint="eastAsia"/>
                <w:color w:val="000000"/>
              </w:rPr>
              <w:t>15</w:t>
            </w:r>
          </w:p>
        </w:tc>
      </w:tr>
      <w:tr w14:paraId="06257E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21A8767D">
            <w:r>
              <w:rPr>
                <w:rFonts w:hint="eastAsia"/>
                <w:color w:val="000000"/>
              </w:rPr>
              <w:t>际华三五三九制鞋有限公司</w:t>
            </w:r>
          </w:p>
        </w:tc>
        <w:tc>
          <w:tcPr>
            <w:tcW w:w="2457" w:type="pct"/>
            <w:tcBorders>
              <w:top w:val="single" w:color="auto" w:sz="4" w:space="0"/>
              <w:left w:val="single" w:color="auto" w:sz="4" w:space="0"/>
              <w:bottom w:val="single" w:color="auto" w:sz="4" w:space="0"/>
            </w:tcBorders>
            <w:vAlign w:val="center"/>
          </w:tcPr>
          <w:p w14:paraId="1E222366">
            <w:pPr>
              <w:jc w:val="center"/>
            </w:pPr>
            <w:r>
              <w:rPr>
                <w:rFonts w:hint="eastAsia"/>
                <w:color w:val="000000"/>
              </w:rPr>
              <w:t>15</w:t>
            </w:r>
          </w:p>
        </w:tc>
      </w:tr>
      <w:tr w14:paraId="0A872C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13A11E12">
            <w:r>
              <w:rPr>
                <w:rFonts w:hint="eastAsia"/>
                <w:color w:val="000000"/>
              </w:rPr>
              <w:t>际华三五三四制衣有限公司</w:t>
            </w:r>
          </w:p>
        </w:tc>
        <w:tc>
          <w:tcPr>
            <w:tcW w:w="2457" w:type="pct"/>
            <w:tcBorders>
              <w:top w:val="single" w:color="auto" w:sz="4" w:space="0"/>
              <w:left w:val="single" w:color="auto" w:sz="4" w:space="0"/>
              <w:bottom w:val="single" w:color="auto" w:sz="4" w:space="0"/>
            </w:tcBorders>
            <w:vAlign w:val="center"/>
          </w:tcPr>
          <w:p w14:paraId="79F65E37">
            <w:pPr>
              <w:jc w:val="center"/>
            </w:pPr>
            <w:r>
              <w:rPr>
                <w:rFonts w:hint="eastAsia"/>
                <w:color w:val="000000"/>
              </w:rPr>
              <w:t>15</w:t>
            </w:r>
          </w:p>
        </w:tc>
      </w:tr>
      <w:tr w14:paraId="152AD3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39DD2C7B">
            <w:r>
              <w:rPr>
                <w:rFonts w:hint="eastAsia"/>
                <w:color w:val="000000"/>
              </w:rPr>
              <w:t>呼图壁县万源棉业有限公司</w:t>
            </w:r>
          </w:p>
        </w:tc>
        <w:tc>
          <w:tcPr>
            <w:tcW w:w="2457" w:type="pct"/>
            <w:tcBorders>
              <w:top w:val="single" w:color="auto" w:sz="4" w:space="0"/>
              <w:left w:val="single" w:color="auto" w:sz="4" w:space="0"/>
              <w:bottom w:val="single" w:color="auto" w:sz="4" w:space="0"/>
            </w:tcBorders>
            <w:vAlign w:val="center"/>
          </w:tcPr>
          <w:p w14:paraId="72A75BFB">
            <w:pPr>
              <w:jc w:val="center"/>
            </w:pPr>
            <w:r>
              <w:rPr>
                <w:rFonts w:hint="eastAsia"/>
                <w:color w:val="000000"/>
              </w:rPr>
              <w:t>农产品加工免征企业所得税</w:t>
            </w:r>
          </w:p>
        </w:tc>
      </w:tr>
      <w:tr w14:paraId="5DD69A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73755542">
            <w:r>
              <w:rPr>
                <w:rFonts w:hint="eastAsia"/>
                <w:color w:val="000000"/>
              </w:rPr>
              <w:t>际华海外投资有限公司</w:t>
            </w:r>
          </w:p>
        </w:tc>
        <w:tc>
          <w:tcPr>
            <w:tcW w:w="2457" w:type="pct"/>
            <w:tcBorders>
              <w:top w:val="single" w:color="auto" w:sz="4" w:space="0"/>
              <w:left w:val="single" w:color="auto" w:sz="4" w:space="0"/>
              <w:bottom w:val="single" w:color="auto" w:sz="4" w:space="0"/>
            </w:tcBorders>
            <w:vAlign w:val="center"/>
          </w:tcPr>
          <w:p w14:paraId="4C99A1A1">
            <w:pPr>
              <w:jc w:val="center"/>
            </w:pPr>
            <w:r>
              <w:rPr>
                <w:rFonts w:hint="eastAsia"/>
                <w:color w:val="000000"/>
              </w:rPr>
              <w:t>16.5</w:t>
            </w:r>
          </w:p>
        </w:tc>
      </w:tr>
      <w:tr w14:paraId="3677D7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531002AB">
            <w:r>
              <w:rPr>
                <w:rFonts w:hint="eastAsia"/>
                <w:color w:val="000000"/>
              </w:rPr>
              <w:t>新疆际华科技产业发展有限公司</w:t>
            </w:r>
          </w:p>
        </w:tc>
        <w:tc>
          <w:tcPr>
            <w:tcW w:w="2457" w:type="pct"/>
            <w:tcBorders>
              <w:top w:val="single" w:color="auto" w:sz="4" w:space="0"/>
              <w:left w:val="single" w:color="auto" w:sz="4" w:space="0"/>
              <w:bottom w:val="single" w:color="auto" w:sz="4" w:space="0"/>
            </w:tcBorders>
            <w:vAlign w:val="center"/>
          </w:tcPr>
          <w:p w14:paraId="166B4B22">
            <w:pPr>
              <w:jc w:val="center"/>
            </w:pPr>
            <w:r>
              <w:rPr>
                <w:rFonts w:hint="eastAsia"/>
                <w:color w:val="000000"/>
              </w:rPr>
              <w:t>20</w:t>
            </w:r>
          </w:p>
        </w:tc>
      </w:tr>
      <w:tr w14:paraId="41D810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1344FBAF">
            <w:r>
              <w:rPr>
                <w:rFonts w:hint="eastAsia"/>
                <w:color w:val="000000"/>
              </w:rPr>
              <w:t>南京际华五三零二服饰装具有限责任公司</w:t>
            </w:r>
          </w:p>
        </w:tc>
        <w:tc>
          <w:tcPr>
            <w:tcW w:w="2457" w:type="pct"/>
            <w:tcBorders>
              <w:top w:val="single" w:color="auto" w:sz="4" w:space="0"/>
              <w:left w:val="single" w:color="auto" w:sz="4" w:space="0"/>
              <w:bottom w:val="single" w:color="auto" w:sz="4" w:space="0"/>
            </w:tcBorders>
            <w:vAlign w:val="center"/>
          </w:tcPr>
          <w:p w14:paraId="7BBDBEFD">
            <w:pPr>
              <w:jc w:val="center"/>
            </w:pPr>
            <w:r>
              <w:rPr>
                <w:rFonts w:hint="eastAsia"/>
                <w:color w:val="000000"/>
              </w:rPr>
              <w:t>15</w:t>
            </w:r>
          </w:p>
        </w:tc>
      </w:tr>
      <w:tr w14:paraId="6FE34F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79ED0B70">
            <w:r>
              <w:rPr>
                <w:rFonts w:hint="eastAsia"/>
                <w:color w:val="000000"/>
              </w:rPr>
              <w:t>南京际华国润过滤技术有限公司</w:t>
            </w:r>
          </w:p>
        </w:tc>
        <w:tc>
          <w:tcPr>
            <w:tcW w:w="2457" w:type="pct"/>
            <w:tcBorders>
              <w:top w:val="single" w:color="auto" w:sz="4" w:space="0"/>
              <w:left w:val="single" w:color="auto" w:sz="4" w:space="0"/>
              <w:bottom w:val="single" w:color="auto" w:sz="4" w:space="0"/>
            </w:tcBorders>
            <w:vAlign w:val="center"/>
          </w:tcPr>
          <w:p w14:paraId="6B0B3662">
            <w:pPr>
              <w:jc w:val="center"/>
            </w:pPr>
            <w:r>
              <w:rPr>
                <w:rFonts w:hint="eastAsia"/>
                <w:color w:val="000000"/>
              </w:rPr>
              <w:t>20</w:t>
            </w:r>
          </w:p>
        </w:tc>
      </w:tr>
      <w:tr w14:paraId="3394A3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619C9A7C">
            <w:r>
              <w:rPr>
                <w:rFonts w:hint="eastAsia"/>
                <w:color w:val="000000"/>
              </w:rPr>
              <w:t>新兴际华国际贸易（天津）有限公司</w:t>
            </w:r>
          </w:p>
        </w:tc>
        <w:tc>
          <w:tcPr>
            <w:tcW w:w="2457" w:type="pct"/>
            <w:tcBorders>
              <w:top w:val="single" w:color="auto" w:sz="4" w:space="0"/>
              <w:left w:val="single" w:color="auto" w:sz="4" w:space="0"/>
              <w:bottom w:val="single" w:color="auto" w:sz="4" w:space="0"/>
            </w:tcBorders>
            <w:vAlign w:val="center"/>
          </w:tcPr>
          <w:p w14:paraId="0F5D0E5D">
            <w:pPr>
              <w:jc w:val="center"/>
            </w:pPr>
            <w:r>
              <w:rPr>
                <w:rFonts w:hint="eastAsia"/>
                <w:color w:val="000000"/>
              </w:rPr>
              <w:t>20</w:t>
            </w:r>
          </w:p>
        </w:tc>
      </w:tr>
      <w:tr w14:paraId="427F3D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47D0D4DA">
            <w:r>
              <w:rPr>
                <w:rFonts w:hint="eastAsia"/>
                <w:color w:val="000000"/>
              </w:rPr>
              <w:t>际华（内蒙古）新能源发展有限公司</w:t>
            </w:r>
          </w:p>
        </w:tc>
        <w:tc>
          <w:tcPr>
            <w:tcW w:w="2457" w:type="pct"/>
            <w:tcBorders>
              <w:top w:val="single" w:color="auto" w:sz="4" w:space="0"/>
              <w:left w:val="single" w:color="auto" w:sz="4" w:space="0"/>
              <w:bottom w:val="single" w:color="auto" w:sz="4" w:space="0"/>
            </w:tcBorders>
            <w:vAlign w:val="center"/>
          </w:tcPr>
          <w:p w14:paraId="21041E37">
            <w:pPr>
              <w:jc w:val="center"/>
            </w:pPr>
            <w:r>
              <w:rPr>
                <w:rFonts w:hint="eastAsia"/>
                <w:color w:val="000000"/>
              </w:rPr>
              <w:t>20</w:t>
            </w:r>
          </w:p>
        </w:tc>
      </w:tr>
      <w:tr w14:paraId="2A68A9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1E6818EC">
            <w:r>
              <w:rPr>
                <w:rFonts w:hint="eastAsia"/>
                <w:color w:val="000000"/>
              </w:rPr>
              <w:t>南京际华三五〇三服装有限公司</w:t>
            </w:r>
          </w:p>
        </w:tc>
        <w:tc>
          <w:tcPr>
            <w:tcW w:w="2457" w:type="pct"/>
            <w:tcBorders>
              <w:top w:val="single" w:color="auto" w:sz="4" w:space="0"/>
              <w:left w:val="single" w:color="auto" w:sz="4" w:space="0"/>
              <w:bottom w:val="single" w:color="auto" w:sz="4" w:space="0"/>
            </w:tcBorders>
            <w:vAlign w:val="center"/>
          </w:tcPr>
          <w:p w14:paraId="5CE7587D">
            <w:pPr>
              <w:jc w:val="center"/>
            </w:pPr>
            <w:r>
              <w:rPr>
                <w:rFonts w:hint="eastAsia"/>
                <w:color w:val="000000"/>
              </w:rPr>
              <w:t>15</w:t>
            </w:r>
          </w:p>
        </w:tc>
      </w:tr>
      <w:tr w14:paraId="267832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57B9BEF4">
            <w:r>
              <w:rPr>
                <w:rFonts w:hint="eastAsia"/>
                <w:color w:val="000000"/>
              </w:rPr>
              <w:t>除上述以外的其他纳税主体</w:t>
            </w:r>
          </w:p>
        </w:tc>
        <w:tc>
          <w:tcPr>
            <w:tcW w:w="2457" w:type="pct"/>
            <w:tcBorders>
              <w:top w:val="single" w:color="auto" w:sz="4" w:space="0"/>
              <w:left w:val="single" w:color="auto" w:sz="4" w:space="0"/>
              <w:bottom w:val="single" w:color="auto" w:sz="4" w:space="0"/>
            </w:tcBorders>
            <w:vAlign w:val="center"/>
          </w:tcPr>
          <w:p w14:paraId="61872FFE">
            <w:pPr>
              <w:jc w:val="center"/>
            </w:pPr>
            <w:r>
              <w:rPr>
                <w:rFonts w:hint="eastAsia"/>
                <w:color w:val="000000"/>
              </w:rPr>
              <w:t>25</w:t>
            </w:r>
          </w:p>
        </w:tc>
      </w:tr>
    </w:tbl>
    <w:p w14:paraId="1BC571A3">
      <w:pPr>
        <w:rPr>
          <w:color w:val="000000" w:themeColor="text1"/>
          <w14:textFill>
            <w14:solidFill>
              <w14:schemeClr w14:val="tx1"/>
            </w14:solidFill>
          </w14:textFill>
        </w:rPr>
      </w:pPr>
    </w:p>
    <w:p w14:paraId="7007D3A4">
      <w:pPr>
        <w:pStyle w:val="57"/>
        <w:numPr>
          <w:ilvl w:val="0"/>
          <w:numId w:val="53"/>
        </w:numPr>
        <w:tabs>
          <w:tab w:val="left" w:pos="546"/>
        </w:tabs>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税收优惠</w:t>
      </w:r>
    </w:p>
    <w:sdt>
      <w:sdtPr>
        <w:rPr>
          <w:rFonts w:hint="eastAsia"/>
          <w:color w:val="000000" w:themeColor="text1"/>
          <w14:textFill>
            <w14:solidFill>
              <w14:schemeClr w14:val="tx1"/>
            </w14:solidFill>
          </w14:textFill>
        </w:rPr>
        <w:alias w:val="是否适用：税收优惠[双击切换]"/>
        <w:tag w:val="_GBC_f8eb23e7a2e74e448e4eb46519d87bd6"/>
        <w:id w:val="147483623"/>
        <w:placeholder>
          <w:docPart w:val="GBC22222222222222222222222222222"/>
        </w:placeholder>
      </w:sdtPr>
      <w:sdtEndPr>
        <w:rPr>
          <w:rFonts w:hint="eastAsia"/>
          <w:color w:val="000000" w:themeColor="text1"/>
          <w14:textFill>
            <w14:solidFill>
              <w14:schemeClr w14:val="tx1"/>
            </w14:solidFill>
          </w14:textFill>
        </w:rPr>
      </w:sdtEndPr>
      <w:sdtContent>
        <w:p w14:paraId="6EB23B4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优惠税赋及批文"/>
        <w:tag w:val="_GBC_3bbdacdaa3ba421fb8a81b9bda047bb4"/>
        <w:id w:val="147474521"/>
        <w:placeholder>
          <w:docPart w:val="GBC22222222222222222222222222222"/>
        </w:placeholder>
      </w:sdtPr>
      <w:sdtEndPr>
        <w:rPr>
          <w:rFonts w:hint="eastAsia"/>
          <w:color w:val="000000" w:themeColor="text1"/>
          <w14:textFill>
            <w14:solidFill>
              <w14:schemeClr w14:val="tx1"/>
            </w14:solidFill>
          </w14:textFill>
        </w:rPr>
      </w:sdtEndPr>
      <w:sdtContent>
        <w:p w14:paraId="017C3598">
          <w:pPr>
            <w:rPr>
              <w:color w:val="000000" w:themeColor="text1"/>
              <w14:textFill>
                <w14:solidFill>
                  <w14:schemeClr w14:val="tx1"/>
                </w14:solidFill>
              </w14:textFill>
            </w:rPr>
          </w:pPr>
          <w:r>
            <w:rPr>
              <w:rFonts w:hint="eastAsia"/>
              <w:color w:val="000000" w:themeColor="text1"/>
              <w14:textFill>
                <w14:solidFill>
                  <w14:schemeClr w14:val="tx1"/>
                </w14:solidFill>
              </w14:textFill>
            </w:rPr>
            <w:t>（1）符合西部大开发有关税收优惠政策的规定</w:t>
          </w:r>
        </w:p>
        <w:p w14:paraId="1B1C756F">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关于延续西部大开发企业所得税政策的公告》（财政部、税务总局、国家发展改革委公告2020年第23号），子公司内蒙古际华森普利服装皮业有限公司、际华三五三六实业有限公司、际华三五一二皮革服装有限公司、新疆际华七五五五职业装有限公司等4家企业，享受西部大开发企业所得税优惠，减按15%税率计缴。</w:t>
          </w:r>
        </w:p>
        <w:p w14:paraId="501284C0">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（2）符合高新技术企业有关税收优惠政策的规定</w:t>
          </w:r>
        </w:p>
        <w:p w14:paraId="6A16616A">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高新技术企业认定管理办法》（国科发火〔2016〕32号）和《高新技术企业认定管理工作指引》（国科发火〔2016〕195号）有关规定，子公司际华三五零二职业装有限公司、南京际华三五〇三服装有限公司、际华三五零六纺织服装有限公司、际华三五三四制衣有限公司、际华三五一三实业有限公司、际华三五一四制革制鞋有限公司、际华三五一五皮革皮鞋有限公司、际华三五零九纺织有限公司、际华三五四二纺织有限公司、际华三五四三针织服饰有限公司、湖北际华针织有限公司、南京际华三五二一特种装备有限公司、南京际华三五二一环保科技有限公司、南京际华五三零二服饰装具有限责任公司、际华三五二二装具饰品有限公司、际华橡胶工业有限公司、际华制鞋工业有限公司、际华三五三九制鞋有限公司等18家企业为高新技术企业，企业所得税按15%计缴。</w:t>
          </w:r>
        </w:p>
        <w:p w14:paraId="049A448A">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根据财政部、国家税务总局印发的《关于发布享受企业所得税优惠政策的农产品初加工范围（试行）的通知》（财税〔2008〕149号），子公司呼图壁县万源棉业有限公司属于免征农产品加工企业所得税的范围，免征农产品加工企业所得税。</w:t>
          </w:r>
        </w:p>
        <w:p w14:paraId="75A229DA">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（4）根据《财政部 税务总局关于小微企业和个体工商户所得税优惠政策的公告》（财政部 税务总局公告2023年第6号）、《财政部 税务总局关于进一步实施小微企业所得税优惠政策的公告》（财政部税务总局公告2022年第13号）等规定，从2023年1月1日至2024年12 月31日，年应纳税所得额不超过100万元的部分，减按25%计入应纳税所得额，按20%的税率计缴企业所得税；据《财政部税务总局关于进一步支持小微企业和个体工商户发展有关税费政策的公告》（财政部税务总局公告2023年第12号）,自2023年1月1日至2027 年12月31日，对增值税小规模纳税人、小型微利企业和个体工商户减半计缴资源税（不含水资源税）、城市维护建设税、房产税、城镇土地使用税、印花税（不含证券交易印花税）、耕地占用税和教育费附加、地方教育附加。子公司新疆际华科技产业发展有限公司、南京际华国润过滤技术有限公司、新兴际华国际贸易（天津）有限公司、际华（内蒙古）新能源发展有限公司本年度符合小型微利企业标准，享受小微企业税收优惠。</w:t>
          </w:r>
        </w:p>
        <w:p w14:paraId="5413CA64">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5）根据财政部、税务总局《关于先进制造业企业增值税加计抵减政策的公告》（财政部税务总局公告2023年第43号），自2023年1月1日至2027年12月31日，允许先进制造业企业按照当期可抵扣进项税额加计5%抵减应纳增值税税额。子公司际华三五零二职业装有限公司、南京际华三五〇三服装有限公司、际华三五零六纺织服装有限公司、际华三五一三实业有限公司、际华三五一四制革制鞋有限公司、际华三五一五皮革皮鞋有限公司、南京际华三五二一特种装备有限公司、南京际华三五二一环保科技有限公司、际华三五四二纺织有限公司、际华三五三四制衣有限公司、际华三五四三针织服饰有限公司、湖北际华针织有限公司、沈阳际华三五四七特种装具有限公司、新疆际华七五五五职业装有限公司、内蒙古际华森普利服装皮业有限公司、际华三五三九制鞋有限公司、际华橡胶工业有限公司，享受上述增值税加计抵减优惠政策。</w:t>
          </w:r>
        </w:p>
        <w:p w14:paraId="6FD506E5">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（6）根据《关于进一步扶持自主就业退役士兵创业就业有关税收政策的公告》（财政部 税务总局 退役军人事务部公告2023年第14号），自2023年1月1日至2027年12月31日，企业招用自主就业退役士兵，与其签订1年以上期限劳动合同并依法缴纳社会保险费的，自签订劳动合同并缴纳社会保险当月起，在3年内按实际招用人数予以定额依次扣减增值税、城市维护建设税、教育费附加、地方教育附加和企业所得税优惠。定额标准为每人每年6,000元，最高可上浮 50%，各省、自治区、直辖市人民政府可根据本地区实际情况在此幅度内确定具体定额标准。子公司际华三五零六纺织服装有限公司、际华三五一三实业有限公司、南京际华三五二一特种装备有限公司、南京际华三五二一环保科技有限公司、际华三五四三针织服饰有限公司、湖北际华针织有限公司、际华制鞋工业有限公司，享受上述优惠政策。</w:t>
          </w:r>
        </w:p>
        <w:p w14:paraId="5A9308FA">
          <w:pPr>
            <w:rPr>
              <w:color w:val="000000" w:themeColor="text1"/>
              <w14:textFill>
                <w14:solidFill>
                  <w14:schemeClr w14:val="tx1"/>
                </w14:solidFill>
              </w14:textFill>
            </w:rPr>
          </w:pPr>
        </w:p>
      </w:sdtContent>
    </w:sdt>
    <w:p w14:paraId="375426D2">
      <w:pPr>
        <w:pStyle w:val="57"/>
        <w:numPr>
          <w:ilvl w:val="0"/>
          <w:numId w:val="53"/>
        </w:numPr>
        <w:tabs>
          <w:tab w:val="left" w:pos="546"/>
        </w:tabs>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其他</w:t>
      </w:r>
    </w:p>
    <w:sdt>
      <w:sdtPr>
        <w:rPr>
          <w:rFonts w:hint="eastAsia"/>
          <w:color w:val="000000" w:themeColor="text1"/>
          <w14:textFill>
            <w14:solidFill>
              <w14:schemeClr w14:val="tx1"/>
            </w14:solidFill>
          </w14:textFill>
        </w:rPr>
        <w:alias w:val="是否适用：税项说明[双击切换]"/>
        <w:tag w:val="_GBC_566ef0a7141a4b2ca002ad8d0663c462"/>
        <w:id w:val="147471621"/>
        <w:placeholder>
          <w:docPart w:val="GBC22222222222222222222222222222"/>
        </w:placeholder>
      </w:sdtPr>
      <w:sdtEndPr>
        <w:rPr>
          <w:rFonts w:hint="eastAsia"/>
          <w:color w:val="000000" w:themeColor="text1"/>
          <w14:textFill>
            <w14:solidFill>
              <w14:schemeClr w14:val="tx1"/>
            </w14:solidFill>
          </w14:textFill>
        </w:rPr>
      </w:sdtEndPr>
      <w:sdtContent>
        <w:p w14:paraId="40826C2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EC1B86E">
      <w:pPr>
        <w:rPr>
          <w:color w:val="000000" w:themeColor="text1"/>
          <w14:textFill>
            <w14:solidFill>
              <w14:schemeClr w14:val="tx1"/>
            </w14:solidFill>
          </w14:textFill>
        </w:rPr>
      </w:pPr>
    </w:p>
    <w:p w14:paraId="4C6A4AD2">
      <w:pPr>
        <w:pStyle w:val="56"/>
        <w:numPr>
          <w:ilvl w:val="0"/>
          <w:numId w:val="43"/>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合并财务报表项目注释</w:t>
      </w:r>
    </w:p>
    <w:p w14:paraId="2EF2009D">
      <w:pPr>
        <w:pStyle w:val="57"/>
        <w:numPr>
          <w:ilvl w:val="0"/>
          <w:numId w:val="54"/>
        </w:numPr>
        <w:rPr>
          <w:color w:val="000000" w:themeColor="text1"/>
          <w:szCs w:val="21"/>
          <w14:textFill>
            <w14:solidFill>
              <w14:schemeClr w14:val="tx1"/>
            </w14:solidFill>
          </w14:textFill>
        </w:rPr>
      </w:pPr>
      <w:bookmarkStart w:id="189" w:name="_Hlk167884561"/>
      <w:r>
        <w:rPr>
          <w:color w:val="000000" w:themeColor="text1"/>
          <w:szCs w:val="21"/>
          <w14:textFill>
            <w14:solidFill>
              <w14:schemeClr w14:val="tx1"/>
            </w14:solidFill>
          </w14:textFill>
        </w:rPr>
        <w:t>货币资金</w:t>
      </w:r>
    </w:p>
    <w:sdt>
      <w:sdtPr>
        <w:rPr>
          <w:rFonts w:hint="eastAsia"/>
          <w:color w:val="000000" w:themeColor="text1"/>
          <w14:textFill>
            <w14:solidFill>
              <w14:schemeClr w14:val="tx1"/>
            </w14:solidFill>
          </w14:textFill>
        </w:rPr>
        <w:alias w:val="是否适用：货币资金[双击切换]"/>
        <w:tag w:val="_GBC_5f3519836df54c60a57659bf8a9d755e"/>
        <w:id w:val="147451467"/>
        <w:placeholder>
          <w:docPart w:val="GBC22222222222222222222222222222"/>
        </w:placeholder>
      </w:sdtPr>
      <w:sdtEndPr>
        <w:rPr>
          <w:rFonts w:hint="eastAsia"/>
          <w:color w:val="000000" w:themeColor="text1"/>
          <w14:textFill>
            <w14:solidFill>
              <w14:schemeClr w14:val="tx1"/>
            </w14:solidFill>
          </w14:textFill>
        </w:rPr>
      </w:sdtEndPr>
      <w:sdtContent>
        <w:p w14:paraId="20637234">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C38AAA8">
      <w:pPr>
        <w:snapToGrid w:val="0"/>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货币资金"/>
          <w:tag w:val="_GBC_fbefd7cb6bcc4b278e8eafe562f64817"/>
          <w:id w:val="1474822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货币资金"/>
          <w:tag w:val="_GBC_c76577cdfdc64a9abb84903fd74497a4"/>
          <w:id w:val="1474672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38"/>
        <w:gridCol w:w="2892"/>
        <w:gridCol w:w="2729"/>
      </w:tblGrid>
      <w:tr w14:paraId="5B01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c298b96ff42b4ec08ce0bc2e7ff09d9d"/>
            <w:id w:val="147479475"/>
          </w:sdtPr>
          <w:sdtContent>
            <w:tc>
              <w:tcPr>
                <w:tcW w:w="1897" w:type="pct"/>
                <w:vAlign w:val="center"/>
              </w:tcPr>
              <w:p w14:paraId="4DF9DA85">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410d387a5f404c958f8ba18c816ca023"/>
            <w:id w:val="147451590"/>
          </w:sdtPr>
          <w:sdtContent>
            <w:tc>
              <w:tcPr>
                <w:tcW w:w="1596" w:type="pct"/>
                <w:vAlign w:val="center"/>
              </w:tcPr>
              <w:p w14:paraId="5EE898CA">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04102c94e9134fa683ae3d0eac53465c"/>
            <w:id w:val="147466333"/>
          </w:sdtPr>
          <w:sdtContent>
            <w:tc>
              <w:tcPr>
                <w:tcW w:w="1506" w:type="pct"/>
                <w:vAlign w:val="center"/>
              </w:tcPr>
              <w:p w14:paraId="73EA55E2">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07614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897" w:type="pct"/>
          </w:tcPr>
          <w:p w14:paraId="67DF6ED6">
            <w:pPr>
              <w:autoSpaceDE w:val="0"/>
              <w:autoSpaceDN w:val="0"/>
              <w:adjustRightInd w:val="0"/>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库存现金</w:t>
            </w:r>
          </w:p>
        </w:tc>
        <w:tc>
          <w:tcPr>
            <w:tcW w:w="1596" w:type="pct"/>
            <w:vAlign w:val="center"/>
          </w:tcPr>
          <w:p w14:paraId="07EACD40">
            <w:pPr>
              <w:jc w:val="right"/>
              <w:textAlignment w:val="bottom"/>
              <w:rPr>
                <w:rFonts w:cs="Times New Roman"/>
              </w:rPr>
            </w:pPr>
            <w:r>
              <w:rPr>
                <w:rFonts w:cs="Times New Roman"/>
                <w:color w:val="000000"/>
              </w:rPr>
              <w:t>18,011.50</w:t>
            </w:r>
          </w:p>
        </w:tc>
        <w:tc>
          <w:tcPr>
            <w:tcW w:w="1506" w:type="pct"/>
            <w:vAlign w:val="center"/>
          </w:tcPr>
          <w:p w14:paraId="0595817B">
            <w:pPr>
              <w:jc w:val="right"/>
              <w:textAlignment w:val="bottom"/>
              <w:rPr>
                <w:rFonts w:cs="Times New Roman"/>
              </w:rPr>
            </w:pPr>
            <w:r>
              <w:rPr>
                <w:rFonts w:cs="Times New Roman"/>
                <w:color w:val="000000"/>
              </w:rPr>
              <w:t>10,209.00</w:t>
            </w:r>
          </w:p>
        </w:tc>
      </w:tr>
      <w:tr w14:paraId="24F27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897" w:type="pct"/>
          </w:tcPr>
          <w:p w14:paraId="451671FA">
            <w:pPr>
              <w:autoSpaceDE w:val="0"/>
              <w:autoSpaceDN w:val="0"/>
              <w:adjustRightInd w:val="0"/>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银行存款</w:t>
            </w:r>
          </w:p>
        </w:tc>
        <w:tc>
          <w:tcPr>
            <w:tcW w:w="1596" w:type="pct"/>
            <w:vAlign w:val="center"/>
          </w:tcPr>
          <w:p w14:paraId="601A31ED">
            <w:pPr>
              <w:jc w:val="right"/>
              <w:textAlignment w:val="bottom"/>
              <w:rPr>
                <w:rFonts w:cs="Times New Roman"/>
              </w:rPr>
            </w:pPr>
            <w:r>
              <w:rPr>
                <w:rFonts w:cs="Times New Roman"/>
                <w:color w:val="000000"/>
              </w:rPr>
              <w:t>1,476,649,623.90</w:t>
            </w:r>
          </w:p>
        </w:tc>
        <w:tc>
          <w:tcPr>
            <w:tcW w:w="1506" w:type="pct"/>
            <w:vAlign w:val="center"/>
          </w:tcPr>
          <w:p w14:paraId="10BA29F6">
            <w:pPr>
              <w:jc w:val="right"/>
              <w:textAlignment w:val="bottom"/>
              <w:rPr>
                <w:rFonts w:cs="Times New Roman"/>
              </w:rPr>
            </w:pPr>
            <w:r>
              <w:rPr>
                <w:rFonts w:cs="Times New Roman"/>
                <w:color w:val="000000"/>
              </w:rPr>
              <w:t>2,009,412,921.46</w:t>
            </w:r>
          </w:p>
        </w:tc>
      </w:tr>
      <w:tr w14:paraId="5B48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897" w:type="pct"/>
          </w:tcPr>
          <w:p w14:paraId="070C7A36">
            <w:pPr>
              <w:autoSpaceDE w:val="0"/>
              <w:autoSpaceDN w:val="0"/>
              <w:adjustRightInd w:val="0"/>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其他货币资金</w:t>
            </w:r>
          </w:p>
        </w:tc>
        <w:tc>
          <w:tcPr>
            <w:tcW w:w="1596" w:type="pct"/>
            <w:vAlign w:val="center"/>
          </w:tcPr>
          <w:p w14:paraId="7ABB2A37">
            <w:pPr>
              <w:jc w:val="right"/>
              <w:textAlignment w:val="bottom"/>
              <w:rPr>
                <w:rFonts w:cs="Times New Roman"/>
              </w:rPr>
            </w:pPr>
            <w:r>
              <w:rPr>
                <w:rFonts w:cs="Times New Roman"/>
                <w:color w:val="000000"/>
              </w:rPr>
              <w:t>179,492,863.56</w:t>
            </w:r>
          </w:p>
        </w:tc>
        <w:tc>
          <w:tcPr>
            <w:tcW w:w="1506" w:type="pct"/>
            <w:vAlign w:val="center"/>
          </w:tcPr>
          <w:p w14:paraId="2AE5AE15">
            <w:pPr>
              <w:jc w:val="right"/>
              <w:textAlignment w:val="bottom"/>
              <w:rPr>
                <w:rFonts w:cs="Times New Roman"/>
              </w:rPr>
            </w:pPr>
            <w:r>
              <w:rPr>
                <w:rFonts w:cs="Times New Roman"/>
                <w:color w:val="000000"/>
              </w:rPr>
              <w:t>245,041,253.26</w:t>
            </w:r>
          </w:p>
        </w:tc>
      </w:tr>
      <w:tr w14:paraId="09FF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897" w:type="pct"/>
          </w:tcPr>
          <w:p w14:paraId="6F87DD0B">
            <w:pPr>
              <w:autoSpaceDE w:val="0"/>
              <w:autoSpaceDN w:val="0"/>
              <w:adjustRightInd w:val="0"/>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存放财务公司存款</w:t>
            </w:r>
          </w:p>
        </w:tc>
        <w:tc>
          <w:tcPr>
            <w:tcW w:w="1596" w:type="pct"/>
            <w:vAlign w:val="center"/>
          </w:tcPr>
          <w:p w14:paraId="7401E0E5">
            <w:pPr>
              <w:jc w:val="right"/>
              <w:textAlignment w:val="bottom"/>
              <w:rPr>
                <w:rFonts w:cs="Times New Roman"/>
              </w:rPr>
            </w:pPr>
            <w:r>
              <w:rPr>
                <w:rFonts w:cs="Times New Roman"/>
                <w:color w:val="000000"/>
              </w:rPr>
              <w:t>4,370,960,573.16</w:t>
            </w:r>
          </w:p>
        </w:tc>
        <w:tc>
          <w:tcPr>
            <w:tcW w:w="1506" w:type="pct"/>
            <w:vAlign w:val="center"/>
          </w:tcPr>
          <w:p w14:paraId="56C13AA9">
            <w:pPr>
              <w:jc w:val="right"/>
              <w:textAlignment w:val="bottom"/>
              <w:rPr>
                <w:rFonts w:cs="Times New Roman"/>
              </w:rPr>
            </w:pPr>
            <w:r>
              <w:rPr>
                <w:rFonts w:cs="Times New Roman"/>
                <w:color w:val="000000"/>
              </w:rPr>
              <w:t>3,351,736,657.29</w:t>
            </w:r>
          </w:p>
        </w:tc>
      </w:tr>
      <w:tr w14:paraId="7DC9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897" w:type="pct"/>
            <w:vAlign w:val="center"/>
          </w:tcPr>
          <w:p w14:paraId="079930EC">
            <w:pPr>
              <w:autoSpaceDE w:val="0"/>
              <w:autoSpaceDN w:val="0"/>
              <w:adjustRightInd w:val="0"/>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596" w:type="pct"/>
            <w:vAlign w:val="center"/>
          </w:tcPr>
          <w:p w14:paraId="3AB897E1">
            <w:pPr>
              <w:jc w:val="right"/>
              <w:textAlignment w:val="bottom"/>
              <w:rPr>
                <w:rFonts w:cs="Times New Roman"/>
              </w:rPr>
            </w:pPr>
            <w:r>
              <w:rPr>
                <w:rFonts w:cs="Times New Roman"/>
                <w:color w:val="000000"/>
              </w:rPr>
              <w:t>6,027,121,072.12</w:t>
            </w:r>
          </w:p>
        </w:tc>
        <w:tc>
          <w:tcPr>
            <w:tcW w:w="1506" w:type="pct"/>
            <w:vAlign w:val="center"/>
          </w:tcPr>
          <w:p w14:paraId="4AAB7140">
            <w:pPr>
              <w:jc w:val="right"/>
              <w:textAlignment w:val="bottom"/>
              <w:rPr>
                <w:rFonts w:cs="Times New Roman"/>
              </w:rPr>
            </w:pPr>
            <w:r>
              <w:rPr>
                <w:rFonts w:cs="Times New Roman"/>
                <w:color w:val="000000"/>
              </w:rPr>
              <w:t>5,606,201,041.01</w:t>
            </w:r>
          </w:p>
        </w:tc>
      </w:tr>
      <w:tr w14:paraId="5CE9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897" w:type="pct"/>
          </w:tcPr>
          <w:p w14:paraId="50F7AB8D">
            <w:pPr>
              <w:autoSpaceDE w:val="0"/>
              <w:autoSpaceDN w:val="0"/>
              <w:adjustRightInd w:val="0"/>
              <w:snapToGrid w:val="0"/>
              <w:spacing w:line="240" w:lineRule="atLeast"/>
              <w:ind w:firstLine="210" w:firstLineChars="10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其中：存放在境外的款项总额</w:t>
            </w:r>
          </w:p>
        </w:tc>
        <w:tc>
          <w:tcPr>
            <w:tcW w:w="1596" w:type="pct"/>
            <w:vAlign w:val="center"/>
          </w:tcPr>
          <w:p w14:paraId="28330F97">
            <w:pPr>
              <w:jc w:val="right"/>
              <w:textAlignment w:val="bottom"/>
              <w:rPr>
                <w:rFonts w:cs="Times New Roman"/>
              </w:rPr>
            </w:pPr>
            <w:r>
              <w:rPr>
                <w:rFonts w:cs="Times New Roman"/>
                <w:color w:val="000000"/>
              </w:rPr>
              <w:t>42,948,633.26</w:t>
            </w:r>
          </w:p>
        </w:tc>
        <w:tc>
          <w:tcPr>
            <w:tcW w:w="1506" w:type="pct"/>
            <w:vAlign w:val="center"/>
          </w:tcPr>
          <w:p w14:paraId="5384E936">
            <w:pPr>
              <w:jc w:val="right"/>
              <w:textAlignment w:val="bottom"/>
              <w:rPr>
                <w:rFonts w:cs="Times New Roman"/>
              </w:rPr>
            </w:pPr>
            <w:r>
              <w:rPr>
                <w:rFonts w:cs="Times New Roman"/>
                <w:color w:val="000000"/>
              </w:rPr>
              <w:t>42,679,515.87</w:t>
            </w:r>
          </w:p>
        </w:tc>
      </w:tr>
    </w:tbl>
    <w:p w14:paraId="49D81F29">
      <w:pPr>
        <w:rPr>
          <w:color w:val="000000" w:themeColor="text1"/>
          <w14:textFill>
            <w14:solidFill>
              <w14:schemeClr w14:val="tx1"/>
            </w14:solidFill>
          </w14:textFill>
        </w:rPr>
      </w:pPr>
    </w:p>
    <w:p w14:paraId="6DFF750C">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货币资金的说明"/>
        <w:tag w:val="_GBC_2938fcf8616141aca7cb2bc277476b5d"/>
        <w:id w:val="147452217"/>
        <w:placeholder>
          <w:docPart w:val="GBC22222222222222222222222222222"/>
        </w:placeholder>
      </w:sdtPr>
      <w:sdtEndPr>
        <w:rPr>
          <w:color w:val="000000" w:themeColor="text1"/>
          <w14:textFill>
            <w14:solidFill>
              <w14:schemeClr w14:val="tx1"/>
            </w14:solidFill>
          </w14:textFill>
        </w:rPr>
      </w:sdtEndPr>
      <w:sdtContent>
        <w:p w14:paraId="1051C6C8">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其中受限制的货币资金明细如下：</w:t>
          </w:r>
        </w:p>
        <w:p w14:paraId="4E41C958">
          <w:pPr>
            <w:snapToGrid w:val="0"/>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货币资金"/>
              <w:tag w:val="_GBC_fbefd7cb6bcc4b278e8eafe562f64817"/>
              <w:id w:val="147477366"/>
              <w:placeholder>
                <w:docPart w:val="{e8052cd7-3ff4-4ee4-8671-f5758410817c}"/>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货币资金"/>
              <w:tag w:val="_GBC_c76577cdfdc64a9abb84903fd74497a4"/>
              <w:id w:val="147454362"/>
              <w:placeholder>
                <w:docPart w:val="{e8052cd7-3ff4-4ee4-8671-f5758410817c}"/>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38"/>
            <w:gridCol w:w="2892"/>
            <w:gridCol w:w="2729"/>
          </w:tblGrid>
          <w:tr w14:paraId="4C45E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blHeader/>
            </w:trPr>
            <w:sdt>
              <w:sdtPr>
                <w:rPr>
                  <w:rFonts w:cs="Times New Roman"/>
                </w:rPr>
                <w:tag w:val="_PLD_c298b96ff42b4ec08ce0bc2e7ff09d9d"/>
                <w:id w:val="147473332"/>
              </w:sdtPr>
              <w:sdtEndPr>
                <w:rPr>
                  <w:rFonts w:cs="Times New Roman"/>
                </w:rPr>
              </w:sdtEndPr>
              <w:sdtContent>
                <w:tc>
                  <w:tcPr>
                    <w:tcW w:w="1897" w:type="pct"/>
                    <w:vAlign w:val="center"/>
                  </w:tcPr>
                  <w:p w14:paraId="5C9AA7CD">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410d387a5f404c958f8ba18c816ca023"/>
                <w:id w:val="147478375"/>
              </w:sdtPr>
              <w:sdtEndPr>
                <w:rPr>
                  <w:rFonts w:cs="Times New Roman"/>
                </w:rPr>
              </w:sdtEndPr>
              <w:sdtContent>
                <w:tc>
                  <w:tcPr>
                    <w:tcW w:w="1596" w:type="pct"/>
                    <w:vAlign w:val="center"/>
                  </w:tcPr>
                  <w:p w14:paraId="11E79CFF">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04102c94e9134fa683ae3d0eac53465c"/>
                <w:id w:val="147459992"/>
              </w:sdtPr>
              <w:sdtEndPr>
                <w:rPr>
                  <w:rFonts w:cs="Times New Roman"/>
                </w:rPr>
              </w:sdtEndPr>
              <w:sdtContent>
                <w:tc>
                  <w:tcPr>
                    <w:tcW w:w="1506" w:type="pct"/>
                    <w:vAlign w:val="center"/>
                  </w:tcPr>
                  <w:p w14:paraId="591BD4E2">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tr>
          <w:tr w14:paraId="722EC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897" w:type="pct"/>
              </w:tcPr>
              <w:p w14:paraId="40F2AC6A">
                <w:pPr>
                  <w:textAlignment w:val="top"/>
                  <w:rPr>
                    <w:rFonts w:cs="Times New Roman"/>
                    <w:color w:val="000000" w:themeColor="text1"/>
                    <w14:textFill>
                      <w14:solidFill>
                        <w14:schemeClr w14:val="tx1"/>
                      </w14:solidFill>
                    </w14:textFill>
                  </w:rPr>
                </w:pPr>
                <w:r>
                  <w:rPr>
                    <w:rFonts w:cs="Times New Roman"/>
                    <w:color w:val="000000"/>
                    <w:lang w:bidi="ar"/>
                  </w:rPr>
                  <w:t>银行承兑汇票保证金</w:t>
                </w:r>
              </w:p>
            </w:tc>
            <w:tc>
              <w:tcPr>
                <w:tcW w:w="1596" w:type="pct"/>
                <w:vAlign w:val="bottom"/>
              </w:tcPr>
              <w:p w14:paraId="0F03C719">
                <w:pPr>
                  <w:jc w:val="right"/>
                  <w:textAlignment w:val="bottom"/>
                  <w:rPr>
                    <w:rFonts w:cs="Times New Roman"/>
                  </w:rPr>
                </w:pPr>
                <w:r>
                  <w:rPr>
                    <w:rFonts w:eastAsia="Arial Narrow" w:cs="Times New Roman"/>
                    <w:color w:val="000000"/>
                    <w:lang w:bidi="ar"/>
                  </w:rPr>
                  <w:t>93,390,161.57</w:t>
                </w:r>
              </w:p>
            </w:tc>
            <w:tc>
              <w:tcPr>
                <w:tcW w:w="1506" w:type="pct"/>
                <w:vAlign w:val="bottom"/>
              </w:tcPr>
              <w:p w14:paraId="5A84E275">
                <w:pPr>
                  <w:jc w:val="right"/>
                  <w:textAlignment w:val="bottom"/>
                  <w:rPr>
                    <w:rFonts w:cs="Times New Roman"/>
                  </w:rPr>
                </w:pPr>
                <w:r>
                  <w:rPr>
                    <w:rFonts w:cs="Times New Roman"/>
                    <w:color w:val="000000"/>
                  </w:rPr>
                  <w:t>148,807,304.77</w:t>
                </w:r>
              </w:p>
            </w:tc>
          </w:tr>
          <w:tr w14:paraId="1C34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897" w:type="pct"/>
              </w:tcPr>
              <w:p w14:paraId="3836B3E7">
                <w:pPr>
                  <w:textAlignment w:val="top"/>
                  <w:rPr>
                    <w:rFonts w:cs="Times New Roman"/>
                    <w:color w:val="000000" w:themeColor="text1"/>
                    <w14:textFill>
                      <w14:solidFill>
                        <w14:schemeClr w14:val="tx1"/>
                      </w14:solidFill>
                    </w14:textFill>
                  </w:rPr>
                </w:pPr>
                <w:r>
                  <w:rPr>
                    <w:rFonts w:cs="Times New Roman"/>
                    <w:color w:val="000000"/>
                    <w:lang w:bidi="ar"/>
                  </w:rPr>
                  <w:t>保函保证金</w:t>
                </w:r>
              </w:p>
            </w:tc>
            <w:tc>
              <w:tcPr>
                <w:tcW w:w="1596" w:type="pct"/>
                <w:vAlign w:val="bottom"/>
              </w:tcPr>
              <w:p w14:paraId="0AD3B489">
                <w:pPr>
                  <w:jc w:val="right"/>
                  <w:textAlignment w:val="bottom"/>
                  <w:rPr>
                    <w:rFonts w:cs="Times New Roman"/>
                  </w:rPr>
                </w:pPr>
                <w:r>
                  <w:rPr>
                    <w:rFonts w:eastAsia="Arial Narrow" w:cs="Times New Roman"/>
                    <w:color w:val="000000"/>
                    <w:lang w:bidi="ar"/>
                  </w:rPr>
                  <w:t>83,269,968.52</w:t>
                </w:r>
              </w:p>
            </w:tc>
            <w:tc>
              <w:tcPr>
                <w:tcW w:w="1506" w:type="pct"/>
                <w:vAlign w:val="bottom"/>
              </w:tcPr>
              <w:p w14:paraId="4219BB5A">
                <w:pPr>
                  <w:jc w:val="right"/>
                  <w:textAlignment w:val="bottom"/>
                  <w:rPr>
                    <w:rFonts w:cs="Times New Roman"/>
                  </w:rPr>
                </w:pPr>
                <w:r>
                  <w:rPr>
                    <w:rFonts w:cs="Times New Roman"/>
                    <w:color w:val="000000"/>
                  </w:rPr>
                  <w:t>82,590,826.27</w:t>
                </w:r>
              </w:p>
            </w:tc>
          </w:tr>
          <w:tr w14:paraId="5A367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897" w:type="pct"/>
              </w:tcPr>
              <w:p w14:paraId="50ABB9D0">
                <w:pPr>
                  <w:textAlignment w:val="top"/>
                  <w:rPr>
                    <w:rFonts w:cs="Times New Roman"/>
                    <w:color w:val="000000" w:themeColor="text1"/>
                    <w14:textFill>
                      <w14:solidFill>
                        <w14:schemeClr w14:val="tx1"/>
                      </w14:solidFill>
                    </w14:textFill>
                  </w:rPr>
                </w:pPr>
                <w:r>
                  <w:rPr>
                    <w:rFonts w:cs="Times New Roman"/>
                    <w:color w:val="000000"/>
                    <w:lang w:bidi="ar"/>
                  </w:rPr>
                  <w:t>住房维修基金</w:t>
                </w:r>
              </w:p>
            </w:tc>
            <w:tc>
              <w:tcPr>
                <w:tcW w:w="1596" w:type="pct"/>
                <w:vAlign w:val="bottom"/>
              </w:tcPr>
              <w:p w14:paraId="6A67402E">
                <w:pPr>
                  <w:jc w:val="right"/>
                  <w:textAlignment w:val="bottom"/>
                  <w:rPr>
                    <w:rFonts w:cs="Times New Roman"/>
                  </w:rPr>
                </w:pPr>
                <w:r>
                  <w:rPr>
                    <w:rFonts w:eastAsia="Arial Narrow" w:cs="Times New Roman"/>
                    <w:color w:val="000000"/>
                    <w:lang w:bidi="ar"/>
                  </w:rPr>
                  <w:t>1,732,935.26</w:t>
                </w:r>
              </w:p>
            </w:tc>
            <w:tc>
              <w:tcPr>
                <w:tcW w:w="1506" w:type="pct"/>
                <w:vAlign w:val="bottom"/>
              </w:tcPr>
              <w:p w14:paraId="3005D470">
                <w:pPr>
                  <w:jc w:val="right"/>
                  <w:textAlignment w:val="bottom"/>
                  <w:rPr>
                    <w:rFonts w:cs="Times New Roman"/>
                  </w:rPr>
                </w:pPr>
                <w:r>
                  <w:rPr>
                    <w:rFonts w:cs="Times New Roman"/>
                    <w:color w:val="000000"/>
                  </w:rPr>
                  <w:t>1,353,459.06</w:t>
                </w:r>
              </w:p>
            </w:tc>
          </w:tr>
          <w:tr w14:paraId="35FD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897" w:type="pct"/>
              </w:tcPr>
              <w:p w14:paraId="39E80267">
                <w:pPr>
                  <w:textAlignment w:val="top"/>
                  <w:rPr>
                    <w:rFonts w:cs="Times New Roman"/>
                    <w:color w:val="000000" w:themeColor="text1"/>
                    <w14:textFill>
                      <w14:solidFill>
                        <w14:schemeClr w14:val="tx1"/>
                      </w14:solidFill>
                    </w14:textFill>
                  </w:rPr>
                </w:pPr>
                <w:r>
                  <w:rPr>
                    <w:rFonts w:cs="Times New Roman"/>
                    <w:color w:val="000000"/>
                    <w:lang w:bidi="ar"/>
                  </w:rPr>
                  <w:t>冻结的银行存款</w:t>
                </w:r>
              </w:p>
            </w:tc>
            <w:tc>
              <w:tcPr>
                <w:tcW w:w="1596" w:type="pct"/>
                <w:vAlign w:val="bottom"/>
              </w:tcPr>
              <w:p w14:paraId="20EE06F9">
                <w:pPr>
                  <w:jc w:val="right"/>
                  <w:textAlignment w:val="bottom"/>
                  <w:rPr>
                    <w:rFonts w:cs="Times New Roman"/>
                  </w:rPr>
                </w:pPr>
                <w:r>
                  <w:rPr>
                    <w:rFonts w:eastAsia="Arial Narrow" w:cs="Times New Roman"/>
                    <w:color w:val="000000"/>
                    <w:lang w:bidi="ar"/>
                  </w:rPr>
                  <w:t>3,976,415.88</w:t>
                </w:r>
              </w:p>
            </w:tc>
            <w:tc>
              <w:tcPr>
                <w:tcW w:w="1506" w:type="pct"/>
                <w:vAlign w:val="bottom"/>
              </w:tcPr>
              <w:p w14:paraId="45F06168">
                <w:pPr>
                  <w:jc w:val="right"/>
                  <w:textAlignment w:val="bottom"/>
                  <w:rPr>
                    <w:rFonts w:cs="Times New Roman"/>
                  </w:rPr>
                </w:pPr>
                <w:r>
                  <w:rPr>
                    <w:rFonts w:cs="Times New Roman"/>
                    <w:color w:val="000000"/>
                  </w:rPr>
                  <w:t>5,435,998.49</w:t>
                </w:r>
              </w:p>
            </w:tc>
          </w:tr>
          <w:tr w14:paraId="1708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897" w:type="pct"/>
              </w:tcPr>
              <w:p w14:paraId="0FB75A2C">
                <w:pPr>
                  <w:textAlignment w:val="top"/>
                  <w:rPr>
                    <w:rFonts w:cs="Times New Roman"/>
                    <w:color w:val="000000" w:themeColor="text1"/>
                    <w14:textFill>
                      <w14:solidFill>
                        <w14:schemeClr w14:val="tx1"/>
                      </w14:solidFill>
                    </w14:textFill>
                  </w:rPr>
                </w:pPr>
                <w:r>
                  <w:rPr>
                    <w:rFonts w:cs="Times New Roman"/>
                    <w:color w:val="000000"/>
                    <w:lang w:bidi="ar"/>
                  </w:rPr>
                  <w:t>其他</w:t>
                </w:r>
              </w:p>
            </w:tc>
            <w:tc>
              <w:tcPr>
                <w:tcW w:w="1596" w:type="pct"/>
                <w:vAlign w:val="bottom"/>
              </w:tcPr>
              <w:p w14:paraId="3C5F5D6D">
                <w:pPr>
                  <w:jc w:val="right"/>
                  <w:textAlignment w:val="bottom"/>
                  <w:rPr>
                    <w:rFonts w:cs="Times New Roman"/>
                  </w:rPr>
                </w:pPr>
                <w:r>
                  <w:rPr>
                    <w:rFonts w:eastAsia="Arial Narrow" w:cs="Times New Roman"/>
                    <w:color w:val="000000"/>
                    <w:lang w:bidi="ar"/>
                  </w:rPr>
                  <w:t>1,580,593.09</w:t>
                </w:r>
              </w:p>
            </w:tc>
            <w:tc>
              <w:tcPr>
                <w:tcW w:w="1506" w:type="pct"/>
                <w:vAlign w:val="bottom"/>
              </w:tcPr>
              <w:p w14:paraId="477017F5">
                <w:pPr>
                  <w:jc w:val="right"/>
                  <w:textAlignment w:val="bottom"/>
                  <w:rPr>
                    <w:rFonts w:cs="Times New Roman"/>
                  </w:rPr>
                </w:pPr>
                <w:r>
                  <w:rPr>
                    <w:rFonts w:cs="Times New Roman"/>
                    <w:color w:val="000000"/>
                  </w:rPr>
                  <w:t>2,469,850.05</w:t>
                </w:r>
              </w:p>
            </w:tc>
          </w:tr>
          <w:tr w14:paraId="2D0A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897" w:type="pct"/>
              </w:tcPr>
              <w:p w14:paraId="04C0DD1D">
                <w:pPr>
                  <w:textAlignment w:val="top"/>
                  <w:rPr>
                    <w:rFonts w:cs="Times New Roman"/>
                    <w:color w:val="000000" w:themeColor="text1"/>
                    <w14:textFill>
                      <w14:solidFill>
                        <w14:schemeClr w14:val="tx1"/>
                      </w14:solidFill>
                    </w14:textFill>
                  </w:rPr>
                </w:pPr>
                <w:r>
                  <w:rPr>
                    <w:rFonts w:cs="Times New Roman"/>
                    <w:color w:val="000000"/>
                    <w:lang w:bidi="ar"/>
                  </w:rPr>
                  <w:t>合计</w:t>
                </w:r>
              </w:p>
            </w:tc>
            <w:tc>
              <w:tcPr>
                <w:tcW w:w="1596" w:type="pct"/>
                <w:vAlign w:val="bottom"/>
              </w:tcPr>
              <w:p w14:paraId="00BB2A71">
                <w:pPr>
                  <w:jc w:val="right"/>
                  <w:textAlignment w:val="bottom"/>
                  <w:rPr>
                    <w:rFonts w:cs="Times New Roman"/>
                  </w:rPr>
                </w:pPr>
                <w:r>
                  <w:rPr>
                    <w:rFonts w:eastAsia="Arial Narrow" w:cs="Times New Roman"/>
                    <w:color w:val="000000"/>
                    <w:lang w:bidi="ar"/>
                  </w:rPr>
                  <w:t>183,950,074.32</w:t>
                </w:r>
              </w:p>
            </w:tc>
            <w:tc>
              <w:tcPr>
                <w:tcW w:w="1506" w:type="pct"/>
                <w:vAlign w:val="bottom"/>
              </w:tcPr>
              <w:p w14:paraId="4DC7968C">
                <w:pPr>
                  <w:jc w:val="right"/>
                  <w:textAlignment w:val="bottom"/>
                  <w:rPr>
                    <w:rFonts w:cs="Times New Roman"/>
                  </w:rPr>
                </w:pPr>
                <w:r>
                  <w:rPr>
                    <w:rFonts w:cs="Times New Roman"/>
                    <w:color w:val="000000"/>
                  </w:rPr>
                  <w:t>240,657,438.64</w:t>
                </w:r>
              </w:p>
            </w:tc>
          </w:tr>
        </w:tbl>
        <w:p w14:paraId="764FA411">
          <w:pPr>
            <w:rPr>
              <w:color w:val="000000" w:themeColor="text1"/>
              <w14:textFill>
                <w14:solidFill>
                  <w14:schemeClr w14:val="tx1"/>
                </w14:solidFill>
              </w14:textFill>
            </w:rPr>
          </w:pPr>
        </w:p>
      </w:sdtContent>
    </w:sdt>
    <w:bookmarkEnd w:id="189"/>
    <w:p w14:paraId="6DA6BB4B">
      <w:pPr>
        <w:snapToGrid w:val="0"/>
        <w:spacing w:line="240" w:lineRule="atLeast"/>
        <w:ind w:right="25" w:rightChars="12"/>
        <w:rPr>
          <w:color w:val="000000" w:themeColor="text1"/>
          <w14:textFill>
            <w14:solidFill>
              <w14:schemeClr w14:val="tx1"/>
            </w14:solidFill>
          </w14:textFill>
        </w:rPr>
      </w:pPr>
    </w:p>
    <w:p w14:paraId="3853D7E1">
      <w:pPr>
        <w:pStyle w:val="57"/>
        <w:numPr>
          <w:ilvl w:val="0"/>
          <w:numId w:val="54"/>
        </w:numPr>
        <w:rPr>
          <w:color w:val="000000" w:themeColor="text1"/>
          <w:szCs w:val="21"/>
          <w14:textFill>
            <w14:solidFill>
              <w14:schemeClr w14:val="tx1"/>
            </w14:solidFill>
          </w14:textFill>
        </w:rPr>
      </w:pPr>
      <w:bookmarkStart w:id="190" w:name="_Hlk167884670"/>
      <w:r>
        <w:rPr>
          <w:color w:val="000000" w:themeColor="text1"/>
          <w:szCs w:val="21"/>
          <w14:textFill>
            <w14:solidFill>
              <w14:schemeClr w14:val="tx1"/>
            </w14:solidFill>
          </w14:textFill>
        </w:rPr>
        <w:t>交易性金融资产</w:t>
      </w:r>
    </w:p>
    <w:sdt>
      <w:sdtPr>
        <w:rPr>
          <w:color w:val="000000" w:themeColor="text1"/>
          <w14:textFill>
            <w14:solidFill>
              <w14:schemeClr w14:val="tx1"/>
            </w14:solidFill>
          </w14:textFill>
        </w:rPr>
        <w:alias w:val="是否适用：交易性金融资产[双击切换]"/>
        <w:tag w:val="_GBC_814e9c37d6a143e79b3faaee7ef0a917"/>
        <w:id w:val="147472781"/>
        <w:placeholder>
          <w:docPart w:val="GBC22222222222222222222222222222"/>
        </w:placeholder>
      </w:sdtPr>
      <w:sdtEndPr>
        <w:rPr>
          <w:color w:val="000000" w:themeColor="text1"/>
          <w14:textFill>
            <w14:solidFill>
              <w14:schemeClr w14:val="tx1"/>
            </w14:solidFill>
          </w14:textFill>
        </w:rPr>
      </w:sdtEndPr>
      <w:sdtContent>
        <w:p w14:paraId="54A797E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AC2C972">
      <w:pPr>
        <w:ind w:left="420" w:right="44"/>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交易性金融资产"/>
          <w:tag w:val="_GBC_0b6d7aa5ef9b4e3f96bbacf50472e8a9"/>
          <w:id w:val="1474533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交易性金融资产"/>
          <w:tag w:val="_GBC_c0e55c4dc6c240cbb4249fb399e1f183"/>
          <w:id w:val="1474634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6"/>
        <w:gridCol w:w="2069"/>
        <w:gridCol w:w="2087"/>
        <w:gridCol w:w="2087"/>
      </w:tblGrid>
      <w:tr w14:paraId="2451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3bfc974108f748739d6b36c0d00be15d"/>
            <w:id w:val="147457070"/>
          </w:sdtPr>
          <w:sdtEndPr>
            <w:rPr>
              <w:rFonts w:cs="Times New Roman"/>
            </w:rPr>
          </w:sdtEndPr>
          <w:sdtContent>
            <w:tc>
              <w:tcPr>
                <w:tcW w:w="1551" w:type="pct"/>
                <w:vAlign w:val="center"/>
              </w:tcPr>
              <w:p w14:paraId="6A315B7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4ab18d4bde12445fb3b33042ee039a79"/>
            <w:id w:val="147454312"/>
          </w:sdtPr>
          <w:sdtEndPr>
            <w:rPr>
              <w:rFonts w:cs="Times New Roman"/>
            </w:rPr>
          </w:sdtEndPr>
          <w:sdtContent>
            <w:tc>
              <w:tcPr>
                <w:tcW w:w="1143" w:type="pct"/>
                <w:vAlign w:val="center"/>
              </w:tcPr>
              <w:p w14:paraId="6AC987AD">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ba01bb51e04644ee9a12073e90767e0a"/>
            <w:id w:val="147459451"/>
          </w:sdtPr>
          <w:sdtEndPr>
            <w:rPr>
              <w:rFonts w:cs="Times New Roman"/>
            </w:rPr>
          </w:sdtEndPr>
          <w:sdtContent>
            <w:tc>
              <w:tcPr>
                <w:tcW w:w="1153" w:type="pct"/>
                <w:vAlign w:val="center"/>
              </w:tcPr>
              <w:p w14:paraId="3B97B305">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tc>
          <w:tcPr>
            <w:tcW w:w="1152" w:type="pct"/>
          </w:tcPr>
          <w:sdt>
            <w:sdtPr>
              <w:rPr>
                <w:rFonts w:cs="Times New Roman"/>
              </w:rPr>
              <w:tag w:val="_PLD_5ca45b30c40c4d908efaf8db8546b8af"/>
              <w:id w:val="147480908"/>
            </w:sdtPr>
            <w:sdtEndPr>
              <w:rPr>
                <w:rFonts w:cs="Times New Roman"/>
              </w:rPr>
            </w:sdtEndPr>
            <w:sdtContent>
              <w:p w14:paraId="08FED231">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指定理由和依据</w:t>
                </w:r>
              </w:p>
            </w:sdtContent>
          </w:sdt>
        </w:tc>
      </w:tr>
      <w:tr w14:paraId="5AB0A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pct"/>
          </w:tcPr>
          <w:p w14:paraId="2FC12DCC">
            <w:pPr>
              <w:autoSpaceDE w:val="0"/>
              <w:autoSpaceDN w:val="0"/>
              <w:adjustRightInd w:val="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以公允价值计量且其变动计入当期损益的金融资产</w:t>
            </w:r>
          </w:p>
        </w:tc>
        <w:tc>
          <w:tcPr>
            <w:tcW w:w="1143" w:type="pct"/>
            <w:vAlign w:val="center"/>
          </w:tcPr>
          <w:p w14:paraId="4A33F4DA">
            <w:pPr>
              <w:jc w:val="right"/>
              <w:textAlignment w:val="bottom"/>
              <w:rPr>
                <w:rFonts w:cs="Times New Roman"/>
              </w:rPr>
            </w:pPr>
            <w:r>
              <w:rPr>
                <w:rFonts w:eastAsia="Arial Narrow" w:cs="Times New Roman"/>
                <w:color w:val="000000"/>
                <w:lang w:bidi="ar"/>
              </w:rPr>
              <w:t>630,009.80</w:t>
            </w:r>
          </w:p>
        </w:tc>
        <w:tc>
          <w:tcPr>
            <w:tcW w:w="1153" w:type="pct"/>
            <w:vAlign w:val="center"/>
          </w:tcPr>
          <w:p w14:paraId="7D83C51D">
            <w:pPr>
              <w:jc w:val="right"/>
              <w:textAlignment w:val="bottom"/>
              <w:rPr>
                <w:rFonts w:cs="Times New Roman"/>
              </w:rPr>
            </w:pPr>
            <w:r>
              <w:rPr>
                <w:rFonts w:eastAsia="Arial Narrow" w:cs="Times New Roman"/>
                <w:color w:val="000000"/>
                <w:lang w:bidi="ar"/>
              </w:rPr>
              <w:t>630,009.80</w:t>
            </w:r>
          </w:p>
        </w:tc>
        <w:tc>
          <w:tcPr>
            <w:tcW w:w="1152" w:type="pct"/>
            <w:vAlign w:val="center"/>
          </w:tcPr>
          <w:p w14:paraId="3E6375AF">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r w14:paraId="1C38F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ced5983f34d54e1499a5d77f9b552502"/>
            <w:id w:val="147469263"/>
          </w:sdtPr>
          <w:sdtEndPr>
            <w:rPr>
              <w:rFonts w:cs="Times New Roman"/>
            </w:rPr>
          </w:sdtEndPr>
          <w:sdtContent>
            <w:tc>
              <w:tcPr>
                <w:tcW w:w="5000" w:type="pct"/>
                <w:gridSpan w:val="4"/>
                <w:vAlign w:val="center"/>
              </w:tcPr>
              <w:p w14:paraId="3B3EEF54">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w:t>
                </w:r>
              </w:p>
            </w:tc>
          </w:sdtContent>
        </w:sdt>
      </w:tr>
      <w:tr w14:paraId="5341D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pct"/>
          </w:tcPr>
          <w:p w14:paraId="797F3D97">
            <w:pPr>
              <w:ind w:firstLine="420" w:firstLineChars="200"/>
              <w:textAlignment w:val="top"/>
              <w:rPr>
                <w:rFonts w:cs="Times New Roman"/>
              </w:rPr>
            </w:pPr>
            <w:r>
              <w:rPr>
                <w:rFonts w:cs="Times New Roman"/>
                <w:color w:val="000000"/>
                <w:lang w:bidi="ar"/>
              </w:rPr>
              <w:t>权益工具投资</w:t>
            </w:r>
          </w:p>
        </w:tc>
        <w:tc>
          <w:tcPr>
            <w:tcW w:w="1143" w:type="pct"/>
            <w:vAlign w:val="center"/>
          </w:tcPr>
          <w:p w14:paraId="47ABE9E4">
            <w:pPr>
              <w:jc w:val="right"/>
              <w:textAlignment w:val="bottom"/>
              <w:rPr>
                <w:rFonts w:cs="Times New Roman"/>
              </w:rPr>
            </w:pPr>
            <w:r>
              <w:rPr>
                <w:rFonts w:eastAsia="Arial Narrow" w:cs="Times New Roman"/>
                <w:color w:val="000000"/>
                <w:lang w:bidi="ar"/>
              </w:rPr>
              <w:t>630,009.80</w:t>
            </w:r>
          </w:p>
        </w:tc>
        <w:tc>
          <w:tcPr>
            <w:tcW w:w="1153" w:type="pct"/>
            <w:vAlign w:val="center"/>
          </w:tcPr>
          <w:p w14:paraId="121F331D">
            <w:pPr>
              <w:jc w:val="right"/>
              <w:textAlignment w:val="bottom"/>
              <w:rPr>
                <w:rFonts w:cs="Times New Roman"/>
              </w:rPr>
            </w:pPr>
            <w:r>
              <w:rPr>
                <w:rFonts w:eastAsia="Arial Narrow" w:cs="Times New Roman"/>
                <w:color w:val="000000"/>
                <w:lang w:bidi="ar"/>
              </w:rPr>
              <w:t>630,009.80</w:t>
            </w:r>
          </w:p>
        </w:tc>
        <w:tc>
          <w:tcPr>
            <w:tcW w:w="1152" w:type="pct"/>
            <w:vAlign w:val="center"/>
          </w:tcPr>
          <w:p w14:paraId="29557578">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r w14:paraId="2EC8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pct"/>
            <w:vAlign w:val="center"/>
          </w:tcPr>
          <w:p w14:paraId="1BB24E1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2069" w:type="dxa"/>
            <w:vAlign w:val="center"/>
          </w:tcPr>
          <w:p w14:paraId="0EE82951">
            <w:pPr>
              <w:jc w:val="right"/>
              <w:textAlignment w:val="bottom"/>
              <w:rPr>
                <w:rFonts w:cs="Times New Roman"/>
              </w:rPr>
            </w:pPr>
            <w:r>
              <w:rPr>
                <w:rFonts w:eastAsia="Arial Narrow" w:cs="Times New Roman"/>
                <w:color w:val="000000"/>
                <w:lang w:bidi="ar"/>
              </w:rPr>
              <w:t>630,009.80</w:t>
            </w:r>
          </w:p>
        </w:tc>
        <w:tc>
          <w:tcPr>
            <w:tcW w:w="2087" w:type="dxa"/>
            <w:vAlign w:val="center"/>
          </w:tcPr>
          <w:p w14:paraId="08E6D8F5">
            <w:pPr>
              <w:jc w:val="right"/>
              <w:textAlignment w:val="bottom"/>
              <w:rPr>
                <w:rFonts w:cs="Times New Roman"/>
              </w:rPr>
            </w:pPr>
            <w:r>
              <w:rPr>
                <w:rFonts w:eastAsia="Arial Narrow" w:cs="Times New Roman"/>
                <w:color w:val="000000"/>
                <w:lang w:bidi="ar"/>
              </w:rPr>
              <w:t>630,009.80</w:t>
            </w:r>
          </w:p>
        </w:tc>
        <w:tc>
          <w:tcPr>
            <w:tcW w:w="1152" w:type="pct"/>
            <w:vAlign w:val="center"/>
          </w:tcPr>
          <w:p w14:paraId="43F50307">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bl>
    <w:p w14:paraId="68C02BD2">
      <w:pPr>
        <w:rPr>
          <w:color w:val="000000" w:themeColor="text1"/>
          <w14:textFill>
            <w14:solidFill>
              <w14:schemeClr w14:val="tx1"/>
            </w14:solidFill>
          </w14:textFill>
        </w:rPr>
      </w:pPr>
    </w:p>
    <w:p w14:paraId="320D242A">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说明</w:t>
      </w:r>
      <w:r>
        <w:rPr>
          <w:rFonts w:hint="eastAsia"/>
          <w:color w:val="000000" w:themeColor="text1"/>
          <w14:textFill>
            <w14:solidFill>
              <w14:schemeClr w14:val="tx1"/>
            </w14:solidFill>
          </w14:textFill>
        </w:rPr>
        <w:t>：</w:t>
      </w:r>
    </w:p>
    <w:sdt>
      <w:sdtPr>
        <w:rPr>
          <w:color w:val="000000" w:themeColor="text1"/>
          <w14:textFill>
            <w14:solidFill>
              <w14:schemeClr w14:val="tx1"/>
            </w14:solidFill>
          </w14:textFill>
        </w:rPr>
        <w:alias w:val="是否适用：交易性金融资产的说明[双击切换]"/>
        <w:tag w:val="_GBC_ef40892aa2074eaea951740a9358033e"/>
        <w:id w:val="147462194"/>
        <w:placeholder>
          <w:docPart w:val="GBC22222222222222222222222222222"/>
        </w:placeholder>
      </w:sdtPr>
      <w:sdtEndPr>
        <w:rPr>
          <w:color w:val="000000" w:themeColor="text1"/>
          <w14:textFill>
            <w14:solidFill>
              <w14:schemeClr w14:val="tx1"/>
            </w14:solidFill>
          </w14:textFill>
        </w:rPr>
      </w:sdtEndPr>
      <w:sdtContent>
        <w:p w14:paraId="516C492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FFC5909">
      <w:pPr>
        <w:rPr>
          <w:color w:val="000000" w:themeColor="text1"/>
          <w14:textFill>
            <w14:solidFill>
              <w14:schemeClr w14:val="tx1"/>
            </w14:solidFill>
          </w14:textFill>
        </w:rPr>
      </w:pPr>
    </w:p>
    <w:bookmarkEnd w:id="190"/>
    <w:p w14:paraId="498E1FEA">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衍生金融资产</w:t>
      </w:r>
    </w:p>
    <w:sdt>
      <w:sdtPr>
        <w:rPr>
          <w:color w:val="000000" w:themeColor="text1"/>
          <w14:textFill>
            <w14:solidFill>
              <w14:schemeClr w14:val="tx1"/>
            </w14:solidFill>
          </w14:textFill>
        </w:rPr>
        <w:alias w:val="是否适用：衍生金融资产[双击切换]"/>
        <w:tag w:val="_GBC_7f1559f8ac9a442b81c5479563d9e8bb"/>
        <w:id w:val="147473882"/>
        <w:placeholder>
          <w:docPart w:val="GBC22222222222222222222222222222"/>
        </w:placeholder>
      </w:sdtPr>
      <w:sdtEndPr>
        <w:rPr>
          <w:color w:val="000000" w:themeColor="text1"/>
          <w14:textFill>
            <w14:solidFill>
              <w14:schemeClr w14:val="tx1"/>
            </w14:solidFill>
          </w14:textFill>
        </w:rPr>
      </w:sdtEndPr>
      <w:sdtContent>
        <w:p w14:paraId="356325B5">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3C9F610">
      <w:pPr>
        <w:snapToGrid w:val="0"/>
        <w:spacing w:line="240" w:lineRule="atLeast"/>
        <w:ind w:right="25" w:rightChars="12"/>
        <w:rPr>
          <w:color w:val="000000" w:themeColor="text1"/>
          <w14:textFill>
            <w14:solidFill>
              <w14:schemeClr w14:val="tx1"/>
            </w14:solidFill>
          </w14:textFill>
        </w:rPr>
      </w:pPr>
    </w:p>
    <w:p w14:paraId="74FA029C">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应收票据</w:t>
      </w:r>
    </w:p>
    <w:p w14:paraId="0EB701B0">
      <w:pPr>
        <w:pStyle w:val="58"/>
        <w:numPr>
          <w:ilvl w:val="3"/>
          <w:numId w:val="5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应收票据分类列示</w:t>
      </w:r>
    </w:p>
    <w:sdt>
      <w:sdtPr>
        <w:rPr>
          <w:color w:val="000000" w:themeColor="text1"/>
          <w14:textFill>
            <w14:solidFill>
              <w14:schemeClr w14:val="tx1"/>
            </w14:solidFill>
          </w14:textFill>
        </w:rPr>
        <w:alias w:val="是否适用：应收票据分类列示[双击切换]"/>
        <w:tag w:val="_GBC_3c32a2809ab3476a93b88a8155fb0be8"/>
        <w:id w:val="147454425"/>
        <w:placeholder>
          <w:docPart w:val="GBC22222222222222222222222222222"/>
        </w:placeholder>
      </w:sdtPr>
      <w:sdtEndPr>
        <w:rPr>
          <w:color w:val="000000" w:themeColor="text1"/>
          <w14:textFill>
            <w14:solidFill>
              <w14:schemeClr w14:val="tx1"/>
            </w14:solidFill>
          </w14:textFill>
        </w:rPr>
      </w:sdtEndPr>
      <w:sdtContent>
        <w:p w14:paraId="79453ED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3E59D94">
      <w:pPr>
        <w:snapToGrid w:val="0"/>
        <w:spacing w:line="240" w:lineRule="atLeast"/>
        <w:jc w:val="right"/>
        <w:rPr>
          <w:color w:val="000000" w:themeColor="text1"/>
          <w14:textFill>
            <w14:solidFill>
              <w14:schemeClr w14:val="tx1"/>
            </w14:solidFill>
          </w14:textFill>
        </w:rPr>
      </w:pPr>
    </w:p>
    <w:p w14:paraId="06C48B2D">
      <w:pPr>
        <w:snapToGrid w:val="0"/>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应收票据分类"/>
          <w:tag w:val="_GBC_21d6ba5a9ccb41d7aee707ba343741db"/>
          <w:id w:val="1474600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应收票据分类"/>
          <w:tag w:val="_GBC_08bc82a26735413f8516c3d080579822"/>
          <w:id w:val="1474725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62" w:type="pct"/>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962"/>
        <w:gridCol w:w="3146"/>
        <w:gridCol w:w="2895"/>
      </w:tblGrid>
      <w:tr w14:paraId="7115F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rPr>
              <w:rFonts w:cs="Times New Roman"/>
            </w:rPr>
            <w:tag w:val="_PLD_a48e9b652e5b48b08b05dc5f5dba5744"/>
            <w:id w:val="147453313"/>
          </w:sdtPr>
          <w:sdtEndPr>
            <w:rPr>
              <w:rFonts w:cs="Times New Roman"/>
            </w:rPr>
          </w:sdtEndPr>
          <w:sdtContent>
            <w:tc>
              <w:tcPr>
                <w:tcW w:w="1645" w:type="pct"/>
                <w:vAlign w:val="center"/>
              </w:tcPr>
              <w:p w14:paraId="3BEB336C">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c6664062fcf84681af8b24fee4722ae5"/>
            <w:id w:val="147454281"/>
          </w:sdtPr>
          <w:sdtEndPr>
            <w:rPr>
              <w:rFonts w:cs="Times New Roman"/>
            </w:rPr>
          </w:sdtEndPr>
          <w:sdtContent>
            <w:tc>
              <w:tcPr>
                <w:tcW w:w="1747" w:type="pct"/>
                <w:vAlign w:val="center"/>
              </w:tcPr>
              <w:p w14:paraId="40AA1D9C">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7d93c99ec70e48ac985c37b2b3046178"/>
            <w:id w:val="147481318"/>
          </w:sdtPr>
          <w:sdtEndPr>
            <w:rPr>
              <w:rFonts w:cs="Times New Roman"/>
            </w:rPr>
          </w:sdtEndPr>
          <w:sdtContent>
            <w:tc>
              <w:tcPr>
                <w:tcW w:w="1608" w:type="pct"/>
                <w:vAlign w:val="center"/>
              </w:tcPr>
              <w:p w14:paraId="6259C412">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tr>
      <w:tr w14:paraId="17CDD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45" w:type="pct"/>
          </w:tcPr>
          <w:p w14:paraId="164DB995">
            <w:pPr>
              <w:autoSpaceDE w:val="0"/>
              <w:autoSpaceDN w:val="0"/>
              <w:adjustRightInd w:val="0"/>
              <w:snapToGrid w:val="0"/>
              <w:spacing w:line="240" w:lineRule="atLeas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银行承兑票据</w:t>
            </w:r>
          </w:p>
        </w:tc>
        <w:tc>
          <w:tcPr>
            <w:tcW w:w="1747" w:type="pct"/>
            <w:vAlign w:val="bottom"/>
          </w:tcPr>
          <w:p w14:paraId="6A0E4C2D">
            <w:pPr>
              <w:jc w:val="right"/>
              <w:textAlignment w:val="bottom"/>
              <w:rPr>
                <w:rFonts w:cs="Times New Roman"/>
              </w:rPr>
            </w:pPr>
            <w:r>
              <w:rPr>
                <w:rFonts w:cs="Times New Roman"/>
                <w:color w:val="000000"/>
              </w:rPr>
              <w:t>34,206,345.87</w:t>
            </w:r>
          </w:p>
        </w:tc>
        <w:tc>
          <w:tcPr>
            <w:tcW w:w="1608" w:type="pct"/>
            <w:vAlign w:val="bottom"/>
          </w:tcPr>
          <w:p w14:paraId="1C600C3A">
            <w:pPr>
              <w:jc w:val="right"/>
              <w:textAlignment w:val="bottom"/>
              <w:rPr>
                <w:rFonts w:cs="Times New Roman"/>
              </w:rPr>
            </w:pPr>
            <w:r>
              <w:rPr>
                <w:rFonts w:cs="Times New Roman"/>
                <w:color w:val="000000"/>
              </w:rPr>
              <w:t>38,018,663.35</w:t>
            </w:r>
          </w:p>
        </w:tc>
      </w:tr>
      <w:tr w14:paraId="402C9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45" w:type="pct"/>
          </w:tcPr>
          <w:p w14:paraId="5ABF5992">
            <w:pPr>
              <w:autoSpaceDE w:val="0"/>
              <w:autoSpaceDN w:val="0"/>
              <w:adjustRightInd w:val="0"/>
              <w:snapToGrid w:val="0"/>
              <w:spacing w:line="240" w:lineRule="atLeas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商业承兑票据</w:t>
            </w:r>
          </w:p>
        </w:tc>
        <w:tc>
          <w:tcPr>
            <w:tcW w:w="1747" w:type="pct"/>
            <w:vAlign w:val="bottom"/>
          </w:tcPr>
          <w:p w14:paraId="7C55060A">
            <w:pPr>
              <w:jc w:val="right"/>
              <w:textAlignment w:val="bottom"/>
              <w:rPr>
                <w:rFonts w:cs="Times New Roman"/>
              </w:rPr>
            </w:pPr>
            <w:r>
              <w:rPr>
                <w:rFonts w:cs="Times New Roman"/>
                <w:color w:val="000000"/>
              </w:rPr>
              <w:t>13,486,765.28</w:t>
            </w:r>
          </w:p>
        </w:tc>
        <w:tc>
          <w:tcPr>
            <w:tcW w:w="1608" w:type="pct"/>
            <w:vAlign w:val="bottom"/>
          </w:tcPr>
          <w:p w14:paraId="4B7FFD7C">
            <w:pPr>
              <w:jc w:val="right"/>
              <w:textAlignment w:val="bottom"/>
              <w:rPr>
                <w:rFonts w:cs="Times New Roman"/>
              </w:rPr>
            </w:pPr>
            <w:r>
              <w:rPr>
                <w:rFonts w:cs="Times New Roman"/>
                <w:color w:val="000000"/>
              </w:rPr>
              <w:t>26,645,948.48</w:t>
            </w:r>
          </w:p>
        </w:tc>
      </w:tr>
      <w:tr w14:paraId="4CB7C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45" w:type="pct"/>
          </w:tcPr>
          <w:p w14:paraId="7AD665EC">
            <w:pPr>
              <w:autoSpaceDE w:val="0"/>
              <w:autoSpaceDN w:val="0"/>
              <w:adjustRightInd w:val="0"/>
              <w:snapToGrid w:val="0"/>
              <w:spacing w:line="240" w:lineRule="atLeast"/>
              <w:rPr>
                <w:rFonts w:cs="Times New Roman"/>
              </w:rPr>
            </w:pPr>
            <w:r>
              <w:rPr>
                <w:rFonts w:cs="Times New Roman"/>
              </w:rPr>
              <w:t>财务公司承兑票据</w:t>
            </w:r>
          </w:p>
        </w:tc>
        <w:tc>
          <w:tcPr>
            <w:tcW w:w="1747" w:type="pct"/>
            <w:vAlign w:val="bottom"/>
          </w:tcPr>
          <w:p w14:paraId="57E87D06">
            <w:pPr>
              <w:jc w:val="right"/>
              <w:textAlignment w:val="bottom"/>
              <w:rPr>
                <w:rFonts w:cs="Times New Roman"/>
              </w:rPr>
            </w:pPr>
            <w:r>
              <w:rPr>
                <w:rFonts w:cs="Times New Roman"/>
                <w:color w:val="000000"/>
              </w:rPr>
              <w:t>1,637,341.88</w:t>
            </w:r>
          </w:p>
        </w:tc>
        <w:tc>
          <w:tcPr>
            <w:tcW w:w="1608" w:type="pct"/>
            <w:vAlign w:val="bottom"/>
          </w:tcPr>
          <w:p w14:paraId="0E97E647">
            <w:pPr>
              <w:jc w:val="right"/>
              <w:textAlignment w:val="bottom"/>
              <w:rPr>
                <w:rFonts w:cs="Times New Roman"/>
              </w:rPr>
            </w:pPr>
            <w:r>
              <w:rPr>
                <w:rFonts w:cs="Times New Roman"/>
                <w:color w:val="000000"/>
              </w:rPr>
              <w:t>323,570.02</w:t>
            </w:r>
          </w:p>
        </w:tc>
      </w:tr>
      <w:tr w14:paraId="2F988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45" w:type="pct"/>
            <w:vAlign w:val="center"/>
          </w:tcPr>
          <w:p w14:paraId="347B534D">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747" w:type="pct"/>
            <w:vAlign w:val="bottom"/>
          </w:tcPr>
          <w:p w14:paraId="41F42B83">
            <w:pPr>
              <w:jc w:val="right"/>
              <w:textAlignment w:val="bottom"/>
              <w:rPr>
                <w:rFonts w:cs="Times New Roman"/>
              </w:rPr>
            </w:pPr>
            <w:r>
              <w:rPr>
                <w:rFonts w:cs="Times New Roman"/>
                <w:color w:val="000000"/>
              </w:rPr>
              <w:t>49,330,453.03</w:t>
            </w:r>
          </w:p>
        </w:tc>
        <w:tc>
          <w:tcPr>
            <w:tcW w:w="1608" w:type="pct"/>
            <w:vAlign w:val="bottom"/>
          </w:tcPr>
          <w:p w14:paraId="23C802F0">
            <w:pPr>
              <w:jc w:val="right"/>
              <w:textAlignment w:val="bottom"/>
              <w:rPr>
                <w:rFonts w:cs="Times New Roman"/>
              </w:rPr>
            </w:pPr>
            <w:r>
              <w:rPr>
                <w:rFonts w:cs="Times New Roman"/>
                <w:color w:val="000000"/>
              </w:rPr>
              <w:t>64,988,181.85</w:t>
            </w:r>
          </w:p>
        </w:tc>
      </w:tr>
    </w:tbl>
    <w:p w14:paraId="438EC7C5">
      <w:pPr>
        <w:rPr>
          <w:color w:val="000000" w:themeColor="text1"/>
          <w14:textFill>
            <w14:solidFill>
              <w14:schemeClr w14:val="tx1"/>
            </w14:solidFill>
          </w14:textFill>
        </w:rPr>
      </w:pPr>
    </w:p>
    <w:p w14:paraId="489B80C9">
      <w:pPr>
        <w:pStyle w:val="58"/>
        <w:numPr>
          <w:ilvl w:val="3"/>
          <w:numId w:val="5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期末公司已质押的应收票据</w:t>
      </w:r>
    </w:p>
    <w:sdt>
      <w:sdtPr>
        <w:rPr>
          <w:color w:val="000000" w:themeColor="text1"/>
          <w14:textFill>
            <w14:solidFill>
              <w14:schemeClr w14:val="tx1"/>
            </w14:solidFill>
          </w14:textFill>
        </w:rPr>
        <w:alias w:val="是否适用：期末公司已质押的应收票据[双击切换]"/>
        <w:tag w:val="_GBC_3440ef2908e64e51a440106bfa389257"/>
        <w:id w:val="147451907"/>
        <w:placeholder>
          <w:docPart w:val="GBC22222222222222222222222222222"/>
        </w:placeholder>
      </w:sdtPr>
      <w:sdtEndPr>
        <w:rPr>
          <w:color w:val="000000" w:themeColor="text1"/>
          <w14:textFill>
            <w14:solidFill>
              <w14:schemeClr w14:val="tx1"/>
            </w14:solidFill>
          </w14:textFill>
        </w:rPr>
      </w:sdtEndPr>
      <w:sdtContent>
        <w:p w14:paraId="0E48D9E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C966EFC">
      <w:pPr>
        <w:rPr>
          <w:color w:val="000000" w:themeColor="text1"/>
          <w14:textFill>
            <w14:solidFill>
              <w14:schemeClr w14:val="tx1"/>
            </w14:solidFill>
          </w14:textFill>
        </w:rPr>
      </w:pPr>
    </w:p>
    <w:p w14:paraId="5A61EF94">
      <w:pPr>
        <w:pStyle w:val="58"/>
        <w:numPr>
          <w:ilvl w:val="3"/>
          <w:numId w:val="5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期末公司已背书或贴现且在资产负债表日尚未到期的应收票据</w:t>
      </w:r>
    </w:p>
    <w:sdt>
      <w:sdtPr>
        <w:rPr>
          <w:color w:val="000000" w:themeColor="text1"/>
          <w14:textFill>
            <w14:solidFill>
              <w14:schemeClr w14:val="tx1"/>
            </w14:solidFill>
          </w14:textFill>
        </w:rPr>
        <w:alias w:val="是否适用：期末公司已背书或贴现且在资产负债表日尚未到期的应收票据[双击切换]"/>
        <w:tag w:val="_GBC_d04f4c30d18f498d986ce6c934ec761c"/>
        <w:id w:val="814307258"/>
      </w:sdtPr>
      <w:sdtEndPr>
        <w:rPr>
          <w:color w:val="000000" w:themeColor="text1"/>
          <w14:textFill>
            <w14:solidFill>
              <w14:schemeClr w14:val="tx1"/>
            </w14:solidFill>
          </w14:textFill>
        </w:rPr>
      </w:sdtEndPr>
      <w:sdtContent>
        <w:p w14:paraId="6CF85BB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49AE0517">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期末公司已背书或贴现且在资产负债表日尚未到期的应收票据"/>
          <w:tag w:val="_GBC_1a006471fd2344fca1e27a6484895b0f"/>
          <w:id w:val="-957868581"/>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期末公司已背书或贴现且在资产负债表日尚未到期的应收票据"/>
          <w:tag w:val="_GBC_394a26f35e05433d88a516241a51f5ba"/>
          <w:id w:val="-78033023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6"/>
        <w:gridCol w:w="3050"/>
        <w:gridCol w:w="3123"/>
      </w:tblGrid>
      <w:tr w14:paraId="1EF69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7f8eb653a3a24ed29cc795bb9a08fb8e"/>
            <w:id w:val="-1537964054"/>
          </w:sdtPr>
          <w:sdtEndPr>
            <w:rPr>
              <w:rFonts w:cs="Times New Roman"/>
            </w:rPr>
          </w:sdtEndPr>
          <w:sdtContent>
            <w:tc>
              <w:tcPr>
                <w:tcW w:w="1589" w:type="pct"/>
                <w:vAlign w:val="center"/>
              </w:tcPr>
              <w:p w14:paraId="3316316F">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96af9fcfe145402ea8d401a1f6c0d081"/>
            <w:id w:val="1819455217"/>
          </w:sdtPr>
          <w:sdtEndPr>
            <w:rPr>
              <w:rFonts w:cs="Times New Roman"/>
            </w:rPr>
          </w:sdtEndPr>
          <w:sdtContent>
            <w:tc>
              <w:tcPr>
                <w:tcW w:w="1685" w:type="pct"/>
                <w:vAlign w:val="center"/>
              </w:tcPr>
              <w:p w14:paraId="29F18A44">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期末终止确认金额</w:t>
                </w:r>
              </w:p>
            </w:tc>
          </w:sdtContent>
        </w:sdt>
        <w:sdt>
          <w:sdtPr>
            <w:rPr>
              <w:rFonts w:cs="Times New Roman"/>
            </w:rPr>
            <w:tag w:val="_PLD_2efea7e570304a7e9fb54f87b3247807"/>
            <w:id w:val="-993565084"/>
          </w:sdtPr>
          <w:sdtEndPr>
            <w:rPr>
              <w:rFonts w:cs="Times New Roman"/>
            </w:rPr>
          </w:sdtEndPr>
          <w:sdtContent>
            <w:tc>
              <w:tcPr>
                <w:tcW w:w="1725" w:type="pct"/>
                <w:vAlign w:val="center"/>
              </w:tcPr>
              <w:p w14:paraId="7DB90008">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期末未终止确认金额</w:t>
                </w:r>
              </w:p>
            </w:tc>
          </w:sdtContent>
        </w:sdt>
      </w:tr>
      <w:tr w14:paraId="05C82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cac37b72ff744837a73dde57c7667850"/>
            <w:id w:val="1673759432"/>
          </w:sdtPr>
          <w:sdtEndPr>
            <w:rPr>
              <w:rFonts w:cs="Times New Roman"/>
            </w:rPr>
          </w:sdtEndPr>
          <w:sdtContent>
            <w:tc>
              <w:tcPr>
                <w:tcW w:w="1589" w:type="pct"/>
              </w:tcPr>
              <w:p w14:paraId="30FC1F93">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银行承兑票据</w:t>
                </w:r>
              </w:p>
            </w:tc>
          </w:sdtContent>
        </w:sdt>
        <w:tc>
          <w:tcPr>
            <w:tcW w:w="1685" w:type="pct"/>
            <w:vAlign w:val="bottom"/>
          </w:tcPr>
          <w:p w14:paraId="7D95CD99">
            <w:pPr>
              <w:jc w:val="right"/>
              <w:rPr>
                <w:rFonts w:cs="Times New Roman"/>
              </w:rPr>
            </w:pPr>
            <w:r>
              <w:rPr>
                <w:rFonts w:cs="Times New Roman"/>
              </w:rPr>
              <w:t>69,529,172.24</w:t>
            </w:r>
          </w:p>
        </w:tc>
        <w:tc>
          <w:tcPr>
            <w:tcW w:w="1725" w:type="pct"/>
          </w:tcPr>
          <w:p w14:paraId="6C51505A">
            <w:pPr>
              <w:jc w:val="right"/>
              <w:rPr>
                <w:rFonts w:cs="Times New Roman"/>
              </w:rPr>
            </w:pPr>
          </w:p>
        </w:tc>
      </w:tr>
      <w:tr w14:paraId="5E73E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57056e05394444c786935252d8a3c35e"/>
            <w:id w:val="1799336690"/>
          </w:sdtPr>
          <w:sdtEndPr>
            <w:rPr>
              <w:rFonts w:cs="Times New Roman"/>
            </w:rPr>
          </w:sdtEndPr>
          <w:sdtContent>
            <w:tc>
              <w:tcPr>
                <w:tcW w:w="1589" w:type="pct"/>
              </w:tcPr>
              <w:p w14:paraId="24E0BF93">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商业承兑票据</w:t>
                </w:r>
              </w:p>
            </w:tc>
          </w:sdtContent>
        </w:sdt>
        <w:tc>
          <w:tcPr>
            <w:tcW w:w="1685" w:type="pct"/>
          </w:tcPr>
          <w:p w14:paraId="63CCE958">
            <w:pPr>
              <w:jc w:val="right"/>
              <w:rPr>
                <w:rFonts w:cs="Times New Roman"/>
              </w:rPr>
            </w:pPr>
          </w:p>
        </w:tc>
        <w:tc>
          <w:tcPr>
            <w:tcW w:w="1725" w:type="pct"/>
            <w:vAlign w:val="bottom"/>
          </w:tcPr>
          <w:p w14:paraId="0773F331">
            <w:pPr>
              <w:jc w:val="right"/>
              <w:rPr>
                <w:rFonts w:cs="Times New Roman"/>
              </w:rPr>
            </w:pPr>
            <w:r>
              <w:rPr>
                <w:rFonts w:cs="Times New Roman"/>
              </w:rPr>
              <w:t>140,000.00</w:t>
            </w:r>
          </w:p>
        </w:tc>
      </w:tr>
      <w:sdt>
        <w:sdtPr>
          <w:rPr>
            <w:rFonts w:cs="Times New Roman"/>
            <w:color w:val="000000" w:themeColor="text1"/>
            <w14:textFill>
              <w14:solidFill>
                <w14:schemeClr w14:val="tx1"/>
              </w14:solidFill>
            </w14:textFill>
          </w:rPr>
          <w:alias w:val="公司已背书或贴现且在资产负债表日尚未到期的应收票据明细"/>
          <w:tag w:val="_GBC_144521bcfdae44859a355694514eb920"/>
          <w:id w:val="1555894110"/>
          <w:placeholder>
            <w:docPart w:val="{81cd5e11-2568-4bb7-ba75-1405636d41fb}"/>
          </w:placeholder>
        </w:sdtPr>
        <w:sdtEndPr>
          <w:rPr>
            <w:rFonts w:cs="Times New Roman"/>
            <w:color w:val="000000" w:themeColor="text1"/>
            <w14:textFill>
              <w14:solidFill>
                <w14:schemeClr w14:val="tx1"/>
              </w14:solidFill>
            </w14:textFill>
          </w:rPr>
        </w:sdtEndPr>
        <w:sdtContent>
          <w:tr w14:paraId="657C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pct"/>
              </w:tcPr>
              <w:p w14:paraId="4775F248">
                <w:pPr>
                  <w:rPr>
                    <w:rFonts w:cs="Times New Roman"/>
                  </w:rPr>
                </w:pPr>
                <w:r>
                  <w:rPr>
                    <w:rFonts w:cs="Times New Roman"/>
                  </w:rPr>
                  <w:t>财务公司承兑票据</w:t>
                </w:r>
              </w:p>
            </w:tc>
            <w:tc>
              <w:tcPr>
                <w:tcW w:w="1685" w:type="pct"/>
                <w:vAlign w:val="bottom"/>
              </w:tcPr>
              <w:p w14:paraId="60F2F767">
                <w:pPr>
                  <w:jc w:val="right"/>
                  <w:rPr>
                    <w:rFonts w:cs="Times New Roman"/>
                  </w:rPr>
                </w:pPr>
                <w:r>
                  <w:rPr>
                    <w:rFonts w:cs="Times New Roman"/>
                  </w:rPr>
                  <w:t>15,433,311.96</w:t>
                </w:r>
              </w:p>
            </w:tc>
            <w:tc>
              <w:tcPr>
                <w:tcW w:w="1725" w:type="pct"/>
              </w:tcPr>
              <w:p w14:paraId="0F0F232F">
                <w:pPr>
                  <w:jc w:val="right"/>
                  <w:rPr>
                    <w:rFonts w:cs="Times New Roman"/>
                  </w:rPr>
                </w:pPr>
              </w:p>
            </w:tc>
          </w:tr>
        </w:sdtContent>
      </w:sdt>
      <w:sdt>
        <w:sdtPr>
          <w:rPr>
            <w:rFonts w:cs="Times New Roman"/>
          </w:rPr>
          <w:alias w:val="公司已背书或贴现且在资产负债表日尚未到期的应收票据明细"/>
          <w:tag w:val="_GBC_144521bcfdae44859a355694514eb920"/>
          <w:id w:val="1711763917"/>
          <w:placeholder>
            <w:docPart w:val="{81cd5e11-2568-4bb7-ba75-1405636d41fb}"/>
          </w:placeholder>
        </w:sdtPr>
        <w:sdtEndPr>
          <w:rPr>
            <w:rFonts w:cs="Times New Roman"/>
          </w:rPr>
        </w:sdtEndPr>
        <w:sdtContent>
          <w:tr w14:paraId="13650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fe9a2327d66e4c329946796965b1c500"/>
                <w:id w:val="-699776505"/>
              </w:sdtPr>
              <w:sdtEndPr>
                <w:rPr>
                  <w:rFonts w:cs="Times New Roman"/>
                </w:rPr>
              </w:sdtEndPr>
              <w:sdtContent>
                <w:tc>
                  <w:tcPr>
                    <w:tcW w:w="1589" w:type="pct"/>
                    <w:vAlign w:val="center"/>
                  </w:tcPr>
                  <w:p w14:paraId="2A1293B8">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c>
              <w:tcPr>
                <w:tcW w:w="1685" w:type="pct"/>
                <w:vAlign w:val="bottom"/>
              </w:tcPr>
              <w:p w14:paraId="41EAFBA5">
                <w:pPr>
                  <w:jc w:val="right"/>
                  <w:rPr>
                    <w:rFonts w:cs="Times New Roman"/>
                  </w:rPr>
                </w:pPr>
                <w:r>
                  <w:rPr>
                    <w:rFonts w:cs="Times New Roman"/>
                  </w:rPr>
                  <w:t>84,962,484.20</w:t>
                </w:r>
              </w:p>
            </w:tc>
            <w:tc>
              <w:tcPr>
                <w:tcW w:w="1725" w:type="pct"/>
                <w:vAlign w:val="bottom"/>
              </w:tcPr>
              <w:p w14:paraId="3AE36308">
                <w:pPr>
                  <w:jc w:val="right"/>
                  <w:rPr>
                    <w:rFonts w:cs="Times New Roman"/>
                  </w:rPr>
                </w:pPr>
                <w:r>
                  <w:rPr>
                    <w:rFonts w:cs="Times New Roman"/>
                  </w:rPr>
                  <w:t>140,000.00</w:t>
                </w:r>
              </w:p>
            </w:tc>
          </w:tr>
        </w:sdtContent>
      </w:sdt>
    </w:tbl>
    <w:p w14:paraId="0B5AC427">
      <w:pPr>
        <w:rPr>
          <w:rFonts w:cs="Times New Roman"/>
          <w:color w:val="000000" w:themeColor="text1"/>
          <w:kern w:val="2"/>
          <w14:textFill>
            <w14:solidFill>
              <w14:schemeClr w14:val="tx1"/>
            </w14:solidFill>
          </w14:textFill>
        </w:rPr>
      </w:pPr>
    </w:p>
    <w:p w14:paraId="00D09618">
      <w:pPr>
        <w:pStyle w:val="58"/>
        <w:numPr>
          <w:ilvl w:val="3"/>
          <w:numId w:val="55"/>
        </w:numPr>
        <w:rPr>
          <w:rFonts w:ascii="宋体" w:hAnsi="宋体"/>
          <w:color w:val="000000" w:themeColor="text1"/>
          <w14:textFill>
            <w14:solidFill>
              <w14:schemeClr w14:val="tx1"/>
            </w14:solidFill>
          </w14:textFill>
        </w:rPr>
      </w:pPr>
      <w:bookmarkStart w:id="191" w:name="_Hlk10466572"/>
      <w:r>
        <w:rPr>
          <w:rFonts w:hint="eastAsia" w:ascii="宋体" w:hAnsi="宋体"/>
          <w:color w:val="000000" w:themeColor="text1"/>
          <w14:textFill>
            <w14:solidFill>
              <w14:schemeClr w14:val="tx1"/>
            </w14:solidFill>
          </w14:textFill>
        </w:rPr>
        <w:t>按坏账计提方法分类披露</w:t>
      </w:r>
    </w:p>
    <w:sdt>
      <w:sdtPr>
        <w:rPr>
          <w:color w:val="000000" w:themeColor="text1"/>
          <w14:textFill>
            <w14:solidFill>
              <w14:schemeClr w14:val="tx1"/>
            </w14:solidFill>
          </w14:textFill>
        </w:rPr>
        <w:alias w:val="是否适用：应收票据按坏账计提方法分类披露[双击切换]"/>
        <w:tag w:val="_GBC_064ae6cf552d47d6abf4ad2b5c55d254"/>
        <w:id w:val="147467360"/>
        <w:placeholder>
          <w:docPart w:val="GBC22222222222222222222222222222"/>
        </w:placeholder>
      </w:sdtPr>
      <w:sdtEndPr>
        <w:rPr>
          <w:color w:val="000000" w:themeColor="text1"/>
          <w14:textFill>
            <w14:solidFill>
              <w14:schemeClr w14:val="tx1"/>
            </w14:solidFill>
          </w14:textFill>
        </w:rPr>
      </w:sdtEndPr>
      <w:sdtContent>
        <w:p w14:paraId="26346D3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901A4BA">
      <w:pPr>
        <w:rPr>
          <w:color w:val="000000" w:themeColor="text1"/>
          <w14:textFill>
            <w14:solidFill>
              <w14:schemeClr w14:val="tx1"/>
            </w14:solidFill>
          </w14:textFill>
        </w:rPr>
      </w:pPr>
      <w:bookmarkStart w:id="192" w:name="_Hlk533511527"/>
    </w:p>
    <w:bookmarkEnd w:id="191"/>
    <w:bookmarkEnd w:id="192"/>
    <w:p w14:paraId="46DFD2BF">
      <w:pPr>
        <w:rPr>
          <w:color w:val="000000" w:themeColor="text1"/>
          <w14:textFill>
            <w14:solidFill>
              <w14:schemeClr w14:val="tx1"/>
            </w14:solidFill>
          </w14:textFill>
        </w:rPr>
      </w:pPr>
      <w:bookmarkStart w:id="193" w:name="_Hlk10466593"/>
      <w:bookmarkStart w:id="194" w:name="_Hlk10466603"/>
      <w:r>
        <w:rPr>
          <w:rFonts w:hint="eastAsia"/>
          <w:color w:val="000000" w:themeColor="text1"/>
          <w14:textFill>
            <w14:solidFill>
              <w14:schemeClr w14:val="tx1"/>
            </w14:solidFill>
          </w14:textFill>
        </w:rPr>
        <w:t>按单项计提坏账准备：</w:t>
      </w:r>
      <w:bookmarkEnd w:id="193"/>
    </w:p>
    <w:sdt>
      <w:sdtPr>
        <w:rPr>
          <w:rFonts w:hint="eastAsia"/>
          <w:color w:val="000000" w:themeColor="text1"/>
          <w14:textFill>
            <w14:solidFill>
              <w14:schemeClr w14:val="tx1"/>
            </w14:solidFill>
          </w14:textFill>
        </w:rPr>
        <w:alias w:val="是否适用：按单项计提坏账准备的应收票据详细情况[双击切换]"/>
        <w:tag w:val="_GBC_90335c20d2434e43b63dbeddbebca5f6"/>
        <w:id w:val="147478504"/>
        <w:placeholder>
          <w:docPart w:val="GBC22222222222222222222222222222"/>
        </w:placeholder>
      </w:sdtPr>
      <w:sdtEndPr>
        <w:rPr>
          <w:rFonts w:hint="eastAsia"/>
          <w:color w:val="000000" w:themeColor="text1"/>
          <w14:textFill>
            <w14:solidFill>
              <w14:schemeClr w14:val="tx1"/>
            </w14:solidFill>
          </w14:textFill>
        </w:rPr>
      </w:sdtEndPr>
      <w:sdtContent>
        <w:p w14:paraId="617AE32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352AB95">
      <w:pPr>
        <w:ind w:right="210"/>
        <w:rPr>
          <w:color w:val="000000" w:themeColor="text1"/>
          <w14:textFill>
            <w14:solidFill>
              <w14:schemeClr w14:val="tx1"/>
            </w14:solidFill>
          </w14:textFill>
        </w:rPr>
      </w:pPr>
      <w:bookmarkStart w:id="195" w:name="_Hlk533597423"/>
    </w:p>
    <w:bookmarkEnd w:id="194"/>
    <w:bookmarkEnd w:id="195"/>
    <w:p w14:paraId="48CFE4ED">
      <w:pPr>
        <w:rPr>
          <w:rFonts w:cstheme="minorBidi"/>
          <w:bCs w:val="0"/>
          <w:color w:val="000000" w:themeColor="text1"/>
          <w:szCs w:val="22"/>
          <w14:textFill>
            <w14:solidFill>
              <w14:schemeClr w14:val="tx1"/>
            </w14:solidFill>
          </w14:textFill>
        </w:rPr>
      </w:pPr>
      <w:bookmarkStart w:id="196" w:name="_Hlk10466625"/>
      <w:bookmarkStart w:id="197" w:name="_Hlk10466636"/>
      <w:r>
        <w:rPr>
          <w:rFonts w:hint="eastAsia" w:cstheme="minorBidi"/>
          <w:color w:val="000000" w:themeColor="text1"/>
          <w:szCs w:val="22"/>
          <w14:textFill>
            <w14:solidFill>
              <w14:schemeClr w14:val="tx1"/>
            </w14:solidFill>
          </w14:textFill>
        </w:rPr>
        <w:t>按组合计提坏账准备：</w:t>
      </w:r>
      <w:bookmarkEnd w:id="196"/>
    </w:p>
    <w:sdt>
      <w:sdtPr>
        <w:rPr>
          <w:rFonts w:hint="eastAsia" w:cstheme="minorBidi"/>
          <w:bCs w:val="0"/>
          <w:color w:val="000000" w:themeColor="text1"/>
          <w:szCs w:val="22"/>
          <w14:textFill>
            <w14:solidFill>
              <w14:schemeClr w14:val="tx1"/>
            </w14:solidFill>
          </w14:textFill>
        </w:rPr>
        <w:alias w:val="是否适用：按组合计提坏账准备的应收票据详细情况[双击切换]"/>
        <w:tag w:val="_GBC_2b00fe7228b14b11bdb374e735777f02"/>
        <w:id w:val="147460917"/>
        <w:placeholder>
          <w:docPart w:val="GBC22222222222222222222222222222"/>
        </w:placeholder>
      </w:sdtPr>
      <w:sdtEndPr>
        <w:rPr>
          <w:rFonts w:hint="eastAsia" w:cstheme="minorBidi"/>
          <w:bCs w:val="0"/>
          <w:color w:val="000000" w:themeColor="text1"/>
          <w:szCs w:val="22"/>
          <w14:textFill>
            <w14:solidFill>
              <w14:schemeClr w14:val="tx1"/>
            </w14:solidFill>
          </w14:textFill>
        </w:rPr>
      </w:sdtEndPr>
      <w:sdtContent>
        <w:p w14:paraId="5ED13F30">
          <w:pPr>
            <w:rPr>
              <w:color w:val="000000" w:themeColor="text1"/>
              <w14:textFill>
                <w14:solidFill>
                  <w14:schemeClr w14:val="tx1"/>
                </w14:solidFill>
              </w14:textFill>
            </w:rPr>
          </w:pPr>
          <w:r>
            <w:rPr>
              <w:rFonts w:ascii="宋体" w:hAnsi="宋体" w:cstheme="minorBidi"/>
              <w:bCs w:val="0"/>
              <w:color w:val="000000" w:themeColor="text1"/>
              <w:szCs w:val="22"/>
              <w14:textFill>
                <w14:solidFill>
                  <w14:schemeClr w14:val="tx1"/>
                </w14:solidFill>
              </w14:textFill>
            </w:rPr>
            <w:fldChar w:fldCharType="begin"/>
          </w:r>
          <w:r>
            <w:rPr>
              <w:rFonts w:hint="eastAsia" w:ascii="宋体" w:hAnsi="宋体" w:cstheme="minorBidi"/>
              <w:color w:val="000000" w:themeColor="text1"/>
              <w:szCs w:val="22"/>
              <w14:textFill>
                <w14:solidFill>
                  <w14:schemeClr w14:val="tx1"/>
                </w14:solidFill>
              </w14:textFill>
            </w:rPr>
            <w:instrText xml:space="preserve"> MACROBUTTON  SnrToggleCheckbox □适用 </w:instrText>
          </w:r>
          <w:r>
            <w:rPr>
              <w:rFonts w:ascii="宋体" w:hAnsi="宋体" w:cstheme="minorBidi"/>
              <w:bCs w:val="0"/>
              <w:color w:val="000000" w:themeColor="text1"/>
              <w:szCs w:val="22"/>
              <w14:textFill>
                <w14:solidFill>
                  <w14:schemeClr w14:val="tx1"/>
                </w14:solidFill>
              </w14:textFill>
            </w:rPr>
            <w:fldChar w:fldCharType="end"/>
          </w:r>
          <w:r>
            <w:rPr>
              <w:rFonts w:ascii="宋体" w:hAnsi="宋体" w:cstheme="minorBidi"/>
              <w:bCs w:val="0"/>
              <w:color w:val="000000" w:themeColor="text1"/>
              <w:szCs w:val="22"/>
              <w14:textFill>
                <w14:solidFill>
                  <w14:schemeClr w14:val="tx1"/>
                </w14:solidFill>
              </w14:textFill>
            </w:rPr>
            <w:fldChar w:fldCharType="begin"/>
          </w:r>
          <w:r>
            <w:rPr>
              <w:rFonts w:hint="eastAsia" w:ascii="宋体" w:hAnsi="宋体" w:cstheme="minorBidi"/>
              <w:color w:val="000000" w:themeColor="text1"/>
              <w:szCs w:val="22"/>
              <w14:textFill>
                <w14:solidFill>
                  <w14:schemeClr w14:val="tx1"/>
                </w14:solidFill>
              </w14:textFill>
            </w:rPr>
            <w:instrText xml:space="preserve"> MACROBUTTON  SnrToggleCheckbox √不适用 </w:instrText>
          </w:r>
          <w:r>
            <w:rPr>
              <w:rFonts w:ascii="宋体" w:hAnsi="宋体" w:cstheme="minorBidi"/>
              <w:bCs w:val="0"/>
              <w:color w:val="000000" w:themeColor="text1"/>
              <w:szCs w:val="22"/>
              <w14:textFill>
                <w14:solidFill>
                  <w14:schemeClr w14:val="tx1"/>
                </w14:solidFill>
              </w14:textFill>
            </w:rPr>
            <w:fldChar w:fldCharType="end"/>
          </w:r>
        </w:p>
      </w:sdtContent>
    </w:sdt>
    <w:bookmarkEnd w:id="197"/>
    <w:p w14:paraId="577E03DD">
      <w:pPr>
        <w:rPr>
          <w:rFonts w:cstheme="minorBidi"/>
          <w:bCs w:val="0"/>
          <w:color w:val="000000" w:themeColor="text1"/>
          <w:szCs w:val="22"/>
          <w14:textFill>
            <w14:solidFill>
              <w14:schemeClr w14:val="tx1"/>
            </w14:solidFill>
          </w14:textFill>
        </w:rPr>
      </w:pPr>
      <w:bookmarkStart w:id="198" w:name="_Hlk533601037"/>
      <w:bookmarkEnd w:id="198"/>
    </w:p>
    <w:p w14:paraId="43B6CE03">
      <w:pPr>
        <w:rPr>
          <w:rFonts w:cstheme="minorBidi"/>
          <w:bCs w:val="0"/>
          <w:color w:val="000000" w:themeColor="text1"/>
          <w:szCs w:val="22"/>
          <w14:textFill>
            <w14:solidFill>
              <w14:schemeClr w14:val="tx1"/>
            </w14:solidFill>
          </w14:textFill>
        </w:rPr>
      </w:pPr>
      <w:bookmarkStart w:id="199" w:name="_Hlk167884917"/>
      <w:bookmarkStart w:id="200" w:name="_Hlk153356892"/>
      <w:r>
        <w:rPr>
          <w:rFonts w:hint="eastAsia" w:cstheme="minorBidi"/>
          <w:color w:val="000000" w:themeColor="text1"/>
          <w:szCs w:val="22"/>
          <w14:textFill>
            <w14:solidFill>
              <w14:schemeClr w14:val="tx1"/>
            </w14:solidFill>
          </w14:textFill>
        </w:rPr>
        <w:t>按预期信用损失一般模型计提坏账准备</w:t>
      </w:r>
    </w:p>
    <w:sdt>
      <w:sdtPr>
        <w:rPr>
          <w:rFonts w:cstheme="minorBidi"/>
          <w:bCs w:val="0"/>
          <w:color w:val="000000" w:themeColor="text1"/>
          <w:szCs w:val="22"/>
          <w14:textFill>
            <w14:solidFill>
              <w14:schemeClr w14:val="tx1"/>
            </w14:solidFill>
          </w14:textFill>
        </w:rPr>
        <w:alias w:val="是否适用：按预期信用损失一般模型计提坏账准备[双击切换]"/>
        <w:tag w:val="_GBC_843d776745f34ed8a0f1956fcb3af042"/>
        <w:id w:val="147454195"/>
        <w:placeholder>
          <w:docPart w:val="GBC22222222222222222222222222222"/>
        </w:placeholder>
      </w:sdtPr>
      <w:sdtEndPr>
        <w:rPr>
          <w:rFonts w:cstheme="minorBidi"/>
          <w:bCs w:val="0"/>
          <w:color w:val="000000" w:themeColor="text1"/>
          <w:szCs w:val="22"/>
          <w14:textFill>
            <w14:solidFill>
              <w14:schemeClr w14:val="tx1"/>
            </w14:solidFill>
          </w14:textFill>
        </w:rPr>
      </w:sdtEndPr>
      <w:sdtContent>
        <w:p w14:paraId="14AC35E0">
          <w:pPr>
            <w:autoSpaceDE w:val="0"/>
            <w:autoSpaceDN w:val="0"/>
            <w:adjustRightInd w:val="0"/>
            <w:ind w:right="105" w:rightChars="50"/>
            <w:rPr>
              <w:rFonts w:cstheme="minorBidi"/>
              <w:bCs w:val="0"/>
              <w:color w:val="000000" w:themeColor="text1"/>
              <w:szCs w:val="22"/>
              <w14:textFill>
                <w14:solidFill>
                  <w14:schemeClr w14:val="tx1"/>
                </w14:solidFill>
              </w14:textFill>
            </w:rPr>
          </w:pPr>
          <w:r>
            <w:rPr>
              <w:rFonts w:ascii="宋体" w:hAnsi="宋体" w:cstheme="minorBidi"/>
              <w:bCs w:val="0"/>
              <w:color w:val="000000" w:themeColor="text1"/>
              <w:szCs w:val="22"/>
              <w14:textFill>
                <w14:solidFill>
                  <w14:schemeClr w14:val="tx1"/>
                </w14:solidFill>
              </w14:textFill>
            </w:rPr>
            <w:fldChar w:fldCharType="begin"/>
          </w:r>
          <w:r>
            <w:rPr>
              <w:rFonts w:hint="eastAsia" w:ascii="宋体" w:hAnsi="宋体" w:cstheme="minorBidi"/>
              <w:color w:val="000000" w:themeColor="text1"/>
              <w:szCs w:val="22"/>
              <w14:textFill>
                <w14:solidFill>
                  <w14:schemeClr w14:val="tx1"/>
                </w14:solidFill>
              </w14:textFill>
            </w:rPr>
            <w:instrText xml:space="preserve"> MACROBUTTON  SnrToggleCheckbox □适用 </w:instrText>
          </w:r>
          <w:r>
            <w:rPr>
              <w:rFonts w:ascii="宋体" w:hAnsi="宋体" w:cstheme="minorBidi"/>
              <w:bCs w:val="0"/>
              <w:color w:val="000000" w:themeColor="text1"/>
              <w:szCs w:val="22"/>
              <w14:textFill>
                <w14:solidFill>
                  <w14:schemeClr w14:val="tx1"/>
                </w14:solidFill>
              </w14:textFill>
            </w:rPr>
            <w:fldChar w:fldCharType="end"/>
          </w:r>
          <w:r>
            <w:rPr>
              <w:rFonts w:ascii="宋体" w:hAnsi="宋体" w:cstheme="minorBidi"/>
              <w:bCs w:val="0"/>
              <w:color w:val="000000" w:themeColor="text1"/>
              <w:szCs w:val="22"/>
              <w14:textFill>
                <w14:solidFill>
                  <w14:schemeClr w14:val="tx1"/>
                </w14:solidFill>
              </w14:textFill>
            </w:rPr>
            <w:fldChar w:fldCharType="begin"/>
          </w:r>
          <w:r>
            <w:rPr>
              <w:rFonts w:hint="eastAsia" w:ascii="宋体" w:hAnsi="宋体" w:cstheme="minorBidi"/>
              <w:color w:val="000000" w:themeColor="text1"/>
              <w:szCs w:val="22"/>
              <w14:textFill>
                <w14:solidFill>
                  <w14:schemeClr w14:val="tx1"/>
                </w14:solidFill>
              </w14:textFill>
            </w:rPr>
            <w:instrText xml:space="preserve"> MACROBUTTON  SnrToggleCheckbox √不适用 </w:instrText>
          </w:r>
          <w:r>
            <w:rPr>
              <w:rFonts w:ascii="宋体" w:hAnsi="宋体" w:cstheme="minorBidi"/>
              <w:bCs w:val="0"/>
              <w:color w:val="000000" w:themeColor="text1"/>
              <w:szCs w:val="22"/>
              <w14:textFill>
                <w14:solidFill>
                  <w14:schemeClr w14:val="tx1"/>
                </w14:solidFill>
              </w14:textFill>
            </w:rPr>
            <w:fldChar w:fldCharType="end"/>
          </w:r>
        </w:p>
      </w:sdtContent>
    </w:sdt>
    <w:p w14:paraId="6FB257F2">
      <w:pPr>
        <w:autoSpaceDE w:val="0"/>
        <w:autoSpaceDN w:val="0"/>
        <w:adjustRightInd w:val="0"/>
        <w:ind w:right="105" w:rightChars="50"/>
        <w:rPr>
          <w:rFonts w:cstheme="minorBidi"/>
          <w:bCs w:val="0"/>
          <w:color w:val="000000" w:themeColor="text1"/>
          <w:szCs w:val="22"/>
          <w14:textFill>
            <w14:solidFill>
              <w14:schemeClr w14:val="tx1"/>
            </w14:solidFill>
          </w14:textFill>
        </w:rPr>
      </w:pPr>
    </w:p>
    <w:p w14:paraId="16D9A578">
      <w:pPr>
        <w:autoSpaceDE w:val="0"/>
        <w:autoSpaceDN w:val="0"/>
        <w:adjustRightInd w:val="0"/>
        <w:ind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各阶段划分依据和坏账准备计提比例</w:t>
      </w:r>
    </w:p>
    <w:sdt>
      <w:sdtPr>
        <w:rPr>
          <w:rFonts w:cs="Times New Roman"/>
          <w:bCs w:val="0"/>
          <w:color w:val="000000" w:themeColor="text1"/>
          <w:szCs w:val="22"/>
          <w14:textFill>
            <w14:solidFill>
              <w14:schemeClr w14:val="tx1"/>
            </w14:solidFill>
          </w14:textFill>
        </w:rPr>
        <w:alias w:val="各阶段划分依据和坏账准备计提比例"/>
        <w:tag w:val="_GBC_0c92b3ffc361499bb76814db60f3df97"/>
        <w:id w:val="147463554"/>
        <w:placeholder>
          <w:docPart w:val="GBC22222222222222222222222222222"/>
        </w:placeholder>
      </w:sdtPr>
      <w:sdtEndPr>
        <w:rPr>
          <w:rFonts w:cs="Times New Roman"/>
          <w:bCs w:val="0"/>
          <w:color w:val="000000" w:themeColor="text1"/>
          <w:szCs w:val="22"/>
          <w14:textFill>
            <w14:solidFill>
              <w14:schemeClr w14:val="tx1"/>
            </w14:solidFill>
          </w14:textFill>
        </w:rPr>
      </w:sdtEndPr>
      <w:sdtContent>
        <w:p w14:paraId="5DA738CD">
          <w:pPr>
            <w:rPr>
              <w:rFonts w:cs="Times New Roman"/>
              <w:bCs w:val="0"/>
              <w:color w:val="000000" w:themeColor="text1"/>
              <w:szCs w:val="22"/>
              <w14:textFill>
                <w14:solidFill>
                  <w14:schemeClr w14:val="tx1"/>
                </w14:solidFill>
              </w14:textFill>
            </w:rPr>
          </w:pPr>
          <w:r>
            <w:rPr>
              <w:rFonts w:hint="eastAsia" w:cs="Times New Roman"/>
              <w:bCs w:val="0"/>
              <w:color w:val="000000" w:themeColor="text1"/>
              <w:szCs w:val="22"/>
              <w14:textFill>
                <w14:solidFill>
                  <w14:schemeClr w14:val="tx1"/>
                </w14:solidFill>
              </w14:textFill>
            </w:rPr>
            <w:t>无</w:t>
          </w:r>
        </w:p>
      </w:sdtContent>
    </w:sdt>
    <w:p w14:paraId="66EA7C41">
      <w:pPr>
        <w:rPr>
          <w:rFonts w:asciiTheme="minorHAnsi" w:hAnsiTheme="minorHAnsi" w:cstheme="minorBidi"/>
          <w:b/>
          <w:bCs w:val="0"/>
          <w:color w:val="000000" w:themeColor="text1"/>
          <w:szCs w:val="22"/>
          <w14:textFill>
            <w14:solidFill>
              <w14:schemeClr w14:val="tx1"/>
            </w14:solidFill>
          </w14:textFill>
        </w:rPr>
      </w:pPr>
    </w:p>
    <w:p w14:paraId="00A0C99E">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对本期发生损失准备变动的应收票据账面余额显著变动的情况说明：</w:t>
      </w:r>
    </w:p>
    <w:sdt>
      <w:sdtPr>
        <w:rPr>
          <w:color w:val="000000" w:themeColor="text1"/>
          <w14:textFill>
            <w14:solidFill>
              <w14:schemeClr w14:val="tx1"/>
            </w14:solidFill>
          </w14:textFill>
        </w:rPr>
        <w:alias w:val="是否适用：对本期发生损失准备变动的账面余额显著变动的情况说明[双击切换]"/>
        <w:tag w:val="_GBC_58cb241b61cd42d1a0d769cec83b1516"/>
        <w:id w:val="147452667"/>
        <w:placeholder>
          <w:docPart w:val="GBC22222222222222222222222222222"/>
        </w:placeholder>
      </w:sdtPr>
      <w:sdtEndPr>
        <w:rPr>
          <w:color w:val="000000" w:themeColor="text1"/>
          <w14:textFill>
            <w14:solidFill>
              <w14:schemeClr w14:val="tx1"/>
            </w14:solidFill>
          </w14:textFill>
        </w:rPr>
      </w:sdtEndPr>
      <w:sdtContent>
        <w:p w14:paraId="08EC2E8A">
          <w:pPr>
            <w:autoSpaceDE w:val="0"/>
            <w:autoSpaceDN w:val="0"/>
            <w:adjustRightInd w:val="0"/>
            <w:ind w:right="105" w:rightChars="5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199"/>
    <w:bookmarkEnd w:id="200"/>
    <w:p w14:paraId="45474A0F">
      <w:pPr>
        <w:ind w:right="210"/>
        <w:rPr>
          <w:color w:val="000000" w:themeColor="text1"/>
          <w14:textFill>
            <w14:solidFill>
              <w14:schemeClr w14:val="tx1"/>
            </w14:solidFill>
          </w14:textFill>
        </w:rPr>
      </w:pPr>
    </w:p>
    <w:p w14:paraId="207DB1EF">
      <w:pPr>
        <w:pStyle w:val="58"/>
        <w:numPr>
          <w:ilvl w:val="3"/>
          <w:numId w:val="55"/>
        </w:numPr>
        <w:rPr>
          <w:rFonts w:ascii="宋体" w:hAnsi="宋体"/>
          <w:color w:val="000000" w:themeColor="text1"/>
          <w14:textFill>
            <w14:solidFill>
              <w14:schemeClr w14:val="tx1"/>
            </w14:solidFill>
          </w14:textFill>
        </w:rPr>
      </w:pPr>
      <w:bookmarkStart w:id="201" w:name="_Hlk167885031"/>
      <w:bookmarkStart w:id="202" w:name="_Hlk532980547"/>
      <w:bookmarkStart w:id="203" w:name="_Hlk154148795"/>
      <w:r>
        <w:rPr>
          <w:rFonts w:hint="eastAsia" w:ascii="宋体" w:hAnsi="宋体"/>
          <w:color w:val="000000" w:themeColor="text1"/>
          <w14:textFill>
            <w14:solidFill>
              <w14:schemeClr w14:val="tx1"/>
            </w14:solidFill>
          </w14:textFill>
        </w:rPr>
        <w:t>坏账准备的情况</w:t>
      </w:r>
    </w:p>
    <w:sdt>
      <w:sdtPr>
        <w:rPr>
          <w:color w:val="000000" w:themeColor="text1"/>
          <w14:textFill>
            <w14:solidFill>
              <w14:schemeClr w14:val="tx1"/>
            </w14:solidFill>
          </w14:textFill>
        </w:rPr>
        <w:alias w:val="是否适用：应收票据坏账准备情况[双击切换]"/>
        <w:tag w:val="_GBC_168f3e2065e34239828a1cf025c3d9ad"/>
        <w:id w:val="147478179"/>
        <w:placeholder>
          <w:docPart w:val="GBC22222222222222222222222222222"/>
        </w:placeholder>
      </w:sdtPr>
      <w:sdtEndPr>
        <w:rPr>
          <w:color w:val="000000" w:themeColor="text1"/>
          <w14:textFill>
            <w14:solidFill>
              <w14:schemeClr w14:val="tx1"/>
            </w14:solidFill>
          </w14:textFill>
        </w:rPr>
      </w:sdtEndPr>
      <w:sdtContent>
        <w:p w14:paraId="0050BE4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BB0D3CC">
      <w:pPr>
        <w:rPr>
          <w:color w:val="000000" w:themeColor="text1"/>
          <w14:textFill>
            <w14:solidFill>
              <w14:schemeClr w14:val="tx1"/>
            </w14:solidFill>
          </w14:textFill>
        </w:rPr>
      </w:pPr>
    </w:p>
    <w:p w14:paraId="6CF333F6">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其中本期坏账准备收回或转回金额重要的：</w:t>
      </w:r>
    </w:p>
    <w:sdt>
      <w:sdtPr>
        <w:rPr>
          <w:rFonts w:hint="eastAsia"/>
          <w:color w:val="000000" w:themeColor="text1"/>
          <w14:textFill>
            <w14:solidFill>
              <w14:schemeClr w14:val="tx1"/>
            </w14:solidFill>
          </w14:textFill>
        </w:rPr>
        <w:alias w:val="是否适用：应收票据本期坏账准备收回或转回金额重要的[双击切换]"/>
        <w:tag w:val="_GBC_ebd5833e36984f6f9c7dc0fec90cccc0"/>
        <w:id w:val="147460230"/>
        <w:placeholder>
          <w:docPart w:val="GBC22222222222222222222222222222"/>
        </w:placeholder>
      </w:sdtPr>
      <w:sdtEndPr>
        <w:rPr>
          <w:rFonts w:hint="eastAsia"/>
          <w:color w:val="000000" w:themeColor="text1"/>
          <w14:textFill>
            <w14:solidFill>
              <w14:schemeClr w14:val="tx1"/>
            </w14:solidFill>
          </w14:textFill>
        </w:rPr>
      </w:sdtEndPr>
      <w:sdtContent>
        <w:p w14:paraId="76CB60F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CCB3146">
      <w:pPr>
        <w:rPr>
          <w:color w:val="000000" w:themeColor="text1"/>
          <w14:textFill>
            <w14:solidFill>
              <w14:schemeClr w14:val="tx1"/>
            </w14:solidFill>
          </w14:textFill>
        </w:rPr>
      </w:pPr>
    </w:p>
    <w:p w14:paraId="12D6B81B">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rFonts w:cstheme="minorBidi"/>
          <w:bCs w:val="0"/>
          <w:color w:val="000000" w:themeColor="text1"/>
          <w:szCs w:val="22"/>
          <w14:textFill>
            <w14:solidFill>
              <w14:schemeClr w14:val="tx1"/>
            </w14:solidFill>
          </w14:textFill>
        </w:rPr>
        <w:alias w:val="应收票据坏账准备的其他说明"/>
        <w:tag w:val="_GBC_06a2eec03f574dd1baa82ec8987eaf65"/>
        <w:id w:val="147472662"/>
        <w:placeholder>
          <w:docPart w:val="GBC22222222222222222222222222222"/>
        </w:placeholder>
      </w:sdtPr>
      <w:sdtEndPr>
        <w:rPr>
          <w:rFonts w:asciiTheme="minorHAnsi" w:hAnsiTheme="minorHAnsi" w:cstheme="minorBidi"/>
          <w:bCs w:val="0"/>
          <w:color w:val="000000" w:themeColor="text1"/>
          <w:szCs w:val="22"/>
          <w14:textFill>
            <w14:solidFill>
              <w14:schemeClr w14:val="tx1"/>
            </w14:solidFill>
          </w14:textFill>
        </w:rPr>
      </w:sdtEndPr>
      <w:sdtContent>
        <w:p w14:paraId="0F3758BE">
          <w:pPr>
            <w:rPr>
              <w:rFonts w:asciiTheme="minorHAnsi" w:hAnsiTheme="minorHAnsi" w:cstheme="minorBidi"/>
              <w:bCs w:val="0"/>
              <w:color w:val="000000" w:themeColor="text1"/>
              <w:szCs w:val="22"/>
              <w14:textFill>
                <w14:solidFill>
                  <w14:schemeClr w14:val="tx1"/>
                </w14:solidFill>
              </w14:textFill>
            </w:rPr>
          </w:pPr>
          <w:r>
            <w:rPr>
              <w:rFonts w:hint="eastAsia" w:cstheme="minorBidi"/>
              <w:bCs w:val="0"/>
              <w:color w:val="000000" w:themeColor="text1"/>
              <w:szCs w:val="22"/>
              <w14:textFill>
                <w14:solidFill>
                  <w14:schemeClr w14:val="tx1"/>
                </w14:solidFill>
              </w14:textFill>
            </w:rPr>
            <w:t>无</w:t>
          </w:r>
        </w:p>
      </w:sdtContent>
    </w:sdt>
    <w:p w14:paraId="28946832">
      <w:pPr>
        <w:rPr>
          <w:rFonts w:asciiTheme="minorHAnsi" w:hAnsiTheme="minorHAnsi" w:cstheme="minorBidi"/>
          <w:bCs w:val="0"/>
          <w:color w:val="000000" w:themeColor="text1"/>
          <w:szCs w:val="22"/>
          <w14:textFill>
            <w14:solidFill>
              <w14:schemeClr w14:val="tx1"/>
            </w14:solidFill>
          </w14:textFill>
        </w:rPr>
      </w:pPr>
    </w:p>
    <w:bookmarkEnd w:id="201"/>
    <w:bookmarkEnd w:id="202"/>
    <w:bookmarkEnd w:id="203"/>
    <w:p w14:paraId="5A808920">
      <w:pPr>
        <w:pStyle w:val="58"/>
        <w:numPr>
          <w:ilvl w:val="3"/>
          <w:numId w:val="55"/>
        </w:numPr>
        <w:rPr>
          <w:rFonts w:ascii="宋体" w:hAnsi="宋体"/>
          <w:color w:val="000000" w:themeColor="text1"/>
          <w14:textFill>
            <w14:solidFill>
              <w14:schemeClr w14:val="tx1"/>
            </w14:solidFill>
          </w14:textFill>
        </w:rPr>
      </w:pPr>
      <w:bookmarkStart w:id="204" w:name="_Hlk10466841"/>
      <w:bookmarkStart w:id="205" w:name="_Hlk10466853"/>
      <w:r>
        <w:rPr>
          <w:rFonts w:hint="eastAsia" w:ascii="宋体" w:hAnsi="宋体"/>
          <w:color w:val="000000" w:themeColor="text1"/>
          <w14:textFill>
            <w14:solidFill>
              <w14:schemeClr w14:val="tx1"/>
            </w14:solidFill>
          </w14:textFill>
        </w:rPr>
        <w:t>本期实际核销的应收票据情况</w:t>
      </w:r>
      <w:bookmarkEnd w:id="204"/>
    </w:p>
    <w:sdt>
      <w:sdtPr>
        <w:rPr>
          <w:color w:val="000000" w:themeColor="text1"/>
          <w14:textFill>
            <w14:solidFill>
              <w14:schemeClr w14:val="tx1"/>
            </w14:solidFill>
          </w14:textFill>
        </w:rPr>
        <w:alias w:val="是否适用：实际核销的应收票据[双击切换]"/>
        <w:tag w:val="_GBC_d0dcbb36ec68469bb29eac25b4a7af19"/>
        <w:id w:val="147467853"/>
        <w:placeholder>
          <w:docPart w:val="GBC22222222222222222222222222222"/>
        </w:placeholder>
      </w:sdtPr>
      <w:sdtEndPr>
        <w:rPr>
          <w:color w:val="000000" w:themeColor="text1"/>
          <w14:textFill>
            <w14:solidFill>
              <w14:schemeClr w14:val="tx1"/>
            </w14:solidFill>
          </w14:textFill>
        </w:rPr>
      </w:sdtEndPr>
      <w:sdtContent>
        <w:p w14:paraId="0947C80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E342C5A">
      <w:pPr>
        <w:rPr>
          <w:color w:val="000000" w:themeColor="text1"/>
          <w14:textFill>
            <w14:solidFill>
              <w14:schemeClr w14:val="tx1"/>
            </w14:solidFill>
          </w14:textFill>
        </w:rPr>
      </w:pPr>
    </w:p>
    <w:p w14:paraId="01D3576E">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其中重要的应收票据核销情况：</w:t>
      </w:r>
    </w:p>
    <w:sdt>
      <w:sdtPr>
        <w:rPr>
          <w:color w:val="000000" w:themeColor="text1"/>
          <w14:textFill>
            <w14:solidFill>
              <w14:schemeClr w14:val="tx1"/>
            </w14:solidFill>
          </w14:textFill>
        </w:rPr>
        <w:alias w:val="是否适用：重要的应收票据核销[双击切换]"/>
        <w:tag w:val="_GBC_e2717d0c54ea4f5eb5b1671a3c798609"/>
        <w:id w:val="147479882"/>
        <w:placeholder>
          <w:docPart w:val="GBC22222222222222222222222222222"/>
        </w:placeholder>
      </w:sdtPr>
      <w:sdtEndPr>
        <w:rPr>
          <w:color w:val="000000" w:themeColor="text1"/>
          <w14:textFill>
            <w14:solidFill>
              <w14:schemeClr w14:val="tx1"/>
            </w14:solidFill>
          </w14:textFill>
        </w:rPr>
      </w:sdtEndPr>
      <w:sdtContent>
        <w:p w14:paraId="24A9886A">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DA6D349">
      <w:pPr>
        <w:snapToGrid w:val="0"/>
        <w:spacing w:line="240" w:lineRule="atLeast"/>
        <w:rPr>
          <w:color w:val="000000" w:themeColor="text1"/>
          <w14:textFill>
            <w14:solidFill>
              <w14:schemeClr w14:val="tx1"/>
            </w14:solidFill>
          </w14:textFill>
        </w:rPr>
      </w:pPr>
    </w:p>
    <w:p w14:paraId="40C5AA1D">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应收票据核销说明：</w:t>
      </w:r>
    </w:p>
    <w:sdt>
      <w:sdtPr>
        <w:rPr>
          <w:rFonts w:cstheme="minorBidi"/>
          <w:bCs w:val="0"/>
          <w:color w:val="000000" w:themeColor="text1"/>
          <w:szCs w:val="22"/>
          <w14:textFill>
            <w14:solidFill>
              <w14:schemeClr w14:val="tx1"/>
            </w14:solidFill>
          </w14:textFill>
        </w:rPr>
        <w:alias w:val="是否适用：应收票据核销说明[双击切换]"/>
        <w:tag w:val="_GBC_60d1268fdde049f1971e1a68d97580f2"/>
        <w:id w:val="147477116"/>
        <w:placeholder>
          <w:docPart w:val="GBC22222222222222222222222222222"/>
        </w:placeholder>
      </w:sdtPr>
      <w:sdtEndPr>
        <w:rPr>
          <w:rFonts w:cstheme="minorBidi"/>
          <w:bCs w:val="0"/>
          <w:color w:val="000000" w:themeColor="text1"/>
          <w:szCs w:val="22"/>
          <w14:textFill>
            <w14:solidFill>
              <w14:schemeClr w14:val="tx1"/>
            </w14:solidFill>
          </w14:textFill>
        </w:rPr>
      </w:sdtEndPr>
      <w:sdtContent>
        <w:p w14:paraId="30DD0FCC">
          <w:pPr>
            <w:rPr>
              <w:rFonts w:cstheme="minorBidi"/>
              <w:bCs w:val="0"/>
              <w:color w:val="000000" w:themeColor="text1"/>
              <w:szCs w:val="22"/>
              <w14:textFill>
                <w14:solidFill>
                  <w14:schemeClr w14:val="tx1"/>
                </w14:solidFill>
              </w14:textFill>
            </w:rPr>
          </w:pPr>
          <w:r>
            <w:rPr>
              <w:rFonts w:ascii="宋体" w:hAnsi="宋体" w:cstheme="minorBidi"/>
              <w:bCs w:val="0"/>
              <w:color w:val="000000" w:themeColor="text1"/>
              <w:szCs w:val="22"/>
              <w14:textFill>
                <w14:solidFill>
                  <w14:schemeClr w14:val="tx1"/>
                </w14:solidFill>
              </w14:textFill>
            </w:rPr>
            <w:fldChar w:fldCharType="begin"/>
          </w:r>
          <w:r>
            <w:rPr>
              <w:rFonts w:hint="eastAsia" w:ascii="宋体" w:hAnsi="宋体" w:cstheme="minorBidi"/>
              <w:color w:val="000000" w:themeColor="text1"/>
              <w:szCs w:val="22"/>
              <w14:textFill>
                <w14:solidFill>
                  <w14:schemeClr w14:val="tx1"/>
                </w14:solidFill>
              </w14:textFill>
            </w:rPr>
            <w:instrText xml:space="preserve"> MACROBUTTON  SnrToggleCheckbox □适用 </w:instrText>
          </w:r>
          <w:r>
            <w:rPr>
              <w:rFonts w:ascii="宋体" w:hAnsi="宋体" w:cstheme="minorBidi"/>
              <w:bCs w:val="0"/>
              <w:color w:val="000000" w:themeColor="text1"/>
              <w:szCs w:val="22"/>
              <w14:textFill>
                <w14:solidFill>
                  <w14:schemeClr w14:val="tx1"/>
                </w14:solidFill>
              </w14:textFill>
            </w:rPr>
            <w:fldChar w:fldCharType="end"/>
          </w:r>
          <w:r>
            <w:rPr>
              <w:rFonts w:ascii="宋体" w:hAnsi="宋体" w:cstheme="minorBidi"/>
              <w:bCs w:val="0"/>
              <w:color w:val="000000" w:themeColor="text1"/>
              <w:szCs w:val="22"/>
              <w14:textFill>
                <w14:solidFill>
                  <w14:schemeClr w14:val="tx1"/>
                </w14:solidFill>
              </w14:textFill>
            </w:rPr>
            <w:fldChar w:fldCharType="begin"/>
          </w:r>
          <w:r>
            <w:rPr>
              <w:rFonts w:hint="eastAsia" w:ascii="宋体" w:hAnsi="宋体" w:cstheme="minorBidi"/>
              <w:color w:val="000000" w:themeColor="text1"/>
              <w:szCs w:val="22"/>
              <w14:textFill>
                <w14:solidFill>
                  <w14:schemeClr w14:val="tx1"/>
                </w14:solidFill>
              </w14:textFill>
            </w:rPr>
            <w:instrText xml:space="preserve"> MACROBUTTON  SnrToggleCheckbox √不适用 </w:instrText>
          </w:r>
          <w:r>
            <w:rPr>
              <w:rFonts w:ascii="宋体" w:hAnsi="宋体" w:cstheme="minorBidi"/>
              <w:bCs w:val="0"/>
              <w:color w:val="000000" w:themeColor="text1"/>
              <w:szCs w:val="22"/>
              <w14:textFill>
                <w14:solidFill>
                  <w14:schemeClr w14:val="tx1"/>
                </w14:solidFill>
              </w14:textFill>
            </w:rPr>
            <w:fldChar w:fldCharType="end"/>
          </w:r>
        </w:p>
      </w:sdtContent>
    </w:sdt>
    <w:p w14:paraId="46287410">
      <w:pPr>
        <w:ind w:right="210"/>
        <w:rPr>
          <w:color w:val="000000" w:themeColor="text1"/>
          <w14:textFill>
            <w14:solidFill>
              <w14:schemeClr w14:val="tx1"/>
            </w14:solidFill>
          </w14:textFill>
        </w:rPr>
      </w:pPr>
    </w:p>
    <w:bookmarkEnd w:id="205"/>
    <w:p w14:paraId="08A2F7AE">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应收票据的说明[双击切换]"/>
        <w:tag w:val="_GBC_704e24e70b65463883e10335ce93a1ac"/>
        <w:id w:val="147454521"/>
        <w:placeholder>
          <w:docPart w:val="GBC22222222222222222222222222222"/>
        </w:placeholder>
      </w:sdtPr>
      <w:sdtEndPr>
        <w:rPr>
          <w:color w:val="000000" w:themeColor="text1"/>
          <w14:textFill>
            <w14:solidFill>
              <w14:schemeClr w14:val="tx1"/>
            </w14:solidFill>
          </w14:textFill>
        </w:rPr>
      </w:sdtEndPr>
      <w:sdtContent>
        <w:p w14:paraId="4DE770A8">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DFADC73">
      <w:pPr>
        <w:rPr>
          <w:color w:val="000000" w:themeColor="text1"/>
          <w14:textFill>
            <w14:solidFill>
              <w14:schemeClr w14:val="tx1"/>
            </w14:solidFill>
          </w14:textFill>
        </w:rPr>
      </w:pPr>
    </w:p>
    <w:p w14:paraId="343A2526">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应收账款</w:t>
      </w:r>
    </w:p>
    <w:p w14:paraId="6499F844">
      <w:pPr>
        <w:pStyle w:val="58"/>
        <w:numPr>
          <w:ilvl w:val="3"/>
          <w:numId w:val="56"/>
        </w:numPr>
        <w:ind w:left="426" w:hanging="426"/>
        <w:rPr>
          <w:color w:val="000000" w:themeColor="text1"/>
          <w14:textFill>
            <w14:solidFill>
              <w14:schemeClr w14:val="tx1"/>
            </w14:solidFill>
          </w14:textFill>
        </w:rPr>
      </w:pPr>
      <w:bookmarkStart w:id="206" w:name="_Hlk167885161"/>
      <w:r>
        <w:rPr>
          <w:rFonts w:hint="eastAsia"/>
          <w:color w:val="000000" w:themeColor="text1"/>
          <w14:textFill>
            <w14:solidFill>
              <w14:schemeClr w14:val="tx1"/>
            </w14:solidFill>
          </w14:textFill>
        </w:rPr>
        <w:t>按账龄披露</w:t>
      </w:r>
    </w:p>
    <w:sdt>
      <w:sdtPr>
        <w:rPr>
          <w:rFonts w:hint="eastAsia"/>
          <w:color w:val="000000" w:themeColor="text1"/>
          <w14:textFill>
            <w14:solidFill>
              <w14:schemeClr w14:val="tx1"/>
            </w14:solidFill>
          </w14:textFill>
        </w:rPr>
        <w:alias w:val="是否适用：组合中，按账龄分析法计提坏账准备的应收账款[双击切换]"/>
        <w:tag w:val="_GBC_0cb5a49c5db74995bd3018603d9e51bd"/>
        <w:id w:val="594758831"/>
      </w:sdtPr>
      <w:sdtEndPr>
        <w:rPr>
          <w:rFonts w:hint="eastAsia"/>
          <w:color w:val="000000" w:themeColor="text1"/>
          <w14:textFill>
            <w14:solidFill>
              <w14:schemeClr w14:val="tx1"/>
            </w14:solidFill>
          </w14:textFill>
        </w:rPr>
      </w:sdtEndPr>
      <w:sdtContent>
        <w:p w14:paraId="381A445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1FE24EEE">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单项金额不重大但按信用风险特征组合后该组合的风险较大的应收账款"/>
          <w:tag w:val="_GBC_265ded289d9549b48b782b655857ce0f"/>
          <w:id w:val="617187994"/>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单项金额不重大但按信用风险特征组合后该组合的风险较大的应收账款"/>
          <w:tag w:val="_GBC_180ea8d33f6444f78eff9694acd980ae"/>
          <w:id w:val="-150311878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5"/>
        <w:gridCol w:w="3051"/>
        <w:gridCol w:w="3053"/>
      </w:tblGrid>
      <w:tr w14:paraId="1071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cs="Times New Roman"/>
            </w:rPr>
            <w:tag w:val="_PLD_213499a1ef1849a6bacc47a55e2a94f7"/>
            <w:id w:val="-2011591033"/>
          </w:sdtPr>
          <w:sdtEndPr>
            <w:rPr>
              <w:rFonts w:cs="Times New Roman"/>
            </w:rPr>
          </w:sdtEndPr>
          <w:sdtContent>
            <w:tc>
              <w:tcPr>
                <w:tcW w:w="1627" w:type="pct"/>
                <w:tcBorders>
                  <w:top w:val="single" w:color="auto" w:sz="4" w:space="0"/>
                  <w:left w:val="single" w:color="auto" w:sz="4" w:space="0"/>
                  <w:bottom w:val="single" w:color="auto" w:sz="4" w:space="0"/>
                  <w:right w:val="single" w:color="auto" w:sz="4" w:space="0"/>
                </w:tcBorders>
                <w:vAlign w:val="center"/>
              </w:tcPr>
              <w:p w14:paraId="22A77362">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账龄</w:t>
                </w:r>
              </w:p>
            </w:tc>
          </w:sdtContent>
        </w:sdt>
        <w:sdt>
          <w:sdtPr>
            <w:rPr>
              <w:rFonts w:cs="Times New Roman"/>
            </w:rPr>
            <w:tag w:val="_PLD_80e3ddf3d703438d9bc59aba1626c89f"/>
            <w:id w:val="913982872"/>
          </w:sdtPr>
          <w:sdtEndPr>
            <w:rPr>
              <w:rFonts w:cs="Times New Roman"/>
            </w:rPr>
          </w:sdtEndPr>
          <w:sdtContent>
            <w:tc>
              <w:tcPr>
                <w:tcW w:w="1685" w:type="pct"/>
                <w:tcBorders>
                  <w:top w:val="single" w:color="auto" w:sz="4" w:space="0"/>
                  <w:left w:val="single" w:color="auto" w:sz="4" w:space="0"/>
                  <w:bottom w:val="single" w:color="auto" w:sz="4" w:space="0"/>
                  <w:right w:val="single" w:color="auto" w:sz="4" w:space="0"/>
                </w:tcBorders>
                <w:vAlign w:val="center"/>
              </w:tcPr>
              <w:p w14:paraId="71A27B34">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期末账面余额</w:t>
                </w:r>
              </w:p>
            </w:tc>
          </w:sdtContent>
        </w:sdt>
        <w:sdt>
          <w:sdtPr>
            <w:rPr>
              <w:rFonts w:cs="Times New Roman"/>
            </w:rPr>
            <w:tag w:val="_PLD_4acf836dd5254d2ba9d541e7076daad6"/>
            <w:id w:val="554430911"/>
          </w:sdtPr>
          <w:sdtEndPr>
            <w:rPr>
              <w:rFonts w:cs="Times New Roman"/>
            </w:rPr>
          </w:sdtEndPr>
          <w:sdtContent>
            <w:tc>
              <w:tcPr>
                <w:tcW w:w="1686" w:type="pct"/>
                <w:tcBorders>
                  <w:top w:val="single" w:color="auto" w:sz="4" w:space="0"/>
                  <w:left w:val="single" w:color="auto" w:sz="4" w:space="0"/>
                  <w:bottom w:val="single" w:color="auto" w:sz="4" w:space="0"/>
                  <w:right w:val="single" w:color="auto" w:sz="4" w:space="0"/>
                </w:tcBorders>
              </w:tcPr>
              <w:p w14:paraId="2D044B4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期初账面余额</w:t>
                </w:r>
              </w:p>
            </w:tc>
          </w:sdtContent>
        </w:sdt>
      </w:tr>
      <w:tr w14:paraId="7F5F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cs="Times New Roman"/>
            </w:rPr>
            <w:tag w:val="_PLD_5bc01539a61d4760afe0df8c78a4db96"/>
            <w:id w:val="-1406292232"/>
          </w:sdtPr>
          <w:sdtEndPr>
            <w:rPr>
              <w:rFonts w:cs="Times New Roman"/>
            </w:rPr>
          </w:sdtEndPr>
          <w:sdtContent>
            <w:tc>
              <w:tcPr>
                <w:tcW w:w="1627" w:type="pct"/>
                <w:tcBorders>
                  <w:top w:val="single" w:color="auto" w:sz="4" w:space="0"/>
                  <w:left w:val="single" w:color="auto" w:sz="4" w:space="0"/>
                  <w:bottom w:val="single" w:color="auto" w:sz="4" w:space="0"/>
                  <w:right w:val="single" w:color="auto" w:sz="4" w:space="0"/>
                </w:tcBorders>
              </w:tcPr>
              <w:p w14:paraId="0BD63F94">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1年以内（含1年）</w:t>
                </w:r>
              </w:p>
            </w:tc>
          </w:sdtContent>
        </w:sdt>
        <w:tc>
          <w:tcPr>
            <w:tcW w:w="1685" w:type="pct"/>
            <w:tcBorders>
              <w:top w:val="single" w:color="auto" w:sz="4" w:space="0"/>
              <w:left w:val="single" w:color="auto" w:sz="4" w:space="0"/>
              <w:bottom w:val="single" w:color="auto" w:sz="4" w:space="0"/>
              <w:right w:val="single" w:color="auto" w:sz="4" w:space="0"/>
            </w:tcBorders>
            <w:vAlign w:val="bottom"/>
          </w:tcPr>
          <w:p w14:paraId="3D3C66CE">
            <w:pPr>
              <w:jc w:val="right"/>
              <w:rPr>
                <w:rFonts w:cs="Times New Roman"/>
              </w:rPr>
            </w:pPr>
            <w:r>
              <w:rPr>
                <w:rFonts w:cs="Times New Roman"/>
              </w:rPr>
              <w:t>2,817,187,311.94</w:t>
            </w:r>
          </w:p>
        </w:tc>
        <w:tc>
          <w:tcPr>
            <w:tcW w:w="1686" w:type="pct"/>
            <w:tcBorders>
              <w:top w:val="single" w:color="auto" w:sz="4" w:space="0"/>
              <w:left w:val="single" w:color="auto" w:sz="4" w:space="0"/>
              <w:bottom w:val="single" w:color="auto" w:sz="4" w:space="0"/>
              <w:right w:val="single" w:color="auto" w:sz="4" w:space="0"/>
            </w:tcBorders>
            <w:vAlign w:val="bottom"/>
          </w:tcPr>
          <w:p w14:paraId="48338259">
            <w:pPr>
              <w:jc w:val="right"/>
              <w:rPr>
                <w:rFonts w:cs="Times New Roman"/>
              </w:rPr>
            </w:pPr>
            <w:r>
              <w:rPr>
                <w:rFonts w:cs="Times New Roman"/>
              </w:rPr>
              <w:t>2,612,277,017.66</w:t>
            </w:r>
          </w:p>
        </w:tc>
      </w:tr>
      <w:sdt>
        <w:sdtPr>
          <w:rPr>
            <w:rFonts w:cs="Times New Roman"/>
            <w:color w:val="000000" w:themeColor="text1"/>
            <w14:textFill>
              <w14:solidFill>
                <w14:schemeClr w14:val="tx1"/>
              </w14:solidFill>
            </w14:textFill>
          </w:rPr>
          <w:alias w:val="一年以内应收账款金额明细"/>
          <w:tag w:val="_TUP_bca6d6994d9e44ba914a297bbdc33d79"/>
          <w:id w:val="-978532237"/>
          <w:placeholder>
            <w:docPart w:val="{fe68423a-b750-454a-984c-30d8cbaec379}"/>
          </w:placeholder>
        </w:sdtPr>
        <w:sdtEndPr>
          <w:rPr>
            <w:rFonts w:cs="Times New Roman"/>
            <w:color w:val="000000" w:themeColor="text1"/>
            <w14:textFill>
              <w14:solidFill>
                <w14:schemeClr w14:val="tx1"/>
              </w14:solidFill>
            </w14:textFill>
          </w:rPr>
        </w:sdtEndPr>
        <w:sdtContent>
          <w:tr w14:paraId="06CF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7" w:type="pct"/>
                <w:tcBorders>
                  <w:top w:val="single" w:color="auto" w:sz="4" w:space="0"/>
                  <w:left w:val="single" w:color="auto" w:sz="4" w:space="0"/>
                  <w:bottom w:val="single" w:color="auto" w:sz="4" w:space="0"/>
                  <w:right w:val="single" w:color="auto" w:sz="4" w:space="0"/>
                </w:tcBorders>
              </w:tcPr>
              <w:p w14:paraId="57EBD053">
                <w:pPr>
                  <w:rPr>
                    <w:rFonts w:cs="Times New Roman"/>
                  </w:rPr>
                </w:pPr>
                <w:r>
                  <w:rPr>
                    <w:rFonts w:cs="Times New Roman"/>
                  </w:rPr>
                  <w:t>1年以内小计</w:t>
                </w:r>
              </w:p>
            </w:tc>
            <w:tc>
              <w:tcPr>
                <w:tcW w:w="1685" w:type="pct"/>
                <w:tcBorders>
                  <w:top w:val="single" w:color="auto" w:sz="4" w:space="0"/>
                  <w:left w:val="single" w:color="auto" w:sz="4" w:space="0"/>
                  <w:bottom w:val="single" w:color="auto" w:sz="4" w:space="0"/>
                  <w:right w:val="single" w:color="auto" w:sz="4" w:space="0"/>
                </w:tcBorders>
                <w:vAlign w:val="bottom"/>
              </w:tcPr>
              <w:p w14:paraId="492C0E39">
                <w:pPr>
                  <w:jc w:val="right"/>
                  <w:rPr>
                    <w:rFonts w:cs="Times New Roman"/>
                  </w:rPr>
                </w:pPr>
                <w:r>
                  <w:rPr>
                    <w:rFonts w:cs="Times New Roman"/>
                  </w:rPr>
                  <w:t>2,817,187,311.94</w:t>
                </w:r>
              </w:p>
            </w:tc>
            <w:tc>
              <w:tcPr>
                <w:tcW w:w="1686" w:type="pct"/>
                <w:tcBorders>
                  <w:top w:val="single" w:color="auto" w:sz="4" w:space="0"/>
                  <w:left w:val="single" w:color="auto" w:sz="4" w:space="0"/>
                  <w:bottom w:val="single" w:color="auto" w:sz="4" w:space="0"/>
                  <w:right w:val="single" w:color="auto" w:sz="4" w:space="0"/>
                </w:tcBorders>
                <w:vAlign w:val="bottom"/>
              </w:tcPr>
              <w:p w14:paraId="4C17E5EA">
                <w:pPr>
                  <w:jc w:val="right"/>
                  <w:rPr>
                    <w:rFonts w:cs="Times New Roman"/>
                  </w:rPr>
                </w:pPr>
                <w:r>
                  <w:rPr>
                    <w:rFonts w:cs="Times New Roman"/>
                  </w:rPr>
                  <w:t>2,612,277,017.66</w:t>
                </w:r>
              </w:p>
            </w:tc>
          </w:tr>
        </w:sdtContent>
      </w:sdt>
      <w:sdt>
        <w:sdtPr>
          <w:rPr>
            <w:rFonts w:cs="Times New Roman"/>
          </w:rPr>
          <w:alias w:val="一年以内应收账款金额明细"/>
          <w:tag w:val="_TUP_bca6d6994d9e44ba914a297bbdc33d79"/>
          <w:id w:val="-1826123600"/>
          <w:placeholder>
            <w:docPart w:val="{fe68423a-b750-454a-984c-30d8cbaec379}"/>
          </w:placeholder>
        </w:sdtPr>
        <w:sdtEndPr>
          <w:rPr>
            <w:rFonts w:cs="Times New Roman"/>
          </w:rPr>
        </w:sdtEndPr>
        <w:sdtContent>
          <w:tr w14:paraId="2D760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cs="Times New Roman"/>
                </w:rPr>
                <w:tag w:val="_PLD_28cf7d0365724ddfadd3fb9429db1e63"/>
                <w:id w:val="1129435307"/>
              </w:sdtPr>
              <w:sdtEndPr>
                <w:rPr>
                  <w:rFonts w:cs="Times New Roman"/>
                </w:rPr>
              </w:sdtEndPr>
              <w:sdtContent>
                <w:tc>
                  <w:tcPr>
                    <w:tcW w:w="1627" w:type="pct"/>
                    <w:tcBorders>
                      <w:top w:val="single" w:color="auto" w:sz="4" w:space="0"/>
                      <w:left w:val="single" w:color="auto" w:sz="4" w:space="0"/>
                      <w:bottom w:val="single" w:color="auto" w:sz="4" w:space="0"/>
                      <w:right w:val="single" w:color="auto" w:sz="4" w:space="0"/>
                    </w:tcBorders>
                  </w:tcPr>
                  <w:p w14:paraId="78C3460F">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1至2年</w:t>
                    </w:r>
                  </w:p>
                </w:tc>
              </w:sdtContent>
            </w:sdt>
            <w:tc>
              <w:tcPr>
                <w:tcW w:w="1685" w:type="pct"/>
                <w:tcBorders>
                  <w:top w:val="single" w:color="auto" w:sz="4" w:space="0"/>
                  <w:left w:val="single" w:color="auto" w:sz="4" w:space="0"/>
                  <w:bottom w:val="single" w:color="auto" w:sz="4" w:space="0"/>
                  <w:right w:val="single" w:color="auto" w:sz="4" w:space="0"/>
                </w:tcBorders>
                <w:vAlign w:val="bottom"/>
              </w:tcPr>
              <w:p w14:paraId="5FE251F4">
                <w:pPr>
                  <w:jc w:val="right"/>
                  <w:rPr>
                    <w:rFonts w:cs="Times New Roman"/>
                  </w:rPr>
                </w:pPr>
                <w:r>
                  <w:rPr>
                    <w:rFonts w:cs="Times New Roman"/>
                  </w:rPr>
                  <w:t>197,127,944.17</w:t>
                </w:r>
              </w:p>
            </w:tc>
            <w:tc>
              <w:tcPr>
                <w:tcW w:w="1686" w:type="pct"/>
                <w:tcBorders>
                  <w:top w:val="single" w:color="auto" w:sz="4" w:space="0"/>
                  <w:left w:val="single" w:color="auto" w:sz="4" w:space="0"/>
                  <w:bottom w:val="single" w:color="auto" w:sz="4" w:space="0"/>
                  <w:right w:val="single" w:color="auto" w:sz="4" w:space="0"/>
                </w:tcBorders>
                <w:vAlign w:val="bottom"/>
              </w:tcPr>
              <w:p w14:paraId="1DE7E9D5">
                <w:pPr>
                  <w:jc w:val="right"/>
                  <w:rPr>
                    <w:rFonts w:cs="Times New Roman"/>
                  </w:rPr>
                </w:pPr>
                <w:r>
                  <w:rPr>
                    <w:rFonts w:cs="Times New Roman"/>
                  </w:rPr>
                  <w:t>270,775,378.42</w:t>
                </w:r>
              </w:p>
            </w:tc>
          </w:tr>
        </w:sdtContent>
      </w:sdt>
      <w:tr w14:paraId="7657D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cs="Times New Roman"/>
            </w:rPr>
            <w:tag w:val="_PLD_598a76c4ef484ca5b69df3d252fcee02"/>
            <w:id w:val="107633176"/>
          </w:sdtPr>
          <w:sdtEndPr>
            <w:rPr>
              <w:rFonts w:cs="Times New Roman"/>
            </w:rPr>
          </w:sdtEndPr>
          <w:sdtContent>
            <w:tc>
              <w:tcPr>
                <w:tcW w:w="1627" w:type="pct"/>
                <w:tcBorders>
                  <w:top w:val="single" w:color="auto" w:sz="4" w:space="0"/>
                  <w:left w:val="single" w:color="auto" w:sz="4" w:space="0"/>
                  <w:bottom w:val="single" w:color="auto" w:sz="4" w:space="0"/>
                  <w:right w:val="single" w:color="auto" w:sz="4" w:space="0"/>
                </w:tcBorders>
              </w:tcPr>
              <w:p w14:paraId="6D34B0A4">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2至3年</w:t>
                </w:r>
              </w:p>
            </w:tc>
          </w:sdtContent>
        </w:sdt>
        <w:tc>
          <w:tcPr>
            <w:tcW w:w="1685" w:type="pct"/>
            <w:tcBorders>
              <w:top w:val="single" w:color="auto" w:sz="4" w:space="0"/>
              <w:left w:val="single" w:color="auto" w:sz="4" w:space="0"/>
              <w:bottom w:val="single" w:color="auto" w:sz="4" w:space="0"/>
              <w:right w:val="single" w:color="auto" w:sz="4" w:space="0"/>
            </w:tcBorders>
            <w:vAlign w:val="bottom"/>
          </w:tcPr>
          <w:p w14:paraId="58490B60">
            <w:pPr>
              <w:jc w:val="right"/>
              <w:rPr>
                <w:rFonts w:cs="Times New Roman"/>
              </w:rPr>
            </w:pPr>
            <w:r>
              <w:rPr>
                <w:rFonts w:cs="Times New Roman"/>
              </w:rPr>
              <w:t>101,356,061.74</w:t>
            </w:r>
          </w:p>
        </w:tc>
        <w:tc>
          <w:tcPr>
            <w:tcW w:w="1686" w:type="pct"/>
            <w:tcBorders>
              <w:top w:val="single" w:color="auto" w:sz="4" w:space="0"/>
              <w:left w:val="single" w:color="auto" w:sz="4" w:space="0"/>
              <w:bottom w:val="single" w:color="auto" w:sz="4" w:space="0"/>
              <w:right w:val="single" w:color="auto" w:sz="4" w:space="0"/>
            </w:tcBorders>
            <w:vAlign w:val="bottom"/>
          </w:tcPr>
          <w:p w14:paraId="78277399">
            <w:pPr>
              <w:jc w:val="right"/>
              <w:rPr>
                <w:rFonts w:cs="Times New Roman"/>
              </w:rPr>
            </w:pPr>
            <w:r>
              <w:rPr>
                <w:rFonts w:cs="Times New Roman"/>
              </w:rPr>
              <w:t>101,372,233.13</w:t>
            </w:r>
          </w:p>
        </w:tc>
      </w:tr>
      <w:tr w14:paraId="2AE7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cs="Times New Roman"/>
            </w:rPr>
            <w:tag w:val="_PLD_9cb0cd4ee6d24ba8a710b5d97fd02ab2"/>
            <w:id w:val="-1458095733"/>
          </w:sdtPr>
          <w:sdtEndPr>
            <w:rPr>
              <w:rFonts w:cs="Times New Roman"/>
            </w:rPr>
          </w:sdtEndPr>
          <w:sdtContent>
            <w:tc>
              <w:tcPr>
                <w:tcW w:w="1627" w:type="pct"/>
                <w:tcBorders>
                  <w:top w:val="single" w:color="auto" w:sz="4" w:space="0"/>
                  <w:left w:val="single" w:color="auto" w:sz="4" w:space="0"/>
                  <w:bottom w:val="single" w:color="auto" w:sz="4" w:space="0"/>
                  <w:right w:val="single" w:color="auto" w:sz="4" w:space="0"/>
                </w:tcBorders>
              </w:tcPr>
              <w:p w14:paraId="58EE87C7">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3至4年</w:t>
                </w:r>
              </w:p>
            </w:tc>
          </w:sdtContent>
        </w:sdt>
        <w:tc>
          <w:tcPr>
            <w:tcW w:w="1685" w:type="pct"/>
            <w:tcBorders>
              <w:top w:val="single" w:color="auto" w:sz="4" w:space="0"/>
              <w:left w:val="single" w:color="auto" w:sz="4" w:space="0"/>
              <w:bottom w:val="single" w:color="auto" w:sz="4" w:space="0"/>
              <w:right w:val="single" w:color="auto" w:sz="4" w:space="0"/>
            </w:tcBorders>
            <w:vAlign w:val="bottom"/>
          </w:tcPr>
          <w:p w14:paraId="51E54A99">
            <w:pPr>
              <w:jc w:val="right"/>
              <w:rPr>
                <w:rFonts w:cs="Times New Roman"/>
              </w:rPr>
            </w:pPr>
            <w:r>
              <w:rPr>
                <w:rFonts w:cs="Times New Roman"/>
              </w:rPr>
              <w:t>73,812,342.37</w:t>
            </w:r>
          </w:p>
        </w:tc>
        <w:tc>
          <w:tcPr>
            <w:tcW w:w="1686" w:type="pct"/>
            <w:tcBorders>
              <w:top w:val="single" w:color="auto" w:sz="4" w:space="0"/>
              <w:left w:val="single" w:color="auto" w:sz="4" w:space="0"/>
              <w:bottom w:val="single" w:color="auto" w:sz="4" w:space="0"/>
              <w:right w:val="single" w:color="auto" w:sz="4" w:space="0"/>
            </w:tcBorders>
            <w:vAlign w:val="bottom"/>
          </w:tcPr>
          <w:p w14:paraId="5F7030B0">
            <w:pPr>
              <w:jc w:val="right"/>
              <w:rPr>
                <w:rFonts w:cs="Times New Roman"/>
              </w:rPr>
            </w:pPr>
            <w:r>
              <w:rPr>
                <w:rFonts w:cs="Times New Roman"/>
              </w:rPr>
              <w:t>70,036,773.82</w:t>
            </w:r>
          </w:p>
        </w:tc>
      </w:tr>
      <w:tr w14:paraId="17460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cs="Times New Roman"/>
            </w:rPr>
            <w:tag w:val="_PLD_613fd0b8cea947b387327813e3cd1ceb"/>
            <w:id w:val="-831976843"/>
          </w:sdtPr>
          <w:sdtEndPr>
            <w:rPr>
              <w:rFonts w:cs="Times New Roman"/>
            </w:rPr>
          </w:sdtEndPr>
          <w:sdtContent>
            <w:tc>
              <w:tcPr>
                <w:tcW w:w="1627" w:type="pct"/>
                <w:tcBorders>
                  <w:top w:val="single" w:color="auto" w:sz="4" w:space="0"/>
                  <w:left w:val="single" w:color="auto" w:sz="4" w:space="0"/>
                  <w:bottom w:val="single" w:color="auto" w:sz="4" w:space="0"/>
                  <w:right w:val="single" w:color="auto" w:sz="4" w:space="0"/>
                </w:tcBorders>
              </w:tcPr>
              <w:p w14:paraId="1660FD76">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4至5年</w:t>
                </w:r>
              </w:p>
            </w:tc>
          </w:sdtContent>
        </w:sdt>
        <w:tc>
          <w:tcPr>
            <w:tcW w:w="1685" w:type="pct"/>
            <w:tcBorders>
              <w:top w:val="single" w:color="auto" w:sz="4" w:space="0"/>
              <w:left w:val="single" w:color="auto" w:sz="4" w:space="0"/>
              <w:bottom w:val="single" w:color="auto" w:sz="4" w:space="0"/>
              <w:right w:val="single" w:color="auto" w:sz="4" w:space="0"/>
            </w:tcBorders>
            <w:vAlign w:val="bottom"/>
          </w:tcPr>
          <w:p w14:paraId="4D2A5BC0">
            <w:pPr>
              <w:jc w:val="right"/>
              <w:rPr>
                <w:rFonts w:cs="Times New Roman"/>
              </w:rPr>
            </w:pPr>
            <w:r>
              <w:rPr>
                <w:rFonts w:cs="Times New Roman"/>
              </w:rPr>
              <w:t>70,758,281.35</w:t>
            </w:r>
          </w:p>
        </w:tc>
        <w:tc>
          <w:tcPr>
            <w:tcW w:w="1686" w:type="pct"/>
            <w:tcBorders>
              <w:top w:val="single" w:color="auto" w:sz="4" w:space="0"/>
              <w:left w:val="single" w:color="auto" w:sz="4" w:space="0"/>
              <w:bottom w:val="single" w:color="auto" w:sz="4" w:space="0"/>
              <w:right w:val="single" w:color="auto" w:sz="4" w:space="0"/>
            </w:tcBorders>
            <w:vAlign w:val="bottom"/>
          </w:tcPr>
          <w:p w14:paraId="4A9ACCFC">
            <w:pPr>
              <w:jc w:val="right"/>
              <w:rPr>
                <w:rFonts w:cs="Times New Roman"/>
              </w:rPr>
            </w:pPr>
            <w:r>
              <w:rPr>
                <w:rFonts w:cs="Times New Roman"/>
              </w:rPr>
              <w:t>73,980,933.70</w:t>
            </w:r>
          </w:p>
        </w:tc>
      </w:tr>
      <w:tr w14:paraId="1180F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cs="Times New Roman"/>
            </w:rPr>
            <w:tag w:val="_PLD_caf5642be9184188b47e246465b4d8bb"/>
            <w:id w:val="1796180395"/>
          </w:sdtPr>
          <w:sdtEndPr>
            <w:rPr>
              <w:rFonts w:cs="Times New Roman"/>
            </w:rPr>
          </w:sdtEndPr>
          <w:sdtContent>
            <w:tc>
              <w:tcPr>
                <w:tcW w:w="1627" w:type="pct"/>
                <w:tcBorders>
                  <w:top w:val="single" w:color="auto" w:sz="4" w:space="0"/>
                  <w:left w:val="single" w:color="auto" w:sz="4" w:space="0"/>
                  <w:bottom w:val="single" w:color="auto" w:sz="4" w:space="0"/>
                  <w:right w:val="single" w:color="auto" w:sz="4" w:space="0"/>
                </w:tcBorders>
              </w:tcPr>
              <w:p w14:paraId="54331267">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5年以上</w:t>
                </w:r>
              </w:p>
            </w:tc>
          </w:sdtContent>
        </w:sdt>
        <w:tc>
          <w:tcPr>
            <w:tcW w:w="1685" w:type="pct"/>
            <w:tcBorders>
              <w:top w:val="single" w:color="auto" w:sz="4" w:space="0"/>
              <w:left w:val="single" w:color="auto" w:sz="4" w:space="0"/>
              <w:bottom w:val="single" w:color="auto" w:sz="4" w:space="0"/>
              <w:right w:val="single" w:color="auto" w:sz="4" w:space="0"/>
            </w:tcBorders>
            <w:vAlign w:val="bottom"/>
          </w:tcPr>
          <w:p w14:paraId="66500D47">
            <w:pPr>
              <w:jc w:val="right"/>
              <w:rPr>
                <w:rFonts w:cs="Times New Roman"/>
              </w:rPr>
            </w:pPr>
            <w:r>
              <w:rPr>
                <w:rFonts w:cs="Times New Roman"/>
              </w:rPr>
              <w:t>305,520,291.96</w:t>
            </w:r>
          </w:p>
        </w:tc>
        <w:tc>
          <w:tcPr>
            <w:tcW w:w="1686" w:type="pct"/>
            <w:tcBorders>
              <w:top w:val="single" w:color="auto" w:sz="4" w:space="0"/>
              <w:left w:val="single" w:color="auto" w:sz="4" w:space="0"/>
              <w:bottom w:val="single" w:color="auto" w:sz="4" w:space="0"/>
              <w:right w:val="single" w:color="auto" w:sz="4" w:space="0"/>
            </w:tcBorders>
            <w:vAlign w:val="bottom"/>
          </w:tcPr>
          <w:p w14:paraId="3C64F8B9">
            <w:pPr>
              <w:jc w:val="right"/>
              <w:rPr>
                <w:rFonts w:cs="Times New Roman"/>
              </w:rPr>
            </w:pPr>
            <w:r>
              <w:rPr>
                <w:rFonts w:cs="Times New Roman"/>
              </w:rPr>
              <w:t>302,724,615.31</w:t>
            </w:r>
          </w:p>
        </w:tc>
      </w:tr>
      <w:sdt>
        <w:sdtPr>
          <w:rPr>
            <w:rFonts w:cs="Times New Roman"/>
          </w:rPr>
          <w:alias w:val="按账龄分析法计提坏账准备的应收账款明细"/>
          <w:tag w:val="_TUP_e876bf1443714bc486008647001f4990"/>
          <w:id w:val="576258957"/>
          <w:placeholder>
            <w:docPart w:val="{fe68423a-b750-454a-984c-30d8cbaec379}"/>
          </w:placeholder>
        </w:sdtPr>
        <w:sdtEndPr>
          <w:rPr>
            <w:rFonts w:cs="Times New Roman"/>
          </w:rPr>
        </w:sdtEndPr>
        <w:sdtContent>
          <w:sdt>
            <w:sdtPr>
              <w:rPr>
                <w:rFonts w:cs="Times New Roman"/>
              </w:rPr>
              <w:alias w:val="按账龄分析法计提坏账准备的应收账款明细"/>
              <w:tag w:val="_TUP_e876bf1443714bc486008647001f4990"/>
              <w:id w:val="1949122097"/>
              <w:placeholder>
                <w:docPart w:val="{fe68423a-b750-454a-984c-30d8cbaec379}"/>
              </w:placeholder>
            </w:sdtPr>
            <w:sdtEndPr>
              <w:rPr>
                <w:rFonts w:cs="Times New Roman"/>
              </w:rPr>
            </w:sdtEndPr>
            <w:sdtContent>
              <w:tr w14:paraId="6F3F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cs="Times New Roman"/>
                    </w:rPr>
                    <w:tag w:val="_PLD_25df2b31249d4ffa9769a427ce2f1b33"/>
                    <w:id w:val="-1322349960"/>
                  </w:sdtPr>
                  <w:sdtEndPr>
                    <w:rPr>
                      <w:rFonts w:cs="Times New Roman"/>
                    </w:rPr>
                  </w:sdtEndPr>
                  <w:sdtContent>
                    <w:tc>
                      <w:tcPr>
                        <w:tcW w:w="1627" w:type="pct"/>
                        <w:tcBorders>
                          <w:top w:val="single" w:color="auto" w:sz="4" w:space="0"/>
                          <w:left w:val="single" w:color="auto" w:sz="4" w:space="0"/>
                          <w:bottom w:val="single" w:color="auto" w:sz="4" w:space="0"/>
                          <w:right w:val="single" w:color="auto" w:sz="4" w:space="0"/>
                        </w:tcBorders>
                        <w:vAlign w:val="center"/>
                      </w:tcPr>
                      <w:p w14:paraId="0D566530">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c>
                  <w:tcPr>
                    <w:tcW w:w="1685" w:type="pct"/>
                    <w:tcBorders>
                      <w:top w:val="single" w:color="auto" w:sz="4" w:space="0"/>
                      <w:left w:val="single" w:color="auto" w:sz="4" w:space="0"/>
                      <w:bottom w:val="single" w:color="auto" w:sz="4" w:space="0"/>
                      <w:right w:val="single" w:color="auto" w:sz="4" w:space="0"/>
                    </w:tcBorders>
                    <w:vAlign w:val="bottom"/>
                  </w:tcPr>
                  <w:p w14:paraId="2FAB0CBF">
                    <w:pPr>
                      <w:jc w:val="right"/>
                      <w:rPr>
                        <w:rFonts w:cs="Times New Roman"/>
                      </w:rPr>
                    </w:pPr>
                    <w:r>
                      <w:rPr>
                        <w:rFonts w:cs="Times New Roman"/>
                      </w:rPr>
                      <w:t>3,565,762,233.53</w:t>
                    </w:r>
                  </w:p>
                </w:tc>
                <w:tc>
                  <w:tcPr>
                    <w:tcW w:w="1686" w:type="pct"/>
                    <w:tcBorders>
                      <w:top w:val="single" w:color="auto" w:sz="4" w:space="0"/>
                      <w:left w:val="single" w:color="auto" w:sz="4" w:space="0"/>
                      <w:bottom w:val="single" w:color="auto" w:sz="4" w:space="0"/>
                      <w:right w:val="single" w:color="auto" w:sz="4" w:space="0"/>
                    </w:tcBorders>
                    <w:vAlign w:val="bottom"/>
                  </w:tcPr>
                  <w:p w14:paraId="60932687">
                    <w:pPr>
                      <w:jc w:val="right"/>
                      <w:rPr>
                        <w:rFonts w:cs="Times New Roman"/>
                      </w:rPr>
                    </w:pPr>
                    <w:r>
                      <w:rPr>
                        <w:rFonts w:cs="Times New Roman"/>
                      </w:rPr>
                      <w:t>3,431,166,952.04</w:t>
                    </w:r>
                  </w:p>
                </w:tc>
              </w:tr>
            </w:sdtContent>
          </w:sdt>
        </w:sdtContent>
      </w:sdt>
    </w:tbl>
    <w:p w14:paraId="7B5F8324">
      <w:pPr>
        <w:pStyle w:val="55"/>
      </w:pPr>
    </w:p>
    <w:p w14:paraId="0FDFFDAD">
      <w:pPr>
        <w:rPr>
          <w:color w:val="000000" w:themeColor="text1"/>
          <w14:textFill>
            <w14:solidFill>
              <w14:schemeClr w14:val="tx1"/>
            </w14:solidFill>
          </w14:textFill>
        </w:rPr>
        <w:sectPr>
          <w:pgSz w:w="11906" w:h="16838"/>
          <w:pgMar w:top="1525" w:right="1276" w:bottom="1440" w:left="1797" w:header="856" w:footer="992" w:gutter="0"/>
          <w:cols w:space="425" w:num="1"/>
          <w:docGrid w:linePitch="312" w:charSpace="0"/>
        </w:sectPr>
      </w:pPr>
    </w:p>
    <w:p w14:paraId="597DD126">
      <w:pPr>
        <w:rPr>
          <w:color w:val="000000" w:themeColor="text1"/>
          <w14:textFill>
            <w14:solidFill>
              <w14:schemeClr w14:val="tx1"/>
            </w14:solidFill>
          </w14:textFill>
        </w:rPr>
      </w:pPr>
    </w:p>
    <w:bookmarkEnd w:id="206"/>
    <w:p w14:paraId="7D5E3204">
      <w:pPr>
        <w:pStyle w:val="58"/>
        <w:numPr>
          <w:ilvl w:val="3"/>
          <w:numId w:val="56"/>
        </w:numPr>
        <w:ind w:left="426" w:hanging="426"/>
        <w:rPr>
          <w:color w:val="000000" w:themeColor="text1"/>
          <w14:textFill>
            <w14:solidFill>
              <w14:schemeClr w14:val="tx1"/>
            </w14:solidFill>
          </w14:textFill>
        </w:rPr>
      </w:pPr>
      <w:bookmarkStart w:id="207" w:name="_Hlk10467162"/>
      <w:r>
        <w:rPr>
          <w:rFonts w:hint="eastAsia"/>
          <w:color w:val="000000" w:themeColor="text1"/>
          <w14:textFill>
            <w14:solidFill>
              <w14:schemeClr w14:val="tx1"/>
            </w14:solidFill>
          </w14:textFill>
        </w:rPr>
        <w:t>按坏账计提方法分类披露</w:t>
      </w:r>
    </w:p>
    <w:sdt>
      <w:sdtPr>
        <w:rPr>
          <w:color w:val="000000" w:themeColor="text1"/>
          <w14:textFill>
            <w14:solidFill>
              <w14:schemeClr w14:val="tx1"/>
            </w14:solidFill>
          </w14:textFill>
        </w:rPr>
        <w:alias w:val="是否适用：应收账款分类披露[双击切换]"/>
        <w:tag w:val="_GBC_fc55e6778e08412caa3e7b9e7a1a0f85"/>
        <w:id w:val="147458808"/>
        <w:lock w:val="contentLocked"/>
        <w:placeholder>
          <w:docPart w:val="GBC22222222222222222222222222222"/>
        </w:placeholder>
      </w:sdtPr>
      <w:sdtEndPr>
        <w:rPr>
          <w:color w:val="000000" w:themeColor="text1"/>
          <w14:textFill>
            <w14:solidFill>
              <w14:schemeClr w14:val="tx1"/>
            </w14:solidFill>
          </w14:textFill>
        </w:rPr>
      </w:sdtEndPr>
      <w:sdtContent>
        <w:p w14:paraId="7255EAC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2BD31CF">
      <w:pPr>
        <w:pStyle w:val="63"/>
        <w:autoSpaceDE w:val="0"/>
        <w:autoSpaceDN w:val="0"/>
        <w:adjustRightInd w:val="0"/>
        <w:ind w:left="425" w:right="105"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财务附注：应收账款按种类披露"/>
          <w:tag w:val="_GBC_13874a7a2d5642bc9d06df2e53ad133f"/>
          <w:id w:val="1474785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财务附注：应收账款按种类披露"/>
          <w:tag w:val="_GBC_a7c9ba83409d4f5ebb3a7b0903842485"/>
          <w:id w:val="1474660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2561"/>
        <w:gridCol w:w="1566"/>
        <w:gridCol w:w="713"/>
        <w:gridCol w:w="1282"/>
        <w:gridCol w:w="713"/>
        <w:gridCol w:w="1424"/>
        <w:gridCol w:w="1424"/>
        <w:gridCol w:w="713"/>
        <w:gridCol w:w="1425"/>
        <w:gridCol w:w="703"/>
        <w:gridCol w:w="1411"/>
      </w:tblGrid>
      <w:tr w14:paraId="04265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59" w:hRule="atLeast"/>
        </w:trPr>
        <w:sdt>
          <w:sdtPr>
            <w:rPr>
              <w:rFonts w:cs="Times New Roman"/>
            </w:rPr>
            <w:tag w:val="_PLD_a2143754c0e847e9a8bbb40d4548066c"/>
            <w:id w:val="147456785"/>
          </w:sdtPr>
          <w:sdtEndPr>
            <w:rPr>
              <w:rFonts w:cs="Times New Roman"/>
            </w:rPr>
          </w:sdtEndPr>
          <w:sdtContent>
            <w:tc>
              <w:tcPr>
                <w:tcW w:w="919" w:type="pct"/>
                <w:vMerge w:val="restart"/>
                <w:tcBorders>
                  <w:top w:val="single" w:color="auto" w:sz="4" w:space="0"/>
                  <w:left w:val="single" w:color="auto" w:sz="4" w:space="0"/>
                  <w:right w:val="single" w:color="auto" w:sz="4" w:space="0"/>
                </w:tcBorders>
                <w:vAlign w:val="center"/>
              </w:tcPr>
              <w:p w14:paraId="256E75C9">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类别</w:t>
                </w:r>
              </w:p>
            </w:tc>
          </w:sdtContent>
        </w:sdt>
        <w:sdt>
          <w:sdtPr>
            <w:rPr>
              <w:rFonts w:cs="Times New Roman"/>
            </w:rPr>
            <w:tag w:val="_PLD_25d42b68a0be4b6c9079bb6f0b9688f1"/>
            <w:id w:val="147458877"/>
          </w:sdtPr>
          <w:sdtEndPr>
            <w:rPr>
              <w:rFonts w:cs="Times New Roman"/>
            </w:rPr>
          </w:sdtEndPr>
          <w:sdtContent>
            <w:tc>
              <w:tcPr>
                <w:tcW w:w="2045" w:type="pct"/>
                <w:gridSpan w:val="5"/>
                <w:tcBorders>
                  <w:top w:val="single" w:color="auto" w:sz="4" w:space="0"/>
                  <w:left w:val="single" w:color="auto" w:sz="4" w:space="0"/>
                  <w:right w:val="single" w:color="auto" w:sz="4" w:space="0"/>
                </w:tcBorders>
                <w:vAlign w:val="center"/>
              </w:tcPr>
              <w:p w14:paraId="5D9D5084">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7ebf4817a5864c42bb0897c8ddd0cd9c"/>
            <w:id w:val="147454683"/>
          </w:sdtPr>
          <w:sdtEndPr>
            <w:rPr>
              <w:rFonts w:cs="Times New Roman"/>
            </w:rPr>
          </w:sdtEndPr>
          <w:sdtContent>
            <w:tc>
              <w:tcPr>
                <w:tcW w:w="2036" w:type="pct"/>
                <w:gridSpan w:val="5"/>
                <w:tcBorders>
                  <w:top w:val="single" w:color="auto" w:sz="4" w:space="0"/>
                  <w:left w:val="single" w:color="auto" w:sz="4" w:space="0"/>
                  <w:right w:val="single" w:color="auto" w:sz="4" w:space="0"/>
                </w:tcBorders>
                <w:vAlign w:val="center"/>
              </w:tcPr>
              <w:p w14:paraId="74483ACC">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tr>
      <w:tr w14:paraId="58CF7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27" w:hRule="atLeast"/>
        </w:trPr>
        <w:tc>
          <w:tcPr>
            <w:tcW w:w="919" w:type="pct"/>
            <w:vMerge w:val="continue"/>
            <w:tcBorders>
              <w:left w:val="single" w:color="auto" w:sz="4" w:space="0"/>
              <w:right w:val="single" w:color="auto" w:sz="4" w:space="0"/>
            </w:tcBorders>
            <w:vAlign w:val="center"/>
          </w:tcPr>
          <w:p w14:paraId="57678A38">
            <w:pPr>
              <w:rPr>
                <w:rFonts w:cs="Times New Roman"/>
                <w:color w:val="000000" w:themeColor="text1"/>
                <w14:textFill>
                  <w14:solidFill>
                    <w14:schemeClr w14:val="tx1"/>
                  </w14:solidFill>
                </w14:textFill>
              </w:rPr>
            </w:pPr>
          </w:p>
        </w:tc>
        <w:sdt>
          <w:sdtPr>
            <w:rPr>
              <w:rFonts w:cs="Times New Roman"/>
            </w:rPr>
            <w:tag w:val="_PLD_fd64cffe158d4ef48a5ff569de778464"/>
            <w:id w:val="147473771"/>
          </w:sdtPr>
          <w:sdtEndPr>
            <w:rPr>
              <w:rFonts w:cs="Times New Roman"/>
            </w:rPr>
          </w:sdtEndPr>
          <w:sdtContent>
            <w:tc>
              <w:tcPr>
                <w:tcW w:w="818" w:type="pct"/>
                <w:gridSpan w:val="2"/>
                <w:tcBorders>
                  <w:top w:val="single" w:color="auto" w:sz="4" w:space="0"/>
                  <w:left w:val="single" w:color="auto" w:sz="4" w:space="0"/>
                  <w:bottom w:val="single" w:color="auto" w:sz="4" w:space="0"/>
                  <w:right w:val="single" w:color="auto" w:sz="4" w:space="0"/>
                </w:tcBorders>
                <w:vAlign w:val="center"/>
              </w:tcPr>
              <w:p w14:paraId="7D6CEB4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账面余额</w:t>
                </w:r>
              </w:p>
            </w:tc>
          </w:sdtContent>
        </w:sdt>
        <w:sdt>
          <w:sdtPr>
            <w:rPr>
              <w:rFonts w:cs="Times New Roman"/>
            </w:rPr>
            <w:tag w:val="_PLD_f0f4adcb95c44cfa884ef7d853d6b134"/>
            <w:id w:val="147451254"/>
          </w:sdtPr>
          <w:sdtEndPr>
            <w:rPr>
              <w:rFonts w:cs="Times New Roman"/>
            </w:rPr>
          </w:sdtEndPr>
          <w:sdtContent>
            <w:tc>
              <w:tcPr>
                <w:tcW w:w="716" w:type="pct"/>
                <w:gridSpan w:val="2"/>
                <w:tcBorders>
                  <w:top w:val="single" w:color="auto" w:sz="4" w:space="0"/>
                  <w:left w:val="single" w:color="auto" w:sz="4" w:space="0"/>
                  <w:bottom w:val="single" w:color="auto" w:sz="4" w:space="0"/>
                  <w:right w:val="single" w:color="auto" w:sz="4" w:space="0"/>
                </w:tcBorders>
                <w:vAlign w:val="center"/>
              </w:tcPr>
              <w:p w14:paraId="1E1D30E2">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坏账准备</w:t>
                </w:r>
              </w:p>
            </w:tc>
          </w:sdtContent>
        </w:sdt>
        <w:sdt>
          <w:sdtPr>
            <w:rPr>
              <w:rFonts w:cs="Times New Roman"/>
            </w:rPr>
            <w:tag w:val="_PLD_4c122527ed0743b8905d9f19514f4328"/>
            <w:id w:val="147456085"/>
          </w:sdtPr>
          <w:sdtEndPr>
            <w:rPr>
              <w:rFonts w:cs="Times New Roman"/>
            </w:rPr>
          </w:sdtEndPr>
          <w:sdtContent>
            <w:tc>
              <w:tcPr>
                <w:tcW w:w="511" w:type="pct"/>
                <w:vMerge w:val="restart"/>
                <w:tcBorders>
                  <w:top w:val="single" w:color="auto" w:sz="4" w:space="0"/>
                  <w:left w:val="single" w:color="auto" w:sz="4" w:space="0"/>
                  <w:right w:val="single" w:color="auto" w:sz="4" w:space="0"/>
                </w:tcBorders>
                <w:vAlign w:val="center"/>
              </w:tcPr>
              <w:p w14:paraId="5F58EE9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w:t>
                </w:r>
              </w:p>
              <w:p w14:paraId="4FFAB98F">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价值</w:t>
                </w:r>
              </w:p>
            </w:tc>
          </w:sdtContent>
        </w:sdt>
        <w:sdt>
          <w:sdtPr>
            <w:rPr>
              <w:rFonts w:cs="Times New Roman"/>
            </w:rPr>
            <w:tag w:val="_PLD_fa758d9eb4ae426faef8e328262241b4"/>
            <w:id w:val="147479890"/>
          </w:sdtPr>
          <w:sdtEndPr>
            <w:rPr>
              <w:rFonts w:cs="Times New Roman"/>
            </w:rPr>
          </w:sdtEndPr>
          <w:sdtContent>
            <w:tc>
              <w:tcPr>
                <w:tcW w:w="767" w:type="pct"/>
                <w:gridSpan w:val="2"/>
                <w:tcBorders>
                  <w:top w:val="single" w:color="auto" w:sz="4" w:space="0"/>
                  <w:left w:val="single" w:color="auto" w:sz="4" w:space="0"/>
                  <w:right w:val="single" w:color="auto" w:sz="4" w:space="0"/>
                </w:tcBorders>
                <w:vAlign w:val="center"/>
              </w:tcPr>
              <w:p w14:paraId="10422FF2">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账面余额</w:t>
                </w:r>
              </w:p>
            </w:tc>
          </w:sdtContent>
        </w:sdt>
        <w:sdt>
          <w:sdtPr>
            <w:rPr>
              <w:rFonts w:cs="Times New Roman"/>
            </w:rPr>
            <w:tag w:val="_PLD_58080bac137d4831ab65bc2f8ca82429"/>
            <w:id w:val="147455266"/>
          </w:sdtPr>
          <w:sdtEndPr>
            <w:rPr>
              <w:rFonts w:cs="Times New Roman"/>
            </w:rPr>
          </w:sdtEndPr>
          <w:sdtContent>
            <w:tc>
              <w:tcPr>
                <w:tcW w:w="763" w:type="pct"/>
                <w:gridSpan w:val="2"/>
                <w:tcBorders>
                  <w:top w:val="single" w:color="auto" w:sz="4" w:space="0"/>
                  <w:left w:val="single" w:color="auto" w:sz="4" w:space="0"/>
                  <w:right w:val="single" w:color="auto" w:sz="4" w:space="0"/>
                </w:tcBorders>
                <w:vAlign w:val="center"/>
              </w:tcPr>
              <w:p w14:paraId="2A1269FC">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坏账准备</w:t>
                </w:r>
              </w:p>
            </w:tc>
          </w:sdtContent>
        </w:sdt>
        <w:sdt>
          <w:sdtPr>
            <w:rPr>
              <w:rFonts w:cs="Times New Roman"/>
            </w:rPr>
            <w:tag w:val="_PLD_c015e43e7b384b6ab9bf259155579fa4"/>
            <w:id w:val="147477167"/>
          </w:sdtPr>
          <w:sdtEndPr>
            <w:rPr>
              <w:rFonts w:cs="Times New Roman"/>
            </w:rPr>
          </w:sdtEndPr>
          <w:sdtContent>
            <w:tc>
              <w:tcPr>
                <w:tcW w:w="506" w:type="pct"/>
                <w:vMerge w:val="restart"/>
                <w:tcBorders>
                  <w:top w:val="single" w:color="auto" w:sz="4" w:space="0"/>
                  <w:left w:val="single" w:color="auto" w:sz="4" w:space="0"/>
                  <w:right w:val="single" w:color="auto" w:sz="4" w:space="0"/>
                </w:tcBorders>
                <w:vAlign w:val="center"/>
              </w:tcPr>
              <w:p w14:paraId="1702C1E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w:t>
                </w:r>
              </w:p>
              <w:p w14:paraId="4EB79D17">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价值</w:t>
                </w:r>
              </w:p>
            </w:tc>
          </w:sdtContent>
        </w:sdt>
      </w:tr>
      <w:tr w14:paraId="31AA9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375" w:hRule="atLeast"/>
        </w:trPr>
        <w:tc>
          <w:tcPr>
            <w:tcW w:w="919" w:type="pct"/>
            <w:vMerge w:val="continue"/>
            <w:tcBorders>
              <w:left w:val="single" w:color="auto" w:sz="4" w:space="0"/>
              <w:bottom w:val="single" w:color="auto" w:sz="4" w:space="0"/>
              <w:right w:val="single" w:color="auto" w:sz="4" w:space="0"/>
            </w:tcBorders>
            <w:vAlign w:val="center"/>
          </w:tcPr>
          <w:p w14:paraId="488AD5E3">
            <w:pPr>
              <w:rPr>
                <w:rFonts w:cs="Times New Roman"/>
                <w:color w:val="000000" w:themeColor="text1"/>
                <w14:textFill>
                  <w14:solidFill>
                    <w14:schemeClr w14:val="tx1"/>
                  </w14:solidFill>
                </w14:textFill>
              </w:rPr>
            </w:pPr>
          </w:p>
        </w:tc>
        <w:sdt>
          <w:sdtPr>
            <w:rPr>
              <w:rFonts w:cs="Times New Roman"/>
            </w:rPr>
            <w:tag w:val="_PLD_2a622138bde346ccae812608989b472d"/>
            <w:id w:val="147482397"/>
          </w:sdtPr>
          <w:sdtEndPr>
            <w:rPr>
              <w:rFonts w:cs="Times New Roman"/>
            </w:rPr>
          </w:sdtEndPr>
          <w:sdtContent>
            <w:tc>
              <w:tcPr>
                <w:tcW w:w="562" w:type="pct"/>
                <w:tcBorders>
                  <w:left w:val="single" w:color="auto" w:sz="4" w:space="0"/>
                  <w:bottom w:val="single" w:color="auto" w:sz="4" w:space="0"/>
                  <w:right w:val="single" w:color="auto" w:sz="4" w:space="0"/>
                </w:tcBorders>
                <w:vAlign w:val="center"/>
              </w:tcPr>
              <w:p w14:paraId="77799C3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金额</w:t>
                </w:r>
              </w:p>
            </w:tc>
          </w:sdtContent>
        </w:sdt>
        <w:sdt>
          <w:sdtPr>
            <w:rPr>
              <w:rFonts w:cs="Times New Roman"/>
            </w:rPr>
            <w:tag w:val="_PLD_abd0e3a320c240aeb85b1414af26aa00"/>
            <w:id w:val="147459681"/>
          </w:sdtPr>
          <w:sdtEndPr>
            <w:rPr>
              <w:rFonts w:cs="Times New Roman"/>
            </w:rPr>
          </w:sdtEndPr>
          <w:sdtContent>
            <w:tc>
              <w:tcPr>
                <w:tcW w:w="256" w:type="pct"/>
                <w:tcBorders>
                  <w:left w:val="single" w:color="auto" w:sz="4" w:space="0"/>
                  <w:bottom w:val="single" w:color="auto" w:sz="4" w:space="0"/>
                  <w:right w:val="single" w:color="auto" w:sz="4" w:space="0"/>
                </w:tcBorders>
                <w:vAlign w:val="center"/>
              </w:tcPr>
              <w:p w14:paraId="2EAF5DE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比例(%)</w:t>
                </w:r>
              </w:p>
            </w:tc>
          </w:sdtContent>
        </w:sdt>
        <w:sdt>
          <w:sdtPr>
            <w:rPr>
              <w:rFonts w:cs="Times New Roman"/>
            </w:rPr>
            <w:tag w:val="_PLD_d60468b4e5934fb9af3ebf3b3ca06a6b"/>
            <w:id w:val="147472257"/>
          </w:sdtPr>
          <w:sdtEndPr>
            <w:rPr>
              <w:rFonts w:cs="Times New Roman"/>
            </w:rPr>
          </w:sdtEndPr>
          <w:sdtContent>
            <w:tc>
              <w:tcPr>
                <w:tcW w:w="460" w:type="pct"/>
                <w:tcBorders>
                  <w:left w:val="single" w:color="auto" w:sz="4" w:space="0"/>
                  <w:bottom w:val="single" w:color="auto" w:sz="4" w:space="0"/>
                  <w:right w:val="single" w:color="auto" w:sz="4" w:space="0"/>
                </w:tcBorders>
                <w:vAlign w:val="center"/>
              </w:tcPr>
              <w:p w14:paraId="086051B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金额</w:t>
                </w:r>
              </w:p>
            </w:tc>
          </w:sdtContent>
        </w:sdt>
        <w:sdt>
          <w:sdtPr>
            <w:rPr>
              <w:rFonts w:cs="Times New Roman"/>
            </w:rPr>
            <w:tag w:val="_PLD_743ca215156149608b4d9149bc142cc3"/>
            <w:id w:val="147454379"/>
          </w:sdtPr>
          <w:sdtEndPr>
            <w:rPr>
              <w:rFonts w:cs="Times New Roman"/>
            </w:rPr>
          </w:sdtEndPr>
          <w:sdtContent>
            <w:tc>
              <w:tcPr>
                <w:tcW w:w="256" w:type="pct"/>
                <w:tcBorders>
                  <w:left w:val="single" w:color="auto" w:sz="4" w:space="0"/>
                  <w:bottom w:val="single" w:color="auto" w:sz="4" w:space="0"/>
                  <w:right w:val="single" w:color="auto" w:sz="4" w:space="0"/>
                </w:tcBorders>
                <w:vAlign w:val="center"/>
              </w:tcPr>
              <w:p w14:paraId="27CC6B3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计提比例(%)</w:t>
                </w:r>
              </w:p>
            </w:tc>
          </w:sdtContent>
        </w:sdt>
        <w:tc>
          <w:tcPr>
            <w:tcW w:w="511" w:type="pct"/>
            <w:vMerge w:val="continue"/>
            <w:tcBorders>
              <w:left w:val="single" w:color="auto" w:sz="4" w:space="0"/>
              <w:bottom w:val="single" w:color="auto" w:sz="4" w:space="0"/>
              <w:right w:val="single" w:color="auto" w:sz="4" w:space="0"/>
            </w:tcBorders>
            <w:vAlign w:val="center"/>
          </w:tcPr>
          <w:p w14:paraId="02FAAB03">
            <w:pPr>
              <w:jc w:val="center"/>
              <w:rPr>
                <w:rFonts w:cs="Times New Roman"/>
                <w:color w:val="000000" w:themeColor="text1"/>
                <w14:textFill>
                  <w14:solidFill>
                    <w14:schemeClr w14:val="tx1"/>
                  </w14:solidFill>
                </w14:textFill>
              </w:rPr>
            </w:pPr>
          </w:p>
        </w:tc>
        <w:sdt>
          <w:sdtPr>
            <w:rPr>
              <w:rFonts w:cs="Times New Roman"/>
            </w:rPr>
            <w:tag w:val="_PLD_88061469e7574f3d93ff9dc8f7c03e2d"/>
            <w:id w:val="147479451"/>
          </w:sdtPr>
          <w:sdtEndPr>
            <w:rPr>
              <w:rFonts w:cs="Times New Roman"/>
            </w:rPr>
          </w:sdtEndPr>
          <w:sdtContent>
            <w:tc>
              <w:tcPr>
                <w:tcW w:w="511" w:type="pct"/>
                <w:tcBorders>
                  <w:left w:val="single" w:color="auto" w:sz="4" w:space="0"/>
                  <w:bottom w:val="single" w:color="auto" w:sz="4" w:space="0"/>
                  <w:right w:val="single" w:color="auto" w:sz="4" w:space="0"/>
                </w:tcBorders>
                <w:vAlign w:val="center"/>
              </w:tcPr>
              <w:p w14:paraId="26D70B62">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金额</w:t>
                </w:r>
              </w:p>
            </w:tc>
          </w:sdtContent>
        </w:sdt>
        <w:sdt>
          <w:sdtPr>
            <w:rPr>
              <w:rFonts w:cs="Times New Roman"/>
            </w:rPr>
            <w:tag w:val="_PLD_c2b4bd19b5284f3481bdd6a3becafce0"/>
            <w:id w:val="147478862"/>
          </w:sdtPr>
          <w:sdtEndPr>
            <w:rPr>
              <w:rFonts w:cs="Times New Roman"/>
            </w:rPr>
          </w:sdtEndPr>
          <w:sdtContent>
            <w:tc>
              <w:tcPr>
                <w:tcW w:w="256" w:type="pct"/>
                <w:tcBorders>
                  <w:left w:val="single" w:color="auto" w:sz="4" w:space="0"/>
                  <w:bottom w:val="single" w:color="auto" w:sz="4" w:space="0"/>
                  <w:right w:val="single" w:color="auto" w:sz="4" w:space="0"/>
                </w:tcBorders>
                <w:vAlign w:val="center"/>
              </w:tcPr>
              <w:p w14:paraId="363FC748">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比例(%)</w:t>
                </w:r>
              </w:p>
            </w:tc>
          </w:sdtContent>
        </w:sdt>
        <w:sdt>
          <w:sdtPr>
            <w:rPr>
              <w:rFonts w:cs="Times New Roman"/>
            </w:rPr>
            <w:tag w:val="_PLD_c6874c65e4ac43019002d5903e4b46d6"/>
            <w:id w:val="147470140"/>
          </w:sdtPr>
          <w:sdtEndPr>
            <w:rPr>
              <w:rFonts w:cs="Times New Roman"/>
            </w:rPr>
          </w:sdtEndPr>
          <w:sdtContent>
            <w:tc>
              <w:tcPr>
                <w:tcW w:w="511" w:type="pct"/>
                <w:tcBorders>
                  <w:left w:val="single" w:color="auto" w:sz="4" w:space="0"/>
                  <w:bottom w:val="single" w:color="auto" w:sz="4" w:space="0"/>
                  <w:right w:val="single" w:color="auto" w:sz="4" w:space="0"/>
                </w:tcBorders>
                <w:vAlign w:val="center"/>
              </w:tcPr>
              <w:p w14:paraId="6E213A9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金额</w:t>
                </w:r>
              </w:p>
            </w:tc>
          </w:sdtContent>
        </w:sdt>
        <w:sdt>
          <w:sdtPr>
            <w:rPr>
              <w:rFonts w:cs="Times New Roman"/>
            </w:rPr>
            <w:tag w:val="_PLD_0596fb5f4bb147b48d9ab2f32535e71f"/>
            <w:id w:val="147461038"/>
          </w:sdtPr>
          <w:sdtEndPr>
            <w:rPr>
              <w:rFonts w:cs="Times New Roman"/>
            </w:rPr>
          </w:sdtEndPr>
          <w:sdtContent>
            <w:tc>
              <w:tcPr>
                <w:tcW w:w="252" w:type="pct"/>
                <w:tcBorders>
                  <w:left w:val="single" w:color="auto" w:sz="4" w:space="0"/>
                  <w:bottom w:val="single" w:color="auto" w:sz="4" w:space="0"/>
                  <w:right w:val="single" w:color="auto" w:sz="4" w:space="0"/>
                </w:tcBorders>
                <w:vAlign w:val="center"/>
              </w:tcPr>
              <w:p w14:paraId="760742CA">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计提比例(%)</w:t>
                </w:r>
              </w:p>
            </w:tc>
          </w:sdtContent>
        </w:sdt>
        <w:tc>
          <w:tcPr>
            <w:tcW w:w="506" w:type="pct"/>
            <w:vMerge w:val="continue"/>
            <w:tcBorders>
              <w:left w:val="single" w:color="auto" w:sz="4" w:space="0"/>
              <w:bottom w:val="single" w:color="auto" w:sz="4" w:space="0"/>
              <w:right w:val="single" w:color="auto" w:sz="4" w:space="0"/>
            </w:tcBorders>
          </w:tcPr>
          <w:p w14:paraId="419859FD">
            <w:pPr>
              <w:jc w:val="center"/>
              <w:rPr>
                <w:rFonts w:cs="Times New Roman"/>
                <w:color w:val="000000" w:themeColor="text1"/>
                <w14:textFill>
                  <w14:solidFill>
                    <w14:schemeClr w14:val="tx1"/>
                  </w14:solidFill>
                </w14:textFill>
              </w:rPr>
            </w:pPr>
          </w:p>
        </w:tc>
      </w:tr>
      <w:tr w14:paraId="4994E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919" w:type="pct"/>
            <w:tcBorders>
              <w:top w:val="single" w:color="auto" w:sz="4" w:space="0"/>
              <w:left w:val="single" w:color="auto" w:sz="4" w:space="0"/>
              <w:bottom w:val="single" w:color="auto" w:sz="4" w:space="0"/>
              <w:right w:val="single" w:color="auto" w:sz="4" w:space="0"/>
            </w:tcBorders>
          </w:tcPr>
          <w:p w14:paraId="34AFC510">
            <w:pPr>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按单项计提坏账准备</w:t>
            </w:r>
          </w:p>
        </w:tc>
        <w:tc>
          <w:tcPr>
            <w:tcW w:w="562" w:type="pct"/>
            <w:tcBorders>
              <w:top w:val="single" w:color="auto" w:sz="4" w:space="0"/>
              <w:left w:val="single" w:color="auto" w:sz="4" w:space="0"/>
              <w:bottom w:val="single" w:color="auto" w:sz="4" w:space="0"/>
              <w:right w:val="single" w:color="auto" w:sz="4" w:space="0"/>
            </w:tcBorders>
            <w:vAlign w:val="center"/>
          </w:tcPr>
          <w:p w14:paraId="6C8CDA28">
            <w:pPr>
              <w:jc w:val="right"/>
              <w:textAlignment w:val="bottom"/>
              <w:rPr>
                <w:rFonts w:cs="Times New Roman"/>
                <w:sz w:val="18"/>
                <w:szCs w:val="18"/>
              </w:rPr>
            </w:pPr>
            <w:r>
              <w:rPr>
                <w:rFonts w:cs="Times New Roman"/>
                <w:color w:val="000000"/>
                <w:sz w:val="18"/>
                <w:szCs w:val="18"/>
              </w:rPr>
              <w:t>215,729,691.76</w:t>
            </w:r>
          </w:p>
        </w:tc>
        <w:tc>
          <w:tcPr>
            <w:tcW w:w="256" w:type="pct"/>
            <w:tcBorders>
              <w:top w:val="single" w:color="auto" w:sz="4" w:space="0"/>
              <w:left w:val="single" w:color="auto" w:sz="4" w:space="0"/>
              <w:bottom w:val="single" w:color="auto" w:sz="4" w:space="0"/>
              <w:right w:val="single" w:color="auto" w:sz="4" w:space="0"/>
            </w:tcBorders>
            <w:vAlign w:val="center"/>
          </w:tcPr>
          <w:p w14:paraId="5CFDEBA2">
            <w:pPr>
              <w:jc w:val="right"/>
              <w:textAlignment w:val="bottom"/>
              <w:rPr>
                <w:rFonts w:cs="Times New Roman"/>
                <w:sz w:val="18"/>
                <w:szCs w:val="18"/>
              </w:rPr>
            </w:pPr>
            <w:r>
              <w:rPr>
                <w:rFonts w:cs="Times New Roman"/>
                <w:color w:val="000000"/>
                <w:sz w:val="18"/>
                <w:szCs w:val="18"/>
              </w:rPr>
              <w:t>6.05</w:t>
            </w:r>
          </w:p>
        </w:tc>
        <w:tc>
          <w:tcPr>
            <w:tcW w:w="460" w:type="pct"/>
            <w:tcBorders>
              <w:top w:val="single" w:color="auto" w:sz="4" w:space="0"/>
              <w:left w:val="single" w:color="auto" w:sz="4" w:space="0"/>
              <w:bottom w:val="single" w:color="auto" w:sz="4" w:space="0"/>
              <w:right w:val="single" w:color="auto" w:sz="4" w:space="0"/>
            </w:tcBorders>
            <w:vAlign w:val="center"/>
          </w:tcPr>
          <w:p w14:paraId="3F837669">
            <w:pPr>
              <w:jc w:val="right"/>
              <w:textAlignment w:val="bottom"/>
              <w:rPr>
                <w:rFonts w:cs="Times New Roman"/>
                <w:sz w:val="18"/>
                <w:szCs w:val="18"/>
              </w:rPr>
            </w:pPr>
            <w:r>
              <w:rPr>
                <w:rFonts w:cs="Times New Roman"/>
                <w:color w:val="000000"/>
                <w:sz w:val="18"/>
                <w:szCs w:val="18"/>
              </w:rPr>
              <w:t>204,759,407.76</w:t>
            </w:r>
          </w:p>
        </w:tc>
        <w:tc>
          <w:tcPr>
            <w:tcW w:w="256" w:type="pct"/>
            <w:tcBorders>
              <w:top w:val="single" w:color="auto" w:sz="4" w:space="0"/>
              <w:left w:val="single" w:color="auto" w:sz="4" w:space="0"/>
              <w:bottom w:val="single" w:color="auto" w:sz="4" w:space="0"/>
              <w:right w:val="single" w:color="auto" w:sz="4" w:space="0"/>
            </w:tcBorders>
            <w:vAlign w:val="center"/>
          </w:tcPr>
          <w:p w14:paraId="0372F2B1">
            <w:pPr>
              <w:jc w:val="right"/>
              <w:textAlignment w:val="bottom"/>
              <w:rPr>
                <w:rFonts w:cs="Times New Roman"/>
                <w:sz w:val="18"/>
                <w:szCs w:val="18"/>
              </w:rPr>
            </w:pPr>
            <w:r>
              <w:rPr>
                <w:rFonts w:cs="Times New Roman"/>
                <w:color w:val="000000"/>
                <w:sz w:val="18"/>
                <w:szCs w:val="18"/>
              </w:rPr>
              <w:t>94.91</w:t>
            </w:r>
          </w:p>
        </w:tc>
        <w:tc>
          <w:tcPr>
            <w:tcW w:w="511" w:type="pct"/>
            <w:tcBorders>
              <w:top w:val="single" w:color="auto" w:sz="4" w:space="0"/>
              <w:left w:val="single" w:color="auto" w:sz="4" w:space="0"/>
              <w:bottom w:val="single" w:color="auto" w:sz="4" w:space="0"/>
              <w:right w:val="single" w:color="auto" w:sz="4" w:space="0"/>
            </w:tcBorders>
            <w:vAlign w:val="center"/>
          </w:tcPr>
          <w:p w14:paraId="71422FAB">
            <w:pPr>
              <w:jc w:val="right"/>
              <w:textAlignment w:val="bottom"/>
              <w:rPr>
                <w:rFonts w:cs="Times New Roman"/>
                <w:sz w:val="18"/>
                <w:szCs w:val="18"/>
              </w:rPr>
            </w:pPr>
            <w:r>
              <w:rPr>
                <w:rFonts w:cs="Times New Roman"/>
                <w:color w:val="000000"/>
                <w:sz w:val="18"/>
                <w:szCs w:val="18"/>
              </w:rPr>
              <w:t>10,970,284.00</w:t>
            </w:r>
          </w:p>
        </w:tc>
        <w:tc>
          <w:tcPr>
            <w:tcW w:w="511" w:type="pct"/>
            <w:tcBorders>
              <w:top w:val="single" w:color="auto" w:sz="4" w:space="0"/>
              <w:left w:val="single" w:color="auto" w:sz="4" w:space="0"/>
              <w:bottom w:val="single" w:color="auto" w:sz="4" w:space="0"/>
              <w:right w:val="single" w:color="auto" w:sz="4" w:space="0"/>
            </w:tcBorders>
            <w:vAlign w:val="center"/>
          </w:tcPr>
          <w:p w14:paraId="417292F4">
            <w:pPr>
              <w:jc w:val="right"/>
              <w:textAlignment w:val="bottom"/>
              <w:rPr>
                <w:rFonts w:cs="Times New Roman"/>
                <w:sz w:val="18"/>
                <w:szCs w:val="18"/>
              </w:rPr>
            </w:pPr>
            <w:r>
              <w:rPr>
                <w:rFonts w:cs="Times New Roman"/>
                <w:color w:val="000000"/>
                <w:sz w:val="18"/>
                <w:szCs w:val="18"/>
              </w:rPr>
              <w:t>215,314,102.91</w:t>
            </w:r>
          </w:p>
        </w:tc>
        <w:tc>
          <w:tcPr>
            <w:tcW w:w="256" w:type="pct"/>
            <w:tcBorders>
              <w:top w:val="single" w:color="auto" w:sz="4" w:space="0"/>
              <w:left w:val="single" w:color="auto" w:sz="4" w:space="0"/>
              <w:bottom w:val="single" w:color="auto" w:sz="4" w:space="0"/>
              <w:right w:val="single" w:color="auto" w:sz="4" w:space="0"/>
            </w:tcBorders>
            <w:vAlign w:val="center"/>
          </w:tcPr>
          <w:p w14:paraId="6E0C7CF7">
            <w:pPr>
              <w:jc w:val="right"/>
              <w:textAlignment w:val="bottom"/>
              <w:rPr>
                <w:rFonts w:cs="Times New Roman"/>
                <w:sz w:val="18"/>
                <w:szCs w:val="18"/>
              </w:rPr>
            </w:pPr>
            <w:r>
              <w:rPr>
                <w:rFonts w:cs="Times New Roman"/>
                <w:color w:val="000000"/>
                <w:sz w:val="18"/>
                <w:szCs w:val="18"/>
              </w:rPr>
              <w:t>6.28</w:t>
            </w:r>
          </w:p>
        </w:tc>
        <w:tc>
          <w:tcPr>
            <w:tcW w:w="511" w:type="pct"/>
            <w:tcBorders>
              <w:top w:val="single" w:color="auto" w:sz="4" w:space="0"/>
              <w:left w:val="single" w:color="auto" w:sz="4" w:space="0"/>
              <w:bottom w:val="single" w:color="auto" w:sz="4" w:space="0"/>
              <w:right w:val="single" w:color="auto" w:sz="4" w:space="0"/>
            </w:tcBorders>
            <w:vAlign w:val="center"/>
          </w:tcPr>
          <w:p w14:paraId="0F28749D">
            <w:pPr>
              <w:jc w:val="right"/>
              <w:textAlignment w:val="bottom"/>
              <w:rPr>
                <w:rFonts w:cs="Times New Roman"/>
                <w:sz w:val="18"/>
                <w:szCs w:val="18"/>
              </w:rPr>
            </w:pPr>
            <w:r>
              <w:rPr>
                <w:rFonts w:cs="Times New Roman"/>
                <w:color w:val="000000"/>
                <w:sz w:val="18"/>
                <w:szCs w:val="18"/>
              </w:rPr>
              <w:t>204,343,818.91</w:t>
            </w:r>
          </w:p>
        </w:tc>
        <w:tc>
          <w:tcPr>
            <w:tcW w:w="252" w:type="pct"/>
            <w:tcBorders>
              <w:top w:val="single" w:color="auto" w:sz="4" w:space="0"/>
              <w:left w:val="single" w:color="auto" w:sz="4" w:space="0"/>
              <w:bottom w:val="single" w:color="auto" w:sz="4" w:space="0"/>
              <w:right w:val="single" w:color="auto" w:sz="4" w:space="0"/>
            </w:tcBorders>
            <w:vAlign w:val="center"/>
          </w:tcPr>
          <w:p w14:paraId="32DE59C7">
            <w:pPr>
              <w:jc w:val="right"/>
              <w:textAlignment w:val="bottom"/>
              <w:rPr>
                <w:rFonts w:cs="Times New Roman"/>
                <w:sz w:val="18"/>
                <w:szCs w:val="18"/>
              </w:rPr>
            </w:pPr>
            <w:r>
              <w:rPr>
                <w:rFonts w:cs="Times New Roman"/>
                <w:color w:val="000000"/>
                <w:sz w:val="18"/>
                <w:szCs w:val="18"/>
              </w:rPr>
              <w:t>94.90</w:t>
            </w:r>
          </w:p>
        </w:tc>
        <w:tc>
          <w:tcPr>
            <w:tcW w:w="506" w:type="pct"/>
            <w:tcBorders>
              <w:top w:val="single" w:color="auto" w:sz="4" w:space="0"/>
              <w:left w:val="single" w:color="auto" w:sz="4" w:space="0"/>
              <w:bottom w:val="single" w:color="auto" w:sz="4" w:space="0"/>
              <w:right w:val="single" w:color="auto" w:sz="4" w:space="0"/>
            </w:tcBorders>
            <w:vAlign w:val="center"/>
          </w:tcPr>
          <w:p w14:paraId="2DEC8221">
            <w:pPr>
              <w:jc w:val="right"/>
              <w:textAlignment w:val="bottom"/>
              <w:rPr>
                <w:rFonts w:cs="Times New Roman"/>
                <w:sz w:val="18"/>
                <w:szCs w:val="18"/>
              </w:rPr>
            </w:pPr>
            <w:r>
              <w:rPr>
                <w:rFonts w:cs="Times New Roman"/>
                <w:color w:val="000000"/>
                <w:sz w:val="18"/>
                <w:szCs w:val="18"/>
              </w:rPr>
              <w:t>10,970,284.00</w:t>
            </w:r>
          </w:p>
        </w:tc>
      </w:tr>
      <w:tr w14:paraId="3985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cs="Times New Roman"/>
            </w:rPr>
            <w:tag w:val="_PLD_a3793487a0154f9a85b0e94e01b6ddbe"/>
            <w:id w:val="147483060"/>
          </w:sdtPr>
          <w:sdtEndPr>
            <w:rPr>
              <w:rFonts w:cs="Times New Roman"/>
              <w:sz w:val="18"/>
              <w:szCs w:val="18"/>
            </w:rPr>
          </w:sdtEndPr>
          <w:sdtContent>
            <w:tc>
              <w:tcPr>
                <w:tcW w:w="5000" w:type="pct"/>
                <w:gridSpan w:val="11"/>
                <w:tcBorders>
                  <w:top w:val="single" w:color="auto" w:sz="4" w:space="0"/>
                  <w:left w:val="single" w:color="auto" w:sz="4" w:space="0"/>
                  <w:bottom w:val="single" w:color="auto" w:sz="4" w:space="0"/>
                  <w:right w:val="single" w:color="auto" w:sz="4" w:space="0"/>
                </w:tcBorders>
                <w:vAlign w:val="center"/>
              </w:tcPr>
              <w:p w14:paraId="7B227A2E">
                <w:pPr>
                  <w:rPr>
                    <w:rFonts w:cs="Times New Roman"/>
                    <w:color w:val="000000" w:themeColor="text1"/>
                    <w:sz w:val="18"/>
                    <w:szCs w:val="18"/>
                    <w14:textFill>
                      <w14:solidFill>
                        <w14:schemeClr w14:val="tx1"/>
                      </w14:solidFill>
                    </w14:textFill>
                  </w:rPr>
                </w:pPr>
                <w:r>
                  <w:rPr>
                    <w:rFonts w:cs="Times New Roman"/>
                    <w:color w:val="000000" w:themeColor="text1"/>
                    <w14:textFill>
                      <w14:solidFill>
                        <w14:schemeClr w14:val="tx1"/>
                      </w14:solidFill>
                    </w14:textFill>
                  </w:rPr>
                  <w:t>其中：</w:t>
                </w:r>
              </w:p>
            </w:tc>
          </w:sdtContent>
        </w:sdt>
      </w:tr>
      <w:tr w14:paraId="5C8D8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919" w:type="pct"/>
            <w:tcBorders>
              <w:top w:val="single" w:color="auto" w:sz="4" w:space="0"/>
              <w:left w:val="single" w:color="auto" w:sz="4" w:space="0"/>
              <w:bottom w:val="single" w:color="auto" w:sz="4" w:space="0"/>
              <w:right w:val="single" w:color="auto" w:sz="4" w:space="0"/>
            </w:tcBorders>
          </w:tcPr>
          <w:p w14:paraId="61430D78">
            <w:pPr>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按组合计提坏账准备</w:t>
            </w:r>
          </w:p>
        </w:tc>
        <w:tc>
          <w:tcPr>
            <w:tcW w:w="562" w:type="pct"/>
            <w:tcBorders>
              <w:top w:val="single" w:color="auto" w:sz="4" w:space="0"/>
              <w:left w:val="single" w:color="auto" w:sz="4" w:space="0"/>
              <w:bottom w:val="single" w:color="auto" w:sz="4" w:space="0"/>
              <w:right w:val="single" w:color="auto" w:sz="4" w:space="0"/>
            </w:tcBorders>
            <w:vAlign w:val="center"/>
          </w:tcPr>
          <w:p w14:paraId="19B61F91">
            <w:pPr>
              <w:jc w:val="right"/>
              <w:textAlignment w:val="bottom"/>
              <w:rPr>
                <w:rFonts w:cs="Times New Roman"/>
                <w:sz w:val="18"/>
                <w:szCs w:val="18"/>
              </w:rPr>
            </w:pPr>
            <w:r>
              <w:rPr>
                <w:rFonts w:cs="Times New Roman"/>
                <w:color w:val="000000"/>
                <w:sz w:val="18"/>
                <w:szCs w:val="18"/>
              </w:rPr>
              <w:t>3,350,032,541.77</w:t>
            </w:r>
          </w:p>
        </w:tc>
        <w:tc>
          <w:tcPr>
            <w:tcW w:w="256" w:type="pct"/>
            <w:tcBorders>
              <w:top w:val="single" w:color="auto" w:sz="4" w:space="0"/>
              <w:left w:val="single" w:color="auto" w:sz="4" w:space="0"/>
              <w:bottom w:val="single" w:color="auto" w:sz="4" w:space="0"/>
              <w:right w:val="single" w:color="auto" w:sz="4" w:space="0"/>
            </w:tcBorders>
            <w:vAlign w:val="center"/>
          </w:tcPr>
          <w:p w14:paraId="27BA6ABB">
            <w:pPr>
              <w:jc w:val="right"/>
              <w:textAlignment w:val="bottom"/>
              <w:rPr>
                <w:rFonts w:cs="Times New Roman"/>
                <w:sz w:val="18"/>
                <w:szCs w:val="18"/>
              </w:rPr>
            </w:pPr>
            <w:r>
              <w:rPr>
                <w:rFonts w:cs="Times New Roman"/>
                <w:color w:val="000000"/>
                <w:sz w:val="18"/>
                <w:szCs w:val="18"/>
              </w:rPr>
              <w:t>93.95</w:t>
            </w:r>
          </w:p>
        </w:tc>
        <w:tc>
          <w:tcPr>
            <w:tcW w:w="460" w:type="pct"/>
            <w:tcBorders>
              <w:top w:val="single" w:color="auto" w:sz="4" w:space="0"/>
              <w:left w:val="single" w:color="auto" w:sz="4" w:space="0"/>
              <w:bottom w:val="single" w:color="auto" w:sz="4" w:space="0"/>
              <w:right w:val="single" w:color="auto" w:sz="4" w:space="0"/>
            </w:tcBorders>
            <w:vAlign w:val="center"/>
          </w:tcPr>
          <w:p w14:paraId="0A120ACA">
            <w:pPr>
              <w:jc w:val="right"/>
              <w:textAlignment w:val="bottom"/>
              <w:rPr>
                <w:rFonts w:cs="Times New Roman"/>
                <w:sz w:val="18"/>
                <w:szCs w:val="18"/>
              </w:rPr>
            </w:pPr>
            <w:r>
              <w:rPr>
                <w:rFonts w:cs="Times New Roman"/>
                <w:color w:val="000000"/>
                <w:sz w:val="18"/>
                <w:szCs w:val="18"/>
              </w:rPr>
              <w:t>303,490,593.94</w:t>
            </w:r>
          </w:p>
        </w:tc>
        <w:tc>
          <w:tcPr>
            <w:tcW w:w="256" w:type="pct"/>
            <w:tcBorders>
              <w:top w:val="single" w:color="auto" w:sz="4" w:space="0"/>
              <w:left w:val="single" w:color="auto" w:sz="4" w:space="0"/>
              <w:bottom w:val="single" w:color="auto" w:sz="4" w:space="0"/>
              <w:right w:val="single" w:color="auto" w:sz="4" w:space="0"/>
            </w:tcBorders>
            <w:vAlign w:val="center"/>
          </w:tcPr>
          <w:p w14:paraId="6F76310E">
            <w:pPr>
              <w:jc w:val="right"/>
              <w:textAlignment w:val="bottom"/>
              <w:rPr>
                <w:rFonts w:cs="Times New Roman"/>
                <w:sz w:val="18"/>
                <w:szCs w:val="18"/>
              </w:rPr>
            </w:pPr>
            <w:r>
              <w:rPr>
                <w:rFonts w:cs="Times New Roman"/>
                <w:color w:val="000000"/>
                <w:sz w:val="18"/>
                <w:szCs w:val="18"/>
              </w:rPr>
              <w:t>9.06</w:t>
            </w:r>
          </w:p>
        </w:tc>
        <w:tc>
          <w:tcPr>
            <w:tcW w:w="511" w:type="pct"/>
            <w:tcBorders>
              <w:top w:val="single" w:color="auto" w:sz="4" w:space="0"/>
              <w:left w:val="single" w:color="auto" w:sz="4" w:space="0"/>
              <w:bottom w:val="single" w:color="auto" w:sz="4" w:space="0"/>
              <w:right w:val="single" w:color="auto" w:sz="4" w:space="0"/>
            </w:tcBorders>
            <w:vAlign w:val="center"/>
          </w:tcPr>
          <w:p w14:paraId="2F6A890C">
            <w:pPr>
              <w:jc w:val="right"/>
              <w:textAlignment w:val="bottom"/>
              <w:rPr>
                <w:rFonts w:cs="Times New Roman"/>
                <w:sz w:val="18"/>
                <w:szCs w:val="18"/>
              </w:rPr>
            </w:pPr>
            <w:r>
              <w:rPr>
                <w:rFonts w:cs="Times New Roman"/>
                <w:color w:val="000000"/>
                <w:sz w:val="18"/>
                <w:szCs w:val="18"/>
              </w:rPr>
              <w:t>3,046,541,947.83</w:t>
            </w:r>
          </w:p>
        </w:tc>
        <w:tc>
          <w:tcPr>
            <w:tcW w:w="511" w:type="pct"/>
            <w:tcBorders>
              <w:top w:val="single" w:color="auto" w:sz="4" w:space="0"/>
              <w:left w:val="single" w:color="auto" w:sz="4" w:space="0"/>
              <w:bottom w:val="single" w:color="auto" w:sz="4" w:space="0"/>
              <w:right w:val="single" w:color="auto" w:sz="4" w:space="0"/>
            </w:tcBorders>
            <w:vAlign w:val="center"/>
          </w:tcPr>
          <w:p w14:paraId="20988FDC">
            <w:pPr>
              <w:jc w:val="right"/>
              <w:textAlignment w:val="bottom"/>
              <w:rPr>
                <w:rFonts w:cs="Times New Roman"/>
                <w:sz w:val="18"/>
                <w:szCs w:val="18"/>
              </w:rPr>
            </w:pPr>
            <w:r>
              <w:rPr>
                <w:rFonts w:cs="Times New Roman"/>
                <w:color w:val="000000"/>
                <w:sz w:val="18"/>
                <w:szCs w:val="18"/>
              </w:rPr>
              <w:t>3,215,852,849.13</w:t>
            </w:r>
          </w:p>
        </w:tc>
        <w:tc>
          <w:tcPr>
            <w:tcW w:w="256" w:type="pct"/>
            <w:tcBorders>
              <w:top w:val="single" w:color="auto" w:sz="4" w:space="0"/>
              <w:left w:val="single" w:color="auto" w:sz="4" w:space="0"/>
              <w:bottom w:val="single" w:color="auto" w:sz="4" w:space="0"/>
              <w:right w:val="single" w:color="auto" w:sz="4" w:space="0"/>
            </w:tcBorders>
            <w:vAlign w:val="center"/>
          </w:tcPr>
          <w:p w14:paraId="058367DC">
            <w:pPr>
              <w:jc w:val="right"/>
              <w:textAlignment w:val="bottom"/>
              <w:rPr>
                <w:rFonts w:cs="Times New Roman"/>
                <w:sz w:val="18"/>
                <w:szCs w:val="18"/>
              </w:rPr>
            </w:pPr>
            <w:r>
              <w:rPr>
                <w:rFonts w:cs="Times New Roman"/>
                <w:color w:val="000000"/>
                <w:sz w:val="18"/>
                <w:szCs w:val="18"/>
              </w:rPr>
              <w:t>93.72</w:t>
            </w:r>
          </w:p>
        </w:tc>
        <w:tc>
          <w:tcPr>
            <w:tcW w:w="511" w:type="pct"/>
            <w:tcBorders>
              <w:top w:val="single" w:color="auto" w:sz="4" w:space="0"/>
              <w:left w:val="single" w:color="auto" w:sz="4" w:space="0"/>
              <w:bottom w:val="single" w:color="auto" w:sz="4" w:space="0"/>
              <w:right w:val="single" w:color="auto" w:sz="4" w:space="0"/>
            </w:tcBorders>
            <w:vAlign w:val="center"/>
          </w:tcPr>
          <w:p w14:paraId="45F88B9A">
            <w:pPr>
              <w:jc w:val="right"/>
              <w:textAlignment w:val="bottom"/>
              <w:rPr>
                <w:rFonts w:cs="Times New Roman"/>
                <w:sz w:val="18"/>
                <w:szCs w:val="18"/>
              </w:rPr>
            </w:pPr>
            <w:r>
              <w:rPr>
                <w:rFonts w:cs="Times New Roman"/>
                <w:color w:val="000000"/>
                <w:sz w:val="18"/>
                <w:szCs w:val="18"/>
              </w:rPr>
              <w:t>306,158,655.66</w:t>
            </w:r>
          </w:p>
        </w:tc>
        <w:tc>
          <w:tcPr>
            <w:tcW w:w="252" w:type="pct"/>
            <w:tcBorders>
              <w:top w:val="single" w:color="auto" w:sz="4" w:space="0"/>
              <w:left w:val="single" w:color="auto" w:sz="4" w:space="0"/>
              <w:bottom w:val="single" w:color="auto" w:sz="4" w:space="0"/>
              <w:right w:val="single" w:color="auto" w:sz="4" w:space="0"/>
            </w:tcBorders>
            <w:vAlign w:val="center"/>
          </w:tcPr>
          <w:p w14:paraId="58A3483F">
            <w:pPr>
              <w:jc w:val="right"/>
              <w:textAlignment w:val="bottom"/>
              <w:rPr>
                <w:rFonts w:cs="Times New Roman"/>
                <w:sz w:val="18"/>
                <w:szCs w:val="18"/>
              </w:rPr>
            </w:pPr>
            <w:r>
              <w:rPr>
                <w:rFonts w:cs="Times New Roman"/>
                <w:color w:val="000000"/>
                <w:sz w:val="18"/>
                <w:szCs w:val="18"/>
              </w:rPr>
              <w:t>9.52</w:t>
            </w:r>
          </w:p>
        </w:tc>
        <w:tc>
          <w:tcPr>
            <w:tcW w:w="506" w:type="pct"/>
            <w:tcBorders>
              <w:top w:val="single" w:color="auto" w:sz="4" w:space="0"/>
              <w:left w:val="single" w:color="auto" w:sz="4" w:space="0"/>
              <w:bottom w:val="single" w:color="auto" w:sz="4" w:space="0"/>
              <w:right w:val="single" w:color="auto" w:sz="4" w:space="0"/>
            </w:tcBorders>
            <w:vAlign w:val="center"/>
          </w:tcPr>
          <w:p w14:paraId="7C2D592D">
            <w:pPr>
              <w:jc w:val="right"/>
              <w:textAlignment w:val="bottom"/>
              <w:rPr>
                <w:rFonts w:cs="Times New Roman"/>
                <w:sz w:val="18"/>
                <w:szCs w:val="18"/>
              </w:rPr>
            </w:pPr>
            <w:r>
              <w:rPr>
                <w:rFonts w:cs="Times New Roman"/>
                <w:color w:val="000000"/>
                <w:sz w:val="18"/>
                <w:szCs w:val="18"/>
              </w:rPr>
              <w:t>2,909,694,193.47</w:t>
            </w:r>
          </w:p>
        </w:tc>
      </w:tr>
      <w:tr w14:paraId="1487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cs="Times New Roman"/>
            </w:rPr>
            <w:tag w:val="_PLD_55a01fc28b044e40bd4e4399252665c0"/>
            <w:id w:val="147454816"/>
          </w:sdtPr>
          <w:sdtEndPr>
            <w:rPr>
              <w:rFonts w:cs="Times New Roman"/>
            </w:rPr>
          </w:sdtEndPr>
          <w:sdtContent>
            <w:tc>
              <w:tcPr>
                <w:tcW w:w="5000" w:type="pct"/>
                <w:gridSpan w:val="11"/>
                <w:tcBorders>
                  <w:top w:val="single" w:color="auto" w:sz="4" w:space="0"/>
                  <w:left w:val="single" w:color="auto" w:sz="4" w:space="0"/>
                  <w:bottom w:val="single" w:color="auto" w:sz="4" w:space="0"/>
                  <w:right w:val="single" w:color="auto" w:sz="4" w:space="0"/>
                </w:tcBorders>
              </w:tcPr>
              <w:p w14:paraId="0031D9CF">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w:t>
                </w:r>
              </w:p>
            </w:tc>
          </w:sdtContent>
        </w:sdt>
      </w:tr>
      <w:tr w14:paraId="155A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cs="Times New Roman"/>
              <w:color w:val="000000" w:themeColor="text1"/>
              <w14:textFill>
                <w14:solidFill>
                  <w14:schemeClr w14:val="tx1"/>
                </w14:solidFill>
              </w14:textFill>
            </w:rPr>
            <w:alias w:val="按组合计提坏账准备的应收账款明细-组合名称"/>
            <w:tag w:val="_GBC_c5f1817705f34c9782f585b3ed10e2db"/>
            <w:id w:val="147474867"/>
          </w:sdtPr>
          <w:sdtEndPr>
            <w:rPr>
              <w:rFonts w:cs="Times New Roman"/>
              <w:color w:val="000000" w:themeColor="text1"/>
              <w14:textFill>
                <w14:solidFill>
                  <w14:schemeClr w14:val="tx1"/>
                </w14:solidFill>
              </w14:textFill>
            </w:rPr>
          </w:sdtEndPr>
          <w:sdtContent>
            <w:tc>
              <w:tcPr>
                <w:tcW w:w="919" w:type="pct"/>
                <w:tcBorders>
                  <w:top w:val="single" w:color="auto" w:sz="4" w:space="0"/>
                  <w:left w:val="single" w:color="auto" w:sz="4" w:space="0"/>
                  <w:bottom w:val="single" w:color="auto" w:sz="4" w:space="0"/>
                  <w:right w:val="single" w:color="auto" w:sz="4" w:space="0"/>
                </w:tcBorders>
              </w:tcPr>
              <w:p w14:paraId="0886EC7F">
                <w:pPr>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组合1军方、警方、政府职能部门等高信用水平单位应收账款组合</w:t>
                </w:r>
              </w:p>
            </w:tc>
          </w:sdtContent>
        </w:sdt>
        <w:tc>
          <w:tcPr>
            <w:tcW w:w="562" w:type="pct"/>
            <w:tcBorders>
              <w:top w:val="single" w:color="auto" w:sz="4" w:space="0"/>
              <w:left w:val="single" w:color="auto" w:sz="4" w:space="0"/>
              <w:bottom w:val="single" w:color="auto" w:sz="4" w:space="0"/>
              <w:right w:val="single" w:color="auto" w:sz="4" w:space="0"/>
            </w:tcBorders>
            <w:vAlign w:val="center"/>
          </w:tcPr>
          <w:p w14:paraId="36A12A3C">
            <w:pPr>
              <w:jc w:val="right"/>
              <w:textAlignment w:val="bottom"/>
              <w:rPr>
                <w:rFonts w:cs="Times New Roman"/>
                <w:sz w:val="18"/>
                <w:szCs w:val="18"/>
              </w:rPr>
            </w:pPr>
            <w:r>
              <w:rPr>
                <w:rFonts w:cs="Times New Roman"/>
                <w:color w:val="000000"/>
                <w:sz w:val="18"/>
                <w:szCs w:val="18"/>
              </w:rPr>
              <w:t>1,630,025,236.98</w:t>
            </w:r>
          </w:p>
        </w:tc>
        <w:tc>
          <w:tcPr>
            <w:tcW w:w="256" w:type="pct"/>
            <w:tcBorders>
              <w:top w:val="single" w:color="auto" w:sz="4" w:space="0"/>
              <w:left w:val="single" w:color="auto" w:sz="4" w:space="0"/>
              <w:bottom w:val="single" w:color="auto" w:sz="4" w:space="0"/>
              <w:right w:val="single" w:color="auto" w:sz="4" w:space="0"/>
            </w:tcBorders>
            <w:vAlign w:val="center"/>
          </w:tcPr>
          <w:p w14:paraId="36A76C2F">
            <w:pPr>
              <w:jc w:val="right"/>
              <w:textAlignment w:val="bottom"/>
              <w:rPr>
                <w:rFonts w:cs="Times New Roman"/>
                <w:sz w:val="18"/>
                <w:szCs w:val="18"/>
              </w:rPr>
            </w:pPr>
            <w:r>
              <w:rPr>
                <w:rFonts w:cs="Times New Roman"/>
                <w:color w:val="000000"/>
                <w:sz w:val="18"/>
                <w:szCs w:val="18"/>
              </w:rPr>
              <w:t>45.72</w:t>
            </w:r>
          </w:p>
        </w:tc>
        <w:tc>
          <w:tcPr>
            <w:tcW w:w="460" w:type="pct"/>
            <w:tcBorders>
              <w:top w:val="single" w:color="auto" w:sz="4" w:space="0"/>
              <w:left w:val="single" w:color="auto" w:sz="4" w:space="0"/>
              <w:bottom w:val="single" w:color="auto" w:sz="4" w:space="0"/>
              <w:right w:val="single" w:color="auto" w:sz="4" w:space="0"/>
            </w:tcBorders>
            <w:vAlign w:val="center"/>
          </w:tcPr>
          <w:p w14:paraId="5BC3E51E">
            <w:pPr>
              <w:jc w:val="right"/>
              <w:textAlignment w:val="bottom"/>
              <w:rPr>
                <w:rFonts w:cs="Times New Roman"/>
                <w:sz w:val="18"/>
                <w:szCs w:val="18"/>
              </w:rPr>
            </w:pPr>
            <w:r>
              <w:rPr>
                <w:rFonts w:cs="Times New Roman"/>
                <w:color w:val="000000"/>
                <w:sz w:val="18"/>
                <w:szCs w:val="18"/>
              </w:rPr>
              <w:t>20,021,045.75</w:t>
            </w:r>
          </w:p>
        </w:tc>
        <w:tc>
          <w:tcPr>
            <w:tcW w:w="256" w:type="pct"/>
            <w:tcBorders>
              <w:top w:val="single" w:color="auto" w:sz="4" w:space="0"/>
              <w:left w:val="single" w:color="auto" w:sz="4" w:space="0"/>
              <w:bottom w:val="single" w:color="auto" w:sz="4" w:space="0"/>
              <w:right w:val="single" w:color="auto" w:sz="4" w:space="0"/>
            </w:tcBorders>
            <w:vAlign w:val="center"/>
          </w:tcPr>
          <w:p w14:paraId="36907A58">
            <w:pPr>
              <w:jc w:val="right"/>
              <w:textAlignment w:val="bottom"/>
              <w:rPr>
                <w:rFonts w:cs="Times New Roman"/>
                <w:sz w:val="18"/>
                <w:szCs w:val="18"/>
              </w:rPr>
            </w:pPr>
            <w:r>
              <w:rPr>
                <w:rFonts w:cs="Times New Roman"/>
                <w:color w:val="000000"/>
                <w:sz w:val="18"/>
                <w:szCs w:val="18"/>
              </w:rPr>
              <w:t>1.23</w:t>
            </w:r>
          </w:p>
        </w:tc>
        <w:tc>
          <w:tcPr>
            <w:tcW w:w="511" w:type="pct"/>
            <w:tcBorders>
              <w:top w:val="single" w:color="auto" w:sz="4" w:space="0"/>
              <w:left w:val="single" w:color="auto" w:sz="4" w:space="0"/>
              <w:bottom w:val="single" w:color="auto" w:sz="4" w:space="0"/>
              <w:right w:val="single" w:color="auto" w:sz="4" w:space="0"/>
            </w:tcBorders>
            <w:vAlign w:val="center"/>
          </w:tcPr>
          <w:p w14:paraId="4276FE4F">
            <w:pPr>
              <w:jc w:val="right"/>
              <w:textAlignment w:val="bottom"/>
              <w:rPr>
                <w:rFonts w:cs="Times New Roman"/>
                <w:sz w:val="18"/>
                <w:szCs w:val="18"/>
              </w:rPr>
            </w:pPr>
            <w:r>
              <w:rPr>
                <w:rFonts w:cs="Times New Roman"/>
                <w:color w:val="000000"/>
                <w:sz w:val="18"/>
                <w:szCs w:val="18"/>
              </w:rPr>
              <w:t>1,610,004,191.23</w:t>
            </w:r>
          </w:p>
        </w:tc>
        <w:tc>
          <w:tcPr>
            <w:tcW w:w="511" w:type="pct"/>
            <w:tcBorders>
              <w:top w:val="single" w:color="auto" w:sz="4" w:space="0"/>
              <w:left w:val="single" w:color="auto" w:sz="4" w:space="0"/>
              <w:bottom w:val="single" w:color="auto" w:sz="4" w:space="0"/>
              <w:right w:val="single" w:color="auto" w:sz="4" w:space="0"/>
            </w:tcBorders>
            <w:vAlign w:val="center"/>
          </w:tcPr>
          <w:p w14:paraId="0E30AD21">
            <w:pPr>
              <w:jc w:val="right"/>
              <w:textAlignment w:val="bottom"/>
              <w:rPr>
                <w:rFonts w:cs="Times New Roman"/>
                <w:sz w:val="18"/>
                <w:szCs w:val="18"/>
              </w:rPr>
            </w:pPr>
            <w:r>
              <w:rPr>
                <w:rFonts w:cs="Times New Roman"/>
                <w:color w:val="000000"/>
                <w:sz w:val="18"/>
                <w:szCs w:val="18"/>
              </w:rPr>
              <w:t>1,591,332,946.10</w:t>
            </w:r>
          </w:p>
        </w:tc>
        <w:tc>
          <w:tcPr>
            <w:tcW w:w="256" w:type="pct"/>
            <w:tcBorders>
              <w:top w:val="single" w:color="auto" w:sz="4" w:space="0"/>
              <w:left w:val="single" w:color="auto" w:sz="4" w:space="0"/>
              <w:bottom w:val="single" w:color="auto" w:sz="4" w:space="0"/>
              <w:right w:val="single" w:color="auto" w:sz="4" w:space="0"/>
            </w:tcBorders>
            <w:vAlign w:val="center"/>
          </w:tcPr>
          <w:p w14:paraId="29BDE040">
            <w:pPr>
              <w:jc w:val="right"/>
              <w:textAlignment w:val="bottom"/>
              <w:rPr>
                <w:rFonts w:cs="Times New Roman"/>
                <w:sz w:val="18"/>
                <w:szCs w:val="18"/>
              </w:rPr>
            </w:pPr>
            <w:r>
              <w:rPr>
                <w:rFonts w:cs="Times New Roman"/>
                <w:color w:val="000000"/>
                <w:sz w:val="18"/>
                <w:szCs w:val="18"/>
              </w:rPr>
              <w:t>46.37</w:t>
            </w:r>
          </w:p>
        </w:tc>
        <w:tc>
          <w:tcPr>
            <w:tcW w:w="511" w:type="pct"/>
            <w:tcBorders>
              <w:top w:val="single" w:color="auto" w:sz="4" w:space="0"/>
              <w:left w:val="single" w:color="auto" w:sz="4" w:space="0"/>
              <w:bottom w:val="single" w:color="auto" w:sz="4" w:space="0"/>
              <w:right w:val="single" w:color="auto" w:sz="4" w:space="0"/>
            </w:tcBorders>
            <w:vAlign w:val="center"/>
          </w:tcPr>
          <w:p w14:paraId="013BEC76">
            <w:pPr>
              <w:jc w:val="right"/>
              <w:textAlignment w:val="bottom"/>
              <w:rPr>
                <w:rFonts w:cs="Times New Roman"/>
                <w:sz w:val="18"/>
                <w:szCs w:val="18"/>
              </w:rPr>
            </w:pPr>
            <w:r>
              <w:rPr>
                <w:rFonts w:cs="Times New Roman"/>
                <w:color w:val="000000"/>
                <w:sz w:val="18"/>
                <w:szCs w:val="18"/>
              </w:rPr>
              <w:t>21,400,358.60</w:t>
            </w:r>
          </w:p>
        </w:tc>
        <w:tc>
          <w:tcPr>
            <w:tcW w:w="252" w:type="pct"/>
            <w:tcBorders>
              <w:top w:val="single" w:color="auto" w:sz="4" w:space="0"/>
              <w:left w:val="single" w:color="auto" w:sz="4" w:space="0"/>
              <w:bottom w:val="single" w:color="auto" w:sz="4" w:space="0"/>
              <w:right w:val="single" w:color="auto" w:sz="4" w:space="0"/>
            </w:tcBorders>
            <w:vAlign w:val="center"/>
          </w:tcPr>
          <w:p w14:paraId="08423EC3">
            <w:pPr>
              <w:jc w:val="right"/>
              <w:textAlignment w:val="bottom"/>
              <w:rPr>
                <w:rFonts w:cs="Times New Roman"/>
                <w:sz w:val="18"/>
                <w:szCs w:val="18"/>
              </w:rPr>
            </w:pPr>
            <w:r>
              <w:rPr>
                <w:rFonts w:cs="Times New Roman"/>
                <w:color w:val="000000"/>
                <w:sz w:val="18"/>
                <w:szCs w:val="18"/>
              </w:rPr>
              <w:t>1.34</w:t>
            </w:r>
          </w:p>
        </w:tc>
        <w:tc>
          <w:tcPr>
            <w:tcW w:w="506" w:type="pct"/>
            <w:tcBorders>
              <w:top w:val="single" w:color="auto" w:sz="4" w:space="0"/>
              <w:left w:val="single" w:color="auto" w:sz="4" w:space="0"/>
              <w:bottom w:val="single" w:color="auto" w:sz="4" w:space="0"/>
              <w:right w:val="single" w:color="auto" w:sz="4" w:space="0"/>
            </w:tcBorders>
            <w:vAlign w:val="center"/>
          </w:tcPr>
          <w:p w14:paraId="6BFDF959">
            <w:pPr>
              <w:jc w:val="right"/>
              <w:textAlignment w:val="bottom"/>
              <w:rPr>
                <w:rFonts w:cs="Times New Roman"/>
                <w:sz w:val="18"/>
                <w:szCs w:val="18"/>
              </w:rPr>
            </w:pPr>
            <w:r>
              <w:rPr>
                <w:rFonts w:cs="Times New Roman"/>
                <w:color w:val="000000"/>
                <w:sz w:val="18"/>
                <w:szCs w:val="18"/>
              </w:rPr>
              <w:t>1,569,932,587.50</w:t>
            </w:r>
          </w:p>
        </w:tc>
      </w:tr>
      <w:tr w14:paraId="77EB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cs="Times New Roman"/>
              <w:color w:val="000000" w:themeColor="text1"/>
              <w14:textFill>
                <w14:solidFill>
                  <w14:schemeClr w14:val="tx1"/>
                </w14:solidFill>
              </w14:textFill>
            </w:rPr>
            <w:alias w:val="按组合计提坏账准备的应收账款明细-组合名称"/>
            <w:tag w:val="_GBC_c5f1817705f34c9782f585b3ed10e2db"/>
            <w:id w:val="147451682"/>
          </w:sdtPr>
          <w:sdtEndPr>
            <w:rPr>
              <w:rFonts w:cs="Times New Roman"/>
              <w:color w:val="000000" w:themeColor="text1"/>
              <w14:textFill>
                <w14:solidFill>
                  <w14:schemeClr w14:val="tx1"/>
                </w14:solidFill>
              </w14:textFill>
            </w:rPr>
          </w:sdtEndPr>
          <w:sdtContent>
            <w:tc>
              <w:tcPr>
                <w:tcW w:w="919" w:type="pct"/>
                <w:tcBorders>
                  <w:top w:val="single" w:color="auto" w:sz="4" w:space="0"/>
                  <w:left w:val="single" w:color="auto" w:sz="4" w:space="0"/>
                  <w:bottom w:val="single" w:color="auto" w:sz="4" w:space="0"/>
                  <w:right w:val="single" w:color="auto" w:sz="4" w:space="0"/>
                </w:tcBorders>
              </w:tcPr>
              <w:p w14:paraId="63E5164C">
                <w:pPr>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组合2关联方组合</w:t>
                </w:r>
              </w:p>
            </w:tc>
          </w:sdtContent>
        </w:sdt>
        <w:tc>
          <w:tcPr>
            <w:tcW w:w="562" w:type="pct"/>
            <w:tcBorders>
              <w:top w:val="single" w:color="auto" w:sz="4" w:space="0"/>
              <w:left w:val="single" w:color="auto" w:sz="4" w:space="0"/>
              <w:bottom w:val="single" w:color="auto" w:sz="4" w:space="0"/>
              <w:right w:val="single" w:color="auto" w:sz="4" w:space="0"/>
            </w:tcBorders>
            <w:vAlign w:val="center"/>
          </w:tcPr>
          <w:p w14:paraId="1E024C51">
            <w:pPr>
              <w:jc w:val="right"/>
              <w:textAlignment w:val="bottom"/>
              <w:rPr>
                <w:rFonts w:cs="Times New Roman"/>
                <w:sz w:val="18"/>
                <w:szCs w:val="18"/>
              </w:rPr>
            </w:pPr>
            <w:r>
              <w:rPr>
                <w:rFonts w:cs="Times New Roman"/>
                <w:color w:val="000000"/>
                <w:sz w:val="18"/>
                <w:szCs w:val="18"/>
              </w:rPr>
              <w:t>76,804,627.57</w:t>
            </w:r>
          </w:p>
        </w:tc>
        <w:tc>
          <w:tcPr>
            <w:tcW w:w="256" w:type="pct"/>
            <w:tcBorders>
              <w:top w:val="single" w:color="auto" w:sz="4" w:space="0"/>
              <w:left w:val="single" w:color="auto" w:sz="4" w:space="0"/>
              <w:bottom w:val="single" w:color="auto" w:sz="4" w:space="0"/>
              <w:right w:val="single" w:color="auto" w:sz="4" w:space="0"/>
            </w:tcBorders>
            <w:vAlign w:val="center"/>
          </w:tcPr>
          <w:p w14:paraId="1999264C">
            <w:pPr>
              <w:jc w:val="right"/>
              <w:textAlignment w:val="bottom"/>
              <w:rPr>
                <w:rFonts w:cs="Times New Roman"/>
                <w:sz w:val="18"/>
                <w:szCs w:val="18"/>
              </w:rPr>
            </w:pPr>
            <w:r>
              <w:rPr>
                <w:rFonts w:cs="Times New Roman"/>
                <w:color w:val="000000"/>
                <w:sz w:val="18"/>
                <w:szCs w:val="18"/>
              </w:rPr>
              <w:t>2.15</w:t>
            </w:r>
          </w:p>
        </w:tc>
        <w:tc>
          <w:tcPr>
            <w:tcW w:w="460" w:type="pct"/>
            <w:tcBorders>
              <w:top w:val="single" w:color="auto" w:sz="4" w:space="0"/>
              <w:left w:val="single" w:color="auto" w:sz="4" w:space="0"/>
              <w:bottom w:val="single" w:color="auto" w:sz="4" w:space="0"/>
              <w:right w:val="single" w:color="auto" w:sz="4" w:space="0"/>
            </w:tcBorders>
            <w:vAlign w:val="center"/>
          </w:tcPr>
          <w:p w14:paraId="12BAF0A1">
            <w:pPr>
              <w:jc w:val="right"/>
              <w:textAlignment w:val="bottom"/>
              <w:rPr>
                <w:rFonts w:cs="Times New Roman"/>
                <w:sz w:val="18"/>
                <w:szCs w:val="18"/>
              </w:rPr>
            </w:pPr>
            <w:r>
              <w:rPr>
                <w:rFonts w:cs="Times New Roman"/>
                <w:color w:val="000000"/>
                <w:sz w:val="18"/>
                <w:szCs w:val="18"/>
              </w:rPr>
              <w:t>9,914,781.84</w:t>
            </w:r>
          </w:p>
        </w:tc>
        <w:tc>
          <w:tcPr>
            <w:tcW w:w="256" w:type="pct"/>
            <w:tcBorders>
              <w:top w:val="single" w:color="auto" w:sz="4" w:space="0"/>
              <w:left w:val="single" w:color="auto" w:sz="4" w:space="0"/>
              <w:bottom w:val="single" w:color="auto" w:sz="4" w:space="0"/>
              <w:right w:val="single" w:color="auto" w:sz="4" w:space="0"/>
            </w:tcBorders>
            <w:vAlign w:val="center"/>
          </w:tcPr>
          <w:p w14:paraId="3EE512F3">
            <w:pPr>
              <w:jc w:val="right"/>
              <w:textAlignment w:val="bottom"/>
              <w:rPr>
                <w:rFonts w:cs="Times New Roman"/>
                <w:sz w:val="18"/>
                <w:szCs w:val="18"/>
              </w:rPr>
            </w:pPr>
            <w:r>
              <w:rPr>
                <w:rFonts w:cs="Times New Roman"/>
                <w:color w:val="000000"/>
                <w:sz w:val="18"/>
                <w:szCs w:val="18"/>
              </w:rPr>
              <w:t>12.91</w:t>
            </w:r>
          </w:p>
        </w:tc>
        <w:tc>
          <w:tcPr>
            <w:tcW w:w="511" w:type="pct"/>
            <w:tcBorders>
              <w:top w:val="single" w:color="auto" w:sz="4" w:space="0"/>
              <w:left w:val="single" w:color="auto" w:sz="4" w:space="0"/>
              <w:bottom w:val="single" w:color="auto" w:sz="4" w:space="0"/>
              <w:right w:val="single" w:color="auto" w:sz="4" w:space="0"/>
            </w:tcBorders>
            <w:vAlign w:val="center"/>
          </w:tcPr>
          <w:p w14:paraId="39D67C84">
            <w:pPr>
              <w:jc w:val="right"/>
              <w:textAlignment w:val="bottom"/>
              <w:rPr>
                <w:rFonts w:cs="Times New Roman"/>
                <w:sz w:val="18"/>
                <w:szCs w:val="18"/>
              </w:rPr>
            </w:pPr>
            <w:r>
              <w:rPr>
                <w:rFonts w:cs="Times New Roman"/>
                <w:color w:val="000000"/>
                <w:sz w:val="18"/>
                <w:szCs w:val="18"/>
              </w:rPr>
              <w:t>66,889,845.73</w:t>
            </w:r>
          </w:p>
        </w:tc>
        <w:tc>
          <w:tcPr>
            <w:tcW w:w="511" w:type="pct"/>
            <w:tcBorders>
              <w:top w:val="single" w:color="auto" w:sz="4" w:space="0"/>
              <w:left w:val="single" w:color="auto" w:sz="4" w:space="0"/>
              <w:bottom w:val="single" w:color="auto" w:sz="4" w:space="0"/>
              <w:right w:val="single" w:color="auto" w:sz="4" w:space="0"/>
            </w:tcBorders>
            <w:vAlign w:val="center"/>
          </w:tcPr>
          <w:p w14:paraId="0FC72DA4">
            <w:pPr>
              <w:jc w:val="right"/>
              <w:textAlignment w:val="bottom"/>
              <w:rPr>
                <w:rFonts w:cs="Times New Roman"/>
                <w:sz w:val="18"/>
                <w:szCs w:val="18"/>
              </w:rPr>
            </w:pPr>
            <w:r>
              <w:rPr>
                <w:rFonts w:cs="Times New Roman"/>
                <w:color w:val="000000"/>
                <w:sz w:val="18"/>
                <w:szCs w:val="18"/>
              </w:rPr>
              <w:t>67,457,180.97</w:t>
            </w:r>
          </w:p>
        </w:tc>
        <w:tc>
          <w:tcPr>
            <w:tcW w:w="256" w:type="pct"/>
            <w:tcBorders>
              <w:top w:val="single" w:color="auto" w:sz="4" w:space="0"/>
              <w:left w:val="single" w:color="auto" w:sz="4" w:space="0"/>
              <w:bottom w:val="single" w:color="auto" w:sz="4" w:space="0"/>
              <w:right w:val="single" w:color="auto" w:sz="4" w:space="0"/>
            </w:tcBorders>
            <w:vAlign w:val="center"/>
          </w:tcPr>
          <w:p w14:paraId="09C24E23">
            <w:pPr>
              <w:jc w:val="right"/>
              <w:textAlignment w:val="bottom"/>
              <w:rPr>
                <w:rFonts w:cs="Times New Roman"/>
                <w:sz w:val="18"/>
                <w:szCs w:val="18"/>
              </w:rPr>
            </w:pPr>
            <w:r>
              <w:rPr>
                <w:rFonts w:cs="Times New Roman"/>
                <w:color w:val="000000"/>
                <w:sz w:val="18"/>
                <w:szCs w:val="18"/>
              </w:rPr>
              <w:t>1.97</w:t>
            </w:r>
          </w:p>
        </w:tc>
        <w:tc>
          <w:tcPr>
            <w:tcW w:w="511" w:type="pct"/>
            <w:tcBorders>
              <w:top w:val="single" w:color="auto" w:sz="4" w:space="0"/>
              <w:left w:val="single" w:color="auto" w:sz="4" w:space="0"/>
              <w:bottom w:val="single" w:color="auto" w:sz="4" w:space="0"/>
              <w:right w:val="single" w:color="auto" w:sz="4" w:space="0"/>
            </w:tcBorders>
            <w:vAlign w:val="center"/>
          </w:tcPr>
          <w:p w14:paraId="6B5EB6A4">
            <w:pPr>
              <w:jc w:val="right"/>
              <w:textAlignment w:val="bottom"/>
              <w:rPr>
                <w:rFonts w:cs="Times New Roman"/>
                <w:sz w:val="18"/>
                <w:szCs w:val="18"/>
              </w:rPr>
            </w:pPr>
            <w:r>
              <w:rPr>
                <w:rFonts w:cs="Times New Roman"/>
                <w:color w:val="000000"/>
                <w:sz w:val="18"/>
                <w:szCs w:val="18"/>
              </w:rPr>
              <w:t>10,094,254.87</w:t>
            </w:r>
          </w:p>
        </w:tc>
        <w:tc>
          <w:tcPr>
            <w:tcW w:w="252" w:type="pct"/>
            <w:tcBorders>
              <w:top w:val="single" w:color="auto" w:sz="4" w:space="0"/>
              <w:left w:val="single" w:color="auto" w:sz="4" w:space="0"/>
              <w:bottom w:val="single" w:color="auto" w:sz="4" w:space="0"/>
              <w:right w:val="single" w:color="auto" w:sz="4" w:space="0"/>
            </w:tcBorders>
            <w:vAlign w:val="center"/>
          </w:tcPr>
          <w:p w14:paraId="463C1A51">
            <w:pPr>
              <w:jc w:val="right"/>
              <w:textAlignment w:val="bottom"/>
              <w:rPr>
                <w:rFonts w:cs="Times New Roman"/>
                <w:sz w:val="18"/>
                <w:szCs w:val="18"/>
              </w:rPr>
            </w:pPr>
            <w:r>
              <w:rPr>
                <w:rFonts w:cs="Times New Roman"/>
                <w:color w:val="000000"/>
                <w:sz w:val="18"/>
                <w:szCs w:val="18"/>
              </w:rPr>
              <w:t>14.96</w:t>
            </w:r>
          </w:p>
        </w:tc>
        <w:tc>
          <w:tcPr>
            <w:tcW w:w="506" w:type="pct"/>
            <w:tcBorders>
              <w:top w:val="single" w:color="auto" w:sz="4" w:space="0"/>
              <w:left w:val="single" w:color="auto" w:sz="4" w:space="0"/>
              <w:bottom w:val="single" w:color="auto" w:sz="4" w:space="0"/>
              <w:right w:val="single" w:color="auto" w:sz="4" w:space="0"/>
            </w:tcBorders>
            <w:vAlign w:val="center"/>
          </w:tcPr>
          <w:p w14:paraId="4FB46DC1">
            <w:pPr>
              <w:jc w:val="right"/>
              <w:textAlignment w:val="bottom"/>
              <w:rPr>
                <w:rFonts w:cs="Times New Roman"/>
                <w:sz w:val="18"/>
                <w:szCs w:val="18"/>
              </w:rPr>
            </w:pPr>
            <w:r>
              <w:rPr>
                <w:rFonts w:cs="Times New Roman"/>
                <w:color w:val="000000"/>
                <w:sz w:val="18"/>
                <w:szCs w:val="18"/>
              </w:rPr>
              <w:t>57,362,926.10</w:t>
            </w:r>
          </w:p>
        </w:tc>
      </w:tr>
      <w:tr w14:paraId="582A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cs="Times New Roman"/>
              <w:color w:val="000000" w:themeColor="text1"/>
              <w14:textFill>
                <w14:solidFill>
                  <w14:schemeClr w14:val="tx1"/>
                </w14:solidFill>
              </w14:textFill>
            </w:rPr>
            <w:alias w:val="按组合计提坏账准备的应收账款明细-组合名称"/>
            <w:tag w:val="_GBC_c5f1817705f34c9782f585b3ed10e2db"/>
            <w:id w:val="147457878"/>
          </w:sdtPr>
          <w:sdtEndPr>
            <w:rPr>
              <w:rFonts w:cs="Times New Roman"/>
              <w:color w:val="000000" w:themeColor="text1"/>
              <w14:textFill>
                <w14:solidFill>
                  <w14:schemeClr w14:val="tx1"/>
                </w14:solidFill>
              </w14:textFill>
            </w:rPr>
          </w:sdtEndPr>
          <w:sdtContent>
            <w:tc>
              <w:tcPr>
                <w:tcW w:w="919" w:type="pct"/>
                <w:tcBorders>
                  <w:top w:val="single" w:color="auto" w:sz="4" w:space="0"/>
                  <w:left w:val="single" w:color="auto" w:sz="4" w:space="0"/>
                  <w:bottom w:val="single" w:color="auto" w:sz="4" w:space="0"/>
                  <w:right w:val="single" w:color="auto" w:sz="4" w:space="0"/>
                </w:tcBorders>
              </w:tcPr>
              <w:p w14:paraId="6C517223">
                <w:pPr>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组合3账龄组合</w:t>
                </w:r>
              </w:p>
            </w:tc>
          </w:sdtContent>
        </w:sdt>
        <w:tc>
          <w:tcPr>
            <w:tcW w:w="562" w:type="pct"/>
            <w:tcBorders>
              <w:top w:val="single" w:color="auto" w:sz="4" w:space="0"/>
              <w:left w:val="single" w:color="auto" w:sz="4" w:space="0"/>
              <w:bottom w:val="single" w:color="auto" w:sz="4" w:space="0"/>
              <w:right w:val="single" w:color="auto" w:sz="4" w:space="0"/>
            </w:tcBorders>
            <w:vAlign w:val="center"/>
          </w:tcPr>
          <w:p w14:paraId="5DE81352">
            <w:pPr>
              <w:jc w:val="right"/>
              <w:textAlignment w:val="bottom"/>
              <w:rPr>
                <w:rFonts w:cs="Times New Roman"/>
                <w:sz w:val="18"/>
                <w:szCs w:val="18"/>
              </w:rPr>
            </w:pPr>
            <w:r>
              <w:rPr>
                <w:rFonts w:cs="Times New Roman"/>
                <w:color w:val="000000"/>
                <w:sz w:val="18"/>
                <w:szCs w:val="18"/>
              </w:rPr>
              <w:t>1,643,202,677.22</w:t>
            </w:r>
          </w:p>
        </w:tc>
        <w:tc>
          <w:tcPr>
            <w:tcW w:w="256" w:type="pct"/>
            <w:tcBorders>
              <w:top w:val="single" w:color="auto" w:sz="4" w:space="0"/>
              <w:left w:val="single" w:color="auto" w:sz="4" w:space="0"/>
              <w:bottom w:val="single" w:color="auto" w:sz="4" w:space="0"/>
              <w:right w:val="single" w:color="auto" w:sz="4" w:space="0"/>
            </w:tcBorders>
            <w:vAlign w:val="center"/>
          </w:tcPr>
          <w:p w14:paraId="466DFC8E">
            <w:pPr>
              <w:jc w:val="right"/>
              <w:textAlignment w:val="bottom"/>
              <w:rPr>
                <w:rFonts w:cs="Times New Roman"/>
                <w:sz w:val="18"/>
                <w:szCs w:val="18"/>
              </w:rPr>
            </w:pPr>
            <w:r>
              <w:rPr>
                <w:rFonts w:cs="Times New Roman"/>
                <w:color w:val="000000"/>
                <w:sz w:val="18"/>
                <w:szCs w:val="18"/>
              </w:rPr>
              <w:t>46.08</w:t>
            </w:r>
          </w:p>
        </w:tc>
        <w:tc>
          <w:tcPr>
            <w:tcW w:w="460" w:type="pct"/>
            <w:tcBorders>
              <w:top w:val="single" w:color="auto" w:sz="4" w:space="0"/>
              <w:left w:val="single" w:color="auto" w:sz="4" w:space="0"/>
              <w:bottom w:val="single" w:color="auto" w:sz="4" w:space="0"/>
              <w:right w:val="single" w:color="auto" w:sz="4" w:space="0"/>
            </w:tcBorders>
            <w:vAlign w:val="center"/>
          </w:tcPr>
          <w:p w14:paraId="1B7CFF4B">
            <w:pPr>
              <w:jc w:val="right"/>
              <w:textAlignment w:val="bottom"/>
              <w:rPr>
                <w:rFonts w:cs="Times New Roman"/>
                <w:sz w:val="18"/>
                <w:szCs w:val="18"/>
              </w:rPr>
            </w:pPr>
            <w:r>
              <w:rPr>
                <w:rFonts w:cs="Times New Roman"/>
                <w:color w:val="000000"/>
                <w:sz w:val="18"/>
                <w:szCs w:val="18"/>
              </w:rPr>
              <w:t>273,554,766.35</w:t>
            </w:r>
          </w:p>
        </w:tc>
        <w:tc>
          <w:tcPr>
            <w:tcW w:w="256" w:type="pct"/>
            <w:tcBorders>
              <w:top w:val="single" w:color="auto" w:sz="4" w:space="0"/>
              <w:left w:val="single" w:color="auto" w:sz="4" w:space="0"/>
              <w:bottom w:val="single" w:color="auto" w:sz="4" w:space="0"/>
              <w:right w:val="single" w:color="auto" w:sz="4" w:space="0"/>
            </w:tcBorders>
            <w:vAlign w:val="center"/>
          </w:tcPr>
          <w:p w14:paraId="1164E96A">
            <w:pPr>
              <w:jc w:val="right"/>
              <w:textAlignment w:val="bottom"/>
              <w:rPr>
                <w:rFonts w:cs="Times New Roman"/>
                <w:sz w:val="18"/>
                <w:szCs w:val="18"/>
              </w:rPr>
            </w:pPr>
            <w:r>
              <w:rPr>
                <w:rFonts w:cs="Times New Roman"/>
                <w:color w:val="000000"/>
                <w:sz w:val="18"/>
                <w:szCs w:val="18"/>
              </w:rPr>
              <w:t>16.65</w:t>
            </w:r>
          </w:p>
        </w:tc>
        <w:tc>
          <w:tcPr>
            <w:tcW w:w="511" w:type="pct"/>
            <w:tcBorders>
              <w:top w:val="single" w:color="auto" w:sz="4" w:space="0"/>
              <w:left w:val="single" w:color="auto" w:sz="4" w:space="0"/>
              <w:bottom w:val="single" w:color="auto" w:sz="4" w:space="0"/>
              <w:right w:val="single" w:color="auto" w:sz="4" w:space="0"/>
            </w:tcBorders>
            <w:vAlign w:val="center"/>
          </w:tcPr>
          <w:p w14:paraId="624710B3">
            <w:pPr>
              <w:jc w:val="right"/>
              <w:textAlignment w:val="bottom"/>
              <w:rPr>
                <w:rFonts w:cs="Times New Roman"/>
                <w:sz w:val="18"/>
                <w:szCs w:val="18"/>
              </w:rPr>
            </w:pPr>
            <w:r>
              <w:rPr>
                <w:rFonts w:cs="Times New Roman"/>
                <w:color w:val="000000"/>
                <w:sz w:val="18"/>
                <w:szCs w:val="18"/>
              </w:rPr>
              <w:t>1,369,647,910.87</w:t>
            </w:r>
          </w:p>
        </w:tc>
        <w:tc>
          <w:tcPr>
            <w:tcW w:w="511" w:type="pct"/>
            <w:tcBorders>
              <w:top w:val="single" w:color="auto" w:sz="4" w:space="0"/>
              <w:left w:val="single" w:color="auto" w:sz="4" w:space="0"/>
              <w:bottom w:val="single" w:color="auto" w:sz="4" w:space="0"/>
              <w:right w:val="single" w:color="auto" w:sz="4" w:space="0"/>
            </w:tcBorders>
            <w:vAlign w:val="center"/>
          </w:tcPr>
          <w:p w14:paraId="337B076C">
            <w:pPr>
              <w:jc w:val="right"/>
              <w:textAlignment w:val="bottom"/>
              <w:rPr>
                <w:rFonts w:cs="Times New Roman"/>
                <w:sz w:val="18"/>
                <w:szCs w:val="18"/>
              </w:rPr>
            </w:pPr>
            <w:r>
              <w:rPr>
                <w:rFonts w:cs="Times New Roman"/>
                <w:color w:val="000000"/>
                <w:sz w:val="18"/>
                <w:szCs w:val="18"/>
              </w:rPr>
              <w:t>1,557,062,722.06</w:t>
            </w:r>
          </w:p>
        </w:tc>
        <w:tc>
          <w:tcPr>
            <w:tcW w:w="256" w:type="pct"/>
            <w:tcBorders>
              <w:top w:val="single" w:color="auto" w:sz="4" w:space="0"/>
              <w:left w:val="single" w:color="auto" w:sz="4" w:space="0"/>
              <w:bottom w:val="single" w:color="auto" w:sz="4" w:space="0"/>
              <w:right w:val="single" w:color="auto" w:sz="4" w:space="0"/>
            </w:tcBorders>
            <w:vAlign w:val="center"/>
          </w:tcPr>
          <w:p w14:paraId="7AA1F878">
            <w:pPr>
              <w:jc w:val="right"/>
              <w:textAlignment w:val="bottom"/>
              <w:rPr>
                <w:rFonts w:cs="Times New Roman"/>
                <w:sz w:val="18"/>
                <w:szCs w:val="18"/>
              </w:rPr>
            </w:pPr>
            <w:r>
              <w:rPr>
                <w:rFonts w:cs="Times New Roman"/>
                <w:color w:val="000000"/>
                <w:sz w:val="18"/>
                <w:szCs w:val="18"/>
              </w:rPr>
              <w:t>45.38</w:t>
            </w:r>
          </w:p>
        </w:tc>
        <w:tc>
          <w:tcPr>
            <w:tcW w:w="511" w:type="pct"/>
            <w:tcBorders>
              <w:top w:val="single" w:color="auto" w:sz="4" w:space="0"/>
              <w:left w:val="single" w:color="auto" w:sz="4" w:space="0"/>
              <w:bottom w:val="single" w:color="auto" w:sz="4" w:space="0"/>
              <w:right w:val="single" w:color="auto" w:sz="4" w:space="0"/>
            </w:tcBorders>
            <w:vAlign w:val="center"/>
          </w:tcPr>
          <w:p w14:paraId="3F48258A">
            <w:pPr>
              <w:jc w:val="right"/>
              <w:textAlignment w:val="bottom"/>
              <w:rPr>
                <w:rFonts w:cs="Times New Roman"/>
                <w:sz w:val="18"/>
                <w:szCs w:val="18"/>
              </w:rPr>
            </w:pPr>
            <w:r>
              <w:rPr>
                <w:rFonts w:cs="Times New Roman"/>
                <w:color w:val="000000"/>
                <w:sz w:val="18"/>
                <w:szCs w:val="18"/>
              </w:rPr>
              <w:t>274,664,042.19</w:t>
            </w:r>
          </w:p>
        </w:tc>
        <w:tc>
          <w:tcPr>
            <w:tcW w:w="252" w:type="pct"/>
            <w:tcBorders>
              <w:top w:val="single" w:color="auto" w:sz="4" w:space="0"/>
              <w:left w:val="single" w:color="auto" w:sz="4" w:space="0"/>
              <w:bottom w:val="single" w:color="auto" w:sz="4" w:space="0"/>
              <w:right w:val="single" w:color="auto" w:sz="4" w:space="0"/>
            </w:tcBorders>
            <w:vAlign w:val="center"/>
          </w:tcPr>
          <w:p w14:paraId="0760384F">
            <w:pPr>
              <w:jc w:val="right"/>
              <w:textAlignment w:val="bottom"/>
              <w:rPr>
                <w:rFonts w:cs="Times New Roman"/>
                <w:sz w:val="18"/>
                <w:szCs w:val="18"/>
              </w:rPr>
            </w:pPr>
            <w:r>
              <w:rPr>
                <w:rFonts w:cs="Times New Roman"/>
                <w:color w:val="000000"/>
                <w:sz w:val="18"/>
                <w:szCs w:val="18"/>
              </w:rPr>
              <w:t>17.64</w:t>
            </w:r>
          </w:p>
        </w:tc>
        <w:tc>
          <w:tcPr>
            <w:tcW w:w="506" w:type="pct"/>
            <w:tcBorders>
              <w:top w:val="single" w:color="auto" w:sz="4" w:space="0"/>
              <w:left w:val="single" w:color="auto" w:sz="4" w:space="0"/>
              <w:bottom w:val="single" w:color="auto" w:sz="4" w:space="0"/>
              <w:right w:val="single" w:color="auto" w:sz="4" w:space="0"/>
            </w:tcBorders>
            <w:vAlign w:val="center"/>
          </w:tcPr>
          <w:p w14:paraId="059A3A20">
            <w:pPr>
              <w:jc w:val="right"/>
              <w:textAlignment w:val="bottom"/>
              <w:rPr>
                <w:rFonts w:cs="Times New Roman"/>
                <w:sz w:val="18"/>
                <w:szCs w:val="18"/>
              </w:rPr>
            </w:pPr>
            <w:r>
              <w:rPr>
                <w:rFonts w:cs="Times New Roman"/>
                <w:color w:val="000000"/>
                <w:sz w:val="18"/>
                <w:szCs w:val="18"/>
              </w:rPr>
              <w:t>1,282,398,679.87</w:t>
            </w:r>
          </w:p>
        </w:tc>
      </w:tr>
      <w:tr w14:paraId="6E52B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919" w:type="pct"/>
            <w:tcBorders>
              <w:top w:val="single" w:color="auto" w:sz="4" w:space="0"/>
              <w:left w:val="single" w:color="auto" w:sz="4" w:space="0"/>
              <w:bottom w:val="single" w:color="auto" w:sz="4" w:space="0"/>
              <w:right w:val="single" w:color="auto" w:sz="4" w:space="0"/>
            </w:tcBorders>
            <w:vAlign w:val="center"/>
          </w:tcPr>
          <w:p w14:paraId="5691D9E4">
            <w:pPr>
              <w:autoSpaceDE w:val="0"/>
              <w:autoSpaceDN w:val="0"/>
              <w:adjustRightIn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562" w:type="pct"/>
            <w:tcBorders>
              <w:top w:val="single" w:color="auto" w:sz="4" w:space="0"/>
              <w:left w:val="single" w:color="auto" w:sz="4" w:space="0"/>
              <w:bottom w:val="single" w:color="auto" w:sz="4" w:space="0"/>
              <w:right w:val="single" w:color="auto" w:sz="4" w:space="0"/>
            </w:tcBorders>
            <w:vAlign w:val="center"/>
          </w:tcPr>
          <w:p w14:paraId="552FB3DB">
            <w:pPr>
              <w:jc w:val="right"/>
              <w:textAlignment w:val="bottom"/>
              <w:rPr>
                <w:rFonts w:cs="Times New Roman"/>
                <w:sz w:val="18"/>
                <w:szCs w:val="18"/>
              </w:rPr>
            </w:pPr>
            <w:r>
              <w:rPr>
                <w:rFonts w:cs="Times New Roman"/>
                <w:color w:val="000000"/>
                <w:sz w:val="18"/>
                <w:szCs w:val="18"/>
              </w:rPr>
              <w:t>3,565,762,233.53</w:t>
            </w:r>
          </w:p>
        </w:tc>
        <w:tc>
          <w:tcPr>
            <w:tcW w:w="256" w:type="pct"/>
            <w:tcBorders>
              <w:top w:val="single" w:color="auto" w:sz="4" w:space="0"/>
              <w:left w:val="single" w:color="auto" w:sz="4" w:space="0"/>
              <w:bottom w:val="single" w:color="auto" w:sz="4" w:space="0"/>
              <w:right w:val="single" w:color="auto" w:sz="4" w:space="0"/>
            </w:tcBorders>
            <w:vAlign w:val="center"/>
          </w:tcPr>
          <w:p w14:paraId="66F15F5B">
            <w:pPr>
              <w:jc w:val="right"/>
              <w:rPr>
                <w:rFonts w:cs="Times New Roman"/>
                <w:color w:val="000000" w:themeColor="text1"/>
                <w:sz w:val="18"/>
                <w:szCs w:val="18"/>
                <w14:textFill>
                  <w14:solidFill>
                    <w14:schemeClr w14:val="tx1"/>
                  </w14:solidFill>
                </w14:textFill>
              </w:rPr>
            </w:pPr>
            <w:r>
              <w:rPr>
                <w:rFonts w:cs="Times New Roman"/>
                <w:color w:val="000000"/>
                <w:sz w:val="18"/>
                <w:szCs w:val="18"/>
              </w:rPr>
              <w:t>/</w:t>
            </w:r>
          </w:p>
        </w:tc>
        <w:tc>
          <w:tcPr>
            <w:tcW w:w="460" w:type="pct"/>
            <w:tcBorders>
              <w:top w:val="single" w:color="auto" w:sz="4" w:space="0"/>
              <w:left w:val="single" w:color="auto" w:sz="4" w:space="0"/>
              <w:bottom w:val="single" w:color="auto" w:sz="4" w:space="0"/>
              <w:right w:val="single" w:color="auto" w:sz="4" w:space="0"/>
            </w:tcBorders>
            <w:vAlign w:val="center"/>
          </w:tcPr>
          <w:p w14:paraId="2CCDDCEC">
            <w:pPr>
              <w:jc w:val="right"/>
              <w:textAlignment w:val="bottom"/>
              <w:rPr>
                <w:rFonts w:cs="Times New Roman"/>
                <w:sz w:val="18"/>
                <w:szCs w:val="18"/>
              </w:rPr>
            </w:pPr>
            <w:r>
              <w:rPr>
                <w:rFonts w:cs="Times New Roman"/>
                <w:color w:val="000000"/>
                <w:sz w:val="18"/>
                <w:szCs w:val="18"/>
              </w:rPr>
              <w:t>508,250,001.70</w:t>
            </w:r>
          </w:p>
        </w:tc>
        <w:tc>
          <w:tcPr>
            <w:tcW w:w="256" w:type="pct"/>
            <w:tcBorders>
              <w:top w:val="single" w:color="auto" w:sz="4" w:space="0"/>
              <w:left w:val="single" w:color="auto" w:sz="4" w:space="0"/>
              <w:bottom w:val="single" w:color="auto" w:sz="4" w:space="0"/>
              <w:right w:val="single" w:color="auto" w:sz="4" w:space="0"/>
            </w:tcBorders>
            <w:vAlign w:val="center"/>
          </w:tcPr>
          <w:p w14:paraId="36B02814">
            <w:pPr>
              <w:jc w:val="right"/>
              <w:rPr>
                <w:rFonts w:cs="Times New Roman"/>
                <w:color w:val="000000" w:themeColor="text1"/>
                <w:sz w:val="18"/>
                <w:szCs w:val="18"/>
                <w14:textFill>
                  <w14:solidFill>
                    <w14:schemeClr w14:val="tx1"/>
                  </w14:solidFill>
                </w14:textFill>
              </w:rPr>
            </w:pPr>
            <w:r>
              <w:rPr>
                <w:rFonts w:cs="Times New Roman"/>
                <w:color w:val="000000"/>
                <w:sz w:val="18"/>
                <w:szCs w:val="18"/>
              </w:rPr>
              <w:t>/</w:t>
            </w:r>
          </w:p>
        </w:tc>
        <w:tc>
          <w:tcPr>
            <w:tcW w:w="511" w:type="pct"/>
            <w:tcBorders>
              <w:top w:val="single" w:color="auto" w:sz="4" w:space="0"/>
              <w:left w:val="single" w:color="auto" w:sz="4" w:space="0"/>
              <w:bottom w:val="single" w:color="auto" w:sz="4" w:space="0"/>
              <w:right w:val="single" w:color="auto" w:sz="4" w:space="0"/>
            </w:tcBorders>
            <w:vAlign w:val="center"/>
          </w:tcPr>
          <w:p w14:paraId="2E76EC9F">
            <w:pPr>
              <w:jc w:val="right"/>
              <w:textAlignment w:val="bottom"/>
              <w:rPr>
                <w:rFonts w:cs="Times New Roman"/>
                <w:sz w:val="18"/>
                <w:szCs w:val="18"/>
              </w:rPr>
            </w:pPr>
            <w:r>
              <w:rPr>
                <w:rFonts w:cs="Times New Roman"/>
                <w:color w:val="000000"/>
                <w:sz w:val="18"/>
                <w:szCs w:val="18"/>
              </w:rPr>
              <w:t>3,057,512,231.83</w:t>
            </w:r>
          </w:p>
        </w:tc>
        <w:tc>
          <w:tcPr>
            <w:tcW w:w="511" w:type="pct"/>
            <w:tcBorders>
              <w:top w:val="single" w:color="auto" w:sz="4" w:space="0"/>
              <w:left w:val="single" w:color="auto" w:sz="4" w:space="0"/>
              <w:bottom w:val="single" w:color="auto" w:sz="4" w:space="0"/>
              <w:right w:val="single" w:color="auto" w:sz="4" w:space="0"/>
            </w:tcBorders>
            <w:vAlign w:val="center"/>
          </w:tcPr>
          <w:p w14:paraId="03B0AC14">
            <w:pPr>
              <w:jc w:val="right"/>
              <w:textAlignment w:val="bottom"/>
              <w:rPr>
                <w:rFonts w:cs="Times New Roman"/>
                <w:sz w:val="18"/>
                <w:szCs w:val="18"/>
              </w:rPr>
            </w:pPr>
            <w:r>
              <w:rPr>
                <w:rFonts w:cs="Times New Roman"/>
                <w:color w:val="000000"/>
                <w:sz w:val="18"/>
                <w:szCs w:val="18"/>
              </w:rPr>
              <w:t>3,431,166,952.04</w:t>
            </w:r>
          </w:p>
        </w:tc>
        <w:tc>
          <w:tcPr>
            <w:tcW w:w="256" w:type="pct"/>
            <w:tcBorders>
              <w:top w:val="single" w:color="auto" w:sz="4" w:space="0"/>
              <w:left w:val="single" w:color="auto" w:sz="4" w:space="0"/>
              <w:bottom w:val="single" w:color="auto" w:sz="4" w:space="0"/>
              <w:right w:val="single" w:color="auto" w:sz="4" w:space="0"/>
            </w:tcBorders>
            <w:vAlign w:val="center"/>
          </w:tcPr>
          <w:p w14:paraId="55758F6F">
            <w:pPr>
              <w:jc w:val="right"/>
              <w:rPr>
                <w:rFonts w:cs="Times New Roman"/>
                <w:color w:val="000000" w:themeColor="text1"/>
                <w:sz w:val="18"/>
                <w:szCs w:val="18"/>
                <w14:textFill>
                  <w14:solidFill>
                    <w14:schemeClr w14:val="tx1"/>
                  </w14:solidFill>
                </w14:textFill>
              </w:rPr>
            </w:pPr>
            <w:r>
              <w:rPr>
                <w:rFonts w:cs="Times New Roman"/>
                <w:color w:val="000000"/>
                <w:sz w:val="18"/>
                <w:szCs w:val="18"/>
              </w:rPr>
              <w:t>/</w:t>
            </w:r>
          </w:p>
        </w:tc>
        <w:tc>
          <w:tcPr>
            <w:tcW w:w="511" w:type="pct"/>
            <w:tcBorders>
              <w:top w:val="single" w:color="auto" w:sz="4" w:space="0"/>
              <w:left w:val="single" w:color="auto" w:sz="4" w:space="0"/>
              <w:bottom w:val="single" w:color="auto" w:sz="4" w:space="0"/>
              <w:right w:val="single" w:color="auto" w:sz="4" w:space="0"/>
            </w:tcBorders>
            <w:vAlign w:val="center"/>
          </w:tcPr>
          <w:p w14:paraId="57803B41">
            <w:pPr>
              <w:jc w:val="right"/>
              <w:textAlignment w:val="bottom"/>
              <w:rPr>
                <w:rFonts w:cs="Times New Roman"/>
                <w:sz w:val="18"/>
                <w:szCs w:val="18"/>
              </w:rPr>
            </w:pPr>
            <w:r>
              <w:rPr>
                <w:rFonts w:cs="Times New Roman"/>
                <w:color w:val="000000"/>
                <w:sz w:val="18"/>
                <w:szCs w:val="18"/>
              </w:rPr>
              <w:t>510,502,474.57</w:t>
            </w:r>
          </w:p>
        </w:tc>
        <w:tc>
          <w:tcPr>
            <w:tcW w:w="252" w:type="pct"/>
            <w:tcBorders>
              <w:top w:val="single" w:color="auto" w:sz="4" w:space="0"/>
              <w:left w:val="single" w:color="auto" w:sz="4" w:space="0"/>
              <w:bottom w:val="single" w:color="auto" w:sz="4" w:space="0"/>
              <w:right w:val="single" w:color="auto" w:sz="4" w:space="0"/>
            </w:tcBorders>
            <w:vAlign w:val="center"/>
          </w:tcPr>
          <w:p w14:paraId="701D394E">
            <w:pPr>
              <w:jc w:val="right"/>
              <w:rPr>
                <w:rFonts w:cs="Times New Roman"/>
                <w:color w:val="000000" w:themeColor="text1"/>
                <w:sz w:val="18"/>
                <w:szCs w:val="18"/>
                <w14:textFill>
                  <w14:solidFill>
                    <w14:schemeClr w14:val="tx1"/>
                  </w14:solidFill>
                </w14:textFill>
              </w:rPr>
            </w:pPr>
            <w:r>
              <w:rPr>
                <w:rFonts w:cs="Times New Roman"/>
                <w:color w:val="000000"/>
                <w:sz w:val="18"/>
                <w:szCs w:val="18"/>
              </w:rPr>
              <w:t>/</w:t>
            </w:r>
          </w:p>
        </w:tc>
        <w:tc>
          <w:tcPr>
            <w:tcW w:w="506" w:type="pct"/>
            <w:tcBorders>
              <w:top w:val="single" w:color="auto" w:sz="4" w:space="0"/>
              <w:left w:val="single" w:color="auto" w:sz="4" w:space="0"/>
              <w:bottom w:val="single" w:color="auto" w:sz="4" w:space="0"/>
              <w:right w:val="single" w:color="auto" w:sz="4" w:space="0"/>
            </w:tcBorders>
            <w:vAlign w:val="center"/>
          </w:tcPr>
          <w:p w14:paraId="3CF4E03E">
            <w:pPr>
              <w:jc w:val="right"/>
              <w:textAlignment w:val="bottom"/>
              <w:rPr>
                <w:rFonts w:cs="Times New Roman"/>
                <w:sz w:val="18"/>
                <w:szCs w:val="18"/>
              </w:rPr>
            </w:pPr>
            <w:r>
              <w:rPr>
                <w:rFonts w:cs="Times New Roman"/>
                <w:color w:val="000000"/>
                <w:sz w:val="18"/>
                <w:szCs w:val="18"/>
              </w:rPr>
              <w:t>2,920,664,477.47</w:t>
            </w:r>
          </w:p>
        </w:tc>
      </w:tr>
    </w:tbl>
    <w:p w14:paraId="340372B4">
      <w:pPr>
        <w:rPr>
          <w:color w:val="000000" w:themeColor="text1"/>
          <w14:textFill>
            <w14:solidFill>
              <w14:schemeClr w14:val="tx1"/>
            </w14:solidFill>
          </w14:textFill>
        </w:rPr>
        <w:sectPr>
          <w:pgSz w:w="16838" w:h="11906" w:orient="landscape"/>
          <w:pgMar w:top="1797" w:right="1525" w:bottom="1276" w:left="1440" w:header="856" w:footer="992" w:gutter="0"/>
          <w:cols w:space="425" w:num="1"/>
          <w:docGrid w:linePitch="312" w:charSpace="0"/>
        </w:sectPr>
      </w:pPr>
    </w:p>
    <w:bookmarkEnd w:id="207"/>
    <w:p w14:paraId="1DBF3537">
      <w:pPr>
        <w:rPr>
          <w:color w:val="000000" w:themeColor="text1"/>
          <w14:textFill>
            <w14:solidFill>
              <w14:schemeClr w14:val="tx1"/>
            </w14:solidFill>
          </w14:textFill>
        </w:rPr>
      </w:pPr>
      <w:bookmarkStart w:id="208" w:name="_Hlk10467200"/>
    </w:p>
    <w:p w14:paraId="115B76AF">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w:t>
      </w:r>
    </w:p>
    <w:sdt>
      <w:sdtPr>
        <w:rPr>
          <w:rFonts w:hint="eastAsia"/>
          <w:color w:val="000000" w:themeColor="text1"/>
          <w14:textFill>
            <w14:solidFill>
              <w14:schemeClr w14:val="tx1"/>
            </w14:solidFill>
          </w14:textFill>
        </w:rPr>
        <w:alias w:val="是否适用：按单项计提坏账准备的应收账款详细情况[双击切换]"/>
        <w:tag w:val="_GBC_e07c01cfb2fe4b05a2bb603b7f914946"/>
        <w:id w:val="1970076892"/>
      </w:sdtPr>
      <w:sdtEndPr>
        <w:rPr>
          <w:rFonts w:hint="eastAsia"/>
          <w:color w:val="000000" w:themeColor="text1"/>
          <w14:textFill>
            <w14:solidFill>
              <w14:schemeClr w14:val="tx1"/>
            </w14:solidFill>
          </w14:textFill>
        </w:rPr>
      </w:sdtEndPr>
      <w:sdtContent>
        <w:p w14:paraId="039D4D5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2DD8D2B9">
      <w:pPr>
        <w:autoSpaceDE w:val="0"/>
        <w:autoSpaceDN w:val="0"/>
        <w:adjustRightInd w:val="0"/>
        <w:ind w:left="5880" w:right="105"/>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按单项计提坏账准备的应收账款详细情况"/>
          <w:tag w:val="_GBC_5737c621553040588c35a299b21bda52"/>
          <w:id w:val="-158000205"/>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按单项计提坏账准备的应收账款详细情况"/>
          <w:tag w:val="_GBC_b6cb9fb35a4a4033912355f7cb997afb"/>
          <w:id w:val="1058023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3"/>
        <w:gridCol w:w="1668"/>
        <w:gridCol w:w="1638"/>
        <w:gridCol w:w="961"/>
        <w:gridCol w:w="1739"/>
      </w:tblGrid>
      <w:tr w14:paraId="4D9E7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886503527dee421ca2c31b493a41ab31"/>
            <w:id w:val="1492369115"/>
          </w:sdtPr>
          <w:sdtEndPr>
            <w:rPr>
              <w:rFonts w:cs="Times New Roman"/>
            </w:rPr>
          </w:sdtEndPr>
          <w:sdtContent>
            <w:tc>
              <w:tcPr>
                <w:tcW w:w="1681" w:type="pct"/>
                <w:vMerge w:val="restart"/>
                <w:vAlign w:val="center"/>
              </w:tcPr>
              <w:p w14:paraId="203247C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名称</w:t>
                </w:r>
              </w:p>
            </w:tc>
          </w:sdtContent>
        </w:sdt>
        <w:sdt>
          <w:sdtPr>
            <w:rPr>
              <w:rFonts w:cs="Times New Roman"/>
            </w:rPr>
            <w:tag w:val="_PLD_e08f6e696f224538a07af6226cb97b93"/>
            <w:id w:val="845204821"/>
          </w:sdtPr>
          <w:sdtEndPr>
            <w:rPr>
              <w:rFonts w:cs="Times New Roman"/>
            </w:rPr>
          </w:sdtEndPr>
          <w:sdtContent>
            <w:tc>
              <w:tcPr>
                <w:tcW w:w="3318" w:type="pct"/>
                <w:gridSpan w:val="4"/>
                <w:vAlign w:val="center"/>
              </w:tcPr>
              <w:p w14:paraId="1BC36B6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tr>
      <w:tr w14:paraId="1009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pct"/>
            <w:vMerge w:val="continue"/>
          </w:tcPr>
          <w:p w14:paraId="71D552BE">
            <w:pPr>
              <w:jc w:val="center"/>
              <w:rPr>
                <w:rFonts w:cs="Times New Roman"/>
                <w:color w:val="000000" w:themeColor="text1"/>
                <w14:textFill>
                  <w14:solidFill>
                    <w14:schemeClr w14:val="tx1"/>
                  </w14:solidFill>
                </w14:textFill>
              </w:rPr>
            </w:pPr>
          </w:p>
        </w:tc>
        <w:sdt>
          <w:sdtPr>
            <w:rPr>
              <w:rFonts w:cs="Times New Roman"/>
            </w:rPr>
            <w:tag w:val="_PLD_464a1be46d05424da4883a8442e8eecd"/>
            <w:id w:val="-1756276858"/>
          </w:sdtPr>
          <w:sdtEndPr>
            <w:rPr>
              <w:rFonts w:cs="Times New Roman"/>
            </w:rPr>
          </w:sdtEndPr>
          <w:sdtContent>
            <w:tc>
              <w:tcPr>
                <w:tcW w:w="921" w:type="pct"/>
                <w:vAlign w:val="center"/>
              </w:tcPr>
              <w:p w14:paraId="05407DB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账面余额</w:t>
                </w:r>
              </w:p>
            </w:tc>
          </w:sdtContent>
        </w:sdt>
        <w:sdt>
          <w:sdtPr>
            <w:rPr>
              <w:rFonts w:cs="Times New Roman"/>
            </w:rPr>
            <w:tag w:val="_PLD_3d0d70541d9a48beb1c29f819592f107"/>
            <w:id w:val="177464428"/>
          </w:sdtPr>
          <w:sdtEndPr>
            <w:rPr>
              <w:rFonts w:cs="Times New Roman"/>
            </w:rPr>
          </w:sdtEndPr>
          <w:sdtContent>
            <w:tc>
              <w:tcPr>
                <w:tcW w:w="905" w:type="pct"/>
                <w:vAlign w:val="center"/>
              </w:tcPr>
              <w:p w14:paraId="4327C35C">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坏账准备</w:t>
                </w:r>
              </w:p>
            </w:tc>
          </w:sdtContent>
        </w:sdt>
        <w:sdt>
          <w:sdtPr>
            <w:rPr>
              <w:rFonts w:cs="Times New Roman"/>
            </w:rPr>
            <w:tag w:val="_PLD_76393245336e41aa891aec8c50271105"/>
            <w:id w:val="-2139561591"/>
          </w:sdtPr>
          <w:sdtEndPr>
            <w:rPr>
              <w:rFonts w:cs="Times New Roman"/>
            </w:rPr>
          </w:sdtEndPr>
          <w:sdtContent>
            <w:tc>
              <w:tcPr>
                <w:tcW w:w="531" w:type="pct"/>
                <w:vAlign w:val="center"/>
              </w:tcPr>
              <w:p w14:paraId="4165F1C4">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计提比例（%）</w:t>
                </w:r>
              </w:p>
            </w:tc>
          </w:sdtContent>
        </w:sdt>
        <w:sdt>
          <w:sdtPr>
            <w:rPr>
              <w:rFonts w:cs="Times New Roman"/>
            </w:rPr>
            <w:tag w:val="_PLD_950e8014be3245d1a45783884c32208d"/>
            <w:id w:val="-1461798879"/>
          </w:sdtPr>
          <w:sdtEndPr>
            <w:rPr>
              <w:rFonts w:cs="Times New Roman"/>
            </w:rPr>
          </w:sdtEndPr>
          <w:sdtContent>
            <w:tc>
              <w:tcPr>
                <w:tcW w:w="959" w:type="pct"/>
                <w:vAlign w:val="center"/>
              </w:tcPr>
              <w:p w14:paraId="37200F6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计提理由</w:t>
                </w:r>
              </w:p>
            </w:tc>
          </w:sdtContent>
        </w:sdt>
      </w:tr>
      <w:sdt>
        <w:sdtPr>
          <w:rPr>
            <w:rFonts w:cs="Times New Roman"/>
            <w:color w:val="000000" w:themeColor="text1"/>
            <w14:textFill>
              <w14:solidFill>
                <w14:schemeClr w14:val="tx1"/>
              </w14:solidFill>
            </w14:textFill>
          </w:rPr>
          <w:alias w:val="按单项计提坏账准备的应收账款详细名称明细"/>
          <w:tag w:val="_TUP_669c106056fb4de3b5f357a932630dad"/>
          <w:id w:val="631753940"/>
          <w:placeholder>
            <w:docPart w:val="{a301e795-e998-4deb-8684-a6910ffe556f}"/>
          </w:placeholder>
        </w:sdtPr>
        <w:sdtEndPr>
          <w:rPr>
            <w:rFonts w:cs="Times New Roman"/>
            <w:color w:val="000000" w:themeColor="text1"/>
            <w14:textFill>
              <w14:solidFill>
                <w14:schemeClr w14:val="tx1"/>
              </w14:solidFill>
            </w14:textFill>
          </w:rPr>
        </w:sdtEndPr>
        <w:sdtContent>
          <w:tr w14:paraId="6BF4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pct"/>
                <w:vAlign w:val="center"/>
              </w:tcPr>
              <w:p w14:paraId="6558556D">
                <w:pPr>
                  <w:jc w:val="both"/>
                  <w:rPr>
                    <w:rFonts w:cs="Times New Roman"/>
                  </w:rPr>
                </w:pPr>
                <w:r>
                  <w:rPr>
                    <w:rFonts w:cs="Times New Roman"/>
                  </w:rPr>
                  <w:t>湖南启明鞋业有限公司</w:t>
                </w:r>
              </w:p>
            </w:tc>
            <w:tc>
              <w:tcPr>
                <w:tcW w:w="921" w:type="pct"/>
                <w:vAlign w:val="center"/>
              </w:tcPr>
              <w:p w14:paraId="55F4FBAC">
                <w:pPr>
                  <w:jc w:val="right"/>
                  <w:rPr>
                    <w:rFonts w:cs="Times New Roman"/>
                  </w:rPr>
                </w:pPr>
                <w:r>
                  <w:rPr>
                    <w:rFonts w:cs="Times New Roman"/>
                  </w:rPr>
                  <w:t>40,030,029.66</w:t>
                </w:r>
              </w:p>
            </w:tc>
            <w:tc>
              <w:tcPr>
                <w:tcW w:w="905" w:type="pct"/>
                <w:vAlign w:val="center"/>
              </w:tcPr>
              <w:p w14:paraId="231952B9">
                <w:pPr>
                  <w:jc w:val="right"/>
                  <w:rPr>
                    <w:rFonts w:cs="Times New Roman"/>
                  </w:rPr>
                </w:pPr>
                <w:r>
                  <w:rPr>
                    <w:rFonts w:cs="Times New Roman"/>
                  </w:rPr>
                  <w:t>40,030,029.66</w:t>
                </w:r>
              </w:p>
            </w:tc>
            <w:tc>
              <w:tcPr>
                <w:tcW w:w="531" w:type="pct"/>
                <w:vAlign w:val="center"/>
              </w:tcPr>
              <w:p w14:paraId="73CB34D0">
                <w:pPr>
                  <w:jc w:val="right"/>
                  <w:rPr>
                    <w:rFonts w:cs="Times New Roman"/>
                  </w:rPr>
                </w:pPr>
                <w:r>
                  <w:rPr>
                    <w:rFonts w:hint="eastAsia" w:cs="Times New Roman"/>
                  </w:rPr>
                  <w:t>100.00</w:t>
                </w:r>
              </w:p>
            </w:tc>
            <w:tc>
              <w:tcPr>
                <w:tcW w:w="959" w:type="pct"/>
                <w:vAlign w:val="center"/>
              </w:tcPr>
              <w:p w14:paraId="0BFC56E2">
                <w:pPr>
                  <w:rPr>
                    <w:rFonts w:cs="Times New Roman"/>
                  </w:rPr>
                </w:pPr>
                <w:r>
                  <w:rPr>
                    <w:rFonts w:cs="Times New Roman"/>
                  </w:rPr>
                  <w:t>预计无法收回</w:t>
                </w:r>
              </w:p>
            </w:tc>
          </w:tr>
        </w:sdtContent>
      </w:sdt>
      <w:sdt>
        <w:sdtPr>
          <w:rPr>
            <w:rFonts w:cs="Times New Roman"/>
            <w:color w:val="000000" w:themeColor="text1"/>
            <w14:textFill>
              <w14:solidFill>
                <w14:schemeClr w14:val="tx1"/>
              </w14:solidFill>
            </w14:textFill>
          </w:rPr>
          <w:alias w:val="按单项计提坏账准备的应收账款详细名称明细"/>
          <w:tag w:val="_TUP_669c106056fb4de3b5f357a932630dad"/>
          <w:id w:val="971794025"/>
          <w:placeholder>
            <w:docPart w:val="{a301e795-e998-4deb-8684-a6910ffe556f}"/>
          </w:placeholder>
        </w:sdtPr>
        <w:sdtEndPr>
          <w:rPr>
            <w:rFonts w:cs="Times New Roman"/>
            <w:color w:val="000000" w:themeColor="text1"/>
            <w14:textFill>
              <w14:solidFill>
                <w14:schemeClr w14:val="tx1"/>
              </w14:solidFill>
            </w14:textFill>
          </w:rPr>
        </w:sdtEndPr>
        <w:sdtContent>
          <w:tr w14:paraId="15E3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pct"/>
                <w:vAlign w:val="center"/>
              </w:tcPr>
              <w:p w14:paraId="3B71383E">
                <w:pPr>
                  <w:jc w:val="both"/>
                  <w:rPr>
                    <w:rFonts w:cs="Times New Roman"/>
                  </w:rPr>
                </w:pPr>
                <w:r>
                  <w:rPr>
                    <w:rFonts w:cs="Times New Roman"/>
                  </w:rPr>
                  <w:t>恩施山寨皮革有限公司</w:t>
                </w:r>
              </w:p>
            </w:tc>
            <w:tc>
              <w:tcPr>
                <w:tcW w:w="921" w:type="pct"/>
                <w:vAlign w:val="center"/>
              </w:tcPr>
              <w:p w14:paraId="1FE5597E">
                <w:pPr>
                  <w:jc w:val="right"/>
                  <w:rPr>
                    <w:rFonts w:cs="Times New Roman"/>
                  </w:rPr>
                </w:pPr>
                <w:r>
                  <w:rPr>
                    <w:rFonts w:cs="Times New Roman"/>
                  </w:rPr>
                  <w:t>34,920,943.50</w:t>
                </w:r>
              </w:p>
            </w:tc>
            <w:tc>
              <w:tcPr>
                <w:tcW w:w="905" w:type="pct"/>
                <w:vAlign w:val="center"/>
              </w:tcPr>
              <w:p w14:paraId="4C7DE1DF">
                <w:pPr>
                  <w:jc w:val="right"/>
                  <w:rPr>
                    <w:rFonts w:cs="Times New Roman"/>
                  </w:rPr>
                </w:pPr>
                <w:r>
                  <w:rPr>
                    <w:rFonts w:cs="Times New Roman"/>
                  </w:rPr>
                  <w:t>34,920,943.50</w:t>
                </w:r>
              </w:p>
            </w:tc>
            <w:tc>
              <w:tcPr>
                <w:tcW w:w="531" w:type="pct"/>
                <w:vAlign w:val="center"/>
              </w:tcPr>
              <w:p w14:paraId="05355293">
                <w:pPr>
                  <w:jc w:val="right"/>
                  <w:rPr>
                    <w:rFonts w:cs="Times New Roman"/>
                  </w:rPr>
                </w:pPr>
                <w:r>
                  <w:rPr>
                    <w:rFonts w:cs="Times New Roman"/>
                  </w:rPr>
                  <w:t>100.00</w:t>
                </w:r>
              </w:p>
            </w:tc>
            <w:tc>
              <w:tcPr>
                <w:tcW w:w="959" w:type="pct"/>
                <w:vAlign w:val="center"/>
              </w:tcPr>
              <w:p w14:paraId="010546E1">
                <w:pPr>
                  <w:rPr>
                    <w:rFonts w:cs="Times New Roman"/>
                  </w:rPr>
                </w:pPr>
                <w:r>
                  <w:rPr>
                    <w:rFonts w:cs="Times New Roman"/>
                  </w:rPr>
                  <w:t>预计无法收回</w:t>
                </w:r>
              </w:p>
            </w:tc>
          </w:tr>
        </w:sdtContent>
      </w:sdt>
      <w:sdt>
        <w:sdtPr>
          <w:rPr>
            <w:rFonts w:cs="Times New Roman"/>
            <w:color w:val="000000" w:themeColor="text1"/>
            <w14:textFill>
              <w14:solidFill>
                <w14:schemeClr w14:val="tx1"/>
              </w14:solidFill>
            </w14:textFill>
          </w:rPr>
          <w:alias w:val="按单项计提坏账准备的应收账款详细名称明细"/>
          <w:tag w:val="_TUP_669c106056fb4de3b5f357a932630dad"/>
          <w:id w:val="664980512"/>
          <w:placeholder>
            <w:docPart w:val="{a301e795-e998-4deb-8684-a6910ffe556f}"/>
          </w:placeholder>
        </w:sdtPr>
        <w:sdtEndPr>
          <w:rPr>
            <w:rFonts w:cs="Times New Roman"/>
            <w:color w:val="000000" w:themeColor="text1"/>
            <w14:textFill>
              <w14:solidFill>
                <w14:schemeClr w14:val="tx1"/>
              </w14:solidFill>
            </w14:textFill>
          </w:rPr>
        </w:sdtEndPr>
        <w:sdtContent>
          <w:tr w14:paraId="5BDD9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pct"/>
                <w:vAlign w:val="center"/>
              </w:tcPr>
              <w:p w14:paraId="10D7C355">
                <w:pPr>
                  <w:jc w:val="both"/>
                  <w:rPr>
                    <w:rFonts w:cs="Times New Roman"/>
                  </w:rPr>
                </w:pPr>
                <w:r>
                  <w:rPr>
                    <w:rFonts w:cs="Times New Roman"/>
                  </w:rPr>
                  <w:t>福建裕兴纺织原料有限公司</w:t>
                </w:r>
              </w:p>
            </w:tc>
            <w:tc>
              <w:tcPr>
                <w:tcW w:w="921" w:type="pct"/>
                <w:vAlign w:val="center"/>
              </w:tcPr>
              <w:p w14:paraId="58B7F2A4">
                <w:pPr>
                  <w:jc w:val="right"/>
                  <w:rPr>
                    <w:rFonts w:cs="Times New Roman"/>
                  </w:rPr>
                </w:pPr>
                <w:r>
                  <w:rPr>
                    <w:rFonts w:cs="Times New Roman"/>
                  </w:rPr>
                  <w:t>24,668,987.46</w:t>
                </w:r>
              </w:p>
            </w:tc>
            <w:tc>
              <w:tcPr>
                <w:tcW w:w="905" w:type="pct"/>
                <w:vAlign w:val="center"/>
              </w:tcPr>
              <w:p w14:paraId="4F79DA9C">
                <w:pPr>
                  <w:jc w:val="right"/>
                  <w:rPr>
                    <w:rFonts w:cs="Times New Roman"/>
                  </w:rPr>
                </w:pPr>
                <w:r>
                  <w:rPr>
                    <w:rFonts w:cs="Times New Roman"/>
                  </w:rPr>
                  <w:t>24,668,987.46</w:t>
                </w:r>
              </w:p>
            </w:tc>
            <w:tc>
              <w:tcPr>
                <w:tcW w:w="531" w:type="pct"/>
                <w:vAlign w:val="center"/>
              </w:tcPr>
              <w:p w14:paraId="7FAC0543">
                <w:pPr>
                  <w:jc w:val="right"/>
                  <w:rPr>
                    <w:rFonts w:cs="Times New Roman"/>
                  </w:rPr>
                </w:pPr>
                <w:r>
                  <w:rPr>
                    <w:rFonts w:cs="Times New Roman"/>
                  </w:rPr>
                  <w:t>100.00</w:t>
                </w:r>
              </w:p>
            </w:tc>
            <w:tc>
              <w:tcPr>
                <w:tcW w:w="959" w:type="pct"/>
                <w:vAlign w:val="center"/>
              </w:tcPr>
              <w:p w14:paraId="7A39336E">
                <w:pPr>
                  <w:rPr>
                    <w:rFonts w:cs="Times New Roman"/>
                  </w:rPr>
                </w:pPr>
                <w:r>
                  <w:rPr>
                    <w:rFonts w:cs="Times New Roman"/>
                  </w:rPr>
                  <w:t>预计无法收回</w:t>
                </w:r>
              </w:p>
            </w:tc>
          </w:tr>
        </w:sdtContent>
      </w:sdt>
      <w:sdt>
        <w:sdtPr>
          <w:rPr>
            <w:rFonts w:cs="Times New Roman"/>
            <w:color w:val="000000" w:themeColor="text1"/>
            <w14:textFill>
              <w14:solidFill>
                <w14:schemeClr w14:val="tx1"/>
              </w14:solidFill>
            </w14:textFill>
          </w:rPr>
          <w:alias w:val="按单项计提坏账准备的应收账款详细名称明细"/>
          <w:tag w:val="_TUP_669c106056fb4de3b5f357a932630dad"/>
          <w:id w:val="1552504642"/>
          <w:placeholder>
            <w:docPart w:val="{a301e795-e998-4deb-8684-a6910ffe556f}"/>
          </w:placeholder>
        </w:sdtPr>
        <w:sdtEndPr>
          <w:rPr>
            <w:rFonts w:cs="Times New Roman"/>
            <w:color w:val="000000" w:themeColor="text1"/>
            <w14:textFill>
              <w14:solidFill>
                <w14:schemeClr w14:val="tx1"/>
              </w14:solidFill>
            </w14:textFill>
          </w:rPr>
        </w:sdtEndPr>
        <w:sdtContent>
          <w:tr w14:paraId="2CC84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pct"/>
                <w:vAlign w:val="center"/>
              </w:tcPr>
              <w:p w14:paraId="4CE019F4">
                <w:pPr>
                  <w:jc w:val="both"/>
                  <w:rPr>
                    <w:rFonts w:cs="Times New Roman"/>
                  </w:rPr>
                </w:pPr>
                <w:r>
                  <w:rPr>
                    <w:rFonts w:cs="Times New Roman"/>
                  </w:rPr>
                  <w:t>湖北炳彰科技有限公司</w:t>
                </w:r>
              </w:p>
            </w:tc>
            <w:tc>
              <w:tcPr>
                <w:tcW w:w="921" w:type="pct"/>
                <w:vAlign w:val="center"/>
              </w:tcPr>
              <w:p w14:paraId="3309FBD3">
                <w:pPr>
                  <w:jc w:val="right"/>
                  <w:rPr>
                    <w:rFonts w:cs="Times New Roman"/>
                  </w:rPr>
                </w:pPr>
                <w:r>
                  <w:rPr>
                    <w:rFonts w:cs="Times New Roman"/>
                  </w:rPr>
                  <w:t>22,551,283.04</w:t>
                </w:r>
              </w:p>
            </w:tc>
            <w:tc>
              <w:tcPr>
                <w:tcW w:w="905" w:type="pct"/>
                <w:vAlign w:val="center"/>
              </w:tcPr>
              <w:p w14:paraId="415BEBDE">
                <w:pPr>
                  <w:jc w:val="right"/>
                  <w:rPr>
                    <w:rFonts w:cs="Times New Roman"/>
                  </w:rPr>
                </w:pPr>
                <w:r>
                  <w:rPr>
                    <w:rFonts w:cs="Times New Roman"/>
                  </w:rPr>
                  <w:t>11,580,999.04</w:t>
                </w:r>
              </w:p>
            </w:tc>
            <w:tc>
              <w:tcPr>
                <w:tcW w:w="531" w:type="pct"/>
                <w:vAlign w:val="center"/>
              </w:tcPr>
              <w:p w14:paraId="4E9D99F0">
                <w:pPr>
                  <w:jc w:val="right"/>
                  <w:rPr>
                    <w:rFonts w:cs="Times New Roman"/>
                  </w:rPr>
                </w:pPr>
                <w:r>
                  <w:rPr>
                    <w:rFonts w:cs="Times New Roman"/>
                  </w:rPr>
                  <w:t>51.35</w:t>
                </w:r>
              </w:p>
            </w:tc>
            <w:tc>
              <w:tcPr>
                <w:tcW w:w="959" w:type="pct"/>
                <w:vAlign w:val="center"/>
              </w:tcPr>
              <w:p w14:paraId="41541F3F">
                <w:pPr>
                  <w:rPr>
                    <w:rFonts w:cs="Times New Roman"/>
                  </w:rPr>
                </w:pPr>
                <w:r>
                  <w:rPr>
                    <w:rFonts w:cs="Times New Roman"/>
                  </w:rPr>
                  <w:t>抵押资产现值不能完全覆盖账面价值</w:t>
                </w:r>
              </w:p>
            </w:tc>
          </w:tr>
        </w:sdtContent>
      </w:sdt>
      <w:sdt>
        <w:sdtPr>
          <w:rPr>
            <w:rFonts w:cs="Times New Roman"/>
            <w:color w:val="000000" w:themeColor="text1"/>
            <w14:textFill>
              <w14:solidFill>
                <w14:schemeClr w14:val="tx1"/>
              </w14:solidFill>
            </w14:textFill>
          </w:rPr>
          <w:alias w:val="按单项计提坏账准备的应收账款详细名称明细"/>
          <w:tag w:val="_TUP_669c106056fb4de3b5f357a932630dad"/>
          <w:id w:val="-835456006"/>
          <w:placeholder>
            <w:docPart w:val="{a301e795-e998-4deb-8684-a6910ffe556f}"/>
          </w:placeholder>
        </w:sdtPr>
        <w:sdtEndPr>
          <w:rPr>
            <w:rFonts w:cs="Times New Roman"/>
            <w:color w:val="000000" w:themeColor="text1"/>
            <w14:textFill>
              <w14:solidFill>
                <w14:schemeClr w14:val="tx1"/>
              </w14:solidFill>
            </w14:textFill>
          </w:rPr>
        </w:sdtEndPr>
        <w:sdtContent>
          <w:tr w14:paraId="322D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pct"/>
                <w:vAlign w:val="center"/>
              </w:tcPr>
              <w:p w14:paraId="5F3D78CF">
                <w:pPr>
                  <w:jc w:val="both"/>
                  <w:rPr>
                    <w:rFonts w:cs="Times New Roman"/>
                  </w:rPr>
                </w:pPr>
                <w:r>
                  <w:rPr>
                    <w:rFonts w:cs="Times New Roman"/>
                  </w:rPr>
                  <w:t>肃宁卓尔纺织制品有限公司</w:t>
                </w:r>
              </w:p>
            </w:tc>
            <w:tc>
              <w:tcPr>
                <w:tcW w:w="921" w:type="pct"/>
                <w:vAlign w:val="center"/>
              </w:tcPr>
              <w:p w14:paraId="57F81EEE">
                <w:pPr>
                  <w:jc w:val="right"/>
                  <w:rPr>
                    <w:rFonts w:cs="Times New Roman"/>
                  </w:rPr>
                </w:pPr>
                <w:r>
                  <w:rPr>
                    <w:rFonts w:cs="Times New Roman"/>
                  </w:rPr>
                  <w:t>20,111,937.62</w:t>
                </w:r>
              </w:p>
            </w:tc>
            <w:tc>
              <w:tcPr>
                <w:tcW w:w="905" w:type="pct"/>
                <w:vAlign w:val="center"/>
              </w:tcPr>
              <w:p w14:paraId="72EF1F8E">
                <w:pPr>
                  <w:jc w:val="right"/>
                  <w:rPr>
                    <w:rFonts w:cs="Times New Roman"/>
                  </w:rPr>
                </w:pPr>
                <w:r>
                  <w:rPr>
                    <w:rFonts w:cs="Times New Roman"/>
                  </w:rPr>
                  <w:t>20,111,937.62</w:t>
                </w:r>
              </w:p>
            </w:tc>
            <w:tc>
              <w:tcPr>
                <w:tcW w:w="531" w:type="pct"/>
                <w:vAlign w:val="center"/>
              </w:tcPr>
              <w:p w14:paraId="4D32A643">
                <w:pPr>
                  <w:jc w:val="right"/>
                  <w:rPr>
                    <w:rFonts w:cs="Times New Roman"/>
                  </w:rPr>
                </w:pPr>
                <w:r>
                  <w:rPr>
                    <w:rFonts w:cs="Times New Roman"/>
                  </w:rPr>
                  <w:t>100.00</w:t>
                </w:r>
              </w:p>
            </w:tc>
            <w:tc>
              <w:tcPr>
                <w:tcW w:w="959" w:type="pct"/>
                <w:vAlign w:val="center"/>
              </w:tcPr>
              <w:p w14:paraId="4EFF6F18">
                <w:pPr>
                  <w:rPr>
                    <w:rFonts w:cs="Times New Roman"/>
                  </w:rPr>
                </w:pPr>
                <w:r>
                  <w:rPr>
                    <w:rFonts w:cs="Times New Roman"/>
                  </w:rPr>
                  <w:t>预计无法收回</w:t>
                </w:r>
              </w:p>
            </w:tc>
          </w:tr>
        </w:sdtContent>
      </w:sdt>
      <w:sdt>
        <w:sdtPr>
          <w:rPr>
            <w:rFonts w:cs="Times New Roman"/>
            <w:color w:val="000000" w:themeColor="text1"/>
            <w14:textFill>
              <w14:solidFill>
                <w14:schemeClr w14:val="tx1"/>
              </w14:solidFill>
            </w14:textFill>
          </w:rPr>
          <w:alias w:val="按单项计提坏账准备的应收账款详细名称明细"/>
          <w:tag w:val="_TUP_669c106056fb4de3b5f357a932630dad"/>
          <w:id w:val="807594458"/>
          <w:placeholder>
            <w:docPart w:val="{a301e795-e998-4deb-8684-a6910ffe556f}"/>
          </w:placeholder>
        </w:sdtPr>
        <w:sdtEndPr>
          <w:rPr>
            <w:rFonts w:cs="Times New Roman"/>
            <w:color w:val="000000" w:themeColor="text1"/>
            <w14:textFill>
              <w14:solidFill>
                <w14:schemeClr w14:val="tx1"/>
              </w14:solidFill>
            </w14:textFill>
          </w:rPr>
        </w:sdtEndPr>
        <w:sdtContent>
          <w:tr w14:paraId="66C8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pct"/>
                <w:vAlign w:val="center"/>
              </w:tcPr>
              <w:p w14:paraId="7784C950">
                <w:pPr>
                  <w:jc w:val="both"/>
                  <w:rPr>
                    <w:rFonts w:cs="Times New Roman"/>
                  </w:rPr>
                </w:pPr>
                <w:r>
                  <w:rPr>
                    <w:rFonts w:cs="Times New Roman"/>
                  </w:rPr>
                  <w:t>际华（芜湖）农业科技发展有限责任公司</w:t>
                </w:r>
              </w:p>
            </w:tc>
            <w:tc>
              <w:tcPr>
                <w:tcW w:w="921" w:type="pct"/>
                <w:vAlign w:val="center"/>
              </w:tcPr>
              <w:p w14:paraId="656E645C">
                <w:pPr>
                  <w:jc w:val="right"/>
                  <w:rPr>
                    <w:rFonts w:cs="Times New Roman"/>
                  </w:rPr>
                </w:pPr>
                <w:r>
                  <w:rPr>
                    <w:rFonts w:cs="Times New Roman"/>
                  </w:rPr>
                  <w:t>11,528,801.00</w:t>
                </w:r>
              </w:p>
            </w:tc>
            <w:tc>
              <w:tcPr>
                <w:tcW w:w="905" w:type="pct"/>
                <w:vAlign w:val="center"/>
              </w:tcPr>
              <w:p w14:paraId="00932C65">
                <w:pPr>
                  <w:jc w:val="right"/>
                  <w:rPr>
                    <w:rFonts w:cs="Times New Roman"/>
                  </w:rPr>
                </w:pPr>
                <w:r>
                  <w:rPr>
                    <w:rFonts w:cs="Times New Roman"/>
                  </w:rPr>
                  <w:t>11,528,801.00</w:t>
                </w:r>
              </w:p>
            </w:tc>
            <w:tc>
              <w:tcPr>
                <w:tcW w:w="531" w:type="pct"/>
                <w:vAlign w:val="center"/>
              </w:tcPr>
              <w:p w14:paraId="5A9E5382">
                <w:pPr>
                  <w:jc w:val="right"/>
                  <w:rPr>
                    <w:rFonts w:cs="Times New Roman"/>
                  </w:rPr>
                </w:pPr>
                <w:r>
                  <w:rPr>
                    <w:rFonts w:cs="Times New Roman"/>
                  </w:rPr>
                  <w:t>100.00</w:t>
                </w:r>
              </w:p>
            </w:tc>
            <w:tc>
              <w:tcPr>
                <w:tcW w:w="959" w:type="pct"/>
                <w:vAlign w:val="center"/>
              </w:tcPr>
              <w:p w14:paraId="330084A7">
                <w:pPr>
                  <w:rPr>
                    <w:rFonts w:cs="Times New Roman"/>
                  </w:rPr>
                </w:pPr>
                <w:r>
                  <w:rPr>
                    <w:rFonts w:cs="Times New Roman"/>
                  </w:rPr>
                  <w:t>预计无法收回</w:t>
                </w:r>
              </w:p>
            </w:tc>
          </w:tr>
        </w:sdtContent>
      </w:sdt>
      <w:sdt>
        <w:sdtPr>
          <w:rPr>
            <w:rFonts w:cs="Times New Roman"/>
            <w:color w:val="000000" w:themeColor="text1"/>
            <w14:textFill>
              <w14:solidFill>
                <w14:schemeClr w14:val="tx1"/>
              </w14:solidFill>
            </w14:textFill>
          </w:rPr>
          <w:alias w:val="按单项计提坏账准备的应收账款详细名称明细"/>
          <w:tag w:val="_TUP_669c106056fb4de3b5f357a932630dad"/>
          <w:id w:val="-1056323047"/>
          <w:placeholder>
            <w:docPart w:val="{a301e795-e998-4deb-8684-a6910ffe556f}"/>
          </w:placeholder>
        </w:sdtPr>
        <w:sdtEndPr>
          <w:rPr>
            <w:rFonts w:cs="Times New Roman"/>
            <w:color w:val="000000" w:themeColor="text1"/>
            <w14:textFill>
              <w14:solidFill>
                <w14:schemeClr w14:val="tx1"/>
              </w14:solidFill>
            </w14:textFill>
          </w:rPr>
        </w:sdtEndPr>
        <w:sdtContent>
          <w:tr w14:paraId="7F01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pct"/>
                <w:vAlign w:val="center"/>
              </w:tcPr>
              <w:p w14:paraId="422C2437">
                <w:pPr>
                  <w:jc w:val="both"/>
                  <w:rPr>
                    <w:rFonts w:cs="Times New Roman"/>
                  </w:rPr>
                </w:pPr>
                <w:r>
                  <w:rPr>
                    <w:rFonts w:cs="Times New Roman"/>
                  </w:rPr>
                  <w:t>江苏久德能源有限公司</w:t>
                </w:r>
              </w:p>
            </w:tc>
            <w:tc>
              <w:tcPr>
                <w:tcW w:w="921" w:type="pct"/>
                <w:vAlign w:val="center"/>
              </w:tcPr>
              <w:p w14:paraId="22F0B1C7">
                <w:pPr>
                  <w:jc w:val="right"/>
                  <w:rPr>
                    <w:rFonts w:cs="Times New Roman"/>
                  </w:rPr>
                </w:pPr>
                <w:r>
                  <w:rPr>
                    <w:rFonts w:cs="Times New Roman"/>
                  </w:rPr>
                  <w:t>7,711,980.50</w:t>
                </w:r>
              </w:p>
            </w:tc>
            <w:tc>
              <w:tcPr>
                <w:tcW w:w="905" w:type="pct"/>
                <w:vAlign w:val="center"/>
              </w:tcPr>
              <w:p w14:paraId="22C5D64C">
                <w:pPr>
                  <w:jc w:val="right"/>
                  <w:rPr>
                    <w:rFonts w:cs="Times New Roman"/>
                  </w:rPr>
                </w:pPr>
                <w:r>
                  <w:rPr>
                    <w:rFonts w:cs="Times New Roman"/>
                  </w:rPr>
                  <w:t>7,711,980.50</w:t>
                </w:r>
              </w:p>
            </w:tc>
            <w:tc>
              <w:tcPr>
                <w:tcW w:w="531" w:type="pct"/>
                <w:vAlign w:val="center"/>
              </w:tcPr>
              <w:p w14:paraId="7F96FA1A">
                <w:pPr>
                  <w:jc w:val="right"/>
                  <w:rPr>
                    <w:rFonts w:cs="Times New Roman"/>
                  </w:rPr>
                </w:pPr>
                <w:r>
                  <w:rPr>
                    <w:rFonts w:cs="Times New Roman"/>
                  </w:rPr>
                  <w:t>100.00</w:t>
                </w:r>
              </w:p>
            </w:tc>
            <w:tc>
              <w:tcPr>
                <w:tcW w:w="959" w:type="pct"/>
                <w:vAlign w:val="center"/>
              </w:tcPr>
              <w:p w14:paraId="12CC8E0D">
                <w:pPr>
                  <w:rPr>
                    <w:rFonts w:cs="Times New Roman"/>
                  </w:rPr>
                </w:pPr>
                <w:r>
                  <w:rPr>
                    <w:rFonts w:cs="Times New Roman"/>
                  </w:rPr>
                  <w:t>预计无法收回</w:t>
                </w:r>
              </w:p>
            </w:tc>
          </w:tr>
        </w:sdtContent>
      </w:sdt>
      <w:sdt>
        <w:sdtPr>
          <w:rPr>
            <w:rFonts w:cs="Times New Roman"/>
            <w:color w:val="000000" w:themeColor="text1"/>
            <w14:textFill>
              <w14:solidFill>
                <w14:schemeClr w14:val="tx1"/>
              </w14:solidFill>
            </w14:textFill>
          </w:rPr>
          <w:alias w:val="按单项计提坏账准备的应收账款详细名称明细"/>
          <w:tag w:val="_TUP_669c106056fb4de3b5f357a932630dad"/>
          <w:id w:val="-1964875917"/>
          <w:placeholder>
            <w:docPart w:val="{a301e795-e998-4deb-8684-a6910ffe556f}"/>
          </w:placeholder>
        </w:sdtPr>
        <w:sdtEndPr>
          <w:rPr>
            <w:rFonts w:cs="Times New Roman"/>
            <w:color w:val="000000" w:themeColor="text1"/>
            <w14:textFill>
              <w14:solidFill>
                <w14:schemeClr w14:val="tx1"/>
              </w14:solidFill>
            </w14:textFill>
          </w:rPr>
        </w:sdtEndPr>
        <w:sdtContent>
          <w:tr w14:paraId="669DC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pct"/>
                <w:vAlign w:val="center"/>
              </w:tcPr>
              <w:p w14:paraId="08A9AB36">
                <w:pPr>
                  <w:jc w:val="both"/>
                  <w:rPr>
                    <w:rFonts w:cs="Times New Roman"/>
                  </w:rPr>
                </w:pPr>
                <w:r>
                  <w:rPr>
                    <w:rFonts w:cs="Times New Roman"/>
                  </w:rPr>
                  <w:t>秦皇岛睿港煤炭物流有限公司</w:t>
                </w:r>
              </w:p>
            </w:tc>
            <w:tc>
              <w:tcPr>
                <w:tcW w:w="921" w:type="pct"/>
                <w:vAlign w:val="center"/>
              </w:tcPr>
              <w:p w14:paraId="0E9D0889">
                <w:pPr>
                  <w:jc w:val="right"/>
                  <w:rPr>
                    <w:rFonts w:cs="Times New Roman"/>
                  </w:rPr>
                </w:pPr>
                <w:r>
                  <w:rPr>
                    <w:rFonts w:cs="Times New Roman"/>
                  </w:rPr>
                  <w:t>7,020,200.00</w:t>
                </w:r>
              </w:p>
            </w:tc>
            <w:tc>
              <w:tcPr>
                <w:tcW w:w="905" w:type="pct"/>
                <w:vAlign w:val="center"/>
              </w:tcPr>
              <w:p w14:paraId="03645559">
                <w:pPr>
                  <w:jc w:val="right"/>
                  <w:rPr>
                    <w:rFonts w:cs="Times New Roman"/>
                  </w:rPr>
                </w:pPr>
                <w:r>
                  <w:rPr>
                    <w:rFonts w:cs="Times New Roman"/>
                  </w:rPr>
                  <w:t>7,020,200.00</w:t>
                </w:r>
              </w:p>
            </w:tc>
            <w:tc>
              <w:tcPr>
                <w:tcW w:w="531" w:type="pct"/>
                <w:vAlign w:val="center"/>
              </w:tcPr>
              <w:p w14:paraId="430812E6">
                <w:pPr>
                  <w:jc w:val="right"/>
                  <w:rPr>
                    <w:rFonts w:cs="Times New Roman"/>
                  </w:rPr>
                </w:pPr>
                <w:r>
                  <w:rPr>
                    <w:rFonts w:cs="Times New Roman"/>
                  </w:rPr>
                  <w:t>100.00</w:t>
                </w:r>
              </w:p>
            </w:tc>
            <w:tc>
              <w:tcPr>
                <w:tcW w:w="959" w:type="pct"/>
                <w:vAlign w:val="center"/>
              </w:tcPr>
              <w:p w14:paraId="4114BF8B">
                <w:pPr>
                  <w:rPr>
                    <w:rFonts w:cs="Times New Roman"/>
                  </w:rPr>
                </w:pPr>
                <w:r>
                  <w:rPr>
                    <w:rFonts w:cs="Times New Roman"/>
                  </w:rPr>
                  <w:t>预计无法收回</w:t>
                </w:r>
              </w:p>
            </w:tc>
          </w:tr>
        </w:sdtContent>
      </w:sdt>
      <w:sdt>
        <w:sdtPr>
          <w:rPr>
            <w:rFonts w:cs="Times New Roman"/>
            <w:color w:val="000000" w:themeColor="text1"/>
            <w14:textFill>
              <w14:solidFill>
                <w14:schemeClr w14:val="tx1"/>
              </w14:solidFill>
            </w14:textFill>
          </w:rPr>
          <w:alias w:val="按单项计提坏账准备的应收账款详细名称明细"/>
          <w:tag w:val="_TUP_669c106056fb4de3b5f357a932630dad"/>
          <w:id w:val="503259033"/>
          <w:placeholder>
            <w:docPart w:val="{a301e795-e998-4deb-8684-a6910ffe556f}"/>
          </w:placeholder>
        </w:sdtPr>
        <w:sdtEndPr>
          <w:rPr>
            <w:rFonts w:cs="Times New Roman"/>
            <w:color w:val="000000" w:themeColor="text1"/>
            <w14:textFill>
              <w14:solidFill>
                <w14:schemeClr w14:val="tx1"/>
              </w14:solidFill>
            </w14:textFill>
          </w:rPr>
        </w:sdtEndPr>
        <w:sdtContent>
          <w:tr w14:paraId="06A0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pct"/>
                <w:vAlign w:val="center"/>
              </w:tcPr>
              <w:p w14:paraId="12E5B6C5">
                <w:pPr>
                  <w:jc w:val="both"/>
                  <w:rPr>
                    <w:rFonts w:cs="Times New Roman"/>
                  </w:rPr>
                </w:pPr>
                <w:r>
                  <w:rPr>
                    <w:rFonts w:cs="Times New Roman"/>
                  </w:rPr>
                  <w:t>山东中泰金属板材有限公司</w:t>
                </w:r>
              </w:p>
            </w:tc>
            <w:tc>
              <w:tcPr>
                <w:tcW w:w="921" w:type="pct"/>
                <w:vAlign w:val="center"/>
              </w:tcPr>
              <w:p w14:paraId="03C2B0A3">
                <w:pPr>
                  <w:jc w:val="right"/>
                  <w:rPr>
                    <w:rFonts w:cs="Times New Roman"/>
                  </w:rPr>
                </w:pPr>
                <w:r>
                  <w:rPr>
                    <w:rFonts w:cs="Times New Roman"/>
                  </w:rPr>
                  <w:t>6,797,050.86</w:t>
                </w:r>
              </w:p>
            </w:tc>
            <w:tc>
              <w:tcPr>
                <w:tcW w:w="905" w:type="pct"/>
                <w:vAlign w:val="center"/>
              </w:tcPr>
              <w:p w14:paraId="2B8DD97C">
                <w:pPr>
                  <w:jc w:val="right"/>
                  <w:rPr>
                    <w:rFonts w:cs="Times New Roman"/>
                  </w:rPr>
                </w:pPr>
                <w:r>
                  <w:rPr>
                    <w:rFonts w:cs="Times New Roman"/>
                  </w:rPr>
                  <w:t>6,797,050.86</w:t>
                </w:r>
              </w:p>
            </w:tc>
            <w:tc>
              <w:tcPr>
                <w:tcW w:w="531" w:type="pct"/>
                <w:vAlign w:val="center"/>
              </w:tcPr>
              <w:p w14:paraId="6476DF53">
                <w:pPr>
                  <w:jc w:val="right"/>
                  <w:rPr>
                    <w:rFonts w:cs="Times New Roman"/>
                  </w:rPr>
                </w:pPr>
                <w:r>
                  <w:rPr>
                    <w:rFonts w:cs="Times New Roman"/>
                  </w:rPr>
                  <w:t>100.00</w:t>
                </w:r>
              </w:p>
            </w:tc>
            <w:tc>
              <w:tcPr>
                <w:tcW w:w="959" w:type="pct"/>
                <w:vAlign w:val="center"/>
              </w:tcPr>
              <w:p w14:paraId="549925AD">
                <w:pPr>
                  <w:rPr>
                    <w:rFonts w:cs="Times New Roman"/>
                  </w:rPr>
                </w:pPr>
                <w:r>
                  <w:rPr>
                    <w:rFonts w:cs="Times New Roman"/>
                  </w:rPr>
                  <w:t>预计无法收回</w:t>
                </w:r>
              </w:p>
            </w:tc>
          </w:tr>
        </w:sdtContent>
      </w:sdt>
      <w:sdt>
        <w:sdtPr>
          <w:rPr>
            <w:rFonts w:cs="Times New Roman"/>
            <w:color w:val="000000" w:themeColor="text1"/>
            <w14:textFill>
              <w14:solidFill>
                <w14:schemeClr w14:val="tx1"/>
              </w14:solidFill>
            </w14:textFill>
          </w:rPr>
          <w:alias w:val="按单项计提坏账准备的应收账款详细名称明细"/>
          <w:tag w:val="_TUP_669c106056fb4de3b5f357a932630dad"/>
          <w:id w:val="1893768675"/>
          <w:placeholder>
            <w:docPart w:val="{a301e795-e998-4deb-8684-a6910ffe556f}"/>
          </w:placeholder>
        </w:sdtPr>
        <w:sdtEndPr>
          <w:rPr>
            <w:rFonts w:cs="Times New Roman"/>
            <w:color w:val="000000" w:themeColor="text1"/>
            <w14:textFill>
              <w14:solidFill>
                <w14:schemeClr w14:val="tx1"/>
              </w14:solidFill>
            </w14:textFill>
          </w:rPr>
        </w:sdtEndPr>
        <w:sdtContent>
          <w:tr w14:paraId="54D1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pct"/>
                <w:vAlign w:val="center"/>
              </w:tcPr>
              <w:p w14:paraId="5BAED960">
                <w:pPr>
                  <w:jc w:val="both"/>
                  <w:rPr>
                    <w:rFonts w:cs="Times New Roman"/>
                  </w:rPr>
                </w:pPr>
                <w:r>
                  <w:rPr>
                    <w:rFonts w:cs="Times New Roman"/>
                  </w:rPr>
                  <w:t>其他</w:t>
                </w:r>
              </w:p>
            </w:tc>
            <w:tc>
              <w:tcPr>
                <w:tcW w:w="921" w:type="pct"/>
                <w:vAlign w:val="center"/>
              </w:tcPr>
              <w:p w14:paraId="7852DEFF">
                <w:pPr>
                  <w:jc w:val="right"/>
                  <w:rPr>
                    <w:rFonts w:cs="Times New Roman"/>
                  </w:rPr>
                </w:pPr>
                <w:r>
                  <w:rPr>
                    <w:rFonts w:cs="Times New Roman"/>
                  </w:rPr>
                  <w:t>40,388,478.12</w:t>
                </w:r>
              </w:p>
            </w:tc>
            <w:tc>
              <w:tcPr>
                <w:tcW w:w="905" w:type="pct"/>
                <w:vAlign w:val="center"/>
              </w:tcPr>
              <w:p w14:paraId="79553368">
                <w:pPr>
                  <w:jc w:val="right"/>
                  <w:rPr>
                    <w:rFonts w:cs="Times New Roman"/>
                  </w:rPr>
                </w:pPr>
                <w:r>
                  <w:rPr>
                    <w:rFonts w:cs="Times New Roman"/>
                  </w:rPr>
                  <w:t>40,388,478.12</w:t>
                </w:r>
              </w:p>
            </w:tc>
            <w:tc>
              <w:tcPr>
                <w:tcW w:w="531" w:type="pct"/>
                <w:vAlign w:val="center"/>
              </w:tcPr>
              <w:p w14:paraId="6E89063D">
                <w:pPr>
                  <w:jc w:val="right"/>
                  <w:rPr>
                    <w:rFonts w:cs="Times New Roman"/>
                  </w:rPr>
                </w:pPr>
                <w:r>
                  <w:rPr>
                    <w:rFonts w:cs="Times New Roman"/>
                  </w:rPr>
                  <w:t>100.00</w:t>
                </w:r>
              </w:p>
            </w:tc>
            <w:tc>
              <w:tcPr>
                <w:tcW w:w="959" w:type="pct"/>
                <w:vAlign w:val="center"/>
              </w:tcPr>
              <w:p w14:paraId="2EFF223A">
                <w:pPr>
                  <w:rPr>
                    <w:rFonts w:cs="Times New Roman"/>
                  </w:rPr>
                </w:pPr>
                <w:r>
                  <w:rPr>
                    <w:rFonts w:cs="Times New Roman"/>
                  </w:rPr>
                  <w:t>预计无法收回</w:t>
                </w:r>
              </w:p>
            </w:tc>
          </w:tr>
        </w:sdtContent>
      </w:sdt>
      <w:tr w14:paraId="4588D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9ee856e0edf24e449ccd22d8f0f07348"/>
            <w:id w:val="1536313845"/>
          </w:sdtPr>
          <w:sdtEndPr>
            <w:rPr>
              <w:rFonts w:cs="Times New Roman"/>
            </w:rPr>
          </w:sdtEndPr>
          <w:sdtContent>
            <w:tc>
              <w:tcPr>
                <w:tcW w:w="1681" w:type="pct"/>
                <w:vAlign w:val="center"/>
              </w:tcPr>
              <w:p w14:paraId="7644655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c>
          <w:tcPr>
            <w:tcW w:w="921" w:type="pct"/>
            <w:vAlign w:val="center"/>
          </w:tcPr>
          <w:p w14:paraId="00556D4F">
            <w:pPr>
              <w:jc w:val="right"/>
              <w:rPr>
                <w:rFonts w:cs="Times New Roman"/>
              </w:rPr>
            </w:pPr>
            <w:r>
              <w:rPr>
                <w:rFonts w:cs="Times New Roman"/>
              </w:rPr>
              <w:t>215,729,691.76</w:t>
            </w:r>
          </w:p>
        </w:tc>
        <w:tc>
          <w:tcPr>
            <w:tcW w:w="905" w:type="pct"/>
            <w:vAlign w:val="center"/>
          </w:tcPr>
          <w:p w14:paraId="32BCC00F">
            <w:pPr>
              <w:jc w:val="right"/>
              <w:rPr>
                <w:rFonts w:cs="Times New Roman"/>
              </w:rPr>
            </w:pPr>
            <w:r>
              <w:rPr>
                <w:rFonts w:cs="Times New Roman"/>
              </w:rPr>
              <w:t>204,759,407.76</w:t>
            </w:r>
          </w:p>
        </w:tc>
        <w:tc>
          <w:tcPr>
            <w:tcW w:w="531" w:type="pct"/>
            <w:vAlign w:val="center"/>
          </w:tcPr>
          <w:p w14:paraId="79E4B5FE">
            <w:pPr>
              <w:jc w:val="right"/>
              <w:rPr>
                <w:rFonts w:cs="Times New Roman"/>
              </w:rPr>
            </w:pPr>
            <w:r>
              <w:rPr>
                <w:rFonts w:cs="Times New Roman"/>
              </w:rPr>
              <w:t>94.91</w:t>
            </w:r>
          </w:p>
        </w:tc>
        <w:tc>
          <w:tcPr>
            <w:tcW w:w="959" w:type="pct"/>
            <w:vAlign w:val="center"/>
          </w:tcPr>
          <w:p w14:paraId="71A9B5D9">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bl>
    <w:p w14:paraId="0DC944AB">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按单项计提坏账准备的说明：</w:t>
      </w:r>
    </w:p>
    <w:sdt>
      <w:sdtPr>
        <w:rPr>
          <w:color w:val="000000" w:themeColor="text1"/>
          <w14:textFill>
            <w14:solidFill>
              <w14:schemeClr w14:val="tx1"/>
            </w14:solidFill>
          </w14:textFill>
        </w:rPr>
        <w:alias w:val="是否适用：按单项计提坏账准备的应收账款说明[双击切换]"/>
        <w:tag w:val="_GBC_5058bdcf98524a1ba98e4618d094237d"/>
        <w:id w:val="-1657838953"/>
      </w:sdtPr>
      <w:sdtEndPr>
        <w:rPr>
          <w:color w:val="000000" w:themeColor="text1"/>
          <w14:textFill>
            <w14:solidFill>
              <w14:schemeClr w14:val="tx1"/>
            </w14:solidFill>
          </w14:textFill>
        </w:rPr>
      </w:sdtEndPr>
      <w:sdtContent>
        <w:p w14:paraId="184E79D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00FAD356">
      <w:pPr>
        <w:rPr>
          <w:color w:val="000000" w:themeColor="text1"/>
          <w14:textFill>
            <w14:solidFill>
              <w14:schemeClr w14:val="tx1"/>
            </w14:solidFill>
          </w14:textFill>
        </w:rPr>
      </w:pPr>
    </w:p>
    <w:p w14:paraId="0EF70A8C">
      <w:pPr>
        <w:rPr>
          <w:color w:val="000000" w:themeColor="text1"/>
          <w14:textFill>
            <w14:solidFill>
              <w14:schemeClr w14:val="tx1"/>
            </w14:solidFill>
          </w14:textFill>
        </w:rPr>
      </w:pPr>
    </w:p>
    <w:bookmarkEnd w:id="208"/>
    <w:p w14:paraId="6F9638BE">
      <w:pPr>
        <w:rPr>
          <w:color w:val="000000" w:themeColor="text1"/>
          <w14:textFill>
            <w14:solidFill>
              <w14:schemeClr w14:val="tx1"/>
            </w14:solidFill>
          </w14:textFill>
        </w:rPr>
      </w:pPr>
      <w:bookmarkStart w:id="209" w:name="_Hlk10467225"/>
      <w:r>
        <w:rPr>
          <w:rFonts w:hint="eastAsia"/>
          <w:color w:val="000000" w:themeColor="text1"/>
          <w14:textFill>
            <w14:solidFill>
              <w14:schemeClr w14:val="tx1"/>
            </w14:solidFill>
          </w14:textFill>
        </w:rPr>
        <w:t>按组合计提坏账准备：</w:t>
      </w:r>
    </w:p>
    <w:sdt>
      <w:sdtPr>
        <w:rPr>
          <w:rFonts w:hint="eastAsia"/>
          <w:color w:val="000000" w:themeColor="text1"/>
          <w14:textFill>
            <w14:solidFill>
              <w14:schemeClr w14:val="tx1"/>
            </w14:solidFill>
          </w14:textFill>
        </w:rPr>
        <w:alias w:val="是否适用：按组合计提坏账准备的应收账款详细情况[双击切换]"/>
        <w:tag w:val="_GBC_47a07baa9a4f4c5ea6de193ae7b87e74"/>
        <w:id w:val="147482318"/>
        <w:lock w:val="contentLocked"/>
        <w:placeholder>
          <w:docPart w:val="GBC22222222222222222222222222222"/>
        </w:placeholder>
      </w:sdtPr>
      <w:sdtEndPr>
        <w:rPr>
          <w:rFonts w:hint="eastAsia"/>
          <w:color w:val="000000" w:themeColor="text1"/>
          <w14:textFill>
            <w14:solidFill>
              <w14:schemeClr w14:val="tx1"/>
            </w14:solidFill>
          </w14:textFill>
        </w:rPr>
      </w:sdtEndPr>
      <w:sdtContent>
        <w:p w14:paraId="11835BC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D2509EE">
      <w:pPr>
        <w:rPr>
          <w:color w:val="000000" w:themeColor="text1"/>
          <w14:textFill>
            <w14:solidFill>
              <w14:schemeClr w14:val="tx1"/>
            </w14:solidFill>
          </w14:textFill>
        </w:rPr>
      </w:pPr>
      <w:bookmarkStart w:id="210" w:name="_Hlk533607573"/>
      <w:r>
        <w:rPr>
          <w:rFonts w:hint="eastAsia"/>
          <w:color w:val="000000" w:themeColor="text1"/>
          <w14:textFill>
            <w14:solidFill>
              <w14:schemeClr w14:val="tx1"/>
            </w14:solidFill>
          </w14:textFill>
        </w:rPr>
        <w:t>组合计提项目：</w:t>
      </w:r>
      <w:sdt>
        <w:sdtPr>
          <w:rPr>
            <w:rFonts w:hint="eastAsia"/>
            <w:color w:val="000000" w:themeColor="text1"/>
            <w14:textFill>
              <w14:solidFill>
                <w14:schemeClr w14:val="tx1"/>
              </w14:solidFill>
            </w14:textFill>
          </w:rPr>
          <w:alias w:val="按组合计提坏账准备的应收账款明细-组合名称"/>
          <w:tag w:val="_GBC_fec033684b6e412cabcd0e0ea1c6cb96"/>
          <w:id w:val="-1691368409"/>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组合1军方、警方、政府职能部门等高信用水平单位应收账款组合</w:t>
          </w:r>
        </w:sdtContent>
      </w:sdt>
    </w:p>
    <w:p w14:paraId="1BCEFF7D">
      <w:pPr>
        <w:autoSpaceDE w:val="0"/>
        <w:autoSpaceDN w:val="0"/>
        <w:adjustRightInd w:val="0"/>
        <w:ind w:left="5880" w:right="105"/>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按组合计提坏账准备的应收账款详细情况"/>
          <w:tag w:val="_GBC_ccac8c131a6748e699800a5f25e5efcf"/>
          <w:id w:val="-2135619431"/>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按组合计提坏账准备的应收账款详细情况"/>
          <w:tag w:val="_GBC_f0296899749441bf8c33f5882df60a71"/>
          <w:id w:val="76472751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309"/>
        <w:gridCol w:w="2351"/>
        <w:gridCol w:w="2293"/>
      </w:tblGrid>
      <w:tr w14:paraId="67ECB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331ca2a43a5247699c45fd6309aee7fd"/>
            <w:id w:val="1862924816"/>
          </w:sdtPr>
          <w:sdtEndPr>
            <w:rPr>
              <w:rFonts w:cs="Times New Roman"/>
            </w:rPr>
          </w:sdtEndPr>
          <w:sdtContent>
            <w:tc>
              <w:tcPr>
                <w:tcW w:w="1158" w:type="pct"/>
                <w:vMerge w:val="restart"/>
                <w:vAlign w:val="center"/>
              </w:tcPr>
              <w:p w14:paraId="5593851A">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名称</w:t>
                </w:r>
              </w:p>
            </w:tc>
          </w:sdtContent>
        </w:sdt>
        <w:sdt>
          <w:sdtPr>
            <w:rPr>
              <w:rFonts w:cs="Times New Roman"/>
            </w:rPr>
            <w:tag w:val="_PLD_271f4f470bff48e385b1a5d9080fde35"/>
            <w:id w:val="-1207567079"/>
          </w:sdtPr>
          <w:sdtEndPr>
            <w:rPr>
              <w:rFonts w:cs="Times New Roman"/>
            </w:rPr>
          </w:sdtEndPr>
          <w:sdtContent>
            <w:tc>
              <w:tcPr>
                <w:tcW w:w="3842" w:type="pct"/>
                <w:gridSpan w:val="3"/>
                <w:vAlign w:val="center"/>
              </w:tcPr>
              <w:p w14:paraId="37220E4C">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tr>
      <w:tr w14:paraId="2FFB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Merge w:val="continue"/>
          </w:tcPr>
          <w:p w14:paraId="18B620A4">
            <w:pPr>
              <w:jc w:val="center"/>
              <w:rPr>
                <w:rFonts w:cs="Times New Roman"/>
                <w:color w:val="000000" w:themeColor="text1"/>
                <w14:textFill>
                  <w14:solidFill>
                    <w14:schemeClr w14:val="tx1"/>
                  </w14:solidFill>
                </w14:textFill>
              </w:rPr>
            </w:pPr>
          </w:p>
        </w:tc>
        <w:sdt>
          <w:sdtPr>
            <w:rPr>
              <w:rFonts w:cs="Times New Roman"/>
            </w:rPr>
            <w:tag w:val="_PLD_e1c956de9b3b4544a5d0584eaaf6aea2"/>
            <w:id w:val="73563543"/>
          </w:sdtPr>
          <w:sdtEndPr>
            <w:rPr>
              <w:rFonts w:cs="Times New Roman"/>
            </w:rPr>
          </w:sdtEndPr>
          <w:sdtContent>
            <w:tc>
              <w:tcPr>
                <w:tcW w:w="1276" w:type="pct"/>
                <w:vAlign w:val="center"/>
              </w:tcPr>
              <w:p w14:paraId="137FC1B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账面余额</w:t>
                </w:r>
              </w:p>
            </w:tc>
          </w:sdtContent>
        </w:sdt>
        <w:sdt>
          <w:sdtPr>
            <w:rPr>
              <w:rFonts w:cs="Times New Roman"/>
            </w:rPr>
            <w:tag w:val="_PLD_0098acb8b7f640f29f65a14017e23f02"/>
            <w:id w:val="1944419116"/>
          </w:sdtPr>
          <w:sdtEndPr>
            <w:rPr>
              <w:rFonts w:cs="Times New Roman"/>
            </w:rPr>
          </w:sdtEndPr>
          <w:sdtContent>
            <w:tc>
              <w:tcPr>
                <w:tcW w:w="1299" w:type="pct"/>
                <w:vAlign w:val="center"/>
              </w:tcPr>
              <w:p w14:paraId="4CA66E9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坏账准备</w:t>
                </w:r>
              </w:p>
            </w:tc>
          </w:sdtContent>
        </w:sdt>
        <w:sdt>
          <w:sdtPr>
            <w:rPr>
              <w:rFonts w:cs="Times New Roman"/>
            </w:rPr>
            <w:tag w:val="_PLD_290bbc3bde3c43c487996752ceb95160"/>
            <w:id w:val="-1679882164"/>
          </w:sdtPr>
          <w:sdtEndPr>
            <w:rPr>
              <w:rFonts w:cs="Times New Roman"/>
            </w:rPr>
          </w:sdtEndPr>
          <w:sdtContent>
            <w:tc>
              <w:tcPr>
                <w:tcW w:w="1267" w:type="pct"/>
                <w:vAlign w:val="center"/>
              </w:tcPr>
              <w:p w14:paraId="69493D3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计提比例（%）</w:t>
                </w:r>
              </w:p>
            </w:tc>
          </w:sdtContent>
        </w:sdt>
      </w:tr>
      <w:sdt>
        <w:sdtPr>
          <w:rPr>
            <w:rFonts w:cs="Times New Roman"/>
            <w:color w:val="000000" w:themeColor="text1"/>
            <w14:textFill>
              <w14:solidFill>
                <w14:schemeClr w14:val="tx1"/>
              </w14:solidFill>
            </w14:textFill>
          </w:rPr>
          <w:alias w:val="按组合计提坏账准备的应收账款详细名称明细"/>
          <w:tag w:val="_TUP_787dccbb6b7545edb25916e256cf8697"/>
          <w:id w:val="-1752883121"/>
          <w:placeholder>
            <w:docPart w:val="{6aa2cdac-137b-457c-b997-7fd91eb72e14}"/>
          </w:placeholder>
        </w:sdtPr>
        <w:sdtEndPr>
          <w:rPr>
            <w:rFonts w:cs="Times New Roman"/>
            <w:color w:val="000000" w:themeColor="text1"/>
            <w14:textFill>
              <w14:solidFill>
                <w14:schemeClr w14:val="tx1"/>
              </w14:solidFill>
            </w14:textFill>
          </w:rPr>
        </w:sdtEndPr>
        <w:sdtContent>
          <w:tr w14:paraId="44F90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295A8114">
                <w:pPr>
                  <w:rPr>
                    <w:rFonts w:cs="Times New Roman"/>
                  </w:rPr>
                </w:pPr>
                <w:r>
                  <w:rPr>
                    <w:rFonts w:cs="Times New Roman"/>
                  </w:rPr>
                  <w:t>1年以内</w:t>
                </w:r>
              </w:p>
            </w:tc>
            <w:tc>
              <w:tcPr>
                <w:tcW w:w="1276" w:type="pct"/>
                <w:vAlign w:val="center"/>
              </w:tcPr>
              <w:p w14:paraId="5713E089">
                <w:pPr>
                  <w:jc w:val="right"/>
                  <w:rPr>
                    <w:rFonts w:cs="Times New Roman"/>
                  </w:rPr>
                </w:pPr>
                <w:r>
                  <w:rPr>
                    <w:rFonts w:cs="Times New Roman"/>
                  </w:rPr>
                  <w:t>1,497,689,301.99</w:t>
                </w:r>
              </w:p>
            </w:tc>
            <w:tc>
              <w:tcPr>
                <w:tcW w:w="1299" w:type="pct"/>
                <w:vAlign w:val="center"/>
              </w:tcPr>
              <w:p w14:paraId="4677F142">
                <w:pPr>
                  <w:jc w:val="right"/>
                  <w:rPr>
                    <w:rFonts w:cs="Times New Roman"/>
                  </w:rPr>
                </w:pPr>
                <w:r>
                  <w:rPr>
                    <w:rFonts w:cs="Times New Roman"/>
                  </w:rPr>
                  <w:t>3,722,906.60</w:t>
                </w:r>
              </w:p>
            </w:tc>
            <w:tc>
              <w:tcPr>
                <w:tcW w:w="1267" w:type="pct"/>
                <w:vAlign w:val="center"/>
              </w:tcPr>
              <w:p w14:paraId="2DEB2434">
                <w:pPr>
                  <w:jc w:val="right"/>
                  <w:rPr>
                    <w:rFonts w:cs="Times New Roman"/>
                  </w:rPr>
                </w:pPr>
                <w:r>
                  <w:rPr>
                    <w:rFonts w:cs="Times New Roman"/>
                  </w:rPr>
                  <w:t>0.25</w:t>
                </w:r>
              </w:p>
            </w:tc>
          </w:tr>
        </w:sdtContent>
      </w:sdt>
      <w:sdt>
        <w:sdtPr>
          <w:rPr>
            <w:rFonts w:cs="Times New Roman"/>
            <w:color w:val="000000" w:themeColor="text1"/>
            <w14:textFill>
              <w14:solidFill>
                <w14:schemeClr w14:val="tx1"/>
              </w14:solidFill>
            </w14:textFill>
          </w:rPr>
          <w:alias w:val="按组合计提坏账准备的应收账款详细名称明细"/>
          <w:tag w:val="_TUP_787dccbb6b7545edb25916e256cf8697"/>
          <w:id w:val="-743260835"/>
          <w:placeholder>
            <w:docPart w:val="{6aa2cdac-137b-457c-b997-7fd91eb72e14}"/>
          </w:placeholder>
        </w:sdtPr>
        <w:sdtEndPr>
          <w:rPr>
            <w:rFonts w:cs="Times New Roman"/>
            <w:color w:val="000000" w:themeColor="text1"/>
            <w14:textFill>
              <w14:solidFill>
                <w14:schemeClr w14:val="tx1"/>
              </w14:solidFill>
            </w14:textFill>
          </w:rPr>
        </w:sdtEndPr>
        <w:sdtContent>
          <w:tr w14:paraId="2CB6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20644862">
                <w:pPr>
                  <w:rPr>
                    <w:rFonts w:cs="Times New Roman"/>
                  </w:rPr>
                </w:pPr>
                <w:r>
                  <w:rPr>
                    <w:rFonts w:cs="Times New Roman"/>
                  </w:rPr>
                  <w:t>1－2年</w:t>
                </w:r>
              </w:p>
            </w:tc>
            <w:tc>
              <w:tcPr>
                <w:tcW w:w="1276" w:type="pct"/>
                <w:vAlign w:val="center"/>
              </w:tcPr>
              <w:p w14:paraId="38946E3E">
                <w:pPr>
                  <w:jc w:val="right"/>
                  <w:rPr>
                    <w:rFonts w:cs="Times New Roman"/>
                  </w:rPr>
                </w:pPr>
                <w:r>
                  <w:rPr>
                    <w:rFonts w:cs="Times New Roman"/>
                  </w:rPr>
                  <w:t>57,994,689.42</w:t>
                </w:r>
              </w:p>
            </w:tc>
            <w:tc>
              <w:tcPr>
                <w:tcW w:w="1299" w:type="pct"/>
                <w:vAlign w:val="center"/>
              </w:tcPr>
              <w:p w14:paraId="6D8DED96">
                <w:pPr>
                  <w:jc w:val="right"/>
                  <w:rPr>
                    <w:rFonts w:cs="Times New Roman"/>
                  </w:rPr>
                </w:pPr>
                <w:r>
                  <w:rPr>
                    <w:rFonts w:cs="Times New Roman"/>
                  </w:rPr>
                  <w:t>1,727,594.44</w:t>
                </w:r>
              </w:p>
            </w:tc>
            <w:tc>
              <w:tcPr>
                <w:tcW w:w="1267" w:type="pct"/>
                <w:vAlign w:val="center"/>
              </w:tcPr>
              <w:p w14:paraId="77C3B785">
                <w:pPr>
                  <w:jc w:val="right"/>
                  <w:rPr>
                    <w:rFonts w:cs="Times New Roman"/>
                  </w:rPr>
                </w:pPr>
                <w:r>
                  <w:rPr>
                    <w:rFonts w:cs="Times New Roman"/>
                  </w:rPr>
                  <w:t>2.98</w:t>
                </w:r>
              </w:p>
            </w:tc>
          </w:tr>
        </w:sdtContent>
      </w:sdt>
      <w:sdt>
        <w:sdtPr>
          <w:rPr>
            <w:rFonts w:cs="Times New Roman"/>
            <w:color w:val="000000" w:themeColor="text1"/>
            <w14:textFill>
              <w14:solidFill>
                <w14:schemeClr w14:val="tx1"/>
              </w14:solidFill>
            </w14:textFill>
          </w:rPr>
          <w:alias w:val="按组合计提坏账准备的应收账款详细名称明细"/>
          <w:tag w:val="_TUP_787dccbb6b7545edb25916e256cf8697"/>
          <w:id w:val="-71811975"/>
          <w:placeholder>
            <w:docPart w:val="{6aa2cdac-137b-457c-b997-7fd91eb72e14}"/>
          </w:placeholder>
        </w:sdtPr>
        <w:sdtEndPr>
          <w:rPr>
            <w:rFonts w:cs="Times New Roman"/>
            <w:color w:val="000000" w:themeColor="text1"/>
            <w14:textFill>
              <w14:solidFill>
                <w14:schemeClr w14:val="tx1"/>
              </w14:solidFill>
            </w14:textFill>
          </w:rPr>
        </w:sdtEndPr>
        <w:sdtContent>
          <w:tr w14:paraId="192C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0102A1B1">
                <w:pPr>
                  <w:rPr>
                    <w:rFonts w:cs="Times New Roman"/>
                  </w:rPr>
                </w:pPr>
                <w:r>
                  <w:rPr>
                    <w:rFonts w:cs="Times New Roman"/>
                  </w:rPr>
                  <w:t>2－3年</w:t>
                </w:r>
              </w:p>
            </w:tc>
            <w:tc>
              <w:tcPr>
                <w:tcW w:w="1276" w:type="pct"/>
                <w:vAlign w:val="center"/>
              </w:tcPr>
              <w:p w14:paraId="2FECA800">
                <w:pPr>
                  <w:jc w:val="right"/>
                  <w:rPr>
                    <w:rFonts w:cs="Times New Roman"/>
                  </w:rPr>
                </w:pPr>
                <w:r>
                  <w:rPr>
                    <w:rFonts w:cs="Times New Roman"/>
                  </w:rPr>
                  <w:t>28,523,468.60</w:t>
                </w:r>
              </w:p>
            </w:tc>
            <w:tc>
              <w:tcPr>
                <w:tcW w:w="1299" w:type="pct"/>
                <w:vAlign w:val="center"/>
              </w:tcPr>
              <w:p w14:paraId="00D273F3">
                <w:pPr>
                  <w:jc w:val="right"/>
                  <w:rPr>
                    <w:rFonts w:cs="Times New Roman"/>
                  </w:rPr>
                </w:pPr>
                <w:r>
                  <w:rPr>
                    <w:rFonts w:cs="Times New Roman"/>
                  </w:rPr>
                  <w:t>2,095,440.44</w:t>
                </w:r>
              </w:p>
            </w:tc>
            <w:tc>
              <w:tcPr>
                <w:tcW w:w="1267" w:type="pct"/>
                <w:vAlign w:val="center"/>
              </w:tcPr>
              <w:p w14:paraId="1E7537CD">
                <w:pPr>
                  <w:jc w:val="right"/>
                  <w:rPr>
                    <w:rFonts w:cs="Times New Roman"/>
                  </w:rPr>
                </w:pPr>
                <w:r>
                  <w:rPr>
                    <w:rFonts w:cs="Times New Roman"/>
                  </w:rPr>
                  <w:t>7.35</w:t>
                </w:r>
              </w:p>
            </w:tc>
          </w:tr>
        </w:sdtContent>
      </w:sdt>
      <w:sdt>
        <w:sdtPr>
          <w:rPr>
            <w:rFonts w:cs="Times New Roman"/>
            <w:color w:val="000000" w:themeColor="text1"/>
            <w14:textFill>
              <w14:solidFill>
                <w14:schemeClr w14:val="tx1"/>
              </w14:solidFill>
            </w14:textFill>
          </w:rPr>
          <w:alias w:val="按组合计提坏账准备的应收账款详细名称明细"/>
          <w:tag w:val="_TUP_787dccbb6b7545edb25916e256cf8697"/>
          <w:id w:val="858780837"/>
          <w:placeholder>
            <w:docPart w:val="{6aa2cdac-137b-457c-b997-7fd91eb72e14}"/>
          </w:placeholder>
        </w:sdtPr>
        <w:sdtEndPr>
          <w:rPr>
            <w:rFonts w:cs="Times New Roman"/>
            <w:color w:val="000000" w:themeColor="text1"/>
            <w14:textFill>
              <w14:solidFill>
                <w14:schemeClr w14:val="tx1"/>
              </w14:solidFill>
            </w14:textFill>
          </w:rPr>
        </w:sdtEndPr>
        <w:sdtContent>
          <w:tr w14:paraId="513DF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0F1FF297">
                <w:pPr>
                  <w:rPr>
                    <w:rFonts w:cs="Times New Roman"/>
                  </w:rPr>
                </w:pPr>
                <w:r>
                  <w:rPr>
                    <w:rFonts w:cs="Times New Roman"/>
                  </w:rPr>
                  <w:t>3－4年</w:t>
                </w:r>
              </w:p>
            </w:tc>
            <w:tc>
              <w:tcPr>
                <w:tcW w:w="1276" w:type="pct"/>
                <w:vAlign w:val="center"/>
              </w:tcPr>
              <w:p w14:paraId="01B9B889">
                <w:pPr>
                  <w:jc w:val="right"/>
                  <w:rPr>
                    <w:rFonts w:cs="Times New Roman"/>
                  </w:rPr>
                </w:pPr>
                <w:r>
                  <w:rPr>
                    <w:rFonts w:cs="Times New Roman"/>
                  </w:rPr>
                  <w:t>33,971,742.64</w:t>
                </w:r>
              </w:p>
            </w:tc>
            <w:tc>
              <w:tcPr>
                <w:tcW w:w="1299" w:type="pct"/>
                <w:vAlign w:val="center"/>
              </w:tcPr>
              <w:p w14:paraId="18D6B2C0">
                <w:pPr>
                  <w:jc w:val="right"/>
                  <w:rPr>
                    <w:rFonts w:cs="Times New Roman"/>
                  </w:rPr>
                </w:pPr>
                <w:r>
                  <w:rPr>
                    <w:rFonts w:cs="Times New Roman"/>
                  </w:rPr>
                  <w:t>4,179,914.34</w:t>
                </w:r>
              </w:p>
            </w:tc>
            <w:tc>
              <w:tcPr>
                <w:tcW w:w="1267" w:type="pct"/>
                <w:vAlign w:val="center"/>
              </w:tcPr>
              <w:p w14:paraId="1D1336F0">
                <w:pPr>
                  <w:jc w:val="right"/>
                  <w:rPr>
                    <w:rFonts w:cs="Times New Roman"/>
                  </w:rPr>
                </w:pPr>
                <w:r>
                  <w:rPr>
                    <w:rFonts w:cs="Times New Roman"/>
                  </w:rPr>
                  <w:t>12.30</w:t>
                </w:r>
              </w:p>
            </w:tc>
          </w:tr>
        </w:sdtContent>
      </w:sdt>
      <w:sdt>
        <w:sdtPr>
          <w:rPr>
            <w:rFonts w:cs="Times New Roman"/>
            <w:color w:val="000000" w:themeColor="text1"/>
            <w14:textFill>
              <w14:solidFill>
                <w14:schemeClr w14:val="tx1"/>
              </w14:solidFill>
            </w14:textFill>
          </w:rPr>
          <w:alias w:val="按组合计提坏账准备的应收账款详细名称明细"/>
          <w:tag w:val="_TUP_787dccbb6b7545edb25916e256cf8697"/>
          <w:id w:val="-1057614438"/>
          <w:placeholder>
            <w:docPart w:val="{6aa2cdac-137b-457c-b997-7fd91eb72e14}"/>
          </w:placeholder>
        </w:sdtPr>
        <w:sdtEndPr>
          <w:rPr>
            <w:rFonts w:cs="Times New Roman"/>
            <w:color w:val="000000" w:themeColor="text1"/>
            <w14:textFill>
              <w14:solidFill>
                <w14:schemeClr w14:val="tx1"/>
              </w14:solidFill>
            </w14:textFill>
          </w:rPr>
        </w:sdtEndPr>
        <w:sdtContent>
          <w:tr w14:paraId="2D16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450A4E01">
                <w:pPr>
                  <w:rPr>
                    <w:rFonts w:cs="Times New Roman"/>
                  </w:rPr>
                </w:pPr>
                <w:r>
                  <w:rPr>
                    <w:rFonts w:cs="Times New Roman"/>
                  </w:rPr>
                  <w:t>4－5年</w:t>
                </w:r>
              </w:p>
            </w:tc>
            <w:tc>
              <w:tcPr>
                <w:tcW w:w="1276" w:type="pct"/>
                <w:vAlign w:val="center"/>
              </w:tcPr>
              <w:p w14:paraId="4CA89BAF">
                <w:pPr>
                  <w:jc w:val="right"/>
                  <w:rPr>
                    <w:rFonts w:cs="Times New Roman"/>
                  </w:rPr>
                </w:pPr>
                <w:r>
                  <w:rPr>
                    <w:rFonts w:cs="Times New Roman"/>
                  </w:rPr>
                  <w:t>4,524,253.09</w:t>
                </w:r>
              </w:p>
            </w:tc>
            <w:tc>
              <w:tcPr>
                <w:tcW w:w="1299" w:type="pct"/>
                <w:vAlign w:val="center"/>
              </w:tcPr>
              <w:p w14:paraId="3AAD1C5E">
                <w:pPr>
                  <w:jc w:val="right"/>
                  <w:rPr>
                    <w:rFonts w:cs="Times New Roman"/>
                  </w:rPr>
                </w:pPr>
                <w:r>
                  <w:rPr>
                    <w:rFonts w:cs="Times New Roman"/>
                  </w:rPr>
                  <w:t>973,408.69</w:t>
                </w:r>
              </w:p>
            </w:tc>
            <w:tc>
              <w:tcPr>
                <w:tcW w:w="1267" w:type="pct"/>
                <w:vAlign w:val="center"/>
              </w:tcPr>
              <w:p w14:paraId="25F2F01F">
                <w:pPr>
                  <w:jc w:val="right"/>
                  <w:rPr>
                    <w:rFonts w:cs="Times New Roman"/>
                  </w:rPr>
                </w:pPr>
                <w:r>
                  <w:rPr>
                    <w:rFonts w:cs="Times New Roman"/>
                  </w:rPr>
                  <w:t>21.52</w:t>
                </w:r>
              </w:p>
            </w:tc>
          </w:tr>
        </w:sdtContent>
      </w:sdt>
      <w:sdt>
        <w:sdtPr>
          <w:rPr>
            <w:rFonts w:cs="Times New Roman"/>
            <w:color w:val="000000" w:themeColor="text1"/>
            <w14:textFill>
              <w14:solidFill>
                <w14:schemeClr w14:val="tx1"/>
              </w14:solidFill>
            </w14:textFill>
          </w:rPr>
          <w:alias w:val="按组合计提坏账准备的应收账款详细名称明细"/>
          <w:tag w:val="_TUP_787dccbb6b7545edb25916e256cf8697"/>
          <w:id w:val="-9991660"/>
          <w:placeholder>
            <w:docPart w:val="{6aa2cdac-137b-457c-b997-7fd91eb72e14}"/>
          </w:placeholder>
        </w:sdtPr>
        <w:sdtEndPr>
          <w:rPr>
            <w:rFonts w:cs="Times New Roman"/>
            <w:color w:val="000000" w:themeColor="text1"/>
            <w14:textFill>
              <w14:solidFill>
                <w14:schemeClr w14:val="tx1"/>
              </w14:solidFill>
            </w14:textFill>
          </w:rPr>
        </w:sdtEndPr>
        <w:sdtContent>
          <w:tr w14:paraId="7A93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4B638B5A">
                <w:pPr>
                  <w:rPr>
                    <w:rFonts w:cs="Times New Roman"/>
                  </w:rPr>
                </w:pPr>
                <w:r>
                  <w:rPr>
                    <w:rFonts w:cs="Times New Roman"/>
                  </w:rPr>
                  <w:t>5年以上</w:t>
                </w:r>
              </w:p>
            </w:tc>
            <w:tc>
              <w:tcPr>
                <w:tcW w:w="1276" w:type="pct"/>
                <w:vAlign w:val="center"/>
              </w:tcPr>
              <w:p w14:paraId="2DDFEACC">
                <w:pPr>
                  <w:jc w:val="right"/>
                  <w:rPr>
                    <w:rFonts w:cs="Times New Roman"/>
                  </w:rPr>
                </w:pPr>
                <w:r>
                  <w:rPr>
                    <w:rFonts w:cs="Times New Roman"/>
                  </w:rPr>
                  <w:t>7,321,781.24</w:t>
                </w:r>
              </w:p>
            </w:tc>
            <w:tc>
              <w:tcPr>
                <w:tcW w:w="1299" w:type="pct"/>
                <w:vAlign w:val="center"/>
              </w:tcPr>
              <w:p w14:paraId="368957E7">
                <w:pPr>
                  <w:jc w:val="right"/>
                  <w:rPr>
                    <w:rFonts w:cs="Times New Roman"/>
                  </w:rPr>
                </w:pPr>
                <w:r>
                  <w:rPr>
                    <w:rFonts w:cs="Times New Roman"/>
                  </w:rPr>
                  <w:t>7,321,781.24</w:t>
                </w:r>
              </w:p>
            </w:tc>
            <w:tc>
              <w:tcPr>
                <w:tcW w:w="1267" w:type="pct"/>
                <w:vAlign w:val="center"/>
              </w:tcPr>
              <w:p w14:paraId="13757E8A">
                <w:pPr>
                  <w:jc w:val="right"/>
                  <w:rPr>
                    <w:rFonts w:cs="Times New Roman"/>
                  </w:rPr>
                </w:pPr>
                <w:r>
                  <w:rPr>
                    <w:rFonts w:cs="Times New Roman"/>
                  </w:rPr>
                  <w:t>100.00</w:t>
                </w:r>
              </w:p>
            </w:tc>
          </w:tr>
        </w:sdtContent>
      </w:sdt>
      <w:tr w14:paraId="33EFF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9a3bf225ae544565ad2cb49381fcaca1"/>
            <w:id w:val="2022128926"/>
          </w:sdtPr>
          <w:sdtEndPr>
            <w:rPr>
              <w:rFonts w:cs="Times New Roman"/>
            </w:rPr>
          </w:sdtEndPr>
          <w:sdtContent>
            <w:tc>
              <w:tcPr>
                <w:tcW w:w="1158" w:type="pct"/>
                <w:vAlign w:val="center"/>
              </w:tcPr>
              <w:p w14:paraId="380396A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c>
          <w:tcPr>
            <w:tcW w:w="1276" w:type="pct"/>
            <w:vAlign w:val="center"/>
          </w:tcPr>
          <w:p w14:paraId="31B33B58">
            <w:pPr>
              <w:jc w:val="right"/>
              <w:rPr>
                <w:rFonts w:cs="Times New Roman"/>
              </w:rPr>
            </w:pPr>
            <w:r>
              <w:rPr>
                <w:rFonts w:cs="Times New Roman"/>
              </w:rPr>
              <w:t>1,630,025,236.98</w:t>
            </w:r>
          </w:p>
        </w:tc>
        <w:tc>
          <w:tcPr>
            <w:tcW w:w="1299" w:type="pct"/>
            <w:vAlign w:val="center"/>
          </w:tcPr>
          <w:p w14:paraId="296EF827">
            <w:pPr>
              <w:jc w:val="right"/>
              <w:rPr>
                <w:rFonts w:cs="Times New Roman"/>
              </w:rPr>
            </w:pPr>
            <w:r>
              <w:rPr>
                <w:rFonts w:cs="Times New Roman"/>
              </w:rPr>
              <w:t>20,021,045.75</w:t>
            </w:r>
          </w:p>
        </w:tc>
        <w:tc>
          <w:tcPr>
            <w:tcW w:w="1267" w:type="pct"/>
            <w:vAlign w:val="center"/>
          </w:tcPr>
          <w:p w14:paraId="087B8EE2">
            <w:pPr>
              <w:jc w:val="right"/>
              <w:rPr>
                <w:rFonts w:cs="Times New Roman"/>
              </w:rPr>
            </w:pPr>
            <w:r>
              <w:rPr>
                <w:rFonts w:cs="Times New Roman"/>
              </w:rPr>
              <w:t>1.23</w:t>
            </w:r>
          </w:p>
        </w:tc>
      </w:tr>
    </w:tbl>
    <w:p w14:paraId="42D3D55F">
      <w:pPr>
        <w:rPr>
          <w:color w:val="000000" w:themeColor="text1"/>
          <w14:textFill>
            <w14:solidFill>
              <w14:schemeClr w14:val="tx1"/>
            </w14:solidFill>
          </w14:textFill>
        </w:rPr>
      </w:pPr>
      <w:r>
        <w:rPr>
          <w:rFonts w:hint="eastAsia"/>
          <w:color w:val="000000" w:themeColor="text1"/>
          <w14:textFill>
            <w14:solidFill>
              <w14:schemeClr w14:val="tx1"/>
            </w14:solidFill>
          </w14:textFill>
        </w:rPr>
        <w:t>按组合计提坏账准备的说明：</w:t>
      </w:r>
    </w:p>
    <w:sdt>
      <w:sdtPr>
        <w:rPr>
          <w:color w:val="000000" w:themeColor="text1"/>
          <w14:textFill>
            <w14:solidFill>
              <w14:schemeClr w14:val="tx1"/>
            </w14:solidFill>
          </w14:textFill>
        </w:rPr>
        <w:alias w:val="是否适用：按组合计提坏账准备的应收账款确认标准[双击切换]"/>
        <w:tag w:val="_GBC_8361cfeb973b4073b7fdbd49a393b38c"/>
        <w:id w:val="17282062"/>
      </w:sdtPr>
      <w:sdtEndPr>
        <w:rPr>
          <w:color w:val="000000" w:themeColor="text1"/>
          <w14:textFill>
            <w14:solidFill>
              <w14:schemeClr w14:val="tx1"/>
            </w14:solidFill>
          </w14:textFill>
        </w:rPr>
      </w:sdtEndPr>
      <w:sdtContent>
        <w:p w14:paraId="6CB518C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092E9050">
      <w:pPr>
        <w:rPr>
          <w:color w:val="000000" w:themeColor="text1"/>
          <w14:textFill>
            <w14:solidFill>
              <w14:schemeClr w14:val="tx1"/>
            </w14:solidFill>
          </w14:textFill>
        </w:rPr>
      </w:pPr>
    </w:p>
    <w:p w14:paraId="48F6A832">
      <w:pPr>
        <w:rPr>
          <w:color w:val="000000" w:themeColor="text1"/>
          <w14:textFill>
            <w14:solidFill>
              <w14:schemeClr w14:val="tx1"/>
            </w14:solidFill>
          </w14:textFill>
        </w:rPr>
      </w:pPr>
      <w:r>
        <w:rPr>
          <w:rFonts w:hint="eastAsia"/>
          <w:color w:val="000000" w:themeColor="text1"/>
          <w14:textFill>
            <w14:solidFill>
              <w14:schemeClr w14:val="tx1"/>
            </w14:solidFill>
          </w14:textFill>
        </w:rPr>
        <w:t>组合计提项目：</w:t>
      </w:r>
      <w:sdt>
        <w:sdtPr>
          <w:rPr>
            <w:rFonts w:hint="eastAsia"/>
            <w:color w:val="000000" w:themeColor="text1"/>
            <w14:textFill>
              <w14:solidFill>
                <w14:schemeClr w14:val="tx1"/>
              </w14:solidFill>
            </w14:textFill>
          </w:rPr>
          <w:alias w:val="按组合计提坏账准备的应收账款明细-组合名称"/>
          <w:tag w:val="_GBC_fec033684b6e412cabcd0e0ea1c6cb96"/>
          <w:id w:val="-769085737"/>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组合2关联方组合</w:t>
          </w:r>
        </w:sdtContent>
      </w:sdt>
    </w:p>
    <w:p w14:paraId="3F6FCCDE">
      <w:pPr>
        <w:autoSpaceDE w:val="0"/>
        <w:autoSpaceDN w:val="0"/>
        <w:adjustRightInd w:val="0"/>
        <w:ind w:left="5880" w:right="105"/>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按组合计提坏账准备的应收账款详细情况"/>
          <w:tag w:val="_GBC_ccac8c131a6748e699800a5f25e5efcf"/>
          <w:id w:val="-603346530"/>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按组合计提坏账准备的应收账款详细情况"/>
          <w:tag w:val="_GBC_f0296899749441bf8c33f5882df60a71"/>
          <w:id w:val="-213262346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309"/>
        <w:gridCol w:w="2351"/>
        <w:gridCol w:w="2293"/>
      </w:tblGrid>
      <w:tr w14:paraId="1AEC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rFonts w:cs="Times New Roman"/>
            </w:rPr>
            <w:tag w:val="_PLD_331ca2a43a5247699c45fd6309aee7fd"/>
            <w:id w:val="816227259"/>
          </w:sdtPr>
          <w:sdtEndPr>
            <w:rPr>
              <w:rFonts w:cs="Times New Roman"/>
            </w:rPr>
          </w:sdtEndPr>
          <w:sdtContent>
            <w:tc>
              <w:tcPr>
                <w:tcW w:w="1158" w:type="pct"/>
                <w:vMerge w:val="restart"/>
                <w:vAlign w:val="center"/>
              </w:tcPr>
              <w:p w14:paraId="49B8DD3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名称</w:t>
                </w:r>
              </w:p>
            </w:tc>
          </w:sdtContent>
        </w:sdt>
        <w:sdt>
          <w:sdtPr>
            <w:rPr>
              <w:rFonts w:cs="Times New Roman"/>
            </w:rPr>
            <w:tag w:val="_PLD_271f4f470bff48e385b1a5d9080fde35"/>
            <w:id w:val="-1751573312"/>
          </w:sdtPr>
          <w:sdtEndPr>
            <w:rPr>
              <w:rFonts w:cs="Times New Roman"/>
            </w:rPr>
          </w:sdtEndPr>
          <w:sdtContent>
            <w:tc>
              <w:tcPr>
                <w:tcW w:w="3842" w:type="pct"/>
                <w:gridSpan w:val="3"/>
                <w:vAlign w:val="center"/>
              </w:tcPr>
              <w:p w14:paraId="702BECD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tr>
      <w:tr w14:paraId="3564A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1158" w:type="pct"/>
            <w:vMerge w:val="continue"/>
          </w:tcPr>
          <w:p w14:paraId="2AA246FB">
            <w:pPr>
              <w:jc w:val="center"/>
              <w:rPr>
                <w:rFonts w:cs="Times New Roman"/>
                <w:color w:val="000000" w:themeColor="text1"/>
                <w14:textFill>
                  <w14:solidFill>
                    <w14:schemeClr w14:val="tx1"/>
                  </w14:solidFill>
                </w14:textFill>
              </w:rPr>
            </w:pPr>
          </w:p>
        </w:tc>
        <w:sdt>
          <w:sdtPr>
            <w:rPr>
              <w:rFonts w:cs="Times New Roman"/>
            </w:rPr>
            <w:tag w:val="_PLD_e1c956de9b3b4544a5d0584eaaf6aea2"/>
            <w:id w:val="1348683979"/>
          </w:sdtPr>
          <w:sdtEndPr>
            <w:rPr>
              <w:rFonts w:cs="Times New Roman"/>
            </w:rPr>
          </w:sdtEndPr>
          <w:sdtContent>
            <w:tc>
              <w:tcPr>
                <w:tcW w:w="1276" w:type="pct"/>
                <w:vAlign w:val="center"/>
              </w:tcPr>
              <w:p w14:paraId="1C6D8AC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账面余额</w:t>
                </w:r>
              </w:p>
            </w:tc>
          </w:sdtContent>
        </w:sdt>
        <w:sdt>
          <w:sdtPr>
            <w:rPr>
              <w:rFonts w:cs="Times New Roman"/>
            </w:rPr>
            <w:tag w:val="_PLD_0098acb8b7f640f29f65a14017e23f02"/>
            <w:id w:val="-548147017"/>
          </w:sdtPr>
          <w:sdtEndPr>
            <w:rPr>
              <w:rFonts w:cs="Times New Roman"/>
            </w:rPr>
          </w:sdtEndPr>
          <w:sdtContent>
            <w:tc>
              <w:tcPr>
                <w:tcW w:w="1299" w:type="pct"/>
                <w:vAlign w:val="center"/>
              </w:tcPr>
              <w:p w14:paraId="619106C4">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坏账准备</w:t>
                </w:r>
              </w:p>
            </w:tc>
          </w:sdtContent>
        </w:sdt>
        <w:sdt>
          <w:sdtPr>
            <w:rPr>
              <w:rFonts w:cs="Times New Roman"/>
            </w:rPr>
            <w:tag w:val="_PLD_290bbc3bde3c43c487996752ceb95160"/>
            <w:id w:val="-126004519"/>
          </w:sdtPr>
          <w:sdtEndPr>
            <w:rPr>
              <w:rFonts w:cs="Times New Roman"/>
            </w:rPr>
          </w:sdtEndPr>
          <w:sdtContent>
            <w:tc>
              <w:tcPr>
                <w:tcW w:w="1267" w:type="pct"/>
                <w:vAlign w:val="center"/>
              </w:tcPr>
              <w:p w14:paraId="33A7B329">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计提比例（%）</w:t>
                </w:r>
              </w:p>
            </w:tc>
          </w:sdtContent>
        </w:sdt>
      </w:tr>
      <w:sdt>
        <w:sdtPr>
          <w:rPr>
            <w:rFonts w:cs="Times New Roman"/>
            <w:color w:val="000000" w:themeColor="text1"/>
            <w14:textFill>
              <w14:solidFill>
                <w14:schemeClr w14:val="tx1"/>
              </w14:solidFill>
            </w14:textFill>
          </w:rPr>
          <w:alias w:val="按组合计提坏账准备的应收账款详细名称明细"/>
          <w:tag w:val="_TUP_787dccbb6b7545edb25916e256cf8697"/>
          <w:id w:val="-1505899912"/>
          <w:placeholder>
            <w:docPart w:val="{dcf70f01-c3ae-432d-86f7-4e2564dde453}"/>
          </w:placeholder>
        </w:sdtPr>
        <w:sdtEndPr>
          <w:rPr>
            <w:rFonts w:cs="Times New Roman"/>
            <w:color w:val="000000" w:themeColor="text1"/>
            <w14:textFill>
              <w14:solidFill>
                <w14:schemeClr w14:val="tx1"/>
              </w14:solidFill>
            </w14:textFill>
          </w:rPr>
        </w:sdtEndPr>
        <w:sdtContent>
          <w:tr w14:paraId="29C1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7BFC53F7">
                <w:pPr>
                  <w:rPr>
                    <w:rFonts w:cs="Times New Roman"/>
                  </w:rPr>
                </w:pPr>
                <w:r>
                  <w:rPr>
                    <w:rFonts w:cs="Times New Roman"/>
                  </w:rPr>
                  <w:t>1年以内</w:t>
                </w:r>
              </w:p>
            </w:tc>
            <w:tc>
              <w:tcPr>
                <w:tcW w:w="1276" w:type="pct"/>
                <w:vAlign w:val="bottom"/>
              </w:tcPr>
              <w:p w14:paraId="3A9561BC">
                <w:pPr>
                  <w:jc w:val="right"/>
                  <w:rPr>
                    <w:rFonts w:cs="Times New Roman"/>
                  </w:rPr>
                </w:pPr>
                <w:r>
                  <w:rPr>
                    <w:rFonts w:cs="Times New Roman"/>
                  </w:rPr>
                  <w:t>50,285,126.82</w:t>
                </w:r>
              </w:p>
            </w:tc>
            <w:tc>
              <w:tcPr>
                <w:tcW w:w="1299" w:type="pct"/>
                <w:vAlign w:val="bottom"/>
              </w:tcPr>
              <w:p w14:paraId="7ADC4FCD">
                <w:pPr>
                  <w:jc w:val="right"/>
                  <w:rPr>
                    <w:rFonts w:cs="Times New Roman"/>
                  </w:rPr>
                </w:pPr>
                <w:r>
                  <w:rPr>
                    <w:rFonts w:cs="Times New Roman"/>
                  </w:rPr>
                  <w:t>2,037,451.27</w:t>
                </w:r>
              </w:p>
            </w:tc>
            <w:tc>
              <w:tcPr>
                <w:tcW w:w="1267" w:type="pct"/>
                <w:vAlign w:val="bottom"/>
              </w:tcPr>
              <w:p w14:paraId="0FE04E6C">
                <w:pPr>
                  <w:jc w:val="right"/>
                  <w:rPr>
                    <w:rFonts w:cs="Times New Roman"/>
                  </w:rPr>
                </w:pPr>
                <w:r>
                  <w:rPr>
                    <w:rFonts w:cs="Times New Roman"/>
                  </w:rPr>
                  <w:t>4.05</w:t>
                </w:r>
              </w:p>
            </w:tc>
          </w:tr>
        </w:sdtContent>
      </w:sdt>
      <w:sdt>
        <w:sdtPr>
          <w:rPr>
            <w:rFonts w:cs="Times New Roman"/>
            <w:color w:val="000000" w:themeColor="text1"/>
            <w14:textFill>
              <w14:solidFill>
                <w14:schemeClr w14:val="tx1"/>
              </w14:solidFill>
            </w14:textFill>
          </w:rPr>
          <w:alias w:val="按组合计提坏账准备的应收账款详细名称明细"/>
          <w:tag w:val="_TUP_787dccbb6b7545edb25916e256cf8697"/>
          <w:id w:val="-1269687256"/>
          <w:placeholder>
            <w:docPart w:val="{dcf70f01-c3ae-432d-86f7-4e2564dde453}"/>
          </w:placeholder>
        </w:sdtPr>
        <w:sdtEndPr>
          <w:rPr>
            <w:rFonts w:cs="Times New Roman"/>
            <w:color w:val="000000" w:themeColor="text1"/>
            <w14:textFill>
              <w14:solidFill>
                <w14:schemeClr w14:val="tx1"/>
              </w14:solidFill>
            </w14:textFill>
          </w:rPr>
        </w:sdtEndPr>
        <w:sdtContent>
          <w:tr w14:paraId="15B2F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7CB5FD7E">
                <w:pPr>
                  <w:rPr>
                    <w:rFonts w:cs="Times New Roman"/>
                  </w:rPr>
                </w:pPr>
                <w:r>
                  <w:rPr>
                    <w:rFonts w:cs="Times New Roman"/>
                  </w:rPr>
                  <w:t>1－2年</w:t>
                </w:r>
              </w:p>
            </w:tc>
            <w:tc>
              <w:tcPr>
                <w:tcW w:w="1276" w:type="pct"/>
                <w:vAlign w:val="bottom"/>
              </w:tcPr>
              <w:p w14:paraId="4047C65A">
                <w:pPr>
                  <w:jc w:val="right"/>
                  <w:rPr>
                    <w:rFonts w:cs="Times New Roman"/>
                  </w:rPr>
                </w:pPr>
                <w:r>
                  <w:rPr>
                    <w:rFonts w:cs="Times New Roman"/>
                  </w:rPr>
                  <w:t>9,238,305.11</w:t>
                </w:r>
              </w:p>
            </w:tc>
            <w:tc>
              <w:tcPr>
                <w:tcW w:w="1299" w:type="pct"/>
                <w:vAlign w:val="bottom"/>
              </w:tcPr>
              <w:p w14:paraId="63516282">
                <w:pPr>
                  <w:jc w:val="right"/>
                  <w:rPr>
                    <w:rFonts w:cs="Times New Roman"/>
                  </w:rPr>
                </w:pPr>
                <w:r>
                  <w:rPr>
                    <w:rFonts w:cs="Times New Roman"/>
                  </w:rPr>
                  <w:t>1,690,543.35</w:t>
                </w:r>
              </w:p>
            </w:tc>
            <w:tc>
              <w:tcPr>
                <w:tcW w:w="1267" w:type="pct"/>
                <w:vAlign w:val="bottom"/>
              </w:tcPr>
              <w:p w14:paraId="0F23BAE1">
                <w:pPr>
                  <w:jc w:val="right"/>
                  <w:rPr>
                    <w:rFonts w:cs="Times New Roman"/>
                  </w:rPr>
                </w:pPr>
                <w:r>
                  <w:rPr>
                    <w:rFonts w:cs="Times New Roman"/>
                  </w:rPr>
                  <w:t>18.30</w:t>
                </w:r>
              </w:p>
            </w:tc>
          </w:tr>
        </w:sdtContent>
      </w:sdt>
      <w:sdt>
        <w:sdtPr>
          <w:rPr>
            <w:rFonts w:cs="Times New Roman"/>
            <w:color w:val="000000" w:themeColor="text1"/>
            <w14:textFill>
              <w14:solidFill>
                <w14:schemeClr w14:val="tx1"/>
              </w14:solidFill>
            </w14:textFill>
          </w:rPr>
          <w:alias w:val="按组合计提坏账准备的应收账款详细名称明细"/>
          <w:tag w:val="_TUP_787dccbb6b7545edb25916e256cf8697"/>
          <w:id w:val="2059739974"/>
          <w:placeholder>
            <w:docPart w:val="{dcf70f01-c3ae-432d-86f7-4e2564dde453}"/>
          </w:placeholder>
        </w:sdtPr>
        <w:sdtEndPr>
          <w:rPr>
            <w:rFonts w:cs="Times New Roman"/>
            <w:color w:val="000000" w:themeColor="text1"/>
            <w14:textFill>
              <w14:solidFill>
                <w14:schemeClr w14:val="tx1"/>
              </w14:solidFill>
            </w14:textFill>
          </w:rPr>
        </w:sdtEndPr>
        <w:sdtContent>
          <w:tr w14:paraId="4EA7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5E9EDCE1">
                <w:pPr>
                  <w:rPr>
                    <w:rFonts w:cs="Times New Roman"/>
                  </w:rPr>
                </w:pPr>
                <w:r>
                  <w:rPr>
                    <w:rFonts w:cs="Times New Roman"/>
                  </w:rPr>
                  <w:t>2－3年</w:t>
                </w:r>
              </w:p>
            </w:tc>
            <w:tc>
              <w:tcPr>
                <w:tcW w:w="1276" w:type="pct"/>
                <w:vAlign w:val="bottom"/>
              </w:tcPr>
              <w:p w14:paraId="7C2C065D">
                <w:pPr>
                  <w:jc w:val="right"/>
                  <w:rPr>
                    <w:rFonts w:cs="Times New Roman"/>
                  </w:rPr>
                </w:pPr>
                <w:r>
                  <w:rPr>
                    <w:rFonts w:cs="Times New Roman"/>
                  </w:rPr>
                  <w:t>15,594,113.14</w:t>
                </w:r>
              </w:p>
            </w:tc>
            <w:tc>
              <w:tcPr>
                <w:tcW w:w="1299" w:type="pct"/>
                <w:vAlign w:val="bottom"/>
              </w:tcPr>
              <w:p w14:paraId="572E7ECA">
                <w:pPr>
                  <w:jc w:val="right"/>
                  <w:rPr>
                    <w:rFonts w:cs="Times New Roman"/>
                  </w:rPr>
                </w:pPr>
                <w:r>
                  <w:rPr>
                    <w:rFonts w:cs="Times New Roman"/>
                  </w:rPr>
                  <w:t>5,002,316.99</w:t>
                </w:r>
              </w:p>
            </w:tc>
            <w:tc>
              <w:tcPr>
                <w:tcW w:w="1267" w:type="pct"/>
                <w:vAlign w:val="bottom"/>
              </w:tcPr>
              <w:p w14:paraId="53BAE938">
                <w:pPr>
                  <w:jc w:val="right"/>
                  <w:rPr>
                    <w:rFonts w:cs="Times New Roman"/>
                  </w:rPr>
                </w:pPr>
                <w:r>
                  <w:rPr>
                    <w:rFonts w:cs="Times New Roman"/>
                  </w:rPr>
                  <w:t>32.08</w:t>
                </w:r>
              </w:p>
            </w:tc>
          </w:tr>
        </w:sdtContent>
      </w:sdt>
      <w:sdt>
        <w:sdtPr>
          <w:rPr>
            <w:rFonts w:cs="Times New Roman"/>
            <w:color w:val="000000" w:themeColor="text1"/>
            <w14:textFill>
              <w14:solidFill>
                <w14:schemeClr w14:val="tx1"/>
              </w14:solidFill>
            </w14:textFill>
          </w:rPr>
          <w:alias w:val="按组合计提坏账准备的应收账款详细名称明细"/>
          <w:tag w:val="_TUP_787dccbb6b7545edb25916e256cf8697"/>
          <w:id w:val="-2109337317"/>
          <w:placeholder>
            <w:docPart w:val="{dcf70f01-c3ae-432d-86f7-4e2564dde453}"/>
          </w:placeholder>
        </w:sdtPr>
        <w:sdtEndPr>
          <w:rPr>
            <w:rFonts w:cs="Times New Roman"/>
            <w:color w:val="000000" w:themeColor="text1"/>
            <w14:textFill>
              <w14:solidFill>
                <w14:schemeClr w14:val="tx1"/>
              </w14:solidFill>
            </w14:textFill>
          </w:rPr>
        </w:sdtEndPr>
        <w:sdtContent>
          <w:tr w14:paraId="66C3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131F40A0">
                <w:pPr>
                  <w:rPr>
                    <w:rFonts w:cs="Times New Roman"/>
                  </w:rPr>
                </w:pPr>
                <w:r>
                  <w:rPr>
                    <w:rFonts w:cs="Times New Roman"/>
                  </w:rPr>
                  <w:t>3－4年</w:t>
                </w:r>
              </w:p>
            </w:tc>
            <w:tc>
              <w:tcPr>
                <w:tcW w:w="1276" w:type="pct"/>
                <w:vAlign w:val="bottom"/>
              </w:tcPr>
              <w:p w14:paraId="0CC340E2">
                <w:pPr>
                  <w:jc w:val="right"/>
                  <w:rPr>
                    <w:rFonts w:cs="Times New Roman"/>
                  </w:rPr>
                </w:pPr>
              </w:p>
            </w:tc>
            <w:tc>
              <w:tcPr>
                <w:tcW w:w="1299" w:type="pct"/>
                <w:vAlign w:val="bottom"/>
              </w:tcPr>
              <w:p w14:paraId="5E1249FC">
                <w:pPr>
                  <w:jc w:val="right"/>
                  <w:rPr>
                    <w:rFonts w:cs="Times New Roman"/>
                  </w:rPr>
                </w:pPr>
              </w:p>
            </w:tc>
            <w:tc>
              <w:tcPr>
                <w:tcW w:w="1267" w:type="pct"/>
                <w:vAlign w:val="bottom"/>
              </w:tcPr>
              <w:p w14:paraId="26396797">
                <w:pPr>
                  <w:jc w:val="right"/>
                  <w:rPr>
                    <w:rFonts w:cs="Times New Roman"/>
                  </w:rPr>
                </w:pPr>
              </w:p>
            </w:tc>
          </w:tr>
        </w:sdtContent>
      </w:sdt>
      <w:sdt>
        <w:sdtPr>
          <w:rPr>
            <w:rFonts w:cs="Times New Roman"/>
            <w:color w:val="000000" w:themeColor="text1"/>
            <w14:textFill>
              <w14:solidFill>
                <w14:schemeClr w14:val="tx1"/>
              </w14:solidFill>
            </w14:textFill>
          </w:rPr>
          <w:alias w:val="按组合计提坏账准备的应收账款详细名称明细"/>
          <w:tag w:val="_TUP_787dccbb6b7545edb25916e256cf8697"/>
          <w:id w:val="2134361545"/>
          <w:placeholder>
            <w:docPart w:val="{dcf70f01-c3ae-432d-86f7-4e2564dde453}"/>
          </w:placeholder>
        </w:sdtPr>
        <w:sdtEndPr>
          <w:rPr>
            <w:rFonts w:cs="Times New Roman"/>
            <w:color w:val="000000" w:themeColor="text1"/>
            <w14:textFill>
              <w14:solidFill>
                <w14:schemeClr w14:val="tx1"/>
              </w14:solidFill>
            </w14:textFill>
          </w:rPr>
        </w:sdtEndPr>
        <w:sdtContent>
          <w:tr w14:paraId="179C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8" w:type="pct"/>
              </w:tcPr>
              <w:p w14:paraId="2A0ACF5D">
                <w:pPr>
                  <w:rPr>
                    <w:rFonts w:cs="Times New Roman"/>
                  </w:rPr>
                </w:pPr>
                <w:r>
                  <w:rPr>
                    <w:rFonts w:cs="Times New Roman"/>
                  </w:rPr>
                  <w:t>4－5年</w:t>
                </w:r>
              </w:p>
            </w:tc>
            <w:tc>
              <w:tcPr>
                <w:tcW w:w="1276" w:type="pct"/>
                <w:vAlign w:val="bottom"/>
              </w:tcPr>
              <w:p w14:paraId="177B1BD6">
                <w:pPr>
                  <w:jc w:val="right"/>
                  <w:rPr>
                    <w:rFonts w:cs="Times New Roman"/>
                  </w:rPr>
                </w:pPr>
                <w:r>
                  <w:rPr>
                    <w:rFonts w:cs="Times New Roman"/>
                  </w:rPr>
                  <w:t>1,122,927.65</w:t>
                </w:r>
              </w:p>
            </w:tc>
            <w:tc>
              <w:tcPr>
                <w:tcW w:w="1299" w:type="pct"/>
                <w:vAlign w:val="bottom"/>
              </w:tcPr>
              <w:p w14:paraId="73E0DE16">
                <w:pPr>
                  <w:jc w:val="right"/>
                  <w:rPr>
                    <w:rFonts w:cs="Times New Roman"/>
                  </w:rPr>
                </w:pPr>
                <w:r>
                  <w:rPr>
                    <w:rFonts w:cs="Times New Roman"/>
                  </w:rPr>
                  <w:t>620,315.38</w:t>
                </w:r>
              </w:p>
            </w:tc>
            <w:tc>
              <w:tcPr>
                <w:tcW w:w="1267" w:type="pct"/>
                <w:vAlign w:val="bottom"/>
              </w:tcPr>
              <w:p w14:paraId="78D67086">
                <w:pPr>
                  <w:jc w:val="right"/>
                  <w:rPr>
                    <w:rFonts w:cs="Times New Roman"/>
                  </w:rPr>
                </w:pPr>
                <w:r>
                  <w:rPr>
                    <w:rFonts w:cs="Times New Roman"/>
                  </w:rPr>
                  <w:t>55.24</w:t>
                </w:r>
              </w:p>
            </w:tc>
          </w:tr>
        </w:sdtContent>
      </w:sdt>
      <w:sdt>
        <w:sdtPr>
          <w:rPr>
            <w:rFonts w:cs="Times New Roman"/>
            <w:color w:val="000000" w:themeColor="text1"/>
            <w14:textFill>
              <w14:solidFill>
                <w14:schemeClr w14:val="tx1"/>
              </w14:solidFill>
            </w14:textFill>
          </w:rPr>
          <w:alias w:val="按组合计提坏账准备的应收账款详细名称明细"/>
          <w:tag w:val="_TUP_787dccbb6b7545edb25916e256cf8697"/>
          <w:id w:val="495932083"/>
          <w:placeholder>
            <w:docPart w:val="{dcf70f01-c3ae-432d-86f7-4e2564dde453}"/>
          </w:placeholder>
        </w:sdtPr>
        <w:sdtEndPr>
          <w:rPr>
            <w:rFonts w:cs="Times New Roman"/>
            <w:color w:val="000000" w:themeColor="text1"/>
            <w14:textFill>
              <w14:solidFill>
                <w14:schemeClr w14:val="tx1"/>
              </w14:solidFill>
            </w14:textFill>
          </w:rPr>
        </w:sdtEndPr>
        <w:sdtContent>
          <w:tr w14:paraId="65236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68355B84">
                <w:pPr>
                  <w:rPr>
                    <w:rFonts w:cs="Times New Roman"/>
                  </w:rPr>
                </w:pPr>
                <w:r>
                  <w:rPr>
                    <w:rFonts w:cs="Times New Roman"/>
                  </w:rPr>
                  <w:t>5年以上</w:t>
                </w:r>
              </w:p>
            </w:tc>
            <w:tc>
              <w:tcPr>
                <w:tcW w:w="1276" w:type="pct"/>
                <w:vAlign w:val="bottom"/>
              </w:tcPr>
              <w:p w14:paraId="3CBCB14F">
                <w:pPr>
                  <w:jc w:val="right"/>
                  <w:rPr>
                    <w:rFonts w:cs="Times New Roman"/>
                  </w:rPr>
                </w:pPr>
                <w:r>
                  <w:rPr>
                    <w:rFonts w:cs="Times New Roman"/>
                  </w:rPr>
                  <w:t>564,154.85</w:t>
                </w:r>
              </w:p>
            </w:tc>
            <w:tc>
              <w:tcPr>
                <w:tcW w:w="1299" w:type="pct"/>
                <w:vAlign w:val="bottom"/>
              </w:tcPr>
              <w:p w14:paraId="497451B6">
                <w:pPr>
                  <w:jc w:val="right"/>
                  <w:rPr>
                    <w:rFonts w:cs="Times New Roman"/>
                  </w:rPr>
                </w:pPr>
                <w:r>
                  <w:rPr>
                    <w:rFonts w:cs="Times New Roman"/>
                  </w:rPr>
                  <w:t>564,154.85</w:t>
                </w:r>
              </w:p>
            </w:tc>
            <w:tc>
              <w:tcPr>
                <w:tcW w:w="1267" w:type="pct"/>
                <w:vAlign w:val="bottom"/>
              </w:tcPr>
              <w:p w14:paraId="76D477BD">
                <w:pPr>
                  <w:jc w:val="right"/>
                  <w:rPr>
                    <w:rFonts w:cs="Times New Roman"/>
                  </w:rPr>
                </w:pPr>
                <w:r>
                  <w:rPr>
                    <w:rFonts w:cs="Times New Roman"/>
                  </w:rPr>
                  <w:t>100.00</w:t>
                </w:r>
              </w:p>
            </w:tc>
          </w:tr>
        </w:sdtContent>
      </w:sdt>
      <w:tr w14:paraId="6D84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9a3bf225ae544565ad2cb49381fcaca1"/>
            <w:id w:val="-298299813"/>
          </w:sdtPr>
          <w:sdtEndPr>
            <w:rPr>
              <w:rFonts w:cs="Times New Roman"/>
            </w:rPr>
          </w:sdtEndPr>
          <w:sdtContent>
            <w:tc>
              <w:tcPr>
                <w:tcW w:w="1158" w:type="pct"/>
                <w:vAlign w:val="center"/>
              </w:tcPr>
              <w:p w14:paraId="357C04B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c>
          <w:tcPr>
            <w:tcW w:w="1276" w:type="pct"/>
            <w:vAlign w:val="bottom"/>
          </w:tcPr>
          <w:p w14:paraId="6D349AE4">
            <w:pPr>
              <w:jc w:val="right"/>
              <w:rPr>
                <w:rFonts w:cs="Times New Roman"/>
              </w:rPr>
            </w:pPr>
            <w:r>
              <w:rPr>
                <w:rFonts w:cs="Times New Roman"/>
              </w:rPr>
              <w:t>76,804,627.57</w:t>
            </w:r>
          </w:p>
        </w:tc>
        <w:tc>
          <w:tcPr>
            <w:tcW w:w="1299" w:type="pct"/>
            <w:vAlign w:val="bottom"/>
          </w:tcPr>
          <w:p w14:paraId="75EC0E39">
            <w:pPr>
              <w:jc w:val="right"/>
              <w:rPr>
                <w:rFonts w:cs="Times New Roman"/>
              </w:rPr>
            </w:pPr>
            <w:r>
              <w:rPr>
                <w:rFonts w:cs="Times New Roman"/>
              </w:rPr>
              <w:t>9,914,781.84</w:t>
            </w:r>
          </w:p>
        </w:tc>
        <w:tc>
          <w:tcPr>
            <w:tcW w:w="1267" w:type="pct"/>
            <w:vAlign w:val="bottom"/>
          </w:tcPr>
          <w:p w14:paraId="6B83D433">
            <w:pPr>
              <w:jc w:val="right"/>
              <w:rPr>
                <w:rFonts w:cs="Times New Roman"/>
              </w:rPr>
            </w:pPr>
            <w:r>
              <w:rPr>
                <w:rFonts w:cs="Times New Roman"/>
              </w:rPr>
              <w:t>12.91</w:t>
            </w:r>
          </w:p>
        </w:tc>
      </w:tr>
    </w:tbl>
    <w:p w14:paraId="006F3425">
      <w:pPr>
        <w:rPr>
          <w:color w:val="000000" w:themeColor="text1"/>
          <w14:textFill>
            <w14:solidFill>
              <w14:schemeClr w14:val="tx1"/>
            </w14:solidFill>
          </w14:textFill>
        </w:rPr>
      </w:pPr>
      <w:r>
        <w:rPr>
          <w:rFonts w:hint="eastAsia"/>
          <w:color w:val="000000" w:themeColor="text1"/>
          <w14:textFill>
            <w14:solidFill>
              <w14:schemeClr w14:val="tx1"/>
            </w14:solidFill>
          </w14:textFill>
        </w:rPr>
        <w:t>按组合计提坏账准备的说明：</w:t>
      </w:r>
    </w:p>
    <w:sdt>
      <w:sdtPr>
        <w:rPr>
          <w:color w:val="000000" w:themeColor="text1"/>
          <w14:textFill>
            <w14:solidFill>
              <w14:schemeClr w14:val="tx1"/>
            </w14:solidFill>
          </w14:textFill>
        </w:rPr>
        <w:alias w:val="是否适用：按组合计提坏账准备的应收账款确认标准[双击切换]"/>
        <w:tag w:val="_GBC_8361cfeb973b4073b7fdbd49a393b38c"/>
        <w:id w:val="1217780189"/>
      </w:sdtPr>
      <w:sdtEndPr>
        <w:rPr>
          <w:color w:val="000000" w:themeColor="text1"/>
          <w14:textFill>
            <w14:solidFill>
              <w14:schemeClr w14:val="tx1"/>
            </w14:solidFill>
          </w14:textFill>
        </w:rPr>
      </w:sdtEndPr>
      <w:sdtContent>
        <w:p w14:paraId="3C32EBC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7038B8DE">
      <w:pPr>
        <w:rPr>
          <w:color w:val="000000" w:themeColor="text1"/>
          <w14:textFill>
            <w14:solidFill>
              <w14:schemeClr w14:val="tx1"/>
            </w14:solidFill>
          </w14:textFill>
        </w:rPr>
      </w:pPr>
    </w:p>
    <w:p w14:paraId="0FC03DE7">
      <w:pPr>
        <w:rPr>
          <w:color w:val="000000" w:themeColor="text1"/>
          <w14:textFill>
            <w14:solidFill>
              <w14:schemeClr w14:val="tx1"/>
            </w14:solidFill>
          </w14:textFill>
        </w:rPr>
      </w:pPr>
      <w:r>
        <w:rPr>
          <w:rFonts w:hint="eastAsia"/>
          <w:color w:val="000000" w:themeColor="text1"/>
          <w14:textFill>
            <w14:solidFill>
              <w14:schemeClr w14:val="tx1"/>
            </w14:solidFill>
          </w14:textFill>
        </w:rPr>
        <w:t>组合计提项目：</w:t>
      </w:r>
      <w:sdt>
        <w:sdtPr>
          <w:rPr>
            <w:rFonts w:hint="eastAsia"/>
            <w:color w:val="000000" w:themeColor="text1"/>
            <w14:textFill>
              <w14:solidFill>
                <w14:schemeClr w14:val="tx1"/>
              </w14:solidFill>
            </w14:textFill>
          </w:rPr>
          <w:alias w:val="按组合计提坏账准备的应收账款明细-组合名称"/>
          <w:tag w:val="_GBC_fec033684b6e412cabcd0e0ea1c6cb96"/>
          <w:id w:val="1765880267"/>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组合3账龄组合</w:t>
          </w:r>
        </w:sdtContent>
      </w:sdt>
    </w:p>
    <w:p w14:paraId="1483613B">
      <w:pPr>
        <w:autoSpaceDE w:val="0"/>
        <w:autoSpaceDN w:val="0"/>
        <w:adjustRightInd w:val="0"/>
        <w:ind w:left="5880" w:right="105"/>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按组合计提坏账准备的应收账款详细情况"/>
          <w:tag w:val="_GBC_ccac8c131a6748e699800a5f25e5efcf"/>
          <w:id w:val="-2065477901"/>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按组合计提坏账准备的应收账款详细情况"/>
          <w:tag w:val="_GBC_f0296899749441bf8c33f5882df60a71"/>
          <w:id w:val="13022773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309"/>
        <w:gridCol w:w="2351"/>
        <w:gridCol w:w="2293"/>
      </w:tblGrid>
      <w:tr w14:paraId="50FC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331ca2a43a5247699c45fd6309aee7fd"/>
            <w:id w:val="-1151901101"/>
          </w:sdtPr>
          <w:sdtEndPr>
            <w:rPr>
              <w:rFonts w:cs="Times New Roman"/>
            </w:rPr>
          </w:sdtEndPr>
          <w:sdtContent>
            <w:tc>
              <w:tcPr>
                <w:tcW w:w="1158" w:type="pct"/>
                <w:vMerge w:val="restart"/>
                <w:vAlign w:val="center"/>
              </w:tcPr>
              <w:p w14:paraId="30974507">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名称</w:t>
                </w:r>
              </w:p>
            </w:tc>
          </w:sdtContent>
        </w:sdt>
        <w:sdt>
          <w:sdtPr>
            <w:rPr>
              <w:rFonts w:cs="Times New Roman"/>
            </w:rPr>
            <w:tag w:val="_PLD_271f4f470bff48e385b1a5d9080fde35"/>
            <w:id w:val="1700434922"/>
          </w:sdtPr>
          <w:sdtEndPr>
            <w:rPr>
              <w:rFonts w:cs="Times New Roman"/>
            </w:rPr>
          </w:sdtEndPr>
          <w:sdtContent>
            <w:tc>
              <w:tcPr>
                <w:tcW w:w="3842" w:type="pct"/>
                <w:gridSpan w:val="3"/>
                <w:vAlign w:val="center"/>
              </w:tcPr>
              <w:p w14:paraId="58AC741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tr>
      <w:tr w14:paraId="6408F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Merge w:val="continue"/>
          </w:tcPr>
          <w:p w14:paraId="18FB4255">
            <w:pPr>
              <w:jc w:val="center"/>
              <w:rPr>
                <w:rFonts w:cs="Times New Roman"/>
                <w:color w:val="000000" w:themeColor="text1"/>
                <w14:textFill>
                  <w14:solidFill>
                    <w14:schemeClr w14:val="tx1"/>
                  </w14:solidFill>
                </w14:textFill>
              </w:rPr>
            </w:pPr>
          </w:p>
        </w:tc>
        <w:sdt>
          <w:sdtPr>
            <w:rPr>
              <w:rFonts w:cs="Times New Roman"/>
            </w:rPr>
            <w:tag w:val="_PLD_e1c956de9b3b4544a5d0584eaaf6aea2"/>
            <w:id w:val="-387183481"/>
          </w:sdtPr>
          <w:sdtEndPr>
            <w:rPr>
              <w:rFonts w:cs="Times New Roman"/>
            </w:rPr>
          </w:sdtEndPr>
          <w:sdtContent>
            <w:tc>
              <w:tcPr>
                <w:tcW w:w="1276" w:type="pct"/>
                <w:vAlign w:val="center"/>
              </w:tcPr>
              <w:p w14:paraId="5889005E">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账面余额</w:t>
                </w:r>
              </w:p>
            </w:tc>
          </w:sdtContent>
        </w:sdt>
        <w:sdt>
          <w:sdtPr>
            <w:rPr>
              <w:rFonts w:cs="Times New Roman"/>
            </w:rPr>
            <w:tag w:val="_PLD_0098acb8b7f640f29f65a14017e23f02"/>
            <w:id w:val="-724828158"/>
          </w:sdtPr>
          <w:sdtEndPr>
            <w:rPr>
              <w:rFonts w:cs="Times New Roman"/>
            </w:rPr>
          </w:sdtEndPr>
          <w:sdtContent>
            <w:tc>
              <w:tcPr>
                <w:tcW w:w="1299" w:type="pct"/>
                <w:vAlign w:val="center"/>
              </w:tcPr>
              <w:p w14:paraId="0AFAB0D8">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坏账准备</w:t>
                </w:r>
              </w:p>
            </w:tc>
          </w:sdtContent>
        </w:sdt>
        <w:sdt>
          <w:sdtPr>
            <w:rPr>
              <w:rFonts w:cs="Times New Roman"/>
            </w:rPr>
            <w:tag w:val="_PLD_290bbc3bde3c43c487996752ceb95160"/>
            <w:id w:val="-1668483900"/>
          </w:sdtPr>
          <w:sdtEndPr>
            <w:rPr>
              <w:rFonts w:cs="Times New Roman"/>
            </w:rPr>
          </w:sdtEndPr>
          <w:sdtContent>
            <w:tc>
              <w:tcPr>
                <w:tcW w:w="1267" w:type="pct"/>
                <w:vAlign w:val="center"/>
              </w:tcPr>
              <w:p w14:paraId="752A5B22">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计提比例（%）</w:t>
                </w:r>
              </w:p>
            </w:tc>
          </w:sdtContent>
        </w:sdt>
      </w:tr>
      <w:sdt>
        <w:sdtPr>
          <w:rPr>
            <w:rFonts w:cs="Times New Roman"/>
            <w:color w:val="000000" w:themeColor="text1"/>
            <w14:textFill>
              <w14:solidFill>
                <w14:schemeClr w14:val="tx1"/>
              </w14:solidFill>
            </w14:textFill>
          </w:rPr>
          <w:alias w:val="按组合计提坏账准备的应收账款详细名称明细"/>
          <w:tag w:val="_TUP_787dccbb6b7545edb25916e256cf8697"/>
          <w:id w:val="2056424677"/>
          <w:placeholder>
            <w:docPart w:val="{cd1c4de7-43a1-48e7-8225-68fe5757986f}"/>
          </w:placeholder>
        </w:sdtPr>
        <w:sdtEndPr>
          <w:rPr>
            <w:rFonts w:cs="Times New Roman"/>
            <w:color w:val="000000" w:themeColor="text1"/>
            <w14:textFill>
              <w14:solidFill>
                <w14:schemeClr w14:val="tx1"/>
              </w14:solidFill>
            </w14:textFill>
          </w:rPr>
        </w:sdtEndPr>
        <w:sdtContent>
          <w:tr w14:paraId="7AD2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0BD2B4FD">
                <w:pPr>
                  <w:rPr>
                    <w:rFonts w:cs="Times New Roman"/>
                  </w:rPr>
                </w:pPr>
                <w:r>
                  <w:rPr>
                    <w:rFonts w:cs="Times New Roman"/>
                  </w:rPr>
                  <w:t>1年以内</w:t>
                </w:r>
              </w:p>
            </w:tc>
            <w:tc>
              <w:tcPr>
                <w:tcW w:w="1276" w:type="pct"/>
                <w:vAlign w:val="center"/>
              </w:tcPr>
              <w:p w14:paraId="7F759360">
                <w:pPr>
                  <w:jc w:val="right"/>
                  <w:rPr>
                    <w:rFonts w:cs="Times New Roman"/>
                  </w:rPr>
                </w:pPr>
                <w:r>
                  <w:rPr>
                    <w:rFonts w:cs="Times New Roman"/>
                  </w:rPr>
                  <w:t>1,259,447,761.35</w:t>
                </w:r>
              </w:p>
            </w:tc>
            <w:tc>
              <w:tcPr>
                <w:tcW w:w="1299" w:type="pct"/>
                <w:vAlign w:val="center"/>
              </w:tcPr>
              <w:p w14:paraId="77B57587">
                <w:pPr>
                  <w:jc w:val="right"/>
                  <w:rPr>
                    <w:rFonts w:cs="Times New Roman"/>
                  </w:rPr>
                </w:pPr>
              </w:p>
            </w:tc>
            <w:tc>
              <w:tcPr>
                <w:tcW w:w="1267" w:type="pct"/>
                <w:vAlign w:val="center"/>
              </w:tcPr>
              <w:p w14:paraId="54879A1B">
                <w:pPr>
                  <w:jc w:val="right"/>
                  <w:rPr>
                    <w:rFonts w:cs="Times New Roman"/>
                  </w:rPr>
                </w:pPr>
              </w:p>
            </w:tc>
          </w:tr>
        </w:sdtContent>
      </w:sdt>
      <w:sdt>
        <w:sdtPr>
          <w:rPr>
            <w:rFonts w:cs="Times New Roman"/>
            <w:color w:val="000000" w:themeColor="text1"/>
            <w14:textFill>
              <w14:solidFill>
                <w14:schemeClr w14:val="tx1"/>
              </w14:solidFill>
            </w14:textFill>
          </w:rPr>
          <w:alias w:val="按组合计提坏账准备的应收账款详细名称明细"/>
          <w:tag w:val="_TUP_787dccbb6b7545edb25916e256cf8697"/>
          <w:id w:val="-1704093457"/>
          <w:placeholder>
            <w:docPart w:val="{cd1c4de7-43a1-48e7-8225-68fe5757986f}"/>
          </w:placeholder>
        </w:sdtPr>
        <w:sdtEndPr>
          <w:rPr>
            <w:rFonts w:cs="Times New Roman"/>
            <w:color w:val="000000" w:themeColor="text1"/>
            <w14:textFill>
              <w14:solidFill>
                <w14:schemeClr w14:val="tx1"/>
              </w14:solidFill>
            </w14:textFill>
          </w:rPr>
        </w:sdtEndPr>
        <w:sdtContent>
          <w:tr w14:paraId="5C63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7D30E70D">
                <w:pPr>
                  <w:rPr>
                    <w:rFonts w:cs="Times New Roman"/>
                  </w:rPr>
                </w:pPr>
                <w:r>
                  <w:rPr>
                    <w:rFonts w:cs="Times New Roman"/>
                  </w:rPr>
                  <w:t>1－2年</w:t>
                </w:r>
              </w:p>
            </w:tc>
            <w:tc>
              <w:tcPr>
                <w:tcW w:w="1276" w:type="pct"/>
                <w:vAlign w:val="center"/>
              </w:tcPr>
              <w:p w14:paraId="23BA09C4">
                <w:pPr>
                  <w:jc w:val="right"/>
                  <w:rPr>
                    <w:rFonts w:cs="Times New Roman"/>
                  </w:rPr>
                </w:pPr>
                <w:r>
                  <w:rPr>
                    <w:rFonts w:cs="Times New Roman"/>
                  </w:rPr>
                  <w:t>107,419,363.03</w:t>
                </w:r>
              </w:p>
            </w:tc>
            <w:tc>
              <w:tcPr>
                <w:tcW w:w="1299" w:type="pct"/>
                <w:vAlign w:val="center"/>
              </w:tcPr>
              <w:p w14:paraId="299F67F8">
                <w:pPr>
                  <w:jc w:val="right"/>
                  <w:rPr>
                    <w:rFonts w:cs="Times New Roman"/>
                  </w:rPr>
                </w:pPr>
                <w:r>
                  <w:rPr>
                    <w:rFonts w:cs="Times New Roman"/>
                  </w:rPr>
                  <w:t>21,483,872.61</w:t>
                </w:r>
              </w:p>
            </w:tc>
            <w:tc>
              <w:tcPr>
                <w:tcW w:w="1267" w:type="pct"/>
                <w:vAlign w:val="center"/>
              </w:tcPr>
              <w:p w14:paraId="0BD78FC2">
                <w:pPr>
                  <w:jc w:val="right"/>
                  <w:rPr>
                    <w:rFonts w:cs="Times New Roman"/>
                  </w:rPr>
                </w:pPr>
                <w:r>
                  <w:rPr>
                    <w:rFonts w:cs="Times New Roman"/>
                  </w:rPr>
                  <w:t>20.00</w:t>
                </w:r>
              </w:p>
            </w:tc>
          </w:tr>
        </w:sdtContent>
      </w:sdt>
      <w:sdt>
        <w:sdtPr>
          <w:rPr>
            <w:rFonts w:cs="Times New Roman"/>
            <w:color w:val="000000" w:themeColor="text1"/>
            <w14:textFill>
              <w14:solidFill>
                <w14:schemeClr w14:val="tx1"/>
              </w14:solidFill>
            </w14:textFill>
          </w:rPr>
          <w:alias w:val="按组合计提坏账准备的应收账款详细名称明细"/>
          <w:tag w:val="_TUP_787dccbb6b7545edb25916e256cf8697"/>
          <w:id w:val="2054807561"/>
          <w:placeholder>
            <w:docPart w:val="{cd1c4de7-43a1-48e7-8225-68fe5757986f}"/>
          </w:placeholder>
        </w:sdtPr>
        <w:sdtEndPr>
          <w:rPr>
            <w:rFonts w:cs="Times New Roman"/>
            <w:color w:val="000000" w:themeColor="text1"/>
            <w14:textFill>
              <w14:solidFill>
                <w14:schemeClr w14:val="tx1"/>
              </w14:solidFill>
            </w14:textFill>
          </w:rPr>
        </w:sdtEndPr>
        <w:sdtContent>
          <w:tr w14:paraId="015C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43629107">
                <w:pPr>
                  <w:rPr>
                    <w:rFonts w:cs="Times New Roman"/>
                  </w:rPr>
                </w:pPr>
                <w:r>
                  <w:rPr>
                    <w:rFonts w:cs="Times New Roman"/>
                  </w:rPr>
                  <w:t>2－3年</w:t>
                </w:r>
              </w:p>
            </w:tc>
            <w:tc>
              <w:tcPr>
                <w:tcW w:w="1276" w:type="pct"/>
                <w:vAlign w:val="center"/>
              </w:tcPr>
              <w:p w14:paraId="48B33BFB">
                <w:pPr>
                  <w:jc w:val="right"/>
                  <w:rPr>
                    <w:rFonts w:cs="Times New Roman"/>
                  </w:rPr>
                </w:pPr>
                <w:r>
                  <w:rPr>
                    <w:rFonts w:cs="Times New Roman"/>
                  </w:rPr>
                  <w:t>29,644,926.65</w:t>
                </w:r>
              </w:p>
            </w:tc>
            <w:tc>
              <w:tcPr>
                <w:tcW w:w="1299" w:type="pct"/>
                <w:vAlign w:val="center"/>
              </w:tcPr>
              <w:p w14:paraId="490523F2">
                <w:pPr>
                  <w:jc w:val="right"/>
                  <w:rPr>
                    <w:rFonts w:cs="Times New Roman"/>
                  </w:rPr>
                </w:pPr>
                <w:r>
                  <w:rPr>
                    <w:rFonts w:cs="Times New Roman"/>
                  </w:rPr>
                  <w:t>14,822,463.33</w:t>
                </w:r>
              </w:p>
            </w:tc>
            <w:tc>
              <w:tcPr>
                <w:tcW w:w="1267" w:type="pct"/>
                <w:vAlign w:val="center"/>
              </w:tcPr>
              <w:p w14:paraId="0FDCA0CD">
                <w:pPr>
                  <w:jc w:val="right"/>
                  <w:rPr>
                    <w:rFonts w:cs="Times New Roman"/>
                  </w:rPr>
                </w:pPr>
                <w:r>
                  <w:rPr>
                    <w:rFonts w:cs="Times New Roman"/>
                  </w:rPr>
                  <w:t>50.00</w:t>
                </w:r>
              </w:p>
            </w:tc>
          </w:tr>
        </w:sdtContent>
      </w:sdt>
      <w:sdt>
        <w:sdtPr>
          <w:rPr>
            <w:rFonts w:cs="Times New Roman"/>
            <w:color w:val="000000" w:themeColor="text1"/>
            <w14:textFill>
              <w14:solidFill>
                <w14:schemeClr w14:val="tx1"/>
              </w14:solidFill>
            </w14:textFill>
          </w:rPr>
          <w:alias w:val="按组合计提坏账准备的应收账款详细名称明细"/>
          <w:tag w:val="_TUP_787dccbb6b7545edb25916e256cf8697"/>
          <w:id w:val="669995927"/>
          <w:placeholder>
            <w:docPart w:val="{cd1c4de7-43a1-48e7-8225-68fe5757986f}"/>
          </w:placeholder>
        </w:sdtPr>
        <w:sdtEndPr>
          <w:rPr>
            <w:rFonts w:cs="Times New Roman"/>
            <w:color w:val="000000" w:themeColor="text1"/>
            <w14:textFill>
              <w14:solidFill>
                <w14:schemeClr w14:val="tx1"/>
              </w14:solidFill>
            </w14:textFill>
          </w:rPr>
        </w:sdtEndPr>
        <w:sdtContent>
          <w:tr w14:paraId="0A43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386BEC9E">
                <w:pPr>
                  <w:rPr>
                    <w:rFonts w:cs="Times New Roman"/>
                  </w:rPr>
                </w:pPr>
                <w:r>
                  <w:rPr>
                    <w:rFonts w:cs="Times New Roman"/>
                  </w:rPr>
                  <w:t>3－4年</w:t>
                </w:r>
              </w:p>
            </w:tc>
            <w:tc>
              <w:tcPr>
                <w:tcW w:w="1276" w:type="pct"/>
                <w:vAlign w:val="center"/>
              </w:tcPr>
              <w:p w14:paraId="23EDD1EC">
                <w:pPr>
                  <w:jc w:val="right"/>
                  <w:rPr>
                    <w:rFonts w:cs="Times New Roman"/>
                  </w:rPr>
                </w:pPr>
                <w:r>
                  <w:rPr>
                    <w:rFonts w:cs="Times New Roman"/>
                  </w:rPr>
                  <w:t>21,516,579.94</w:t>
                </w:r>
              </w:p>
            </w:tc>
            <w:tc>
              <w:tcPr>
                <w:tcW w:w="1299" w:type="pct"/>
                <w:vAlign w:val="center"/>
              </w:tcPr>
              <w:p w14:paraId="093C5B4E">
                <w:pPr>
                  <w:jc w:val="right"/>
                  <w:rPr>
                    <w:rFonts w:cs="Times New Roman"/>
                  </w:rPr>
                </w:pPr>
                <w:r>
                  <w:rPr>
                    <w:rFonts w:cs="Times New Roman"/>
                  </w:rPr>
                  <w:t>15,061,605.96</w:t>
                </w:r>
              </w:p>
            </w:tc>
            <w:tc>
              <w:tcPr>
                <w:tcW w:w="1267" w:type="pct"/>
                <w:vAlign w:val="center"/>
              </w:tcPr>
              <w:p w14:paraId="5B8D2DA8">
                <w:pPr>
                  <w:jc w:val="right"/>
                  <w:rPr>
                    <w:rFonts w:cs="Times New Roman"/>
                  </w:rPr>
                </w:pPr>
                <w:r>
                  <w:rPr>
                    <w:rFonts w:cs="Times New Roman"/>
                  </w:rPr>
                  <w:t>70.00</w:t>
                </w:r>
              </w:p>
            </w:tc>
          </w:tr>
        </w:sdtContent>
      </w:sdt>
      <w:sdt>
        <w:sdtPr>
          <w:rPr>
            <w:rFonts w:cs="Times New Roman"/>
            <w:color w:val="000000" w:themeColor="text1"/>
            <w14:textFill>
              <w14:solidFill>
                <w14:schemeClr w14:val="tx1"/>
              </w14:solidFill>
            </w14:textFill>
          </w:rPr>
          <w:alias w:val="按组合计提坏账准备的应收账款详细名称明细"/>
          <w:tag w:val="_TUP_787dccbb6b7545edb25916e256cf8697"/>
          <w:id w:val="319780207"/>
          <w:placeholder>
            <w:docPart w:val="{cd1c4de7-43a1-48e7-8225-68fe5757986f}"/>
          </w:placeholder>
        </w:sdtPr>
        <w:sdtEndPr>
          <w:rPr>
            <w:rFonts w:cs="Times New Roman"/>
            <w:color w:val="000000" w:themeColor="text1"/>
            <w14:textFill>
              <w14:solidFill>
                <w14:schemeClr w14:val="tx1"/>
              </w14:solidFill>
            </w14:textFill>
          </w:rPr>
        </w:sdtEndPr>
        <w:sdtContent>
          <w:tr w14:paraId="70FEF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009D86D6">
                <w:pPr>
                  <w:rPr>
                    <w:rFonts w:cs="Times New Roman"/>
                  </w:rPr>
                </w:pPr>
                <w:r>
                  <w:rPr>
                    <w:rFonts w:cs="Times New Roman"/>
                  </w:rPr>
                  <w:t>4－5年</w:t>
                </w:r>
              </w:p>
            </w:tc>
            <w:tc>
              <w:tcPr>
                <w:tcW w:w="1276" w:type="pct"/>
                <w:vAlign w:val="center"/>
              </w:tcPr>
              <w:p w14:paraId="3560E5B6">
                <w:pPr>
                  <w:jc w:val="right"/>
                  <w:rPr>
                    <w:rFonts w:cs="Times New Roman"/>
                  </w:rPr>
                </w:pPr>
                <w:r>
                  <w:rPr>
                    <w:rFonts w:cs="Times New Roman"/>
                  </w:rPr>
                  <w:t>14,936,109.02</w:t>
                </w:r>
              </w:p>
            </w:tc>
            <w:tc>
              <w:tcPr>
                <w:tcW w:w="1299" w:type="pct"/>
                <w:vAlign w:val="center"/>
              </w:tcPr>
              <w:p w14:paraId="14AD4A54">
                <w:pPr>
                  <w:jc w:val="right"/>
                  <w:rPr>
                    <w:rFonts w:cs="Times New Roman"/>
                  </w:rPr>
                </w:pPr>
                <w:r>
                  <w:rPr>
                    <w:rFonts w:cs="Times New Roman"/>
                  </w:rPr>
                  <w:t>11,948,887.22</w:t>
                </w:r>
              </w:p>
            </w:tc>
            <w:tc>
              <w:tcPr>
                <w:tcW w:w="1267" w:type="pct"/>
                <w:vAlign w:val="center"/>
              </w:tcPr>
              <w:p w14:paraId="0058BCE6">
                <w:pPr>
                  <w:jc w:val="right"/>
                  <w:rPr>
                    <w:rFonts w:cs="Times New Roman"/>
                  </w:rPr>
                </w:pPr>
                <w:r>
                  <w:rPr>
                    <w:rFonts w:cs="Times New Roman"/>
                  </w:rPr>
                  <w:t>80.00</w:t>
                </w:r>
              </w:p>
            </w:tc>
          </w:tr>
        </w:sdtContent>
      </w:sdt>
      <w:sdt>
        <w:sdtPr>
          <w:rPr>
            <w:rFonts w:cs="Times New Roman"/>
            <w:color w:val="000000" w:themeColor="text1"/>
            <w14:textFill>
              <w14:solidFill>
                <w14:schemeClr w14:val="tx1"/>
              </w14:solidFill>
            </w14:textFill>
          </w:rPr>
          <w:alias w:val="按组合计提坏账准备的应收账款详细名称明细"/>
          <w:tag w:val="_TUP_787dccbb6b7545edb25916e256cf8697"/>
          <w:id w:val="1841048132"/>
          <w:placeholder>
            <w:docPart w:val="{cd1c4de7-43a1-48e7-8225-68fe5757986f}"/>
          </w:placeholder>
        </w:sdtPr>
        <w:sdtEndPr>
          <w:rPr>
            <w:rFonts w:cs="Times New Roman"/>
            <w:color w:val="000000" w:themeColor="text1"/>
            <w14:textFill>
              <w14:solidFill>
                <w14:schemeClr w14:val="tx1"/>
              </w14:solidFill>
            </w14:textFill>
          </w:rPr>
        </w:sdtEndPr>
        <w:sdtContent>
          <w:tr w14:paraId="3DC28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07BF0628">
                <w:pPr>
                  <w:rPr>
                    <w:rFonts w:cs="Times New Roman"/>
                  </w:rPr>
                </w:pPr>
                <w:r>
                  <w:rPr>
                    <w:rFonts w:cs="Times New Roman"/>
                  </w:rPr>
                  <w:t>5年以上</w:t>
                </w:r>
              </w:p>
            </w:tc>
            <w:tc>
              <w:tcPr>
                <w:tcW w:w="1276" w:type="pct"/>
                <w:vAlign w:val="center"/>
              </w:tcPr>
              <w:p w14:paraId="49522846">
                <w:pPr>
                  <w:jc w:val="right"/>
                  <w:rPr>
                    <w:rFonts w:cs="Times New Roman"/>
                  </w:rPr>
                </w:pPr>
                <w:r>
                  <w:rPr>
                    <w:rFonts w:cs="Times New Roman"/>
                  </w:rPr>
                  <w:t>210,237,937.23</w:t>
                </w:r>
              </w:p>
            </w:tc>
            <w:tc>
              <w:tcPr>
                <w:tcW w:w="1299" w:type="pct"/>
                <w:vAlign w:val="center"/>
              </w:tcPr>
              <w:p w14:paraId="69FB65E9">
                <w:pPr>
                  <w:jc w:val="right"/>
                  <w:rPr>
                    <w:rFonts w:cs="Times New Roman"/>
                  </w:rPr>
                </w:pPr>
                <w:r>
                  <w:rPr>
                    <w:rFonts w:cs="Times New Roman"/>
                  </w:rPr>
                  <w:t>210,237,937.23</w:t>
                </w:r>
              </w:p>
            </w:tc>
            <w:tc>
              <w:tcPr>
                <w:tcW w:w="1267" w:type="pct"/>
                <w:vAlign w:val="center"/>
              </w:tcPr>
              <w:p w14:paraId="7D6DAA9F">
                <w:pPr>
                  <w:jc w:val="right"/>
                  <w:rPr>
                    <w:rFonts w:cs="Times New Roman"/>
                  </w:rPr>
                </w:pPr>
                <w:r>
                  <w:rPr>
                    <w:rFonts w:cs="Times New Roman"/>
                  </w:rPr>
                  <w:t>100.00</w:t>
                </w:r>
              </w:p>
            </w:tc>
          </w:tr>
        </w:sdtContent>
      </w:sdt>
      <w:tr w14:paraId="09192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9a3bf225ae544565ad2cb49381fcaca1"/>
            <w:id w:val="-1194227993"/>
          </w:sdtPr>
          <w:sdtEndPr>
            <w:rPr>
              <w:rFonts w:cs="Times New Roman"/>
            </w:rPr>
          </w:sdtEndPr>
          <w:sdtContent>
            <w:tc>
              <w:tcPr>
                <w:tcW w:w="1158" w:type="pct"/>
                <w:vAlign w:val="center"/>
              </w:tcPr>
              <w:p w14:paraId="6670161E">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c>
          <w:tcPr>
            <w:tcW w:w="1276" w:type="pct"/>
            <w:vAlign w:val="center"/>
          </w:tcPr>
          <w:p w14:paraId="7B9C346C">
            <w:pPr>
              <w:jc w:val="right"/>
              <w:rPr>
                <w:rFonts w:cs="Times New Roman"/>
              </w:rPr>
            </w:pPr>
            <w:r>
              <w:rPr>
                <w:rFonts w:cs="Times New Roman"/>
              </w:rPr>
              <w:t>1,643,202,677.22</w:t>
            </w:r>
          </w:p>
        </w:tc>
        <w:tc>
          <w:tcPr>
            <w:tcW w:w="1299" w:type="pct"/>
            <w:vAlign w:val="center"/>
          </w:tcPr>
          <w:p w14:paraId="46DB8A0D">
            <w:pPr>
              <w:jc w:val="right"/>
              <w:rPr>
                <w:rFonts w:cs="Times New Roman"/>
              </w:rPr>
            </w:pPr>
            <w:r>
              <w:rPr>
                <w:rFonts w:cs="Times New Roman"/>
              </w:rPr>
              <w:t>273,554,766.35</w:t>
            </w:r>
          </w:p>
        </w:tc>
        <w:tc>
          <w:tcPr>
            <w:tcW w:w="1267" w:type="pct"/>
            <w:vAlign w:val="center"/>
          </w:tcPr>
          <w:p w14:paraId="3FEA91EB">
            <w:pPr>
              <w:jc w:val="right"/>
              <w:rPr>
                <w:rFonts w:cs="Times New Roman"/>
              </w:rPr>
            </w:pPr>
            <w:r>
              <w:rPr>
                <w:rFonts w:cs="Times New Roman"/>
              </w:rPr>
              <w:t>16.65</w:t>
            </w:r>
          </w:p>
        </w:tc>
      </w:tr>
    </w:tbl>
    <w:p w14:paraId="24573D7B">
      <w:pPr>
        <w:rPr>
          <w:color w:val="000000" w:themeColor="text1"/>
          <w14:textFill>
            <w14:solidFill>
              <w14:schemeClr w14:val="tx1"/>
            </w14:solidFill>
          </w14:textFill>
        </w:rPr>
      </w:pPr>
      <w:r>
        <w:rPr>
          <w:rFonts w:hint="eastAsia"/>
          <w:color w:val="000000" w:themeColor="text1"/>
          <w14:textFill>
            <w14:solidFill>
              <w14:schemeClr w14:val="tx1"/>
            </w14:solidFill>
          </w14:textFill>
        </w:rPr>
        <w:t>按组合计提坏账准备的说明：</w:t>
      </w:r>
    </w:p>
    <w:sdt>
      <w:sdtPr>
        <w:rPr>
          <w:color w:val="000000" w:themeColor="text1"/>
          <w14:textFill>
            <w14:solidFill>
              <w14:schemeClr w14:val="tx1"/>
            </w14:solidFill>
          </w14:textFill>
        </w:rPr>
        <w:alias w:val="是否适用：按组合计提坏账准备的应收账款确认标准[双击切换]"/>
        <w:tag w:val="_GBC_8361cfeb973b4073b7fdbd49a393b38c"/>
        <w:id w:val="-1552529724"/>
      </w:sdtPr>
      <w:sdtEndPr>
        <w:rPr>
          <w:color w:val="000000" w:themeColor="text1"/>
          <w14:textFill>
            <w14:solidFill>
              <w14:schemeClr w14:val="tx1"/>
            </w14:solidFill>
          </w14:textFill>
        </w:rPr>
      </w:sdtEndPr>
      <w:sdtContent>
        <w:p w14:paraId="740764C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7E43031F">
      <w:pPr>
        <w:rPr>
          <w:color w:val="000000" w:themeColor="text1"/>
          <w14:textFill>
            <w14:solidFill>
              <w14:schemeClr w14:val="tx1"/>
            </w14:solidFill>
          </w14:textFill>
        </w:rPr>
      </w:pPr>
    </w:p>
    <w:bookmarkEnd w:id="209"/>
    <w:bookmarkEnd w:id="210"/>
    <w:p w14:paraId="1BB106C8">
      <w:pPr>
        <w:rPr>
          <w:rFonts w:cstheme="minorBidi"/>
          <w:bCs w:val="0"/>
          <w:color w:val="000000" w:themeColor="text1"/>
          <w:szCs w:val="22"/>
          <w14:textFill>
            <w14:solidFill>
              <w14:schemeClr w14:val="tx1"/>
            </w14:solidFill>
          </w14:textFill>
        </w:rPr>
      </w:pPr>
      <w:bookmarkStart w:id="211" w:name="_Hlk153357523"/>
      <w:bookmarkStart w:id="212" w:name="_Hlk154134618"/>
      <w:bookmarkStart w:id="213" w:name="_Hlk167885281"/>
      <w:r>
        <w:rPr>
          <w:rFonts w:hint="eastAsia" w:cstheme="minorBidi"/>
          <w:color w:val="000000" w:themeColor="text1"/>
          <w:szCs w:val="22"/>
          <w14:textFill>
            <w14:solidFill>
              <w14:schemeClr w14:val="tx1"/>
            </w14:solidFill>
          </w14:textFill>
        </w:rPr>
        <w:t>按预期信用损失一般模型计提坏账准备</w:t>
      </w:r>
    </w:p>
    <w:sdt>
      <w:sdtPr>
        <w:rPr>
          <w:rFonts w:cstheme="minorBidi"/>
          <w:bCs w:val="0"/>
          <w:color w:val="000000" w:themeColor="text1"/>
          <w:szCs w:val="22"/>
          <w14:textFill>
            <w14:solidFill>
              <w14:schemeClr w14:val="tx1"/>
            </w14:solidFill>
          </w14:textFill>
        </w:rPr>
        <w:alias w:val="是否适用：按预期信用损失一般模型计提坏账准备[双击切换]"/>
        <w:tag w:val="_GBC_1d19b1b69e8344f18b14e15d329edea7"/>
        <w:id w:val="147481766"/>
        <w:placeholder>
          <w:docPart w:val="GBC22222222222222222222222222222"/>
        </w:placeholder>
      </w:sdtPr>
      <w:sdtEndPr>
        <w:rPr>
          <w:rFonts w:cstheme="minorBidi"/>
          <w:bCs w:val="0"/>
          <w:color w:val="000000" w:themeColor="text1"/>
          <w:szCs w:val="22"/>
          <w14:textFill>
            <w14:solidFill>
              <w14:schemeClr w14:val="tx1"/>
            </w14:solidFill>
          </w14:textFill>
        </w:rPr>
      </w:sdtEndPr>
      <w:sdtContent>
        <w:p w14:paraId="7AF52A08">
          <w:pPr>
            <w:rPr>
              <w:rFonts w:cstheme="minorBidi"/>
              <w:bCs w:val="0"/>
              <w:color w:val="000000" w:themeColor="text1"/>
              <w:szCs w:val="22"/>
              <w14:textFill>
                <w14:solidFill>
                  <w14:schemeClr w14:val="tx1"/>
                </w14:solidFill>
              </w14:textFill>
            </w:rPr>
          </w:pPr>
          <w:r>
            <w:rPr>
              <w:rFonts w:ascii="宋体" w:hAnsi="宋体" w:cstheme="minorBidi"/>
              <w:bCs w:val="0"/>
              <w:color w:val="000000" w:themeColor="text1"/>
              <w:szCs w:val="22"/>
              <w14:textFill>
                <w14:solidFill>
                  <w14:schemeClr w14:val="tx1"/>
                </w14:solidFill>
              </w14:textFill>
            </w:rPr>
            <w:fldChar w:fldCharType="begin"/>
          </w:r>
          <w:r>
            <w:rPr>
              <w:rFonts w:hint="eastAsia" w:ascii="宋体" w:hAnsi="宋体" w:cstheme="minorBidi"/>
              <w:color w:val="000000" w:themeColor="text1"/>
              <w:szCs w:val="22"/>
              <w14:textFill>
                <w14:solidFill>
                  <w14:schemeClr w14:val="tx1"/>
                </w14:solidFill>
              </w14:textFill>
            </w:rPr>
            <w:instrText xml:space="preserve"> MACROBUTTON  SnrToggleCheckbox □适用 </w:instrText>
          </w:r>
          <w:r>
            <w:rPr>
              <w:rFonts w:ascii="宋体" w:hAnsi="宋体" w:cstheme="minorBidi"/>
              <w:bCs w:val="0"/>
              <w:color w:val="000000" w:themeColor="text1"/>
              <w:szCs w:val="22"/>
              <w14:textFill>
                <w14:solidFill>
                  <w14:schemeClr w14:val="tx1"/>
                </w14:solidFill>
              </w14:textFill>
            </w:rPr>
            <w:fldChar w:fldCharType="end"/>
          </w:r>
          <w:r>
            <w:rPr>
              <w:rFonts w:ascii="宋体" w:hAnsi="宋体" w:cstheme="minorBidi"/>
              <w:bCs w:val="0"/>
              <w:color w:val="000000" w:themeColor="text1"/>
              <w:szCs w:val="22"/>
              <w14:textFill>
                <w14:solidFill>
                  <w14:schemeClr w14:val="tx1"/>
                </w14:solidFill>
              </w14:textFill>
            </w:rPr>
            <w:fldChar w:fldCharType="begin"/>
          </w:r>
          <w:r>
            <w:rPr>
              <w:rFonts w:hint="eastAsia" w:ascii="宋体" w:hAnsi="宋体" w:cstheme="minorBidi"/>
              <w:color w:val="000000" w:themeColor="text1"/>
              <w:szCs w:val="22"/>
              <w14:textFill>
                <w14:solidFill>
                  <w14:schemeClr w14:val="tx1"/>
                </w14:solidFill>
              </w14:textFill>
            </w:rPr>
            <w:instrText xml:space="preserve"> MACROBUTTON  SnrToggleCheckbox √不适用 </w:instrText>
          </w:r>
          <w:r>
            <w:rPr>
              <w:rFonts w:ascii="宋体" w:hAnsi="宋体" w:cstheme="minorBidi"/>
              <w:bCs w:val="0"/>
              <w:color w:val="000000" w:themeColor="text1"/>
              <w:szCs w:val="22"/>
              <w14:textFill>
                <w14:solidFill>
                  <w14:schemeClr w14:val="tx1"/>
                </w14:solidFill>
              </w14:textFill>
            </w:rPr>
            <w:fldChar w:fldCharType="end"/>
          </w:r>
        </w:p>
      </w:sdtContent>
    </w:sdt>
    <w:p w14:paraId="1709B414">
      <w:pPr>
        <w:rPr>
          <w:color w:val="000000" w:themeColor="text1"/>
          <w14:textFill>
            <w14:solidFill>
              <w14:schemeClr w14:val="tx1"/>
            </w14:solidFill>
          </w14:textFill>
        </w:rPr>
      </w:pPr>
    </w:p>
    <w:p w14:paraId="369CD624">
      <w:pPr>
        <w:autoSpaceDE w:val="0"/>
        <w:autoSpaceDN w:val="0"/>
        <w:adjustRightInd w:val="0"/>
        <w:ind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各阶段划分依据和坏账准备计提比例</w:t>
      </w:r>
    </w:p>
    <w:sdt>
      <w:sdtPr>
        <w:rPr>
          <w:rFonts w:cs="Times New Roman"/>
          <w:bCs w:val="0"/>
          <w:color w:val="000000" w:themeColor="text1"/>
          <w:szCs w:val="22"/>
          <w14:textFill>
            <w14:solidFill>
              <w14:schemeClr w14:val="tx1"/>
            </w14:solidFill>
          </w14:textFill>
        </w:rPr>
        <w:alias w:val="各阶段划分依据和坏账准备计提比例"/>
        <w:tag w:val="_GBC_d8e8411c0a8c4c56aa732db88b5aee2e"/>
        <w:id w:val="147457609"/>
        <w:placeholder>
          <w:docPart w:val="GBC22222222222222222222222222222"/>
        </w:placeholder>
      </w:sdtPr>
      <w:sdtEndPr>
        <w:rPr>
          <w:rFonts w:cs="Times New Roman"/>
          <w:bCs w:val="0"/>
          <w:color w:val="000000" w:themeColor="text1"/>
          <w:szCs w:val="22"/>
          <w14:textFill>
            <w14:solidFill>
              <w14:schemeClr w14:val="tx1"/>
            </w14:solidFill>
          </w14:textFill>
        </w:rPr>
      </w:sdtEndPr>
      <w:sdtContent>
        <w:p w14:paraId="67947A94">
          <w:pPr>
            <w:rPr>
              <w:rFonts w:cs="Times New Roman"/>
              <w:bCs w:val="0"/>
              <w:color w:val="000000" w:themeColor="text1"/>
              <w:szCs w:val="22"/>
              <w14:textFill>
                <w14:solidFill>
                  <w14:schemeClr w14:val="tx1"/>
                </w14:solidFill>
              </w14:textFill>
            </w:rPr>
          </w:pPr>
          <w:r>
            <w:rPr>
              <w:rFonts w:hint="eastAsia" w:cs="Times New Roman"/>
              <w:bCs w:val="0"/>
              <w:color w:val="000000" w:themeColor="text1"/>
              <w:szCs w:val="22"/>
              <w14:textFill>
                <w14:solidFill>
                  <w14:schemeClr w14:val="tx1"/>
                </w14:solidFill>
              </w14:textFill>
            </w:rPr>
            <w:t>具体内容详见五、13</w:t>
          </w:r>
        </w:p>
      </w:sdtContent>
    </w:sdt>
    <w:p w14:paraId="67FC9C29">
      <w:pPr>
        <w:rPr>
          <w:rFonts w:asciiTheme="minorHAnsi" w:hAnsiTheme="minorHAnsi" w:cstheme="minorBidi"/>
          <w:b/>
          <w:bCs w:val="0"/>
          <w:color w:val="000000" w:themeColor="text1"/>
          <w:szCs w:val="22"/>
          <w14:textFill>
            <w14:solidFill>
              <w14:schemeClr w14:val="tx1"/>
            </w14:solidFill>
          </w14:textFill>
        </w:rPr>
      </w:pPr>
    </w:p>
    <w:p w14:paraId="33FC5900">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对本期发生损失准备变动的应收账款账面余额显著变动的情况说明：</w:t>
      </w:r>
    </w:p>
    <w:sdt>
      <w:sdtPr>
        <w:rPr>
          <w:color w:val="000000" w:themeColor="text1"/>
          <w14:textFill>
            <w14:solidFill>
              <w14:schemeClr w14:val="tx1"/>
            </w14:solidFill>
          </w14:textFill>
        </w:rPr>
        <w:alias w:val="是否适用：对本期发生损失准备变动的账面余额显著变动的情况说明[双击切换]"/>
        <w:tag w:val="_GBC_69f0a67a74b04da0bfa388cc3243da42"/>
        <w:id w:val="147477754"/>
        <w:placeholder>
          <w:docPart w:val="GBC22222222222222222222222222222"/>
        </w:placeholder>
      </w:sdtPr>
      <w:sdtEndPr>
        <w:rPr>
          <w:color w:val="000000" w:themeColor="text1"/>
          <w14:textFill>
            <w14:solidFill>
              <w14:schemeClr w14:val="tx1"/>
            </w14:solidFill>
          </w14:textFill>
        </w:rPr>
      </w:sdtEndPr>
      <w:sdtContent>
        <w:p w14:paraId="3A33B426">
          <w:pPr>
            <w:autoSpaceDE w:val="0"/>
            <w:autoSpaceDN w:val="0"/>
            <w:adjustRightInd w:val="0"/>
            <w:ind w:right="105" w:rightChars="5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5C14350">
      <w:pPr>
        <w:rPr>
          <w:rFonts w:asciiTheme="minorHAnsi" w:hAnsiTheme="minorHAnsi" w:cstheme="minorBidi"/>
          <w:b/>
          <w:bCs w:val="0"/>
          <w:color w:val="000000" w:themeColor="text1"/>
          <w:szCs w:val="22"/>
          <w14:textFill>
            <w14:solidFill>
              <w14:schemeClr w14:val="tx1"/>
            </w14:solidFill>
          </w14:textFill>
        </w:rPr>
      </w:pPr>
    </w:p>
    <w:bookmarkEnd w:id="211"/>
    <w:bookmarkEnd w:id="212"/>
    <w:bookmarkEnd w:id="213"/>
    <w:p w14:paraId="6972FA71">
      <w:pPr>
        <w:pStyle w:val="58"/>
        <w:numPr>
          <w:ilvl w:val="3"/>
          <w:numId w:val="56"/>
        </w:numPr>
        <w:ind w:left="426" w:hanging="426"/>
        <w:rPr>
          <w:color w:val="000000" w:themeColor="text1"/>
          <w14:textFill>
            <w14:solidFill>
              <w14:schemeClr w14:val="tx1"/>
            </w14:solidFill>
          </w14:textFill>
        </w:rPr>
      </w:pPr>
      <w:bookmarkStart w:id="214" w:name="_Hlk10467433"/>
      <w:r>
        <w:rPr>
          <w:rFonts w:hint="eastAsia"/>
          <w:color w:val="000000" w:themeColor="text1"/>
          <w14:textFill>
            <w14:solidFill>
              <w14:schemeClr w14:val="tx1"/>
            </w14:solidFill>
          </w14:textFill>
        </w:rPr>
        <w:t>坏账准备的情况</w:t>
      </w:r>
    </w:p>
    <w:sdt>
      <w:sdtPr>
        <w:rPr>
          <w:color w:val="000000" w:themeColor="text1"/>
          <w14:textFill>
            <w14:solidFill>
              <w14:schemeClr w14:val="tx1"/>
            </w14:solidFill>
          </w14:textFill>
        </w:rPr>
        <w:alias w:val="是否适用：应收账款坏账准备[双击切换]"/>
        <w:tag w:val="_GBC_fb482eb90dbc45c4a6420c45e8a46012"/>
        <w:id w:val="573091477"/>
      </w:sdtPr>
      <w:sdtEndPr>
        <w:rPr>
          <w:color w:val="000000" w:themeColor="text1"/>
          <w14:textFill>
            <w14:solidFill>
              <w14:schemeClr w14:val="tx1"/>
            </w14:solidFill>
          </w14:textFill>
        </w:rPr>
      </w:sdtEndPr>
      <w:sdtContent>
        <w:p w14:paraId="0ED86AF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602FC0A6">
      <w:pPr>
        <w:pStyle w:val="50"/>
        <w:snapToGrid w:val="0"/>
        <w:spacing w:line="240" w:lineRule="atLeast"/>
        <w:ind w:left="425"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应收账款坏账准备"/>
          <w:tag w:val="_GBC_f681542ff42f497c9ed44328f301413f"/>
          <w:id w:val="-344477220"/>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应收账款坏账准备"/>
          <w:tag w:val="_GBC_79f82daaad1749fbb117cea0941b8667"/>
          <w:id w:val="-130337868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847"/>
        <w:gridCol w:w="1440"/>
        <w:gridCol w:w="1282"/>
        <w:gridCol w:w="1260"/>
        <w:gridCol w:w="1057"/>
        <w:gridCol w:w="744"/>
        <w:gridCol w:w="1429"/>
      </w:tblGrid>
      <w:tr w14:paraId="05AEB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color w:val="000000" w:themeColor="text1"/>
              <w14:textFill>
                <w14:solidFill>
                  <w14:schemeClr w14:val="tx1"/>
                </w14:solidFill>
              </w14:textFill>
            </w:rPr>
            <w:tag w:val="_PLD_82b0419f5c784cbe8b363ff715cfd4eb"/>
            <w:id w:val="566922888"/>
          </w:sdtPr>
          <w:sdtEndPr>
            <w:rPr>
              <w:color w:val="000000" w:themeColor="text1"/>
              <w14:textFill>
                <w14:solidFill>
                  <w14:schemeClr w14:val="tx1"/>
                </w14:solidFill>
              </w14:textFill>
            </w:rPr>
          </w:sdtEndPr>
          <w:sdtContent>
            <w:tc>
              <w:tcPr>
                <w:tcW w:w="1019" w:type="pct"/>
                <w:vMerge w:val="restart"/>
                <w:shd w:val="clear" w:color="auto" w:fill="auto"/>
                <w:vAlign w:val="center"/>
              </w:tcPr>
              <w:p w14:paraId="575926F6">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类别</w:t>
                </w:r>
              </w:p>
            </w:tc>
          </w:sdtContent>
        </w:sdt>
        <w:sdt>
          <w:sdtPr>
            <w:rPr>
              <w:color w:val="000000" w:themeColor="text1"/>
              <w14:textFill>
                <w14:solidFill>
                  <w14:schemeClr w14:val="tx1"/>
                </w14:solidFill>
              </w14:textFill>
            </w:rPr>
            <w:tag w:val="_PLD_6cba2c33cb334541980e3e13a6ee357d"/>
            <w:id w:val="1235809889"/>
          </w:sdtPr>
          <w:sdtEndPr>
            <w:rPr>
              <w:color w:val="000000" w:themeColor="text1"/>
              <w14:textFill>
                <w14:solidFill>
                  <w14:schemeClr w14:val="tx1"/>
                </w14:solidFill>
              </w14:textFill>
            </w:rPr>
          </w:sdtEndPr>
          <w:sdtContent>
            <w:tc>
              <w:tcPr>
                <w:tcW w:w="794" w:type="pct"/>
                <w:vMerge w:val="restart"/>
                <w:shd w:val="clear" w:color="auto" w:fill="auto"/>
                <w:vAlign w:val="center"/>
              </w:tcPr>
              <w:p w14:paraId="53DF0B82">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期初余额</w:t>
                </w:r>
              </w:p>
            </w:tc>
          </w:sdtContent>
        </w:sdt>
        <w:sdt>
          <w:sdtPr>
            <w:rPr>
              <w:color w:val="000000" w:themeColor="text1"/>
              <w14:textFill>
                <w14:solidFill>
                  <w14:schemeClr w14:val="tx1"/>
                </w14:solidFill>
              </w14:textFill>
            </w:rPr>
            <w:tag w:val="_PLD_ec3d2e2cde2a4ba29c966861f9ca39c7"/>
            <w:id w:val="1336885162"/>
          </w:sdtPr>
          <w:sdtEndPr>
            <w:rPr>
              <w:color w:val="000000" w:themeColor="text1"/>
              <w14:textFill>
                <w14:solidFill>
                  <w14:schemeClr w14:val="tx1"/>
                </w14:solidFill>
              </w14:textFill>
            </w:rPr>
          </w:sdtEndPr>
          <w:sdtContent>
            <w:tc>
              <w:tcPr>
                <w:tcW w:w="2396" w:type="pct"/>
                <w:gridSpan w:val="4"/>
                <w:shd w:val="clear" w:color="auto" w:fill="auto"/>
                <w:vAlign w:val="center"/>
              </w:tcPr>
              <w:p w14:paraId="2BB6C980">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本期变动</w:t>
                </w:r>
                <w:r>
                  <w:rPr>
                    <w:color w:val="000000" w:themeColor="text1"/>
                    <w14:textFill>
                      <w14:solidFill>
                        <w14:schemeClr w14:val="tx1"/>
                      </w14:solidFill>
                    </w14:textFill>
                  </w:rPr>
                  <w:t>金额</w:t>
                </w:r>
              </w:p>
            </w:tc>
          </w:sdtContent>
        </w:sdt>
        <w:sdt>
          <w:sdtPr>
            <w:tag w:val="_PLD_9c167d6d72f94e22aecc39ba0e735a78"/>
            <w:id w:val="-1159307560"/>
          </w:sdtPr>
          <w:sdtContent>
            <w:tc>
              <w:tcPr>
                <w:tcW w:w="789" w:type="pct"/>
                <w:vMerge w:val="restart"/>
                <w:shd w:val="clear" w:color="auto" w:fill="auto"/>
                <w:vAlign w:val="center"/>
              </w:tcPr>
              <w:p w14:paraId="2831E839">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期末余额</w:t>
                </w:r>
              </w:p>
            </w:tc>
          </w:sdtContent>
        </w:sdt>
      </w:tr>
      <w:tr w14:paraId="1249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19" w:type="pct"/>
            <w:vMerge w:val="continue"/>
            <w:shd w:val="clear" w:color="auto" w:fill="auto"/>
          </w:tcPr>
          <w:p w14:paraId="22293450">
            <w:pPr>
              <w:widowControl w:val="0"/>
              <w:jc w:val="center"/>
              <w:rPr>
                <w:color w:val="000000" w:themeColor="text1"/>
                <w14:textFill>
                  <w14:solidFill>
                    <w14:schemeClr w14:val="tx1"/>
                  </w14:solidFill>
                </w14:textFill>
              </w:rPr>
            </w:pPr>
          </w:p>
        </w:tc>
        <w:tc>
          <w:tcPr>
            <w:tcW w:w="794" w:type="pct"/>
            <w:vMerge w:val="continue"/>
            <w:shd w:val="clear" w:color="auto" w:fill="auto"/>
          </w:tcPr>
          <w:p w14:paraId="6FD8849C">
            <w:pPr>
              <w:widowControl w:val="0"/>
              <w:jc w:val="center"/>
              <w:rPr>
                <w:color w:val="000000" w:themeColor="text1"/>
                <w14:textFill>
                  <w14:solidFill>
                    <w14:schemeClr w14:val="tx1"/>
                  </w14:solidFill>
                </w14:textFill>
              </w:rPr>
            </w:pPr>
          </w:p>
        </w:tc>
        <w:sdt>
          <w:sdtPr>
            <w:rPr>
              <w:color w:val="000000" w:themeColor="text1"/>
              <w14:textFill>
                <w14:solidFill>
                  <w14:schemeClr w14:val="tx1"/>
                </w14:solidFill>
              </w14:textFill>
            </w:rPr>
            <w:tag w:val="_PLD_6cba23a5661e46c88bed469159b39a72"/>
            <w:id w:val="-765464885"/>
          </w:sdtPr>
          <w:sdtEndPr>
            <w:rPr>
              <w:color w:val="000000" w:themeColor="text1"/>
              <w14:textFill>
                <w14:solidFill>
                  <w14:schemeClr w14:val="tx1"/>
                </w14:solidFill>
              </w14:textFill>
            </w:rPr>
          </w:sdtEndPr>
          <w:sdtContent>
            <w:tc>
              <w:tcPr>
                <w:tcW w:w="707" w:type="pct"/>
                <w:shd w:val="clear" w:color="auto" w:fill="auto"/>
                <w:vAlign w:val="center"/>
              </w:tcPr>
              <w:p w14:paraId="4D27FCB5">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计提</w:t>
                </w:r>
              </w:p>
            </w:tc>
          </w:sdtContent>
        </w:sdt>
        <w:sdt>
          <w:sdtPr>
            <w:rPr>
              <w:color w:val="000000" w:themeColor="text1"/>
              <w14:textFill>
                <w14:solidFill>
                  <w14:schemeClr w14:val="tx1"/>
                </w14:solidFill>
              </w14:textFill>
            </w:rPr>
            <w:tag w:val="_PLD_eaa82901608843c6947a0e537e8e0700"/>
            <w:id w:val="1190730177"/>
          </w:sdtPr>
          <w:sdtEndPr>
            <w:rPr>
              <w:color w:val="000000" w:themeColor="text1"/>
              <w14:textFill>
                <w14:solidFill>
                  <w14:schemeClr w14:val="tx1"/>
                </w14:solidFill>
              </w14:textFill>
            </w:rPr>
          </w:sdtEndPr>
          <w:sdtContent>
            <w:tc>
              <w:tcPr>
                <w:tcW w:w="695" w:type="pct"/>
                <w:shd w:val="clear" w:color="auto" w:fill="auto"/>
                <w:vAlign w:val="center"/>
              </w:tcPr>
              <w:p w14:paraId="02ADE12A">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收回或转回</w:t>
                </w:r>
              </w:p>
            </w:tc>
          </w:sdtContent>
        </w:sdt>
        <w:tc>
          <w:tcPr>
            <w:tcW w:w="583" w:type="pct"/>
            <w:shd w:val="clear" w:color="auto" w:fill="auto"/>
            <w:vAlign w:val="center"/>
          </w:tcPr>
          <w:sdt>
            <w:sdtPr>
              <w:rPr>
                <w:color w:val="000000" w:themeColor="text1"/>
                <w14:textFill>
                  <w14:solidFill>
                    <w14:schemeClr w14:val="tx1"/>
                  </w14:solidFill>
                </w14:textFill>
              </w:rPr>
              <w:tag w:val="_PLD_4232da6e7f4d498bb5fd03aa253dd7d4"/>
              <w:id w:val="1181166364"/>
            </w:sdtPr>
            <w:sdtEndPr>
              <w:rPr>
                <w:color w:val="000000" w:themeColor="text1"/>
                <w14:textFill>
                  <w14:solidFill>
                    <w14:schemeClr w14:val="tx1"/>
                  </w14:solidFill>
                </w14:textFill>
              </w:rPr>
            </w:sdtEndPr>
            <w:sdtContent>
              <w:p w14:paraId="3F66CC50">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转销或</w:t>
                </w:r>
              </w:p>
              <w:p w14:paraId="74029A17">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核销</w:t>
                </w:r>
              </w:p>
            </w:sdtContent>
          </w:sdt>
        </w:tc>
        <w:tc>
          <w:tcPr>
            <w:tcW w:w="410" w:type="pct"/>
            <w:shd w:val="clear" w:color="auto" w:fill="auto"/>
            <w:vAlign w:val="center"/>
          </w:tcPr>
          <w:sdt>
            <w:sdtPr>
              <w:rPr>
                <w:color w:val="000000" w:themeColor="text1"/>
                <w14:textFill>
                  <w14:solidFill>
                    <w14:schemeClr w14:val="tx1"/>
                  </w14:solidFill>
                </w14:textFill>
              </w:rPr>
              <w:tag w:val="_PLD_6a40df7ca60f4ded8af3453519948166"/>
              <w:id w:val="601228490"/>
            </w:sdtPr>
            <w:sdtEndPr>
              <w:rPr>
                <w:color w:val="000000" w:themeColor="text1"/>
                <w14:textFill>
                  <w14:solidFill>
                    <w14:schemeClr w14:val="tx1"/>
                  </w14:solidFill>
                </w14:textFill>
              </w:rPr>
            </w:sdtEndPr>
            <w:sdtContent>
              <w:p w14:paraId="53751F6C">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p w14:paraId="04FCD42B">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变动</w:t>
                </w:r>
              </w:p>
            </w:sdtContent>
          </w:sdt>
        </w:tc>
        <w:tc>
          <w:tcPr>
            <w:tcW w:w="789" w:type="pct"/>
            <w:vMerge w:val="continue"/>
            <w:shd w:val="clear" w:color="auto" w:fill="auto"/>
          </w:tcPr>
          <w:p w14:paraId="745352DF">
            <w:pPr>
              <w:widowControl w:val="0"/>
              <w:jc w:val="right"/>
              <w:rPr>
                <w:color w:val="000000" w:themeColor="text1"/>
                <w14:textFill>
                  <w14:solidFill>
                    <w14:schemeClr w14:val="tx1"/>
                  </w14:solidFill>
                </w14:textFill>
              </w:rPr>
            </w:pPr>
          </w:p>
        </w:tc>
      </w:tr>
      <w:tr w14:paraId="58DD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19" w:type="pct"/>
          </w:tcPr>
          <w:p w14:paraId="5FEF3946">
            <w:pPr>
              <w:widowControl w:val="0"/>
            </w:pPr>
            <w:r>
              <w:rPr>
                <w:rFonts w:hint="eastAsia"/>
              </w:rPr>
              <w:t>单项计提预期信用损失的应收账款</w:t>
            </w:r>
          </w:p>
        </w:tc>
        <w:tc>
          <w:tcPr>
            <w:tcW w:w="794" w:type="pct"/>
            <w:vAlign w:val="center"/>
          </w:tcPr>
          <w:p w14:paraId="36B95CAC">
            <w:pPr>
              <w:widowControl w:val="0"/>
              <w:jc w:val="right"/>
              <w:rPr>
                <w:sz w:val="18"/>
                <w:szCs w:val="18"/>
              </w:rPr>
            </w:pPr>
            <w:r>
              <w:rPr>
                <w:rFonts w:hint="eastAsia"/>
                <w:sz w:val="18"/>
                <w:szCs w:val="18"/>
              </w:rPr>
              <w:t>204,343,818.91</w:t>
            </w:r>
          </w:p>
        </w:tc>
        <w:tc>
          <w:tcPr>
            <w:tcW w:w="707" w:type="pct"/>
            <w:vAlign w:val="center"/>
          </w:tcPr>
          <w:p w14:paraId="06145F69">
            <w:pPr>
              <w:widowControl w:val="0"/>
              <w:jc w:val="right"/>
              <w:rPr>
                <w:sz w:val="18"/>
                <w:szCs w:val="18"/>
              </w:rPr>
            </w:pPr>
            <w:r>
              <w:rPr>
                <w:rFonts w:hint="eastAsia"/>
                <w:sz w:val="18"/>
                <w:szCs w:val="18"/>
              </w:rPr>
              <w:t>1,565,857.07</w:t>
            </w:r>
          </w:p>
        </w:tc>
        <w:tc>
          <w:tcPr>
            <w:tcW w:w="695" w:type="pct"/>
            <w:vAlign w:val="center"/>
          </w:tcPr>
          <w:p w14:paraId="7D6B830A">
            <w:pPr>
              <w:widowControl w:val="0"/>
              <w:jc w:val="right"/>
              <w:rPr>
                <w:sz w:val="18"/>
                <w:szCs w:val="18"/>
              </w:rPr>
            </w:pPr>
            <w:r>
              <w:rPr>
                <w:rFonts w:hint="eastAsia"/>
                <w:sz w:val="18"/>
                <w:szCs w:val="18"/>
              </w:rPr>
              <w:t>1,150,268.22</w:t>
            </w:r>
          </w:p>
        </w:tc>
        <w:tc>
          <w:tcPr>
            <w:tcW w:w="583" w:type="pct"/>
            <w:vAlign w:val="center"/>
          </w:tcPr>
          <w:p w14:paraId="0A47AF86">
            <w:pPr>
              <w:widowControl w:val="0"/>
              <w:jc w:val="right"/>
              <w:rPr>
                <w:sz w:val="18"/>
                <w:szCs w:val="18"/>
              </w:rPr>
            </w:pPr>
          </w:p>
        </w:tc>
        <w:tc>
          <w:tcPr>
            <w:tcW w:w="410" w:type="pct"/>
            <w:vAlign w:val="center"/>
          </w:tcPr>
          <w:p w14:paraId="1AF6785E">
            <w:pPr>
              <w:widowControl w:val="0"/>
              <w:jc w:val="right"/>
              <w:rPr>
                <w:sz w:val="18"/>
                <w:szCs w:val="18"/>
              </w:rPr>
            </w:pPr>
          </w:p>
        </w:tc>
        <w:tc>
          <w:tcPr>
            <w:tcW w:w="789" w:type="pct"/>
            <w:vAlign w:val="center"/>
          </w:tcPr>
          <w:p w14:paraId="56D1A98C">
            <w:pPr>
              <w:widowControl w:val="0"/>
              <w:jc w:val="right"/>
              <w:rPr>
                <w:sz w:val="18"/>
                <w:szCs w:val="18"/>
              </w:rPr>
            </w:pPr>
            <w:r>
              <w:rPr>
                <w:rFonts w:hint="eastAsia"/>
                <w:sz w:val="18"/>
                <w:szCs w:val="18"/>
              </w:rPr>
              <w:t>204,759,407.76</w:t>
            </w:r>
          </w:p>
        </w:tc>
      </w:tr>
      <w:sdt>
        <w:sdtPr>
          <w:rPr>
            <w:color w:val="000000" w:themeColor="text1"/>
            <w14:textFill>
              <w14:solidFill>
                <w14:schemeClr w14:val="tx1"/>
              </w14:solidFill>
            </w14:textFill>
          </w:rPr>
          <w:alias w:val="应收账款坏账准备明细"/>
          <w:tag w:val="_TUP_04277916d7e64096951ac7654a59b39a"/>
          <w:id w:val="-128786596"/>
          <w:placeholder>
            <w:docPart w:val="{5b714b37-0811-4c63-b97b-7224f2d7e8a0}"/>
          </w:placeholder>
        </w:sdtPr>
        <w:sdtEndPr>
          <w:rPr>
            <w:color w:val="000000" w:themeColor="text1"/>
            <w:sz w:val="18"/>
            <w:szCs w:val="18"/>
            <w14:textFill>
              <w14:solidFill>
                <w14:schemeClr w14:val="tx1"/>
              </w14:solidFill>
            </w14:textFill>
          </w:rPr>
        </w:sdtEndPr>
        <w:sdtContent>
          <w:tr w14:paraId="11BF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19" w:type="pct"/>
              </w:tcPr>
              <w:p w14:paraId="0BB1CD22">
                <w:pPr>
                  <w:widowControl w:val="0"/>
                </w:pPr>
                <w:r>
                  <w:rPr>
                    <w:rFonts w:hint="eastAsia"/>
                  </w:rPr>
                  <w:t>按组合计提预期信用损失的应收账款</w:t>
                </w:r>
              </w:p>
            </w:tc>
            <w:tc>
              <w:tcPr>
                <w:tcW w:w="794" w:type="pct"/>
                <w:vAlign w:val="center"/>
              </w:tcPr>
              <w:p w14:paraId="7B9B9262">
                <w:pPr>
                  <w:widowControl w:val="0"/>
                  <w:jc w:val="right"/>
                  <w:rPr>
                    <w:sz w:val="18"/>
                    <w:szCs w:val="18"/>
                  </w:rPr>
                </w:pPr>
                <w:r>
                  <w:rPr>
                    <w:rFonts w:hint="eastAsia"/>
                    <w:sz w:val="18"/>
                    <w:szCs w:val="18"/>
                  </w:rPr>
                  <w:t>306,158,655.66</w:t>
                </w:r>
              </w:p>
            </w:tc>
            <w:tc>
              <w:tcPr>
                <w:tcW w:w="707" w:type="pct"/>
                <w:vAlign w:val="center"/>
              </w:tcPr>
              <w:p w14:paraId="18BA5C3D">
                <w:pPr>
                  <w:widowControl w:val="0"/>
                  <w:jc w:val="right"/>
                  <w:rPr>
                    <w:sz w:val="18"/>
                    <w:szCs w:val="18"/>
                  </w:rPr>
                </w:pPr>
                <w:r>
                  <w:rPr>
                    <w:rFonts w:hint="eastAsia"/>
                    <w:sz w:val="18"/>
                    <w:szCs w:val="18"/>
                  </w:rPr>
                  <w:t>-2,637,799.19</w:t>
                </w:r>
              </w:p>
            </w:tc>
            <w:tc>
              <w:tcPr>
                <w:tcW w:w="695" w:type="pct"/>
                <w:vAlign w:val="center"/>
              </w:tcPr>
              <w:p w14:paraId="491786D5">
                <w:pPr>
                  <w:widowControl w:val="0"/>
                  <w:jc w:val="right"/>
                  <w:rPr>
                    <w:sz w:val="18"/>
                    <w:szCs w:val="18"/>
                  </w:rPr>
                </w:pPr>
              </w:p>
            </w:tc>
            <w:tc>
              <w:tcPr>
                <w:tcW w:w="583" w:type="pct"/>
                <w:vAlign w:val="center"/>
              </w:tcPr>
              <w:p w14:paraId="1FC3ECE0">
                <w:pPr>
                  <w:widowControl w:val="0"/>
                  <w:jc w:val="right"/>
                  <w:rPr>
                    <w:sz w:val="18"/>
                    <w:szCs w:val="18"/>
                  </w:rPr>
                </w:pPr>
                <w:r>
                  <w:rPr>
                    <w:rFonts w:hint="eastAsia"/>
                    <w:sz w:val="18"/>
                    <w:szCs w:val="18"/>
                  </w:rPr>
                  <w:t>30,262.53</w:t>
                </w:r>
              </w:p>
            </w:tc>
            <w:tc>
              <w:tcPr>
                <w:tcW w:w="410" w:type="pct"/>
                <w:vAlign w:val="center"/>
              </w:tcPr>
              <w:p w14:paraId="1820F4BE">
                <w:pPr>
                  <w:widowControl w:val="0"/>
                  <w:jc w:val="right"/>
                  <w:rPr>
                    <w:sz w:val="18"/>
                    <w:szCs w:val="18"/>
                  </w:rPr>
                </w:pPr>
              </w:p>
            </w:tc>
            <w:tc>
              <w:tcPr>
                <w:tcW w:w="789" w:type="pct"/>
                <w:vAlign w:val="center"/>
              </w:tcPr>
              <w:p w14:paraId="31DBBDEE">
                <w:pPr>
                  <w:widowControl w:val="0"/>
                  <w:jc w:val="right"/>
                  <w:rPr>
                    <w:sz w:val="18"/>
                    <w:szCs w:val="18"/>
                  </w:rPr>
                </w:pPr>
                <w:r>
                  <w:rPr>
                    <w:rFonts w:hint="eastAsia"/>
                    <w:sz w:val="18"/>
                    <w:szCs w:val="18"/>
                  </w:rPr>
                  <w:t>303,490,593.94</w:t>
                </w:r>
              </w:p>
            </w:tc>
          </w:tr>
        </w:sdtContent>
      </w:sdt>
      <w:tr w14:paraId="7C3C0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8c958a5c94c1486e8139bef49c636c6d"/>
            <w:id w:val="723797107"/>
          </w:sdtPr>
          <w:sdtContent>
            <w:tc>
              <w:tcPr>
                <w:tcW w:w="1019" w:type="pct"/>
              </w:tcPr>
              <w:p w14:paraId="7356847B">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sdtContent>
        </w:sdt>
        <w:tc>
          <w:tcPr>
            <w:tcW w:w="794" w:type="pct"/>
            <w:vAlign w:val="center"/>
          </w:tcPr>
          <w:p w14:paraId="4E8ED81D">
            <w:pPr>
              <w:widowControl w:val="0"/>
              <w:jc w:val="right"/>
              <w:rPr>
                <w:sz w:val="18"/>
                <w:szCs w:val="18"/>
              </w:rPr>
            </w:pPr>
            <w:r>
              <w:rPr>
                <w:rFonts w:hint="eastAsia"/>
                <w:sz w:val="18"/>
                <w:szCs w:val="18"/>
              </w:rPr>
              <w:t>510,502,474.57</w:t>
            </w:r>
          </w:p>
        </w:tc>
        <w:tc>
          <w:tcPr>
            <w:tcW w:w="707" w:type="pct"/>
            <w:vAlign w:val="center"/>
          </w:tcPr>
          <w:p w14:paraId="70AA6FB0">
            <w:pPr>
              <w:widowControl w:val="0"/>
              <w:jc w:val="right"/>
              <w:rPr>
                <w:sz w:val="18"/>
                <w:szCs w:val="18"/>
              </w:rPr>
            </w:pPr>
            <w:r>
              <w:rPr>
                <w:rFonts w:hint="eastAsia"/>
                <w:sz w:val="18"/>
                <w:szCs w:val="18"/>
              </w:rPr>
              <w:t>-1,071,942.12</w:t>
            </w:r>
          </w:p>
        </w:tc>
        <w:tc>
          <w:tcPr>
            <w:tcW w:w="695" w:type="pct"/>
            <w:vAlign w:val="center"/>
          </w:tcPr>
          <w:p w14:paraId="1B0301D2">
            <w:pPr>
              <w:widowControl w:val="0"/>
              <w:jc w:val="right"/>
              <w:rPr>
                <w:sz w:val="18"/>
                <w:szCs w:val="18"/>
              </w:rPr>
            </w:pPr>
            <w:r>
              <w:rPr>
                <w:rFonts w:hint="eastAsia"/>
                <w:sz w:val="18"/>
                <w:szCs w:val="18"/>
              </w:rPr>
              <w:t>1,150,268.22</w:t>
            </w:r>
          </w:p>
        </w:tc>
        <w:tc>
          <w:tcPr>
            <w:tcW w:w="583" w:type="pct"/>
            <w:vAlign w:val="center"/>
          </w:tcPr>
          <w:p w14:paraId="06449B4D">
            <w:pPr>
              <w:widowControl w:val="0"/>
              <w:jc w:val="right"/>
              <w:rPr>
                <w:sz w:val="18"/>
                <w:szCs w:val="18"/>
              </w:rPr>
            </w:pPr>
            <w:r>
              <w:rPr>
                <w:rFonts w:hint="eastAsia"/>
                <w:sz w:val="18"/>
                <w:szCs w:val="18"/>
              </w:rPr>
              <w:t>30,262.53</w:t>
            </w:r>
          </w:p>
        </w:tc>
        <w:tc>
          <w:tcPr>
            <w:tcW w:w="410" w:type="pct"/>
            <w:vAlign w:val="center"/>
          </w:tcPr>
          <w:p w14:paraId="4C7BE308">
            <w:pPr>
              <w:widowControl w:val="0"/>
              <w:jc w:val="right"/>
              <w:rPr>
                <w:sz w:val="18"/>
                <w:szCs w:val="18"/>
              </w:rPr>
            </w:pPr>
          </w:p>
        </w:tc>
        <w:tc>
          <w:tcPr>
            <w:tcW w:w="789" w:type="pct"/>
            <w:vAlign w:val="center"/>
          </w:tcPr>
          <w:p w14:paraId="0040B8A9">
            <w:pPr>
              <w:widowControl w:val="0"/>
              <w:jc w:val="right"/>
              <w:rPr>
                <w:sz w:val="18"/>
                <w:szCs w:val="18"/>
              </w:rPr>
            </w:pPr>
            <w:r>
              <w:rPr>
                <w:rFonts w:hint="eastAsia"/>
                <w:sz w:val="18"/>
                <w:szCs w:val="18"/>
              </w:rPr>
              <w:t>508,250,001.70</w:t>
            </w:r>
          </w:p>
        </w:tc>
      </w:tr>
    </w:tbl>
    <w:p w14:paraId="2182CE32">
      <w:pPr>
        <w:rPr>
          <w:color w:val="000000" w:themeColor="text1"/>
          <w14:textFill>
            <w14:solidFill>
              <w14:schemeClr w14:val="tx1"/>
            </w14:solidFill>
          </w14:textFill>
        </w:rPr>
      </w:pPr>
    </w:p>
    <w:bookmarkEnd w:id="214"/>
    <w:p w14:paraId="529571AA">
      <w:pPr>
        <w:rPr>
          <w:color w:val="000000" w:themeColor="text1"/>
          <w14:textFill>
            <w14:solidFill>
              <w14:schemeClr w14:val="tx1"/>
            </w14:solidFill>
          </w14:textFill>
        </w:rPr>
      </w:pPr>
      <w:bookmarkStart w:id="215" w:name="_Hlk167885446"/>
      <w:r>
        <w:rPr>
          <w:rFonts w:hint="eastAsia"/>
          <w:color w:val="000000" w:themeColor="text1"/>
          <w14:textFill>
            <w14:solidFill>
              <w14:schemeClr w14:val="tx1"/>
            </w14:solidFill>
          </w14:textFill>
        </w:rPr>
        <w:t>其中本期坏账准备收回或转回金额重要的：</w:t>
      </w:r>
    </w:p>
    <w:sdt>
      <w:sdtPr>
        <w:rPr>
          <w:color w:val="000000" w:themeColor="text1"/>
          <w14:textFill>
            <w14:solidFill>
              <w14:schemeClr w14:val="tx1"/>
            </w14:solidFill>
          </w14:textFill>
        </w:rPr>
        <w:alias w:val="是否适用：其中本期坏账准备收回或转回金额重要的[双击切换]"/>
        <w:tag w:val="_GBC_782db13fff094d37b8b99f81224cac44"/>
        <w:id w:val="147464479"/>
        <w:placeholder>
          <w:docPart w:val="GBC22222222222222222222222222222"/>
        </w:placeholder>
      </w:sdtPr>
      <w:sdtEndPr>
        <w:rPr>
          <w:color w:val="000000" w:themeColor="text1"/>
          <w14:textFill>
            <w14:solidFill>
              <w14:schemeClr w14:val="tx1"/>
            </w14:solidFill>
          </w14:textFill>
        </w:rPr>
      </w:sdtEndPr>
      <w:sdtContent>
        <w:p w14:paraId="71DBAFC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1A4B0FA">
      <w:pPr>
        <w:rPr>
          <w:color w:val="000000" w:themeColor="text1"/>
          <w14:textFill>
            <w14:solidFill>
              <w14:schemeClr w14:val="tx1"/>
            </w14:solidFill>
          </w14:textFill>
        </w:rPr>
      </w:pPr>
    </w:p>
    <w:p w14:paraId="2B481159">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应收账款坏账准备情况的说明"/>
        <w:tag w:val="_GBC_112ac8bd16914f4682cf1367c6702f93"/>
        <w:id w:val="147472602"/>
        <w:placeholder>
          <w:docPart w:val="GBC22222222222222222222222222222"/>
        </w:placeholder>
      </w:sdtPr>
      <w:sdtEndPr>
        <w:rPr>
          <w:color w:val="000000" w:themeColor="text1"/>
          <w14:textFill>
            <w14:solidFill>
              <w14:schemeClr w14:val="tx1"/>
            </w14:solidFill>
          </w14:textFill>
        </w:rPr>
      </w:sdtEndPr>
      <w:sdtContent>
        <w:p w14:paraId="31627D55">
          <w:pPr>
            <w:ind w:right="42" w:rightChars="2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2C9D9D22">
      <w:pPr>
        <w:ind w:right="-1594" w:rightChars="-759"/>
        <w:rPr>
          <w:rFonts w:cs="Times New Roman"/>
          <w:color w:val="000000" w:themeColor="text1"/>
          <w:kern w:val="2"/>
          <w14:textFill>
            <w14:solidFill>
              <w14:schemeClr w14:val="tx1"/>
            </w14:solidFill>
          </w14:textFill>
        </w:rPr>
      </w:pPr>
    </w:p>
    <w:bookmarkEnd w:id="215"/>
    <w:p w14:paraId="219FECB8">
      <w:pPr>
        <w:pStyle w:val="58"/>
        <w:numPr>
          <w:ilvl w:val="3"/>
          <w:numId w:val="56"/>
        </w:numPr>
        <w:ind w:left="426" w:hanging="426"/>
        <w:rPr>
          <w:color w:val="000000" w:themeColor="text1"/>
          <w14:textFill>
            <w14:solidFill>
              <w14:schemeClr w14:val="tx1"/>
            </w14:solidFill>
          </w14:textFill>
        </w:rPr>
      </w:pPr>
      <w:r>
        <w:rPr>
          <w:rFonts w:hint="eastAsia"/>
          <w:color w:val="000000" w:themeColor="text1"/>
          <w14:textFill>
            <w14:solidFill>
              <w14:schemeClr w14:val="tx1"/>
            </w14:solidFill>
          </w14:textFill>
        </w:rPr>
        <w:t>本期实际核销的应收账款情况</w:t>
      </w:r>
    </w:p>
    <w:sdt>
      <w:sdtPr>
        <w:rPr>
          <w:color w:val="000000" w:themeColor="text1"/>
          <w14:textFill>
            <w14:solidFill>
              <w14:schemeClr w14:val="tx1"/>
            </w14:solidFill>
          </w14:textFill>
        </w:rPr>
        <w:alias w:val="是否适用：本期实际核销的应收账款情况[双击切换]"/>
        <w:tag w:val="_GBC_240341a3455747bb87ecabf420d94ec5"/>
        <w:id w:val="1192117261"/>
      </w:sdtPr>
      <w:sdtEndPr>
        <w:rPr>
          <w:color w:val="000000" w:themeColor="text1"/>
          <w14:textFill>
            <w14:solidFill>
              <w14:schemeClr w14:val="tx1"/>
            </w14:solidFill>
          </w14:textFill>
        </w:rPr>
      </w:sdtEndPr>
      <w:sdtContent>
        <w:p w14:paraId="29F7BA1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1812E8FB">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本报告期实际核销的应收款项情况"/>
          <w:tag w:val="_GBC_97f637feeea84b2a8c01321339a44c9e"/>
          <w:id w:val="-130642908"/>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本报告期实际核销的应收款项情况"/>
          <w:tag w:val="_GBC_1e69e5173e614c0f8dd12c7f988c2a4e"/>
          <w:id w:val="-146280099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3"/>
        <w:gridCol w:w="4776"/>
      </w:tblGrid>
      <w:tr w14:paraId="7615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3731fe405bb4134af7ad46e8ca83d7e"/>
            <w:id w:val="79189373"/>
          </w:sdtPr>
          <w:sdtContent>
            <w:tc>
              <w:tcPr>
                <w:tcW w:w="2361" w:type="pct"/>
                <w:vAlign w:val="center"/>
              </w:tcPr>
              <w:p w14:paraId="5454E8D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1256a8b0b19c4d908f33771c40d2df26"/>
            <w:id w:val="-304468783"/>
          </w:sdtPr>
          <w:sdtContent>
            <w:tc>
              <w:tcPr>
                <w:tcW w:w="2639" w:type="pct"/>
              </w:tcPr>
              <w:p w14:paraId="2983394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核销金额</w:t>
                </w:r>
              </w:p>
            </w:tc>
          </w:sdtContent>
        </w:sdt>
      </w:tr>
      <w:tr w14:paraId="4FA7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4bcad986cfa4d799cf132234e1a09a1"/>
            <w:id w:val="-1506286529"/>
          </w:sdtPr>
          <w:sdtContent>
            <w:tc>
              <w:tcPr>
                <w:tcW w:w="2361" w:type="pct"/>
              </w:tcPr>
              <w:p w14:paraId="1C9CD49F">
                <w:pPr>
                  <w:rPr>
                    <w:color w:val="000000" w:themeColor="text1"/>
                    <w14:textFill>
                      <w14:solidFill>
                        <w14:schemeClr w14:val="tx1"/>
                      </w14:solidFill>
                    </w14:textFill>
                  </w:rPr>
                </w:pPr>
                <w:r>
                  <w:rPr>
                    <w:rFonts w:hint="eastAsia"/>
                    <w:color w:val="000000" w:themeColor="text1"/>
                    <w14:textFill>
                      <w14:solidFill>
                        <w14:schemeClr w14:val="tx1"/>
                      </w14:solidFill>
                    </w14:textFill>
                  </w:rPr>
                  <w:t>实际核销的应收账款</w:t>
                </w:r>
              </w:p>
            </w:tc>
          </w:sdtContent>
        </w:sdt>
        <w:tc>
          <w:tcPr>
            <w:tcW w:w="2639" w:type="pct"/>
          </w:tcPr>
          <w:p w14:paraId="14A55549">
            <w:pPr>
              <w:jc w:val="right"/>
            </w:pPr>
            <w:r>
              <w:rPr>
                <w:rFonts w:hint="eastAsia"/>
              </w:rPr>
              <w:t>30,262.53</w:t>
            </w:r>
          </w:p>
        </w:tc>
      </w:tr>
    </w:tbl>
    <w:p w14:paraId="1F2DF21A">
      <w:pPr>
        <w:rPr>
          <w:color w:val="000000" w:themeColor="text1"/>
          <w14:textFill>
            <w14:solidFill>
              <w14:schemeClr w14:val="tx1"/>
            </w14:solidFill>
          </w14:textFill>
        </w:rPr>
      </w:pPr>
    </w:p>
    <w:p w14:paraId="60CE91BF">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其中重要的应收账款核销情况</w:t>
      </w:r>
    </w:p>
    <w:sdt>
      <w:sdtPr>
        <w:rPr>
          <w:color w:val="000000" w:themeColor="text1"/>
          <w14:textFill>
            <w14:solidFill>
              <w14:schemeClr w14:val="tx1"/>
            </w14:solidFill>
          </w14:textFill>
        </w:rPr>
        <w:alias w:val="是否适用：其中重要的应收账款核销情况[双击切换]"/>
        <w:tag w:val="_GBC_8a44f02ff52343a08b5e1e48c8b2cb3d"/>
        <w:id w:val="-1409379325"/>
      </w:sdtPr>
      <w:sdtEndPr>
        <w:rPr>
          <w:color w:val="000000" w:themeColor="text1"/>
          <w14:textFill>
            <w14:solidFill>
              <w14:schemeClr w14:val="tx1"/>
            </w14:solidFill>
          </w14:textFill>
        </w:rPr>
      </w:sdtEndPr>
      <w:sdtContent>
        <w:p w14:paraId="58AD34A3">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3EDAEA5A">
      <w:pPr>
        <w:snapToGrid w:val="0"/>
        <w:spacing w:line="240" w:lineRule="atLeast"/>
        <w:rPr>
          <w:color w:val="000000" w:themeColor="text1"/>
          <w14:textFill>
            <w14:solidFill>
              <w14:schemeClr w14:val="tx1"/>
            </w14:solidFill>
          </w14:textFill>
        </w:rPr>
      </w:pPr>
    </w:p>
    <w:p w14:paraId="622BF92F">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应收账款核销说明：</w:t>
      </w:r>
    </w:p>
    <w:sdt>
      <w:sdtPr>
        <w:rPr>
          <w:color w:val="000000" w:themeColor="text1"/>
          <w14:textFill>
            <w14:solidFill>
              <w14:schemeClr w14:val="tx1"/>
            </w14:solidFill>
          </w14:textFill>
        </w:rPr>
        <w:alias w:val="是否适用：应收账款核销说明[双击切换]"/>
        <w:tag w:val="_GBC_69824b683b7348d5abc31b2f2e813757"/>
        <w:id w:val="-1486929394"/>
      </w:sdtPr>
      <w:sdtEndPr>
        <w:rPr>
          <w:color w:val="000000" w:themeColor="text1"/>
          <w14:textFill>
            <w14:solidFill>
              <w14:schemeClr w14:val="tx1"/>
            </w14:solidFill>
          </w14:textFill>
        </w:rPr>
      </w:sdtEndPr>
      <w:sdtContent>
        <w:p w14:paraId="1DEFC62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72897405">
      <w:pPr>
        <w:rPr>
          <w:color w:val="000000" w:themeColor="text1"/>
          <w14:textFill>
            <w14:solidFill>
              <w14:schemeClr w14:val="tx1"/>
            </w14:solidFill>
          </w14:textFill>
        </w:rPr>
      </w:pPr>
    </w:p>
    <w:p w14:paraId="383BBBEF">
      <w:pPr>
        <w:pStyle w:val="58"/>
        <w:numPr>
          <w:ilvl w:val="3"/>
          <w:numId w:val="56"/>
        </w:numPr>
        <w:ind w:left="426" w:hanging="426"/>
        <w:rPr>
          <w:color w:val="000000" w:themeColor="text1"/>
          <w14:textFill>
            <w14:solidFill>
              <w14:schemeClr w14:val="tx1"/>
            </w14:solidFill>
          </w14:textFill>
        </w:rPr>
      </w:pPr>
      <w:bookmarkStart w:id="216" w:name="_Hlk167885578"/>
      <w:r>
        <w:rPr>
          <w:rFonts w:hint="eastAsia"/>
          <w:color w:val="000000" w:themeColor="text1"/>
          <w14:textFill>
            <w14:solidFill>
              <w14:schemeClr w14:val="tx1"/>
            </w14:solidFill>
          </w14:textFill>
        </w:rPr>
        <w:t>按欠款方归集的期末余额前五名的应收账款和合同资产情况</w:t>
      </w:r>
    </w:p>
    <w:sdt>
      <w:sdtPr>
        <w:rPr>
          <w:rFonts w:hint="eastAsia"/>
          <w:color w:val="000000" w:themeColor="text1"/>
          <w14:textFill>
            <w14:solidFill>
              <w14:schemeClr w14:val="tx1"/>
            </w14:solidFill>
          </w14:textFill>
        </w:rPr>
        <w:alias w:val="是否适用：按欠款方归集的期末余额前五名的应收账款情况[双击切换]"/>
        <w:tag w:val="_GBC_23de179fe67e4dae836713363b228dc1"/>
        <w:id w:val="147464642"/>
        <w:placeholder>
          <w:docPart w:val="GBC22222222222222222222222222222"/>
        </w:placeholder>
      </w:sdtPr>
      <w:sdtEndPr>
        <w:rPr>
          <w:rFonts w:hint="eastAsia"/>
          <w:color w:val="000000" w:themeColor="text1"/>
          <w14:textFill>
            <w14:solidFill>
              <w14:schemeClr w14:val="tx1"/>
            </w14:solidFill>
          </w14:textFill>
        </w:rPr>
      </w:sdtEndPr>
      <w:sdtContent>
        <w:p w14:paraId="4D6799E7">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FB3C35E">
      <w:pPr>
        <w:snapToGrid w:val="0"/>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color w:val="000000" w:themeColor="text1"/>
            <w14:textFill>
              <w14:solidFill>
                <w14:schemeClr w14:val="tx1"/>
              </w14:solidFill>
            </w14:textFill>
          </w:rPr>
          <w:alias w:val="单位：财务附注：应收账款前五名欠款情况"/>
          <w:tag w:val="_GBC_7b83c21a9ac04b3f9556af0eefbf91af"/>
          <w:id w:val="14745116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应收账款前五名欠款情况"/>
          <w:tag w:val="_GBC_aeac0acd27084bbe8582a2bdb9097b96"/>
          <w:id w:val="1474735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2"/>
        <w:gridCol w:w="2101"/>
        <w:gridCol w:w="2154"/>
        <w:gridCol w:w="1625"/>
        <w:gridCol w:w="1642"/>
      </w:tblGrid>
      <w:tr w14:paraId="1FCD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f9c6798381a549c8be592d88dde64345"/>
            <w:id w:val="147455717"/>
          </w:sdtPr>
          <w:sdtContent>
            <w:tc>
              <w:tcPr>
                <w:tcW w:w="841" w:type="pct"/>
                <w:vAlign w:val="center"/>
              </w:tcPr>
              <w:p w14:paraId="53FC062D">
                <w:pPr>
                  <w:ind w:right="10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单位名称</w:t>
                </w:r>
              </w:p>
            </w:tc>
          </w:sdtContent>
        </w:sdt>
        <w:sdt>
          <w:sdtPr>
            <w:tag w:val="_PLD_cb3675ff5adc4fc5a9134c43edda944a"/>
            <w:id w:val="147481951"/>
          </w:sdtPr>
          <w:sdtContent>
            <w:tc>
              <w:tcPr>
                <w:tcW w:w="1161" w:type="pct"/>
                <w:vAlign w:val="center"/>
              </w:tcPr>
              <w:p w14:paraId="161A7920">
                <w:pPr>
                  <w:ind w:right="7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应收账款期末余额</w:t>
                </w:r>
              </w:p>
            </w:tc>
          </w:sdtContent>
        </w:sdt>
        <w:sdt>
          <w:sdtPr>
            <w:tag w:val="_PLD_d4247a30e2224be4b066f9eb3e8b3980"/>
            <w:id w:val="147457973"/>
          </w:sdtPr>
          <w:sdtContent>
            <w:tc>
              <w:tcPr>
                <w:tcW w:w="1190" w:type="pct"/>
                <w:vAlign w:val="center"/>
              </w:tcPr>
              <w:p w14:paraId="6751966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应收账款和合同资产期末余额</w:t>
                </w:r>
              </w:p>
            </w:tc>
          </w:sdtContent>
        </w:sdt>
        <w:sdt>
          <w:sdtPr>
            <w:tag w:val="_PLD_973a396aab204cf2abdf2f7f405b9071"/>
            <w:id w:val="147482455"/>
          </w:sdtPr>
          <w:sdtContent>
            <w:tc>
              <w:tcPr>
                <w:tcW w:w="898" w:type="pct"/>
                <w:vAlign w:val="center"/>
              </w:tcPr>
              <w:p w14:paraId="48121F9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占应收账款和合同资产期末余额合计数的比例（%）</w:t>
                </w:r>
              </w:p>
            </w:tc>
          </w:sdtContent>
        </w:sdt>
        <w:sdt>
          <w:sdtPr>
            <w:tag w:val="_PLD_839fe6b484114addbcaeef57270c8a21"/>
            <w:id w:val="147467151"/>
          </w:sdtPr>
          <w:sdtContent>
            <w:tc>
              <w:tcPr>
                <w:tcW w:w="907" w:type="pct"/>
                <w:vAlign w:val="center"/>
              </w:tcPr>
              <w:p w14:paraId="65AA4EA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坏账准备期末余额</w:t>
                </w:r>
              </w:p>
            </w:tc>
          </w:sdtContent>
        </w:sdt>
      </w:tr>
      <w:tr w14:paraId="7FFF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41" w:type="pct"/>
          </w:tcPr>
          <w:p w14:paraId="511A8D65">
            <w:pPr>
              <w:ind w:right="105"/>
            </w:pPr>
            <w:r>
              <w:rPr>
                <w:rFonts w:cs="Times New Roman"/>
                <w:color w:val="000000"/>
              </w:rPr>
              <w:t>客户一</w:t>
            </w:r>
          </w:p>
        </w:tc>
        <w:tc>
          <w:tcPr>
            <w:tcW w:w="1161" w:type="pct"/>
            <w:vAlign w:val="bottom"/>
          </w:tcPr>
          <w:p w14:paraId="73AD8B74">
            <w:pPr>
              <w:jc w:val="right"/>
              <w:textAlignment w:val="bottom"/>
              <w:rPr>
                <w:rFonts w:cs="Times New Roman"/>
              </w:rPr>
            </w:pPr>
            <w:r>
              <w:rPr>
                <w:rFonts w:cs="Times New Roman"/>
                <w:color w:val="000000"/>
              </w:rPr>
              <w:t>1,111,150,964.32</w:t>
            </w:r>
          </w:p>
        </w:tc>
        <w:tc>
          <w:tcPr>
            <w:tcW w:w="1190" w:type="pct"/>
            <w:vAlign w:val="bottom"/>
          </w:tcPr>
          <w:p w14:paraId="4BC4A1FA">
            <w:pPr>
              <w:jc w:val="right"/>
              <w:textAlignment w:val="bottom"/>
              <w:rPr>
                <w:rFonts w:cs="Times New Roman"/>
              </w:rPr>
            </w:pPr>
            <w:r>
              <w:rPr>
                <w:rFonts w:cs="Times New Roman"/>
                <w:color w:val="000000"/>
              </w:rPr>
              <w:t>1,111,150,964.32</w:t>
            </w:r>
          </w:p>
        </w:tc>
        <w:tc>
          <w:tcPr>
            <w:tcW w:w="898" w:type="pct"/>
            <w:vAlign w:val="bottom"/>
          </w:tcPr>
          <w:p w14:paraId="2049553E">
            <w:pPr>
              <w:jc w:val="right"/>
              <w:textAlignment w:val="bottom"/>
              <w:rPr>
                <w:rFonts w:cs="Times New Roman"/>
              </w:rPr>
            </w:pPr>
            <w:r>
              <w:rPr>
                <w:rFonts w:cs="Times New Roman"/>
                <w:color w:val="000000"/>
              </w:rPr>
              <w:t>31.16</w:t>
            </w:r>
          </w:p>
        </w:tc>
        <w:tc>
          <w:tcPr>
            <w:tcW w:w="907" w:type="pct"/>
            <w:vAlign w:val="bottom"/>
          </w:tcPr>
          <w:p w14:paraId="2EAE7E34">
            <w:pPr>
              <w:jc w:val="right"/>
              <w:textAlignment w:val="bottom"/>
              <w:rPr>
                <w:rFonts w:cs="Times New Roman"/>
              </w:rPr>
            </w:pPr>
            <w:r>
              <w:rPr>
                <w:rFonts w:cs="Times New Roman"/>
                <w:color w:val="000000"/>
              </w:rPr>
              <w:t>3,612,581.78</w:t>
            </w:r>
          </w:p>
        </w:tc>
      </w:tr>
      <w:tr w14:paraId="6A4B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41" w:type="pct"/>
          </w:tcPr>
          <w:p w14:paraId="7E80BBD0">
            <w:pPr>
              <w:ind w:right="105"/>
            </w:pPr>
            <w:r>
              <w:rPr>
                <w:rFonts w:cs="Times New Roman"/>
                <w:color w:val="000000"/>
              </w:rPr>
              <w:t>客户二</w:t>
            </w:r>
          </w:p>
        </w:tc>
        <w:tc>
          <w:tcPr>
            <w:tcW w:w="1161" w:type="pct"/>
            <w:vAlign w:val="bottom"/>
          </w:tcPr>
          <w:p w14:paraId="2995D031">
            <w:pPr>
              <w:jc w:val="right"/>
              <w:textAlignment w:val="bottom"/>
              <w:rPr>
                <w:rFonts w:cs="Times New Roman"/>
              </w:rPr>
            </w:pPr>
            <w:r>
              <w:rPr>
                <w:rFonts w:cs="Times New Roman"/>
                <w:color w:val="000000"/>
              </w:rPr>
              <w:t>237,132,100.70</w:t>
            </w:r>
          </w:p>
        </w:tc>
        <w:tc>
          <w:tcPr>
            <w:tcW w:w="1190" w:type="pct"/>
            <w:vAlign w:val="bottom"/>
          </w:tcPr>
          <w:p w14:paraId="2BD7EE25">
            <w:pPr>
              <w:jc w:val="right"/>
              <w:textAlignment w:val="bottom"/>
              <w:rPr>
                <w:rFonts w:cs="Times New Roman"/>
              </w:rPr>
            </w:pPr>
            <w:r>
              <w:rPr>
                <w:rFonts w:cs="Times New Roman"/>
                <w:color w:val="000000"/>
              </w:rPr>
              <w:t>237,132,100.70</w:t>
            </w:r>
          </w:p>
        </w:tc>
        <w:tc>
          <w:tcPr>
            <w:tcW w:w="898" w:type="pct"/>
            <w:vAlign w:val="bottom"/>
          </w:tcPr>
          <w:p w14:paraId="048A981F">
            <w:pPr>
              <w:jc w:val="right"/>
              <w:textAlignment w:val="bottom"/>
              <w:rPr>
                <w:rFonts w:cs="Times New Roman"/>
              </w:rPr>
            </w:pPr>
            <w:r>
              <w:rPr>
                <w:rFonts w:cs="Times New Roman"/>
                <w:color w:val="000000"/>
              </w:rPr>
              <w:t>6.65</w:t>
            </w:r>
          </w:p>
        </w:tc>
        <w:tc>
          <w:tcPr>
            <w:tcW w:w="907" w:type="pct"/>
            <w:vAlign w:val="bottom"/>
          </w:tcPr>
          <w:p w14:paraId="7517B37D">
            <w:pPr>
              <w:jc w:val="right"/>
              <w:textAlignment w:val="bottom"/>
              <w:rPr>
                <w:rFonts w:cs="Times New Roman"/>
              </w:rPr>
            </w:pPr>
            <w:r>
              <w:rPr>
                <w:rFonts w:cs="Times New Roman"/>
                <w:color w:val="000000"/>
              </w:rPr>
              <w:t>301,737.26</w:t>
            </w:r>
          </w:p>
        </w:tc>
      </w:tr>
      <w:tr w14:paraId="6898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41" w:type="pct"/>
          </w:tcPr>
          <w:p w14:paraId="7D803CEC">
            <w:pPr>
              <w:ind w:right="105"/>
            </w:pPr>
            <w:r>
              <w:rPr>
                <w:rFonts w:cs="Times New Roman"/>
                <w:color w:val="000000"/>
              </w:rPr>
              <w:t>客户三</w:t>
            </w:r>
          </w:p>
        </w:tc>
        <w:tc>
          <w:tcPr>
            <w:tcW w:w="1161" w:type="pct"/>
            <w:vAlign w:val="bottom"/>
          </w:tcPr>
          <w:p w14:paraId="6794C59F">
            <w:pPr>
              <w:jc w:val="right"/>
              <w:textAlignment w:val="bottom"/>
              <w:rPr>
                <w:rFonts w:cs="Times New Roman"/>
              </w:rPr>
            </w:pPr>
            <w:r>
              <w:rPr>
                <w:rFonts w:cs="Times New Roman"/>
                <w:color w:val="000000"/>
              </w:rPr>
              <w:t>91,201,647.60</w:t>
            </w:r>
          </w:p>
        </w:tc>
        <w:tc>
          <w:tcPr>
            <w:tcW w:w="1190" w:type="pct"/>
            <w:vAlign w:val="bottom"/>
          </w:tcPr>
          <w:p w14:paraId="39252CC9">
            <w:pPr>
              <w:jc w:val="right"/>
              <w:textAlignment w:val="bottom"/>
              <w:rPr>
                <w:rFonts w:cs="Times New Roman"/>
              </w:rPr>
            </w:pPr>
            <w:r>
              <w:rPr>
                <w:rFonts w:cs="Times New Roman"/>
                <w:color w:val="000000"/>
              </w:rPr>
              <w:t>91,201,647.60</w:t>
            </w:r>
          </w:p>
        </w:tc>
        <w:tc>
          <w:tcPr>
            <w:tcW w:w="898" w:type="pct"/>
            <w:vAlign w:val="bottom"/>
          </w:tcPr>
          <w:p w14:paraId="2D994CF7">
            <w:pPr>
              <w:jc w:val="right"/>
              <w:textAlignment w:val="bottom"/>
              <w:rPr>
                <w:rFonts w:cs="Times New Roman"/>
              </w:rPr>
            </w:pPr>
            <w:r>
              <w:rPr>
                <w:rFonts w:cs="Times New Roman"/>
                <w:color w:val="000000"/>
              </w:rPr>
              <w:t>2.56</w:t>
            </w:r>
          </w:p>
        </w:tc>
        <w:tc>
          <w:tcPr>
            <w:tcW w:w="907" w:type="pct"/>
            <w:vAlign w:val="bottom"/>
          </w:tcPr>
          <w:p w14:paraId="6611007E">
            <w:pPr>
              <w:jc w:val="right"/>
              <w:rPr>
                <w:rFonts w:cs="Times New Roman"/>
              </w:rPr>
            </w:pPr>
          </w:p>
        </w:tc>
      </w:tr>
      <w:tr w14:paraId="776D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41" w:type="pct"/>
          </w:tcPr>
          <w:p w14:paraId="1BFF3D1E">
            <w:pPr>
              <w:ind w:right="105"/>
            </w:pPr>
            <w:r>
              <w:rPr>
                <w:rFonts w:cs="Times New Roman"/>
                <w:color w:val="000000"/>
              </w:rPr>
              <w:t>客户四</w:t>
            </w:r>
          </w:p>
        </w:tc>
        <w:tc>
          <w:tcPr>
            <w:tcW w:w="1161" w:type="pct"/>
            <w:vAlign w:val="bottom"/>
          </w:tcPr>
          <w:p w14:paraId="148D683A">
            <w:pPr>
              <w:jc w:val="right"/>
              <w:textAlignment w:val="bottom"/>
              <w:rPr>
                <w:rFonts w:cs="Times New Roman"/>
              </w:rPr>
            </w:pPr>
            <w:r>
              <w:rPr>
                <w:rFonts w:cs="Times New Roman"/>
                <w:color w:val="000000"/>
              </w:rPr>
              <w:t>75,160,717.91</w:t>
            </w:r>
          </w:p>
        </w:tc>
        <w:tc>
          <w:tcPr>
            <w:tcW w:w="1190" w:type="pct"/>
            <w:vAlign w:val="bottom"/>
          </w:tcPr>
          <w:p w14:paraId="4626E364">
            <w:pPr>
              <w:jc w:val="right"/>
              <w:textAlignment w:val="bottom"/>
              <w:rPr>
                <w:rFonts w:cs="Times New Roman"/>
              </w:rPr>
            </w:pPr>
            <w:r>
              <w:rPr>
                <w:rFonts w:cs="Times New Roman"/>
                <w:color w:val="000000"/>
              </w:rPr>
              <w:t>75,160,717.91</w:t>
            </w:r>
          </w:p>
        </w:tc>
        <w:tc>
          <w:tcPr>
            <w:tcW w:w="898" w:type="pct"/>
            <w:vAlign w:val="bottom"/>
          </w:tcPr>
          <w:p w14:paraId="2480F8A8">
            <w:pPr>
              <w:jc w:val="right"/>
              <w:textAlignment w:val="bottom"/>
              <w:rPr>
                <w:rFonts w:cs="Times New Roman"/>
              </w:rPr>
            </w:pPr>
            <w:r>
              <w:rPr>
                <w:rFonts w:cs="Times New Roman"/>
                <w:color w:val="000000"/>
              </w:rPr>
              <w:t>2.11</w:t>
            </w:r>
          </w:p>
        </w:tc>
        <w:tc>
          <w:tcPr>
            <w:tcW w:w="907" w:type="pct"/>
            <w:vAlign w:val="bottom"/>
          </w:tcPr>
          <w:p w14:paraId="7512557C">
            <w:pPr>
              <w:jc w:val="right"/>
              <w:textAlignment w:val="bottom"/>
              <w:rPr>
                <w:rFonts w:cs="Times New Roman"/>
              </w:rPr>
            </w:pPr>
            <w:r>
              <w:rPr>
                <w:rFonts w:cs="Times New Roman"/>
                <w:color w:val="000000"/>
              </w:rPr>
              <w:t>186,832.03</w:t>
            </w:r>
          </w:p>
        </w:tc>
      </w:tr>
      <w:tr w14:paraId="1B024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41" w:type="pct"/>
          </w:tcPr>
          <w:p w14:paraId="13013C60">
            <w:pPr>
              <w:ind w:right="105"/>
            </w:pPr>
            <w:r>
              <w:rPr>
                <w:rFonts w:cs="Times New Roman"/>
                <w:color w:val="000000"/>
              </w:rPr>
              <w:t>客户五</w:t>
            </w:r>
          </w:p>
        </w:tc>
        <w:tc>
          <w:tcPr>
            <w:tcW w:w="1161" w:type="pct"/>
            <w:vAlign w:val="bottom"/>
          </w:tcPr>
          <w:p w14:paraId="71A2C2AC">
            <w:pPr>
              <w:jc w:val="right"/>
              <w:textAlignment w:val="bottom"/>
              <w:rPr>
                <w:rFonts w:cs="Times New Roman"/>
              </w:rPr>
            </w:pPr>
            <w:r>
              <w:rPr>
                <w:rFonts w:cs="Times New Roman"/>
                <w:color w:val="000000"/>
              </w:rPr>
              <w:t>63,499,863.93</w:t>
            </w:r>
          </w:p>
        </w:tc>
        <w:tc>
          <w:tcPr>
            <w:tcW w:w="1190" w:type="pct"/>
            <w:vAlign w:val="bottom"/>
          </w:tcPr>
          <w:p w14:paraId="54D26324">
            <w:pPr>
              <w:jc w:val="right"/>
              <w:textAlignment w:val="bottom"/>
              <w:rPr>
                <w:rFonts w:cs="Times New Roman"/>
              </w:rPr>
            </w:pPr>
            <w:r>
              <w:rPr>
                <w:rFonts w:cs="Times New Roman"/>
                <w:color w:val="000000"/>
              </w:rPr>
              <w:t>63,499,863.93</w:t>
            </w:r>
          </w:p>
        </w:tc>
        <w:tc>
          <w:tcPr>
            <w:tcW w:w="898" w:type="pct"/>
            <w:vAlign w:val="bottom"/>
          </w:tcPr>
          <w:p w14:paraId="11DBE104">
            <w:pPr>
              <w:jc w:val="right"/>
              <w:textAlignment w:val="bottom"/>
              <w:rPr>
                <w:rFonts w:cs="Times New Roman"/>
              </w:rPr>
            </w:pPr>
            <w:r>
              <w:rPr>
                <w:rFonts w:cs="Times New Roman"/>
                <w:color w:val="000000"/>
              </w:rPr>
              <w:t>1.78</w:t>
            </w:r>
          </w:p>
        </w:tc>
        <w:tc>
          <w:tcPr>
            <w:tcW w:w="907" w:type="pct"/>
            <w:vAlign w:val="bottom"/>
          </w:tcPr>
          <w:p w14:paraId="62E9827E">
            <w:pPr>
              <w:jc w:val="right"/>
              <w:textAlignment w:val="bottom"/>
              <w:rPr>
                <w:rFonts w:cs="Times New Roman"/>
              </w:rPr>
            </w:pPr>
            <w:r>
              <w:rPr>
                <w:rFonts w:cs="Times New Roman"/>
                <w:color w:val="000000"/>
              </w:rPr>
              <w:t>63,499,863.93</w:t>
            </w:r>
          </w:p>
        </w:tc>
      </w:tr>
      <w:tr w14:paraId="21C3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41" w:type="pct"/>
          </w:tcPr>
          <w:p w14:paraId="204470D7">
            <w:pPr>
              <w:ind w:right="10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161" w:type="pct"/>
            <w:vAlign w:val="bottom"/>
          </w:tcPr>
          <w:p w14:paraId="64CB66FA">
            <w:pPr>
              <w:jc w:val="right"/>
              <w:textAlignment w:val="bottom"/>
              <w:rPr>
                <w:rFonts w:cs="Times New Roman"/>
              </w:rPr>
            </w:pPr>
            <w:r>
              <w:rPr>
                <w:rFonts w:cs="Times New Roman"/>
                <w:color w:val="000000"/>
              </w:rPr>
              <w:t>1,578,145,294.46</w:t>
            </w:r>
          </w:p>
        </w:tc>
        <w:tc>
          <w:tcPr>
            <w:tcW w:w="1190" w:type="pct"/>
            <w:vAlign w:val="bottom"/>
          </w:tcPr>
          <w:p w14:paraId="5AA3FCCD">
            <w:pPr>
              <w:jc w:val="right"/>
              <w:textAlignment w:val="bottom"/>
              <w:rPr>
                <w:rFonts w:cs="Times New Roman"/>
              </w:rPr>
            </w:pPr>
            <w:r>
              <w:rPr>
                <w:rFonts w:cs="Times New Roman"/>
                <w:color w:val="000000"/>
              </w:rPr>
              <w:t>1,578,145,294.46</w:t>
            </w:r>
          </w:p>
        </w:tc>
        <w:tc>
          <w:tcPr>
            <w:tcW w:w="898" w:type="pct"/>
            <w:vAlign w:val="bottom"/>
          </w:tcPr>
          <w:p w14:paraId="274B73AF">
            <w:pPr>
              <w:jc w:val="right"/>
              <w:textAlignment w:val="bottom"/>
              <w:rPr>
                <w:rFonts w:cs="Times New Roman"/>
              </w:rPr>
            </w:pPr>
            <w:r>
              <w:rPr>
                <w:rFonts w:cs="Times New Roman"/>
                <w:color w:val="000000"/>
              </w:rPr>
              <w:t>44.26</w:t>
            </w:r>
          </w:p>
        </w:tc>
        <w:tc>
          <w:tcPr>
            <w:tcW w:w="907" w:type="pct"/>
            <w:vAlign w:val="bottom"/>
          </w:tcPr>
          <w:p w14:paraId="1D3F8551">
            <w:pPr>
              <w:jc w:val="right"/>
              <w:textAlignment w:val="bottom"/>
              <w:rPr>
                <w:rFonts w:cs="Times New Roman"/>
              </w:rPr>
            </w:pPr>
            <w:r>
              <w:rPr>
                <w:rFonts w:cs="Times New Roman"/>
                <w:color w:val="000000"/>
              </w:rPr>
              <w:t>67,601,015.00</w:t>
            </w:r>
          </w:p>
        </w:tc>
      </w:tr>
    </w:tbl>
    <w:p w14:paraId="203D4A55">
      <w:pPr>
        <w:rPr>
          <w:color w:val="000000" w:themeColor="text1"/>
          <w14:textFill>
            <w14:solidFill>
              <w14:schemeClr w14:val="tx1"/>
            </w14:solidFill>
          </w14:textFill>
        </w:rPr>
      </w:pPr>
    </w:p>
    <w:p w14:paraId="391BCF33">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按欠款方归集的期末余额前五名的应收账款情况的说明"/>
        <w:tag w:val="_GBC_5c27d22f220747b1ae5c245364a28655"/>
        <w:id w:val="147462945"/>
        <w:placeholder>
          <w:docPart w:val="GBC22222222222222222222222222222"/>
        </w:placeholder>
      </w:sdtPr>
      <w:sdtEndPr>
        <w:rPr>
          <w:color w:val="000000" w:themeColor="text1"/>
          <w14:textFill>
            <w14:solidFill>
              <w14:schemeClr w14:val="tx1"/>
            </w14:solidFill>
          </w14:textFill>
        </w:rPr>
      </w:sdtEndPr>
      <w:sdtContent>
        <w:p w14:paraId="310AAF2F">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2EF6356F">
      <w:pPr>
        <w:snapToGrid w:val="0"/>
        <w:spacing w:line="240" w:lineRule="atLeast"/>
        <w:rPr>
          <w:color w:val="000000" w:themeColor="text1"/>
          <w14:textFill>
            <w14:solidFill>
              <w14:schemeClr w14:val="tx1"/>
            </w14:solidFill>
          </w14:textFill>
        </w:rPr>
      </w:pPr>
    </w:p>
    <w:bookmarkEnd w:id="216"/>
    <w:p w14:paraId="0C65D3B8">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说明：</w:t>
      </w:r>
    </w:p>
    <w:sdt>
      <w:sdtPr>
        <w:rPr>
          <w:rFonts w:hint="eastAsia"/>
          <w:color w:val="000000" w:themeColor="text1"/>
          <w14:textFill>
            <w14:solidFill>
              <w14:schemeClr w14:val="tx1"/>
            </w14:solidFill>
          </w14:textFill>
        </w:rPr>
        <w:alias w:val="是否适用：应收账款其他说明[双击切换]"/>
        <w:tag w:val="_GBC_c06434ba43c5400a80d620a65b730fd9"/>
        <w:id w:val="147465993"/>
        <w:placeholder>
          <w:docPart w:val="GBC22222222222222222222222222222"/>
        </w:placeholder>
      </w:sdtPr>
      <w:sdtEndPr>
        <w:rPr>
          <w:rFonts w:hint="eastAsia"/>
          <w:color w:val="000000" w:themeColor="text1"/>
          <w14:textFill>
            <w14:solidFill>
              <w14:schemeClr w14:val="tx1"/>
            </w14:solidFill>
          </w14:textFill>
        </w:rPr>
      </w:sdtEndPr>
      <w:sdtContent>
        <w:p w14:paraId="6CA8B703">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93FB5A8">
      <w:pPr>
        <w:rPr>
          <w:color w:val="000000" w:themeColor="text1"/>
          <w14:textFill>
            <w14:solidFill>
              <w14:schemeClr w14:val="tx1"/>
            </w14:solidFill>
          </w14:textFill>
        </w:rPr>
      </w:pPr>
    </w:p>
    <w:p w14:paraId="7904AA09">
      <w:pPr>
        <w:pStyle w:val="57"/>
        <w:numPr>
          <w:ilvl w:val="0"/>
          <w:numId w:val="54"/>
        </w:numPr>
        <w:rPr>
          <w:color w:val="000000" w:themeColor="text1"/>
          <w:szCs w:val="21"/>
          <w14:textFill>
            <w14:solidFill>
              <w14:schemeClr w14:val="tx1"/>
            </w14:solidFill>
          </w14:textFill>
        </w:rPr>
      </w:pPr>
      <w:bookmarkStart w:id="217" w:name="_Hlk10470760"/>
      <w:r>
        <w:rPr>
          <w:color w:val="000000" w:themeColor="text1"/>
          <w:szCs w:val="21"/>
          <w14:textFill>
            <w14:solidFill>
              <w14:schemeClr w14:val="tx1"/>
            </w14:solidFill>
          </w14:textFill>
        </w:rPr>
        <w:t>合同资产</w:t>
      </w:r>
    </w:p>
    <w:p w14:paraId="0B0B798A">
      <w:pPr>
        <w:pStyle w:val="58"/>
        <w:numPr>
          <w:ilvl w:val="3"/>
          <w:numId w:val="57"/>
        </w:numPr>
        <w:ind w:left="426" w:hanging="42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合同资产情况</w:t>
      </w:r>
    </w:p>
    <w:sdt>
      <w:sdtPr>
        <w:rPr>
          <w:color w:val="000000" w:themeColor="text1"/>
          <w14:textFill>
            <w14:solidFill>
              <w14:schemeClr w14:val="tx1"/>
            </w14:solidFill>
          </w14:textFill>
        </w:rPr>
        <w:alias w:val="是否适用：合同资产情况[双击切换]"/>
        <w:tag w:val="_GBC_d77156d135184e21a21238cac863494c"/>
        <w:id w:val="147469779"/>
        <w:placeholder>
          <w:docPart w:val="GBC22222222222222222222222222222"/>
        </w:placeholder>
      </w:sdtPr>
      <w:sdtEndPr>
        <w:rPr>
          <w:color w:val="000000" w:themeColor="text1"/>
          <w14:textFill>
            <w14:solidFill>
              <w14:schemeClr w14:val="tx1"/>
            </w14:solidFill>
          </w14:textFill>
        </w:rPr>
      </w:sdtEndPr>
      <w:sdtContent>
        <w:p w14:paraId="7AD9131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E4044EF">
      <w:pPr>
        <w:rPr>
          <w:color w:val="000000" w:themeColor="text1"/>
          <w14:textFill>
            <w14:solidFill>
              <w14:schemeClr w14:val="tx1"/>
            </w14:solidFill>
          </w14:textFill>
        </w:rPr>
      </w:pPr>
    </w:p>
    <w:bookmarkEnd w:id="217"/>
    <w:p w14:paraId="39DEC9EF">
      <w:pPr>
        <w:pStyle w:val="58"/>
        <w:numPr>
          <w:ilvl w:val="3"/>
          <w:numId w:val="57"/>
        </w:numPr>
        <w:ind w:left="426" w:hanging="426"/>
        <w:rPr>
          <w:rFonts w:ascii="宋体" w:hAnsi="宋体"/>
          <w:color w:val="000000" w:themeColor="text1"/>
          <w14:textFill>
            <w14:solidFill>
              <w14:schemeClr w14:val="tx1"/>
            </w14:solidFill>
          </w14:textFill>
        </w:rPr>
      </w:pPr>
      <w:bookmarkStart w:id="218" w:name="_Hlk10470932"/>
      <w:bookmarkStart w:id="219" w:name="_Hlk10470942"/>
      <w:r>
        <w:rPr>
          <w:rFonts w:hint="eastAsia" w:ascii="宋体" w:hAnsi="宋体"/>
          <w:color w:val="000000" w:themeColor="text1"/>
          <w14:textFill>
            <w14:solidFill>
              <w14:schemeClr w14:val="tx1"/>
            </w14:solidFill>
          </w14:textFill>
        </w:rPr>
        <w:t>报告期内账面价值发生重大变动的金额和原因</w:t>
      </w:r>
      <w:bookmarkEnd w:id="218"/>
    </w:p>
    <w:sdt>
      <w:sdtPr>
        <w:rPr>
          <w:color w:val="000000" w:themeColor="text1"/>
          <w14:textFill>
            <w14:solidFill>
              <w14:schemeClr w14:val="tx1"/>
            </w14:solidFill>
          </w14:textFill>
        </w:rPr>
        <w:alias w:val="是否适用：合同资产账面价值发生重大变动[双击切换]"/>
        <w:tag w:val="_GBC_4cdeacc1c4f24682b8d7fe35b510e9c1"/>
        <w:id w:val="147460728"/>
        <w:placeholder>
          <w:docPart w:val="GBC22222222222222222222222222222"/>
        </w:placeholder>
      </w:sdtPr>
      <w:sdtEndPr>
        <w:rPr>
          <w:color w:val="000000" w:themeColor="text1"/>
          <w14:textFill>
            <w14:solidFill>
              <w14:schemeClr w14:val="tx1"/>
            </w14:solidFill>
          </w14:textFill>
        </w:rPr>
      </w:sdtEndPr>
      <w:sdtContent>
        <w:p w14:paraId="78BC97A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4C17086">
      <w:pPr>
        <w:rPr>
          <w:color w:val="000000" w:themeColor="text1"/>
          <w14:textFill>
            <w14:solidFill>
              <w14:schemeClr w14:val="tx1"/>
            </w14:solidFill>
          </w14:textFill>
        </w:rPr>
      </w:pPr>
    </w:p>
    <w:bookmarkEnd w:id="219"/>
    <w:p w14:paraId="6D1E5A5E">
      <w:pPr>
        <w:pStyle w:val="58"/>
        <w:numPr>
          <w:ilvl w:val="3"/>
          <w:numId w:val="57"/>
        </w:numPr>
        <w:ind w:left="426" w:hanging="426"/>
        <w:rPr>
          <w:rFonts w:ascii="宋体" w:hAnsi="宋体"/>
          <w:color w:val="000000" w:themeColor="text1"/>
          <w14:textFill>
            <w14:solidFill>
              <w14:schemeClr w14:val="tx1"/>
            </w14:solidFill>
          </w14:textFill>
        </w:rPr>
      </w:pPr>
      <w:bookmarkStart w:id="220" w:name="_Hlk153378989"/>
      <w:bookmarkStart w:id="221" w:name="_Hlk167887721"/>
      <w:r>
        <w:rPr>
          <w:rFonts w:hint="eastAsia" w:ascii="宋体" w:hAnsi="宋体"/>
          <w:color w:val="000000" w:themeColor="text1"/>
          <w14:textFill>
            <w14:solidFill>
              <w14:schemeClr w14:val="tx1"/>
            </w14:solidFill>
          </w14:textFill>
        </w:rPr>
        <w:t>按坏账计提方法分类披露</w:t>
      </w:r>
    </w:p>
    <w:sdt>
      <w:sdtPr>
        <w:rPr>
          <w:color w:val="000000" w:themeColor="text1"/>
          <w14:textFill>
            <w14:solidFill>
              <w14:schemeClr w14:val="tx1"/>
            </w14:solidFill>
          </w14:textFill>
        </w:rPr>
        <w:alias w:val="是否适用：按坏账计提方法分类披露[双击切换]"/>
        <w:tag w:val="_GBC_2da6ba8f38a7432c80d6aa0ccacbb195"/>
        <w:id w:val="147482431"/>
        <w:placeholder>
          <w:docPart w:val="GBC22222222222222222222222222222"/>
        </w:placeholder>
      </w:sdtPr>
      <w:sdtEndPr>
        <w:rPr>
          <w:color w:val="000000" w:themeColor="text1"/>
          <w14:textFill>
            <w14:solidFill>
              <w14:schemeClr w14:val="tx1"/>
            </w14:solidFill>
          </w14:textFill>
        </w:rPr>
      </w:sdtEndPr>
      <w:sdtContent>
        <w:p w14:paraId="22D4AE4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3969365">
      <w:pPr>
        <w:rPr>
          <w:color w:val="000000" w:themeColor="text1"/>
          <w14:textFill>
            <w14:solidFill>
              <w14:schemeClr w14:val="tx1"/>
            </w14:solidFill>
          </w14:textFill>
        </w:rPr>
      </w:pPr>
    </w:p>
    <w:p w14:paraId="4F6F8287">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w:t>
      </w:r>
    </w:p>
    <w:sdt>
      <w:sdtPr>
        <w:rPr>
          <w:color w:val="000000" w:themeColor="text1"/>
          <w14:textFill>
            <w14:solidFill>
              <w14:schemeClr w14:val="tx1"/>
            </w14:solidFill>
          </w14:textFill>
        </w:rPr>
        <w:alias w:val="是否适用：按单项计提坏账准备的详细情况[双击切换]"/>
        <w:tag w:val="_GBC_c0b8b61f599949688a3e43c3f6163421"/>
        <w:id w:val="147462231"/>
        <w:placeholder>
          <w:docPart w:val="GBC22222222222222222222222222222"/>
        </w:placeholder>
      </w:sdtPr>
      <w:sdtEndPr>
        <w:rPr>
          <w:color w:val="000000" w:themeColor="text1"/>
          <w14:textFill>
            <w14:solidFill>
              <w14:schemeClr w14:val="tx1"/>
            </w14:solidFill>
          </w14:textFill>
        </w:rPr>
      </w:sdtEndPr>
      <w:sdtContent>
        <w:p w14:paraId="13A6FFA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B531787">
      <w:pPr>
        <w:rPr>
          <w:color w:val="000000" w:themeColor="text1"/>
          <w14:textFill>
            <w14:solidFill>
              <w14:schemeClr w14:val="tx1"/>
            </w14:solidFill>
          </w14:textFill>
        </w:rPr>
      </w:pPr>
    </w:p>
    <w:p w14:paraId="5B0F14C6">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按单项计提坏账准备的说明：</w:t>
      </w:r>
    </w:p>
    <w:sdt>
      <w:sdtPr>
        <w:rPr>
          <w:color w:val="000000" w:themeColor="text1"/>
          <w14:textFill>
            <w14:solidFill>
              <w14:schemeClr w14:val="tx1"/>
            </w14:solidFill>
          </w14:textFill>
        </w:rPr>
        <w:alias w:val="是否适用：按单项计提坏账准备的说明[双击切换]"/>
        <w:tag w:val="_GBC_027a4c6e526b4492855a75bfb12d58be"/>
        <w:id w:val="147482650"/>
        <w:placeholder>
          <w:docPart w:val="GBC22222222222222222222222222222"/>
        </w:placeholder>
      </w:sdtPr>
      <w:sdtEndPr>
        <w:rPr>
          <w:color w:val="000000" w:themeColor="text1"/>
          <w14:textFill>
            <w14:solidFill>
              <w14:schemeClr w14:val="tx1"/>
            </w14:solidFill>
          </w14:textFill>
        </w:rPr>
      </w:sdtEndPr>
      <w:sdtContent>
        <w:p w14:paraId="5DF0F1C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B1E092D">
      <w:pPr>
        <w:rPr>
          <w:color w:val="000000" w:themeColor="text1"/>
          <w14:textFill>
            <w14:solidFill>
              <w14:schemeClr w14:val="tx1"/>
            </w14:solidFill>
          </w14:textFill>
        </w:rPr>
      </w:pPr>
    </w:p>
    <w:p w14:paraId="389AA554">
      <w:pPr>
        <w:rPr>
          <w:rFonts w:ascii="Calibri" w:hAnsi="Calibri" w:cs="Times New Roman"/>
          <w:bCs w:val="0"/>
          <w:color w:val="000000" w:themeColor="text1"/>
          <w:szCs w:val="22"/>
          <w14:textFill>
            <w14:solidFill>
              <w14:schemeClr w14:val="tx1"/>
            </w14:solidFill>
          </w14:textFill>
        </w:rPr>
      </w:pPr>
      <w:r>
        <w:rPr>
          <w:rFonts w:hint="eastAsia" w:ascii="Calibri" w:hAnsi="Calibri" w:cs="Times New Roman"/>
          <w:color w:val="000000" w:themeColor="text1"/>
          <w:szCs w:val="22"/>
          <w14:textFill>
            <w14:solidFill>
              <w14:schemeClr w14:val="tx1"/>
            </w14:solidFill>
          </w14:textFill>
        </w:rPr>
        <w:t>按组合计提坏账准备：</w:t>
      </w:r>
    </w:p>
    <w:sdt>
      <w:sdtPr>
        <w:rPr>
          <w:rFonts w:ascii="Calibri" w:hAnsi="Calibri" w:cs="Times New Roman"/>
          <w:bCs w:val="0"/>
          <w:color w:val="000000" w:themeColor="text1"/>
          <w:szCs w:val="22"/>
          <w14:textFill>
            <w14:solidFill>
              <w14:schemeClr w14:val="tx1"/>
            </w14:solidFill>
          </w14:textFill>
        </w:rPr>
        <w:alias w:val="是否适用：按组合计提坏账准备的详细情况[双击切换]"/>
        <w:tag w:val="_GBC_059f7dfd74cd41d4b2b8918cfc3d067f"/>
        <w:id w:val="147471293"/>
        <w:placeholder>
          <w:docPart w:val="GBC22222222222222222222222222222"/>
        </w:placeholder>
      </w:sdtPr>
      <w:sdtEndPr>
        <w:rPr>
          <w:rFonts w:ascii="Calibri" w:hAnsi="Calibri" w:cs="Times New Roman"/>
          <w:bCs w:val="0"/>
          <w:color w:val="000000" w:themeColor="text1"/>
          <w:szCs w:val="22"/>
          <w14:textFill>
            <w14:solidFill>
              <w14:schemeClr w14:val="tx1"/>
            </w14:solidFill>
          </w14:textFill>
        </w:rPr>
      </w:sdtEndPr>
      <w:sdtContent>
        <w:p w14:paraId="18D1A8AC">
          <w:pPr>
            <w:rPr>
              <w:color w:val="000000" w:themeColor="text1"/>
              <w14:textFill>
                <w14:solidFill>
                  <w14:schemeClr w14:val="tx1"/>
                </w14:solidFill>
              </w14:textFill>
            </w:rPr>
          </w:pPr>
          <w:r>
            <w:rPr>
              <w:rFonts w:ascii="宋体" w:hAnsi="宋体" w:cs="Times New Roman"/>
              <w:bCs w:val="0"/>
              <w:color w:val="000000" w:themeColor="text1"/>
              <w:szCs w:val="22"/>
              <w14:textFill>
                <w14:solidFill>
                  <w14:schemeClr w14:val="tx1"/>
                </w14:solidFill>
              </w14:textFill>
            </w:rPr>
            <w:fldChar w:fldCharType="begin"/>
          </w:r>
          <w:r>
            <w:rPr>
              <w:rFonts w:hint="eastAsia" w:ascii="宋体" w:hAnsi="宋体" w:cs="Times New Roman"/>
              <w:color w:val="000000" w:themeColor="text1"/>
              <w:szCs w:val="22"/>
              <w14:textFill>
                <w14:solidFill>
                  <w14:schemeClr w14:val="tx1"/>
                </w14:solidFill>
              </w14:textFill>
            </w:rPr>
            <w:instrText xml:space="preserve"> MACROBUTTON  SnrToggleCheckbox □适用 </w:instrText>
          </w:r>
          <w:r>
            <w:rPr>
              <w:rFonts w:ascii="宋体" w:hAnsi="宋体" w:cs="Times New Roman"/>
              <w:bCs w:val="0"/>
              <w:color w:val="000000" w:themeColor="text1"/>
              <w:szCs w:val="22"/>
              <w14:textFill>
                <w14:solidFill>
                  <w14:schemeClr w14:val="tx1"/>
                </w14:solidFill>
              </w14:textFill>
            </w:rPr>
            <w:fldChar w:fldCharType="end"/>
          </w:r>
          <w:r>
            <w:rPr>
              <w:rFonts w:ascii="宋体" w:hAnsi="宋体" w:cs="Times New Roman"/>
              <w:bCs w:val="0"/>
              <w:color w:val="000000" w:themeColor="text1"/>
              <w:szCs w:val="22"/>
              <w14:textFill>
                <w14:solidFill>
                  <w14:schemeClr w14:val="tx1"/>
                </w14:solidFill>
              </w14:textFill>
            </w:rPr>
            <w:fldChar w:fldCharType="begin"/>
          </w:r>
          <w:r>
            <w:rPr>
              <w:rFonts w:hint="eastAsia" w:ascii="宋体" w:hAnsi="宋体" w:cs="Times New Roman"/>
              <w:color w:val="000000" w:themeColor="text1"/>
              <w:szCs w:val="22"/>
              <w14:textFill>
                <w14:solidFill>
                  <w14:schemeClr w14:val="tx1"/>
                </w14:solidFill>
              </w14:textFill>
            </w:rPr>
            <w:instrText xml:space="preserve"> MACROBUTTON  SnrToggleCheckbox √不适用 </w:instrText>
          </w:r>
          <w:r>
            <w:rPr>
              <w:rFonts w:ascii="宋体" w:hAnsi="宋体" w:cs="Times New Roman"/>
              <w:bCs w:val="0"/>
              <w:color w:val="000000" w:themeColor="text1"/>
              <w:szCs w:val="22"/>
              <w14:textFill>
                <w14:solidFill>
                  <w14:schemeClr w14:val="tx1"/>
                </w14:solidFill>
              </w14:textFill>
            </w:rPr>
            <w:fldChar w:fldCharType="end"/>
          </w:r>
        </w:p>
      </w:sdtContent>
    </w:sdt>
    <w:p w14:paraId="5AD1B30A">
      <w:pPr>
        <w:rPr>
          <w:rFonts w:ascii="Calibri" w:hAnsi="Calibri" w:cs="Times New Roman"/>
          <w:b/>
          <w:bCs w:val="0"/>
          <w:color w:val="000000" w:themeColor="text1"/>
          <w:szCs w:val="22"/>
          <w14:textFill>
            <w14:solidFill>
              <w14:schemeClr w14:val="tx1"/>
            </w14:solidFill>
          </w14:textFill>
        </w:rPr>
      </w:pPr>
    </w:p>
    <w:bookmarkEnd w:id="220"/>
    <w:p w14:paraId="6911FE18">
      <w:pPr>
        <w:rPr>
          <w:rFonts w:cstheme="minorBidi"/>
          <w:bCs w:val="0"/>
          <w:color w:val="000000" w:themeColor="text1"/>
          <w:szCs w:val="22"/>
          <w14:textFill>
            <w14:solidFill>
              <w14:schemeClr w14:val="tx1"/>
            </w14:solidFill>
          </w14:textFill>
        </w:rPr>
      </w:pPr>
      <w:bookmarkStart w:id="222" w:name="_Hlk154135145"/>
      <w:bookmarkStart w:id="223" w:name="_Hlk153379126"/>
      <w:r>
        <w:rPr>
          <w:rFonts w:hint="eastAsia" w:cstheme="minorBidi"/>
          <w:color w:val="000000" w:themeColor="text1"/>
          <w:szCs w:val="22"/>
          <w14:textFill>
            <w14:solidFill>
              <w14:schemeClr w14:val="tx1"/>
            </w14:solidFill>
          </w14:textFill>
        </w:rPr>
        <w:t>按预期信用损失一般模型计提坏账准备</w:t>
      </w:r>
    </w:p>
    <w:sdt>
      <w:sdtPr>
        <w:rPr>
          <w:rFonts w:cstheme="minorBidi"/>
          <w:bCs w:val="0"/>
          <w:color w:val="000000" w:themeColor="text1"/>
          <w:szCs w:val="22"/>
          <w14:textFill>
            <w14:solidFill>
              <w14:schemeClr w14:val="tx1"/>
            </w14:solidFill>
          </w14:textFill>
        </w:rPr>
        <w:alias w:val="是否适用：按预期信用损失一般模型计提坏账准备[双击切换]"/>
        <w:tag w:val="_GBC_9ccc97f60d514bd1ad20e654db46063f"/>
        <w:id w:val="147452894"/>
        <w:placeholder>
          <w:docPart w:val="GBC22222222222222222222222222222"/>
        </w:placeholder>
      </w:sdtPr>
      <w:sdtEndPr>
        <w:rPr>
          <w:rFonts w:cstheme="minorBidi"/>
          <w:bCs w:val="0"/>
          <w:color w:val="000000" w:themeColor="text1"/>
          <w:szCs w:val="22"/>
          <w14:textFill>
            <w14:solidFill>
              <w14:schemeClr w14:val="tx1"/>
            </w14:solidFill>
          </w14:textFill>
        </w:rPr>
      </w:sdtEndPr>
      <w:sdtContent>
        <w:p w14:paraId="4065494E">
          <w:pPr>
            <w:autoSpaceDE w:val="0"/>
            <w:autoSpaceDN w:val="0"/>
            <w:adjustRightInd w:val="0"/>
            <w:ind w:right="105" w:rightChars="50"/>
            <w:rPr>
              <w:rFonts w:cstheme="minorBidi"/>
              <w:bCs w:val="0"/>
              <w:color w:val="000000" w:themeColor="text1"/>
              <w:szCs w:val="22"/>
              <w14:textFill>
                <w14:solidFill>
                  <w14:schemeClr w14:val="tx1"/>
                </w14:solidFill>
              </w14:textFill>
            </w:rPr>
          </w:pPr>
          <w:r>
            <w:rPr>
              <w:rFonts w:ascii="宋体" w:hAnsi="宋体" w:cstheme="minorBidi"/>
              <w:bCs w:val="0"/>
              <w:color w:val="000000" w:themeColor="text1"/>
              <w:szCs w:val="22"/>
              <w14:textFill>
                <w14:solidFill>
                  <w14:schemeClr w14:val="tx1"/>
                </w14:solidFill>
              </w14:textFill>
            </w:rPr>
            <w:fldChar w:fldCharType="begin"/>
          </w:r>
          <w:r>
            <w:rPr>
              <w:rFonts w:hint="eastAsia" w:ascii="宋体" w:hAnsi="宋体" w:cstheme="minorBidi"/>
              <w:color w:val="000000" w:themeColor="text1"/>
              <w:szCs w:val="22"/>
              <w14:textFill>
                <w14:solidFill>
                  <w14:schemeClr w14:val="tx1"/>
                </w14:solidFill>
              </w14:textFill>
            </w:rPr>
            <w:instrText xml:space="preserve"> MACROBUTTON  SnrToggleCheckbox □适用 </w:instrText>
          </w:r>
          <w:r>
            <w:rPr>
              <w:rFonts w:ascii="宋体" w:hAnsi="宋体" w:cstheme="minorBidi"/>
              <w:bCs w:val="0"/>
              <w:color w:val="000000" w:themeColor="text1"/>
              <w:szCs w:val="22"/>
              <w14:textFill>
                <w14:solidFill>
                  <w14:schemeClr w14:val="tx1"/>
                </w14:solidFill>
              </w14:textFill>
            </w:rPr>
            <w:fldChar w:fldCharType="end"/>
          </w:r>
          <w:r>
            <w:rPr>
              <w:rFonts w:ascii="宋体" w:hAnsi="宋体" w:cstheme="minorBidi"/>
              <w:bCs w:val="0"/>
              <w:color w:val="000000" w:themeColor="text1"/>
              <w:szCs w:val="22"/>
              <w14:textFill>
                <w14:solidFill>
                  <w14:schemeClr w14:val="tx1"/>
                </w14:solidFill>
              </w14:textFill>
            </w:rPr>
            <w:fldChar w:fldCharType="begin"/>
          </w:r>
          <w:r>
            <w:rPr>
              <w:rFonts w:hint="eastAsia" w:ascii="宋体" w:hAnsi="宋体" w:cstheme="minorBidi"/>
              <w:color w:val="000000" w:themeColor="text1"/>
              <w:szCs w:val="22"/>
              <w14:textFill>
                <w14:solidFill>
                  <w14:schemeClr w14:val="tx1"/>
                </w14:solidFill>
              </w14:textFill>
            </w:rPr>
            <w:instrText xml:space="preserve"> MACROBUTTON  SnrToggleCheckbox √不适用 </w:instrText>
          </w:r>
          <w:r>
            <w:rPr>
              <w:rFonts w:ascii="宋体" w:hAnsi="宋体" w:cstheme="minorBidi"/>
              <w:bCs w:val="0"/>
              <w:color w:val="000000" w:themeColor="text1"/>
              <w:szCs w:val="22"/>
              <w14:textFill>
                <w14:solidFill>
                  <w14:schemeClr w14:val="tx1"/>
                </w14:solidFill>
              </w14:textFill>
            </w:rPr>
            <w:fldChar w:fldCharType="end"/>
          </w:r>
        </w:p>
      </w:sdtContent>
    </w:sdt>
    <w:p w14:paraId="4F9FA3E8">
      <w:pPr>
        <w:autoSpaceDE w:val="0"/>
        <w:autoSpaceDN w:val="0"/>
        <w:adjustRightInd w:val="0"/>
        <w:ind w:right="105" w:rightChars="50"/>
        <w:rPr>
          <w:rFonts w:cstheme="minorBidi"/>
          <w:bCs w:val="0"/>
          <w:color w:val="000000" w:themeColor="text1"/>
          <w:szCs w:val="22"/>
          <w14:textFill>
            <w14:solidFill>
              <w14:schemeClr w14:val="tx1"/>
            </w14:solidFill>
          </w14:textFill>
        </w:rPr>
      </w:pPr>
    </w:p>
    <w:p w14:paraId="1D6C4070">
      <w:pPr>
        <w:autoSpaceDE w:val="0"/>
        <w:autoSpaceDN w:val="0"/>
        <w:adjustRightInd w:val="0"/>
        <w:ind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各阶段划分依据和坏账准备计提比例</w:t>
      </w:r>
    </w:p>
    <w:sdt>
      <w:sdtPr>
        <w:rPr>
          <w:rFonts w:cs="Times New Roman"/>
          <w:bCs w:val="0"/>
          <w:color w:val="000000" w:themeColor="text1"/>
          <w:szCs w:val="22"/>
          <w14:textFill>
            <w14:solidFill>
              <w14:schemeClr w14:val="tx1"/>
            </w14:solidFill>
          </w14:textFill>
        </w:rPr>
        <w:alias w:val="各阶段划分依据和坏账准备计提比例"/>
        <w:tag w:val="_GBC_27f65e0b0d264d76ba6ef36044133df3"/>
        <w:id w:val="147455724"/>
        <w:placeholder>
          <w:docPart w:val="GBC22222222222222222222222222222"/>
        </w:placeholder>
      </w:sdtPr>
      <w:sdtEndPr>
        <w:rPr>
          <w:rFonts w:cs="Times New Roman"/>
          <w:bCs w:val="0"/>
          <w:color w:val="000000" w:themeColor="text1"/>
          <w:szCs w:val="22"/>
          <w14:textFill>
            <w14:solidFill>
              <w14:schemeClr w14:val="tx1"/>
            </w14:solidFill>
          </w14:textFill>
        </w:rPr>
      </w:sdtEndPr>
      <w:sdtContent>
        <w:p w14:paraId="22000C41">
          <w:pPr>
            <w:rPr>
              <w:rFonts w:cs="Times New Roman"/>
              <w:bCs w:val="0"/>
              <w:color w:val="000000" w:themeColor="text1"/>
              <w:szCs w:val="22"/>
              <w14:textFill>
                <w14:solidFill>
                  <w14:schemeClr w14:val="tx1"/>
                </w14:solidFill>
              </w14:textFill>
            </w:rPr>
          </w:pPr>
          <w:r>
            <w:rPr>
              <w:rFonts w:hint="eastAsia" w:cs="Times New Roman"/>
              <w:bCs w:val="0"/>
              <w:color w:val="000000" w:themeColor="text1"/>
              <w:szCs w:val="22"/>
              <w14:textFill>
                <w14:solidFill>
                  <w14:schemeClr w14:val="tx1"/>
                </w14:solidFill>
              </w14:textFill>
            </w:rPr>
            <w:t>无</w:t>
          </w:r>
        </w:p>
      </w:sdtContent>
    </w:sdt>
    <w:p w14:paraId="523C5A57">
      <w:pPr>
        <w:pStyle w:val="67"/>
        <w:rPr>
          <w:color w:val="000000" w:themeColor="text1"/>
          <w:kern w:val="0"/>
          <w:szCs w:val="24"/>
          <w14:textFill>
            <w14:solidFill>
              <w14:schemeClr w14:val="tx1"/>
            </w14:solidFill>
          </w14:textFill>
        </w:rPr>
      </w:pPr>
    </w:p>
    <w:p w14:paraId="270FAD26">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对本期发生损失准备变动的合同资产账面余额显著变动的情况说明：</w:t>
      </w:r>
    </w:p>
    <w:sdt>
      <w:sdtPr>
        <w:rPr>
          <w:color w:val="000000" w:themeColor="text1"/>
          <w14:textFill>
            <w14:solidFill>
              <w14:schemeClr w14:val="tx1"/>
            </w14:solidFill>
          </w14:textFill>
        </w:rPr>
        <w:alias w:val="是否适用：对本期发生损失准备变动的账面余额显著变动的情况说明[双击切换]"/>
        <w:tag w:val="_GBC_52ea8710f03d45c5bdb89559e11daa51"/>
        <w:id w:val="147463611"/>
        <w:placeholder>
          <w:docPart w:val="GBC22222222222222222222222222222"/>
        </w:placeholder>
      </w:sdtPr>
      <w:sdtEndPr>
        <w:rPr>
          <w:color w:val="000000" w:themeColor="text1"/>
          <w14:textFill>
            <w14:solidFill>
              <w14:schemeClr w14:val="tx1"/>
            </w14:solidFill>
          </w14:textFill>
        </w:rPr>
      </w:sdtEndPr>
      <w:sdtContent>
        <w:p w14:paraId="5026D65D">
          <w:pPr>
            <w:autoSpaceDE w:val="0"/>
            <w:autoSpaceDN w:val="0"/>
            <w:adjustRightInd w:val="0"/>
            <w:ind w:right="105" w:rightChars="5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7A33E89">
      <w:pPr>
        <w:rPr>
          <w:rFonts w:asciiTheme="minorHAnsi" w:hAnsiTheme="minorHAnsi" w:cstheme="minorBidi"/>
          <w:b/>
          <w:bCs w:val="0"/>
          <w:color w:val="000000" w:themeColor="text1"/>
          <w:szCs w:val="22"/>
          <w14:textFill>
            <w14:solidFill>
              <w14:schemeClr w14:val="tx1"/>
            </w14:solidFill>
          </w14:textFill>
        </w:rPr>
      </w:pPr>
    </w:p>
    <w:bookmarkEnd w:id="221"/>
    <w:bookmarkEnd w:id="222"/>
    <w:bookmarkEnd w:id="223"/>
    <w:p w14:paraId="74FAA9D0">
      <w:pPr>
        <w:pStyle w:val="58"/>
        <w:numPr>
          <w:ilvl w:val="3"/>
          <w:numId w:val="57"/>
        </w:numPr>
        <w:ind w:left="426" w:hanging="426"/>
        <w:rPr>
          <w:rFonts w:ascii="宋体" w:hAnsi="宋体"/>
          <w:color w:val="000000" w:themeColor="text1"/>
          <w14:textFill>
            <w14:solidFill>
              <w14:schemeClr w14:val="tx1"/>
            </w14:solidFill>
          </w14:textFill>
        </w:rPr>
      </w:pPr>
      <w:bookmarkStart w:id="224" w:name="_Hlk10470956"/>
      <w:bookmarkStart w:id="225" w:name="_Hlk10470966"/>
      <w:r>
        <w:rPr>
          <w:rFonts w:hint="eastAsia" w:ascii="宋体" w:hAnsi="宋体"/>
          <w:color w:val="000000" w:themeColor="text1"/>
          <w14:textFill>
            <w14:solidFill>
              <w14:schemeClr w14:val="tx1"/>
            </w14:solidFill>
          </w14:textFill>
        </w:rPr>
        <w:t>本期合同资产计提坏账准备情况</w:t>
      </w:r>
      <w:bookmarkEnd w:id="224"/>
    </w:p>
    <w:sdt>
      <w:sdtPr>
        <w:rPr>
          <w:color w:val="000000" w:themeColor="text1"/>
          <w14:textFill>
            <w14:solidFill>
              <w14:schemeClr w14:val="tx1"/>
            </w14:solidFill>
          </w14:textFill>
        </w:rPr>
        <w:alias w:val="是否适用：合同资产减值准备[双击切换]"/>
        <w:tag w:val="_GBC_47f239b7a5d442b0a0a358017de09567"/>
        <w:id w:val="147468915"/>
        <w:placeholder>
          <w:docPart w:val="GBC22222222222222222222222222222"/>
        </w:placeholder>
      </w:sdtPr>
      <w:sdtEndPr>
        <w:rPr>
          <w:color w:val="000000" w:themeColor="text1"/>
          <w14:textFill>
            <w14:solidFill>
              <w14:schemeClr w14:val="tx1"/>
            </w14:solidFill>
          </w14:textFill>
        </w:rPr>
      </w:sdtEndPr>
      <w:sdtContent>
        <w:p w14:paraId="7ED36B7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6C27916">
      <w:pPr>
        <w:rPr>
          <w:color w:val="000000" w:themeColor="text1"/>
          <w14:textFill>
            <w14:solidFill>
              <w14:schemeClr w14:val="tx1"/>
            </w14:solidFill>
          </w14:textFill>
        </w:rPr>
      </w:pPr>
    </w:p>
    <w:bookmarkEnd w:id="225"/>
    <w:p w14:paraId="0DE5B4D7">
      <w:pPr>
        <w:rPr>
          <w:color w:val="000000" w:themeColor="text1"/>
          <w14:textFill>
            <w14:solidFill>
              <w14:schemeClr w14:val="tx1"/>
            </w14:solidFill>
          </w14:textFill>
        </w:rPr>
      </w:pPr>
      <w:bookmarkStart w:id="226" w:name="_Hlk167888739"/>
      <w:r>
        <w:rPr>
          <w:rFonts w:hint="eastAsia"/>
          <w:color w:val="000000" w:themeColor="text1"/>
          <w14:textFill>
            <w14:solidFill>
              <w14:schemeClr w14:val="tx1"/>
            </w14:solidFill>
          </w14:textFill>
        </w:rPr>
        <w:t>其中本期坏账准备收回或转回金额重要的：</w:t>
      </w:r>
    </w:p>
    <w:sdt>
      <w:sdtPr>
        <w:rPr>
          <w:color w:val="000000" w:themeColor="text1"/>
          <w14:textFill>
            <w14:solidFill>
              <w14:schemeClr w14:val="tx1"/>
            </w14:solidFill>
          </w14:textFill>
        </w:rPr>
        <w:alias w:val="是否适用：本期坏账准备收回或转回金额重要的[双击切换]"/>
        <w:tag w:val="_GBC_5a496695d0eb4d6eaee4f7f7f7615f95"/>
        <w:id w:val="147475885"/>
        <w:placeholder>
          <w:docPart w:val="GBC22222222222222222222222222222"/>
        </w:placeholder>
      </w:sdtPr>
      <w:sdtEndPr>
        <w:rPr>
          <w:color w:val="000000" w:themeColor="text1"/>
          <w14:textFill>
            <w14:solidFill>
              <w14:schemeClr w14:val="tx1"/>
            </w14:solidFill>
          </w14:textFill>
        </w:rPr>
      </w:sdtEndPr>
      <w:sdtContent>
        <w:p w14:paraId="7547EF9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9F7AAC8">
      <w:pPr>
        <w:rPr>
          <w:color w:val="000000" w:themeColor="text1"/>
          <w14:textFill>
            <w14:solidFill>
              <w14:schemeClr w14:val="tx1"/>
            </w14:solidFill>
          </w14:textFill>
        </w:rPr>
      </w:pPr>
    </w:p>
    <w:p w14:paraId="19A1BC92">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坏账准备情况的说明"/>
        <w:tag w:val="_GBC_1e07c21bc8844634b0354dd2ff775cf3"/>
        <w:id w:val="147466606"/>
        <w:placeholder>
          <w:docPart w:val="GBC22222222222222222222222222222"/>
        </w:placeholder>
      </w:sdtPr>
      <w:sdtEndPr>
        <w:rPr>
          <w:color w:val="000000" w:themeColor="text1"/>
          <w14:textFill>
            <w14:solidFill>
              <w14:schemeClr w14:val="tx1"/>
            </w14:solidFill>
          </w14:textFill>
        </w:rPr>
      </w:sdtEndPr>
      <w:sdtContent>
        <w:p w14:paraId="5DA90F12">
          <w:pPr>
            <w:ind w:right="42" w:rightChars="2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64040C16">
      <w:pPr>
        <w:ind w:right="-1594" w:rightChars="-759"/>
        <w:rPr>
          <w:color w:val="000000" w:themeColor="text1"/>
          <w14:textFill>
            <w14:solidFill>
              <w14:schemeClr w14:val="tx1"/>
            </w14:solidFill>
          </w14:textFill>
        </w:rPr>
      </w:pPr>
    </w:p>
    <w:bookmarkEnd w:id="226"/>
    <w:p w14:paraId="0AB7E8EC">
      <w:pPr>
        <w:pStyle w:val="58"/>
        <w:numPr>
          <w:ilvl w:val="3"/>
          <w:numId w:val="57"/>
        </w:numPr>
        <w:ind w:left="426" w:hanging="426"/>
        <w:rPr>
          <w:rFonts w:ascii="宋体" w:hAnsi="宋体"/>
          <w:color w:val="000000" w:themeColor="text1"/>
          <w14:textFill>
            <w14:solidFill>
              <w14:schemeClr w14:val="tx1"/>
            </w14:solidFill>
          </w14:textFill>
        </w:rPr>
      </w:pPr>
      <w:bookmarkStart w:id="227" w:name="_Hlk167888904"/>
      <w:bookmarkStart w:id="228" w:name="_Hlk153379426"/>
      <w:r>
        <w:rPr>
          <w:rFonts w:hint="eastAsia" w:ascii="宋体" w:hAnsi="宋体"/>
          <w:color w:val="000000" w:themeColor="text1"/>
          <w14:textFill>
            <w14:solidFill>
              <w14:schemeClr w14:val="tx1"/>
            </w14:solidFill>
          </w14:textFill>
        </w:rPr>
        <w:t>本期实际核销的合同资产情况</w:t>
      </w:r>
    </w:p>
    <w:sdt>
      <w:sdtPr>
        <w:rPr>
          <w:color w:val="000000" w:themeColor="text1"/>
          <w14:textFill>
            <w14:solidFill>
              <w14:schemeClr w14:val="tx1"/>
            </w14:solidFill>
          </w14:textFill>
        </w:rPr>
        <w:alias w:val="是否适用：实际核销的情况[双击切换]"/>
        <w:tag w:val="_GBC_a2fe224348004dacb76f7686b01b39be"/>
        <w:id w:val="147464501"/>
        <w:placeholder>
          <w:docPart w:val="GBC22222222222222222222222222222"/>
        </w:placeholder>
      </w:sdtPr>
      <w:sdtEndPr>
        <w:rPr>
          <w:color w:val="000000" w:themeColor="text1"/>
          <w14:textFill>
            <w14:solidFill>
              <w14:schemeClr w14:val="tx1"/>
            </w14:solidFill>
          </w14:textFill>
        </w:rPr>
      </w:sdtEndPr>
      <w:sdtContent>
        <w:p w14:paraId="46BD536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29F17C7">
      <w:pPr>
        <w:rPr>
          <w:color w:val="000000" w:themeColor="text1"/>
          <w14:textFill>
            <w14:solidFill>
              <w14:schemeClr w14:val="tx1"/>
            </w14:solidFill>
          </w14:textFill>
        </w:rPr>
      </w:pPr>
    </w:p>
    <w:p w14:paraId="3E6E4635">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其中重要的合同资产核销情况</w:t>
      </w:r>
    </w:p>
    <w:sdt>
      <w:sdtPr>
        <w:rPr>
          <w:rFonts w:hint="eastAsia"/>
          <w:color w:val="000000" w:themeColor="text1"/>
          <w14:textFill>
            <w14:solidFill>
              <w14:schemeClr w14:val="tx1"/>
            </w14:solidFill>
          </w14:textFill>
        </w:rPr>
        <w:alias w:val="是否适用：重要的核销情况[双击切换]"/>
        <w:tag w:val="_GBC_6bcd1c712b36426ab4d08b134810344a"/>
        <w:id w:val="147463889"/>
        <w:placeholder>
          <w:docPart w:val="GBC22222222222222222222222222222"/>
        </w:placeholder>
      </w:sdtPr>
      <w:sdtEndPr>
        <w:rPr>
          <w:rFonts w:hint="eastAsia"/>
          <w:color w:val="000000" w:themeColor="text1"/>
          <w14:textFill>
            <w14:solidFill>
              <w14:schemeClr w14:val="tx1"/>
            </w14:solidFill>
          </w14:textFill>
        </w:rPr>
      </w:sdtEndPr>
      <w:sdtContent>
        <w:p w14:paraId="104479A5">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1C09B9E">
      <w:pPr>
        <w:snapToGrid w:val="0"/>
        <w:spacing w:line="240" w:lineRule="atLeast"/>
        <w:rPr>
          <w:color w:val="000000" w:themeColor="text1"/>
          <w14:textFill>
            <w14:solidFill>
              <w14:schemeClr w14:val="tx1"/>
            </w14:solidFill>
          </w14:textFill>
        </w:rPr>
      </w:pPr>
    </w:p>
    <w:p w14:paraId="4800C1B0">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合同资产核销说明：</w:t>
      </w:r>
    </w:p>
    <w:sdt>
      <w:sdtPr>
        <w:rPr>
          <w:color w:val="000000" w:themeColor="text1"/>
          <w14:textFill>
            <w14:solidFill>
              <w14:schemeClr w14:val="tx1"/>
            </w14:solidFill>
          </w14:textFill>
        </w:rPr>
        <w:alias w:val="是否适用：核销说明[双击切换]"/>
        <w:tag w:val="_GBC_63a73902686f443c9c4dcd3cd18e6da4"/>
        <w:id w:val="147465465"/>
        <w:placeholder>
          <w:docPart w:val="GBC22222222222222222222222222222"/>
        </w:placeholder>
      </w:sdtPr>
      <w:sdtEndPr>
        <w:rPr>
          <w:color w:val="000000" w:themeColor="text1"/>
          <w14:textFill>
            <w14:solidFill>
              <w14:schemeClr w14:val="tx1"/>
            </w14:solidFill>
          </w14:textFill>
        </w:rPr>
      </w:sdtEndPr>
      <w:sdtContent>
        <w:p w14:paraId="22A1F8C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59BB8B5">
      <w:pPr>
        <w:rPr>
          <w:color w:val="000000" w:themeColor="text1"/>
          <w14:textFill>
            <w14:solidFill>
              <w14:schemeClr w14:val="tx1"/>
            </w14:solidFill>
          </w14:textFill>
        </w:rPr>
      </w:pPr>
    </w:p>
    <w:bookmarkEnd w:id="227"/>
    <w:bookmarkEnd w:id="228"/>
    <w:p w14:paraId="3F161E95">
      <w:pPr>
        <w:rPr>
          <w:color w:val="000000" w:themeColor="text1"/>
          <w14:textFill>
            <w14:solidFill>
              <w14:schemeClr w14:val="tx1"/>
            </w14:solidFill>
          </w14:textFill>
        </w:rPr>
      </w:pPr>
      <w:bookmarkStart w:id="229" w:name="_Hlk10471002"/>
      <w:bookmarkStart w:id="230" w:name="_Hlk10471011"/>
      <w:r>
        <w:rPr>
          <w:rFonts w:hint="eastAsia"/>
          <w:color w:val="000000" w:themeColor="text1"/>
          <w14:textFill>
            <w14:solidFill>
              <w14:schemeClr w14:val="tx1"/>
            </w14:solidFill>
          </w14:textFill>
        </w:rPr>
        <w:t>其他说明：</w:t>
      </w:r>
      <w:bookmarkEnd w:id="229"/>
    </w:p>
    <w:sdt>
      <w:sdtPr>
        <w:rPr>
          <w:color w:val="000000" w:themeColor="text1"/>
          <w14:textFill>
            <w14:solidFill>
              <w14:schemeClr w14:val="tx1"/>
            </w14:solidFill>
          </w14:textFill>
        </w:rPr>
        <w:alias w:val="是否适用：合同资产其他说明[双击切换]"/>
        <w:tag w:val="_GBC_06cd3c0f93454d76bd0c7e20322e8a49"/>
        <w:id w:val="147475484"/>
        <w:placeholder>
          <w:docPart w:val="GBC22222222222222222222222222222"/>
        </w:placeholder>
      </w:sdtPr>
      <w:sdtEndPr>
        <w:rPr>
          <w:color w:val="000000" w:themeColor="text1"/>
          <w14:textFill>
            <w14:solidFill>
              <w14:schemeClr w14:val="tx1"/>
            </w14:solidFill>
          </w14:textFill>
        </w:rPr>
      </w:sdtEndPr>
      <w:sdtContent>
        <w:p w14:paraId="00CCBBE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230"/>
    <w:p w14:paraId="0F25C0F2">
      <w:pPr>
        <w:rPr>
          <w:color w:val="000000" w:themeColor="text1"/>
          <w14:textFill>
            <w14:solidFill>
              <w14:schemeClr w14:val="tx1"/>
            </w14:solidFill>
          </w14:textFill>
        </w:rPr>
      </w:pPr>
    </w:p>
    <w:p w14:paraId="56DC5507">
      <w:pPr>
        <w:pStyle w:val="57"/>
        <w:numPr>
          <w:ilvl w:val="0"/>
          <w:numId w:val="54"/>
        </w:numPr>
        <w:rPr>
          <w:color w:val="000000" w:themeColor="text1"/>
          <w:szCs w:val="21"/>
          <w14:textFill>
            <w14:solidFill>
              <w14:schemeClr w14:val="tx1"/>
            </w14:solidFill>
          </w14:textFill>
        </w:rPr>
      </w:pPr>
      <w:bookmarkStart w:id="231" w:name="_Hlk24102175"/>
      <w:bookmarkStart w:id="232" w:name="_Hlk167889313"/>
      <w:r>
        <w:rPr>
          <w:color w:val="000000" w:themeColor="text1"/>
          <w:szCs w:val="21"/>
          <w14:textFill>
            <w14:solidFill>
              <w14:schemeClr w14:val="tx1"/>
            </w14:solidFill>
          </w14:textFill>
        </w:rPr>
        <w:t>应收款项融资</w:t>
      </w:r>
    </w:p>
    <w:p w14:paraId="04AF5C9E">
      <w:pPr>
        <w:pStyle w:val="58"/>
        <w:numPr>
          <w:ilvl w:val="0"/>
          <w:numId w:val="58"/>
        </w:numPr>
        <w:tabs>
          <w:tab w:val="left" w:pos="360"/>
        </w:tabs>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应收款项融资分类列示</w:t>
      </w:r>
    </w:p>
    <w:sdt>
      <w:sdtPr>
        <w:rPr>
          <w:color w:val="000000" w:themeColor="text1"/>
          <w14:textFill>
            <w14:solidFill>
              <w14:schemeClr w14:val="tx1"/>
            </w14:solidFill>
          </w14:textFill>
        </w:rPr>
        <w:alias w:val="是否适用：应收款项融资[双击切换]"/>
        <w:tag w:val="_GBC_ef490af2ae9646548061648e78d3873a"/>
        <w:id w:val="147456101"/>
        <w:placeholder>
          <w:docPart w:val="GBC22222222222222222222222222222"/>
        </w:placeholder>
      </w:sdtPr>
      <w:sdtEndPr>
        <w:rPr>
          <w:color w:val="000000" w:themeColor="text1"/>
          <w14:textFill>
            <w14:solidFill>
              <w14:schemeClr w14:val="tx1"/>
            </w14:solidFill>
          </w14:textFill>
        </w:rPr>
      </w:sdtEndPr>
      <w:sdtContent>
        <w:p w14:paraId="12AE2E9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BB06EBC">
      <w:pPr>
        <w:ind w:left="420" w:right="-98"/>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应收款项融资"/>
          <w:tag w:val="_GBC_7cda8ff350bd4c7eba83f28198343ec1"/>
          <w:id w:val="14747746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应收款项融资"/>
          <w:tag w:val="_GBC_a63c9a5583bd46debcf8ddc8f5c8b5c5"/>
          <w:id w:val="1474815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6"/>
        <w:gridCol w:w="2896"/>
        <w:gridCol w:w="2907"/>
      </w:tblGrid>
      <w:tr w14:paraId="28F6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7a5cb5b46ad4341aab7ca7400bbb71f"/>
            <w:id w:val="147469568"/>
          </w:sdtPr>
          <w:sdtContent>
            <w:tc>
              <w:tcPr>
                <w:tcW w:w="1794" w:type="pct"/>
                <w:vAlign w:val="center"/>
              </w:tcPr>
              <w:p w14:paraId="60863ED7">
                <w:pPr>
                  <w:jc w:val="center"/>
                  <w:rPr>
                    <w:color w:val="000000" w:themeColor="text1"/>
                    <w14:textFill>
                      <w14:solidFill>
                        <w14:schemeClr w14:val="tx1"/>
                      </w14:solidFill>
                    </w14:textFill>
                  </w:rPr>
                </w:pPr>
                <w:bookmarkStart w:id="233" w:name="_Hlk12969247"/>
                <w:bookmarkStart w:id="234" w:name="_Hlk13057555"/>
                <w:r>
                  <w:rPr>
                    <w:rFonts w:hint="eastAsia"/>
                    <w:color w:val="000000" w:themeColor="text1"/>
                    <w14:textFill>
                      <w14:solidFill>
                        <w14:schemeClr w14:val="tx1"/>
                      </w14:solidFill>
                    </w14:textFill>
                  </w:rPr>
                  <w:t>项目</w:t>
                </w:r>
              </w:p>
            </w:tc>
          </w:sdtContent>
        </w:sdt>
        <w:sdt>
          <w:sdtPr>
            <w:tag w:val="_PLD_22382bb64684420586d7f6150fc2ba41"/>
            <w:id w:val="147463905"/>
          </w:sdtPr>
          <w:sdtContent>
            <w:tc>
              <w:tcPr>
                <w:tcW w:w="1600" w:type="pct"/>
                <w:vAlign w:val="center"/>
              </w:tcPr>
              <w:p w14:paraId="27E9DD76">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ea864dd29d6649ad84845cfd97103d69"/>
            <w:id w:val="147482324"/>
          </w:sdtPr>
          <w:sdtContent>
            <w:tc>
              <w:tcPr>
                <w:tcW w:w="1606" w:type="pct"/>
                <w:vAlign w:val="center"/>
              </w:tcPr>
              <w:p w14:paraId="04F37975">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4542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4" w:type="pct"/>
          </w:tcPr>
          <w:p w14:paraId="3879672D">
            <w:pPr>
              <w:textAlignment w:val="top"/>
            </w:pPr>
            <w:r>
              <w:rPr>
                <w:rFonts w:cs="Times New Roman"/>
                <w:color w:val="000000"/>
                <w:lang w:bidi="ar"/>
              </w:rPr>
              <w:t>银行承兑汇票</w:t>
            </w:r>
          </w:p>
        </w:tc>
        <w:tc>
          <w:tcPr>
            <w:tcW w:w="1600" w:type="pct"/>
            <w:vAlign w:val="bottom"/>
          </w:tcPr>
          <w:p w14:paraId="074BB2EA">
            <w:pPr>
              <w:jc w:val="right"/>
              <w:textAlignment w:val="bottom"/>
              <w:rPr>
                <w:rFonts w:cs="Times New Roman"/>
              </w:rPr>
            </w:pPr>
            <w:r>
              <w:rPr>
                <w:rFonts w:cs="Times New Roman"/>
                <w:color w:val="000000"/>
              </w:rPr>
              <w:t>70,905,863.88</w:t>
            </w:r>
          </w:p>
        </w:tc>
        <w:tc>
          <w:tcPr>
            <w:tcW w:w="1606" w:type="pct"/>
            <w:vAlign w:val="bottom"/>
          </w:tcPr>
          <w:p w14:paraId="73F7F7D6">
            <w:pPr>
              <w:jc w:val="right"/>
              <w:textAlignment w:val="bottom"/>
              <w:rPr>
                <w:rFonts w:cs="Times New Roman"/>
              </w:rPr>
            </w:pPr>
            <w:r>
              <w:rPr>
                <w:rFonts w:cs="Times New Roman"/>
                <w:color w:val="000000"/>
              </w:rPr>
              <w:t>20,627,331.54</w:t>
            </w:r>
          </w:p>
        </w:tc>
      </w:tr>
      <w:tr w14:paraId="52060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4" w:type="pct"/>
            <w:vAlign w:val="center"/>
          </w:tcPr>
          <w:p w14:paraId="6AF738B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600" w:type="pct"/>
            <w:vAlign w:val="bottom"/>
          </w:tcPr>
          <w:p w14:paraId="65DCEE4E">
            <w:pPr>
              <w:jc w:val="right"/>
              <w:textAlignment w:val="bottom"/>
              <w:rPr>
                <w:rFonts w:cs="Times New Roman"/>
              </w:rPr>
            </w:pPr>
            <w:r>
              <w:rPr>
                <w:rFonts w:cs="Times New Roman"/>
                <w:color w:val="000000"/>
              </w:rPr>
              <w:t>70,905,863.88</w:t>
            </w:r>
          </w:p>
        </w:tc>
        <w:tc>
          <w:tcPr>
            <w:tcW w:w="1606" w:type="pct"/>
            <w:vAlign w:val="bottom"/>
          </w:tcPr>
          <w:p w14:paraId="4C21A177">
            <w:pPr>
              <w:jc w:val="right"/>
              <w:textAlignment w:val="bottom"/>
              <w:rPr>
                <w:rFonts w:cs="Times New Roman"/>
              </w:rPr>
            </w:pPr>
            <w:r>
              <w:rPr>
                <w:rFonts w:cs="Times New Roman"/>
                <w:color w:val="000000"/>
              </w:rPr>
              <w:t>20,627,331.54</w:t>
            </w:r>
          </w:p>
        </w:tc>
      </w:tr>
    </w:tbl>
    <w:p w14:paraId="42139A85">
      <w:pPr>
        <w:rPr>
          <w:color w:val="000000" w:themeColor="text1"/>
          <w14:textFill>
            <w14:solidFill>
              <w14:schemeClr w14:val="tx1"/>
            </w14:solidFill>
          </w14:textFill>
        </w:rPr>
      </w:pPr>
    </w:p>
    <w:p w14:paraId="1420E0CD">
      <w:pPr>
        <w:pStyle w:val="58"/>
        <w:numPr>
          <w:ilvl w:val="0"/>
          <w:numId w:val="58"/>
        </w:numPr>
        <w:tabs>
          <w:tab w:val="left" w:pos="360"/>
        </w:tabs>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期末公司已质押的应收款项融资</w:t>
      </w:r>
    </w:p>
    <w:sdt>
      <w:sdtPr>
        <w:rPr>
          <w:color w:val="000000" w:themeColor="text1"/>
          <w14:textFill>
            <w14:solidFill>
              <w14:schemeClr w14:val="tx1"/>
            </w14:solidFill>
          </w14:textFill>
        </w:rPr>
        <w:alias w:val="是否适用：期末公司已质押的应收款项融资[双击切换]"/>
        <w:tag w:val="_GBC_be6effae9a0c46449ee5beec6506abc0"/>
        <w:id w:val="147481415"/>
        <w:placeholder>
          <w:docPart w:val="GBC22222222222222222222222222222"/>
        </w:placeholder>
      </w:sdtPr>
      <w:sdtEndPr>
        <w:rPr>
          <w:color w:val="000000" w:themeColor="text1"/>
          <w14:textFill>
            <w14:solidFill>
              <w14:schemeClr w14:val="tx1"/>
            </w14:solidFill>
          </w14:textFill>
        </w:rPr>
      </w:sdtEndPr>
      <w:sdtContent>
        <w:p w14:paraId="052E3AC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FD0E330">
      <w:pPr>
        <w:rPr>
          <w:color w:val="000000" w:themeColor="text1"/>
          <w14:textFill>
            <w14:solidFill>
              <w14:schemeClr w14:val="tx1"/>
            </w14:solidFill>
          </w14:textFill>
        </w:rPr>
      </w:pPr>
    </w:p>
    <w:p w14:paraId="6EFB2200">
      <w:pPr>
        <w:pStyle w:val="58"/>
        <w:numPr>
          <w:ilvl w:val="0"/>
          <w:numId w:val="58"/>
        </w:numPr>
        <w:tabs>
          <w:tab w:val="left" w:pos="360"/>
        </w:tabs>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期末公司已背书或贴现且在资产负债表日尚未到期的应收款项融资</w:t>
      </w:r>
    </w:p>
    <w:sdt>
      <w:sdtPr>
        <w:rPr>
          <w:color w:val="000000" w:themeColor="text1"/>
          <w14:textFill>
            <w14:solidFill>
              <w14:schemeClr w14:val="tx1"/>
            </w14:solidFill>
          </w14:textFill>
        </w:rPr>
        <w:alias w:val="是否适用：期末公司已背书或贴现且在资产负债表日尚未到期的应收款项融资[双击切换]"/>
        <w:tag w:val="_GBC_5aba7034811c436e8fdb090306fae25a"/>
        <w:id w:val="147456469"/>
        <w:placeholder>
          <w:docPart w:val="GBC22222222222222222222222222222"/>
        </w:placeholder>
      </w:sdtPr>
      <w:sdtEndPr>
        <w:rPr>
          <w:color w:val="000000" w:themeColor="text1"/>
          <w14:textFill>
            <w14:solidFill>
              <w14:schemeClr w14:val="tx1"/>
            </w14:solidFill>
          </w14:textFill>
        </w:rPr>
      </w:sdtEndPr>
      <w:sdtContent>
        <w:p w14:paraId="405B70C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E73FE03">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期末公司已背书或贴现且在资产负债表日尚未到期的应收款项融资"/>
          <w:tag w:val="_GBC_5629d3c7de2b430d964f79cd2922bbdd"/>
          <w:id w:val="14745396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期末公司已背书或贴现且在资产负债表日尚未到期的应收款项融资"/>
          <w:tag w:val="_GBC_842647628955436292dcb5dbd82fc82a"/>
          <w:id w:val="1474701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3050"/>
        <w:gridCol w:w="3122"/>
      </w:tblGrid>
      <w:tr w14:paraId="70B1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1ee0c7055824e0a8c4e9342c43c1998"/>
            <w:id w:val="147459779"/>
          </w:sdtPr>
          <w:sdtContent>
            <w:tc>
              <w:tcPr>
                <w:tcW w:w="2877" w:type="dxa"/>
                <w:vAlign w:val="center"/>
              </w:tcPr>
              <w:p w14:paraId="68C391F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ee215b5b595d4f9087594da41584b53d"/>
            <w:id w:val="147462899"/>
          </w:sdtPr>
          <w:sdtContent>
            <w:tc>
              <w:tcPr>
                <w:tcW w:w="3050" w:type="dxa"/>
                <w:vAlign w:val="center"/>
              </w:tcPr>
              <w:p w14:paraId="29D7244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期末终止确认金额</w:t>
                </w:r>
              </w:p>
            </w:tc>
          </w:sdtContent>
        </w:sdt>
        <w:sdt>
          <w:sdtPr>
            <w:tag w:val="_PLD_a58273833d134754b8f63be5a98d3b7b"/>
            <w:id w:val="147457981"/>
          </w:sdtPr>
          <w:sdtContent>
            <w:tc>
              <w:tcPr>
                <w:tcW w:w="3122" w:type="dxa"/>
                <w:vAlign w:val="center"/>
              </w:tcPr>
              <w:p w14:paraId="4D1FDC2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期末未终止确认金额</w:t>
                </w:r>
              </w:p>
            </w:tc>
          </w:sdtContent>
        </w:sdt>
      </w:tr>
      <w:tr w14:paraId="4FF00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7" w:type="dxa"/>
          </w:tcPr>
          <w:p w14:paraId="49A4CF67">
            <w:pPr>
              <w:textAlignment w:val="top"/>
            </w:pPr>
            <w:r>
              <w:rPr>
                <w:rFonts w:cs="Times New Roman"/>
                <w:color w:val="000000"/>
                <w:lang w:bidi="ar"/>
              </w:rPr>
              <w:t>银行承兑汇票</w:t>
            </w:r>
          </w:p>
        </w:tc>
        <w:tc>
          <w:tcPr>
            <w:tcW w:w="3050" w:type="dxa"/>
            <w:vAlign w:val="bottom"/>
          </w:tcPr>
          <w:p w14:paraId="7E8A463D">
            <w:pPr>
              <w:jc w:val="right"/>
              <w:textAlignment w:val="bottom"/>
              <w:rPr>
                <w:rFonts w:cs="Times New Roman"/>
              </w:rPr>
            </w:pPr>
            <w:r>
              <w:rPr>
                <w:rFonts w:cs="Times New Roman"/>
                <w:color w:val="000000"/>
              </w:rPr>
              <w:t>64,856,039.79</w:t>
            </w:r>
          </w:p>
        </w:tc>
        <w:tc>
          <w:tcPr>
            <w:tcW w:w="3122" w:type="dxa"/>
            <w:vAlign w:val="bottom"/>
          </w:tcPr>
          <w:p w14:paraId="11BF72CA">
            <w:pPr>
              <w:jc w:val="right"/>
              <w:rPr>
                <w:rFonts w:cs="Times New Roman"/>
              </w:rPr>
            </w:pPr>
          </w:p>
        </w:tc>
      </w:tr>
      <w:tr w14:paraId="3B60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7" w:type="dxa"/>
            <w:vAlign w:val="center"/>
          </w:tcPr>
          <w:p w14:paraId="2F95133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3050" w:type="dxa"/>
            <w:vAlign w:val="bottom"/>
          </w:tcPr>
          <w:p w14:paraId="390955B6">
            <w:pPr>
              <w:jc w:val="right"/>
              <w:textAlignment w:val="bottom"/>
              <w:rPr>
                <w:rFonts w:cs="Times New Roman"/>
              </w:rPr>
            </w:pPr>
            <w:r>
              <w:rPr>
                <w:rFonts w:cs="Times New Roman"/>
                <w:color w:val="000000"/>
              </w:rPr>
              <w:t>64,856,039.79</w:t>
            </w:r>
          </w:p>
        </w:tc>
        <w:tc>
          <w:tcPr>
            <w:tcW w:w="3122" w:type="dxa"/>
          </w:tcPr>
          <w:p w14:paraId="00CC018E">
            <w:pPr>
              <w:jc w:val="right"/>
              <w:rPr>
                <w:rFonts w:cs="Times New Roman"/>
              </w:rPr>
            </w:pPr>
          </w:p>
        </w:tc>
      </w:tr>
    </w:tbl>
    <w:p w14:paraId="2D813ACE">
      <w:pPr>
        <w:rPr>
          <w:color w:val="000000" w:themeColor="text1"/>
          <w14:textFill>
            <w14:solidFill>
              <w14:schemeClr w14:val="tx1"/>
            </w14:solidFill>
          </w14:textFill>
        </w:rPr>
      </w:pPr>
    </w:p>
    <w:p w14:paraId="2AB9669D">
      <w:pPr>
        <w:pStyle w:val="58"/>
        <w:numPr>
          <w:ilvl w:val="0"/>
          <w:numId w:val="58"/>
        </w:numPr>
        <w:tabs>
          <w:tab w:val="left" w:pos="360"/>
        </w:tabs>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按坏账计提方法分类披露</w:t>
      </w:r>
    </w:p>
    <w:sdt>
      <w:sdtPr>
        <w:rPr>
          <w:color w:val="000000" w:themeColor="text1"/>
          <w14:textFill>
            <w14:solidFill>
              <w14:schemeClr w14:val="tx1"/>
            </w14:solidFill>
          </w14:textFill>
        </w:rPr>
        <w:alias w:val="是否适用：按坏账计提方法分类披露[双击切换]"/>
        <w:tag w:val="_GBC_405ca68f760443499c1bd1a1fa1e9e7d"/>
        <w:id w:val="147451293"/>
        <w:placeholder>
          <w:docPart w:val="GBC22222222222222222222222222222"/>
        </w:placeholder>
      </w:sdtPr>
      <w:sdtEndPr>
        <w:rPr>
          <w:color w:val="000000" w:themeColor="text1"/>
          <w14:textFill>
            <w14:solidFill>
              <w14:schemeClr w14:val="tx1"/>
            </w14:solidFill>
          </w14:textFill>
        </w:rPr>
      </w:sdtEndPr>
      <w:sdtContent>
        <w:p w14:paraId="159A01E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63C65FD">
      <w:pPr>
        <w:rPr>
          <w:color w:val="000000" w:themeColor="text1"/>
          <w14:textFill>
            <w14:solidFill>
              <w14:schemeClr w14:val="tx1"/>
            </w14:solidFill>
          </w14:textFill>
        </w:rPr>
      </w:pPr>
    </w:p>
    <w:p w14:paraId="4528E0EA">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w:t>
      </w:r>
    </w:p>
    <w:sdt>
      <w:sdtPr>
        <w:rPr>
          <w:color w:val="000000" w:themeColor="text1"/>
          <w14:textFill>
            <w14:solidFill>
              <w14:schemeClr w14:val="tx1"/>
            </w14:solidFill>
          </w14:textFill>
        </w:rPr>
        <w:alias w:val="是否适用：按单项计提坏账准备的详细情况[双击切换]"/>
        <w:tag w:val="_GBC_70906d84159d4210b15e17fb2293500d"/>
        <w:id w:val="147478102"/>
        <w:placeholder>
          <w:docPart w:val="GBC22222222222222222222222222222"/>
        </w:placeholder>
      </w:sdtPr>
      <w:sdtEndPr>
        <w:rPr>
          <w:color w:val="000000" w:themeColor="text1"/>
          <w14:textFill>
            <w14:solidFill>
              <w14:schemeClr w14:val="tx1"/>
            </w14:solidFill>
          </w14:textFill>
        </w:rPr>
      </w:sdtEndPr>
      <w:sdtContent>
        <w:p w14:paraId="506949D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36F03BE">
      <w:pPr>
        <w:rPr>
          <w:color w:val="000000" w:themeColor="text1"/>
          <w14:textFill>
            <w14:solidFill>
              <w14:schemeClr w14:val="tx1"/>
            </w14:solidFill>
          </w14:textFill>
        </w:rPr>
      </w:pPr>
    </w:p>
    <w:p w14:paraId="1797A5DC">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按单项计提坏账准备的说明：</w:t>
      </w:r>
    </w:p>
    <w:sdt>
      <w:sdtPr>
        <w:rPr>
          <w:color w:val="000000" w:themeColor="text1"/>
          <w14:textFill>
            <w14:solidFill>
              <w14:schemeClr w14:val="tx1"/>
            </w14:solidFill>
          </w14:textFill>
        </w:rPr>
        <w:alias w:val="是否适用：按单项计提坏账准备的说明[双击切换]"/>
        <w:tag w:val="_GBC_f71cdd4ebdc046418cd6f9214346df97"/>
        <w:id w:val="147468270"/>
        <w:placeholder>
          <w:docPart w:val="GBC22222222222222222222222222222"/>
        </w:placeholder>
      </w:sdtPr>
      <w:sdtEndPr>
        <w:rPr>
          <w:color w:val="000000" w:themeColor="text1"/>
          <w14:textFill>
            <w14:solidFill>
              <w14:schemeClr w14:val="tx1"/>
            </w14:solidFill>
          </w14:textFill>
        </w:rPr>
      </w:sdtEndPr>
      <w:sdtContent>
        <w:p w14:paraId="3407AA2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673C2B9">
      <w:pPr>
        <w:rPr>
          <w:color w:val="000000" w:themeColor="text1"/>
          <w14:textFill>
            <w14:solidFill>
              <w14:schemeClr w14:val="tx1"/>
            </w14:solidFill>
          </w14:textFill>
        </w:rPr>
      </w:pPr>
    </w:p>
    <w:p w14:paraId="1CF2DA25">
      <w:pPr>
        <w:rPr>
          <w:rFonts w:ascii="Calibri" w:hAnsi="Calibri" w:cs="Times New Roman"/>
          <w:bCs w:val="0"/>
          <w:color w:val="000000" w:themeColor="text1"/>
          <w:szCs w:val="22"/>
          <w14:textFill>
            <w14:solidFill>
              <w14:schemeClr w14:val="tx1"/>
            </w14:solidFill>
          </w14:textFill>
        </w:rPr>
      </w:pPr>
      <w:r>
        <w:rPr>
          <w:rFonts w:hint="eastAsia" w:ascii="Calibri" w:hAnsi="Calibri" w:cs="Times New Roman"/>
          <w:color w:val="000000" w:themeColor="text1"/>
          <w:szCs w:val="22"/>
          <w14:textFill>
            <w14:solidFill>
              <w14:schemeClr w14:val="tx1"/>
            </w14:solidFill>
          </w14:textFill>
        </w:rPr>
        <w:t>按组合计提坏账准备：</w:t>
      </w:r>
    </w:p>
    <w:sdt>
      <w:sdtPr>
        <w:rPr>
          <w:rFonts w:ascii="Calibri" w:hAnsi="Calibri" w:cs="Times New Roman"/>
          <w:bCs w:val="0"/>
          <w:color w:val="000000" w:themeColor="text1"/>
          <w:szCs w:val="22"/>
          <w14:textFill>
            <w14:solidFill>
              <w14:schemeClr w14:val="tx1"/>
            </w14:solidFill>
          </w14:textFill>
        </w:rPr>
        <w:alias w:val="是否适用：按组合计提坏账准备的详细情况[双击切换]"/>
        <w:tag w:val="_GBC_02191f78423f4f4ca97cd31179bf21d5"/>
        <w:id w:val="147455859"/>
        <w:placeholder>
          <w:docPart w:val="GBC22222222222222222222222222222"/>
        </w:placeholder>
      </w:sdtPr>
      <w:sdtEndPr>
        <w:rPr>
          <w:rFonts w:ascii="Calibri" w:hAnsi="Calibri" w:cs="Times New Roman"/>
          <w:bCs w:val="0"/>
          <w:color w:val="000000" w:themeColor="text1"/>
          <w:szCs w:val="22"/>
          <w14:textFill>
            <w14:solidFill>
              <w14:schemeClr w14:val="tx1"/>
            </w14:solidFill>
          </w14:textFill>
        </w:rPr>
      </w:sdtEndPr>
      <w:sdtContent>
        <w:p w14:paraId="0A11953D">
          <w:pPr>
            <w:rPr>
              <w:color w:val="000000" w:themeColor="text1"/>
              <w14:textFill>
                <w14:solidFill>
                  <w14:schemeClr w14:val="tx1"/>
                </w14:solidFill>
              </w14:textFill>
            </w:rPr>
          </w:pPr>
          <w:r>
            <w:rPr>
              <w:rFonts w:ascii="宋体" w:hAnsi="宋体" w:cs="Times New Roman"/>
              <w:bCs w:val="0"/>
              <w:color w:val="000000" w:themeColor="text1"/>
              <w:szCs w:val="22"/>
              <w14:textFill>
                <w14:solidFill>
                  <w14:schemeClr w14:val="tx1"/>
                </w14:solidFill>
              </w14:textFill>
            </w:rPr>
            <w:fldChar w:fldCharType="begin"/>
          </w:r>
          <w:r>
            <w:rPr>
              <w:rFonts w:hint="eastAsia" w:ascii="宋体" w:hAnsi="宋体" w:cs="Times New Roman"/>
              <w:color w:val="000000" w:themeColor="text1"/>
              <w:szCs w:val="22"/>
              <w14:textFill>
                <w14:solidFill>
                  <w14:schemeClr w14:val="tx1"/>
                </w14:solidFill>
              </w14:textFill>
            </w:rPr>
            <w:instrText xml:space="preserve"> MACROBUTTON  SnrToggleCheckbox □适用 </w:instrText>
          </w:r>
          <w:r>
            <w:rPr>
              <w:rFonts w:ascii="宋体" w:hAnsi="宋体" w:cs="Times New Roman"/>
              <w:bCs w:val="0"/>
              <w:color w:val="000000" w:themeColor="text1"/>
              <w:szCs w:val="22"/>
              <w14:textFill>
                <w14:solidFill>
                  <w14:schemeClr w14:val="tx1"/>
                </w14:solidFill>
              </w14:textFill>
            </w:rPr>
            <w:fldChar w:fldCharType="end"/>
          </w:r>
          <w:r>
            <w:rPr>
              <w:rFonts w:ascii="宋体" w:hAnsi="宋体" w:cs="Times New Roman"/>
              <w:bCs w:val="0"/>
              <w:color w:val="000000" w:themeColor="text1"/>
              <w:szCs w:val="22"/>
              <w14:textFill>
                <w14:solidFill>
                  <w14:schemeClr w14:val="tx1"/>
                </w14:solidFill>
              </w14:textFill>
            </w:rPr>
            <w:fldChar w:fldCharType="begin"/>
          </w:r>
          <w:r>
            <w:rPr>
              <w:rFonts w:hint="eastAsia" w:ascii="宋体" w:hAnsi="宋体" w:cs="Times New Roman"/>
              <w:color w:val="000000" w:themeColor="text1"/>
              <w:szCs w:val="22"/>
              <w14:textFill>
                <w14:solidFill>
                  <w14:schemeClr w14:val="tx1"/>
                </w14:solidFill>
              </w14:textFill>
            </w:rPr>
            <w:instrText xml:space="preserve"> MACROBUTTON  SnrToggleCheckbox √不适用 </w:instrText>
          </w:r>
          <w:r>
            <w:rPr>
              <w:rFonts w:ascii="宋体" w:hAnsi="宋体" w:cs="Times New Roman"/>
              <w:bCs w:val="0"/>
              <w:color w:val="000000" w:themeColor="text1"/>
              <w:szCs w:val="22"/>
              <w14:textFill>
                <w14:solidFill>
                  <w14:schemeClr w14:val="tx1"/>
                </w14:solidFill>
              </w14:textFill>
            </w:rPr>
            <w:fldChar w:fldCharType="end"/>
          </w:r>
        </w:p>
      </w:sdtContent>
    </w:sdt>
    <w:p w14:paraId="3583082A">
      <w:pPr>
        <w:rPr>
          <w:rFonts w:ascii="Calibri" w:hAnsi="Calibri" w:cs="Times New Roman"/>
          <w:b/>
          <w:bCs w:val="0"/>
          <w:color w:val="000000" w:themeColor="text1"/>
          <w:szCs w:val="22"/>
          <w14:textFill>
            <w14:solidFill>
              <w14:schemeClr w14:val="tx1"/>
            </w14:solidFill>
          </w14:textFill>
        </w:rPr>
      </w:pPr>
    </w:p>
    <w:p w14:paraId="4761FD07">
      <w:pPr>
        <w:rPr>
          <w:rFonts w:cstheme="minorBidi"/>
          <w:bCs w:val="0"/>
          <w:color w:val="000000" w:themeColor="text1"/>
          <w:szCs w:val="22"/>
          <w14:textFill>
            <w14:solidFill>
              <w14:schemeClr w14:val="tx1"/>
            </w14:solidFill>
          </w14:textFill>
        </w:rPr>
      </w:pPr>
      <w:bookmarkStart w:id="235" w:name="_Hlk153372713"/>
      <w:bookmarkStart w:id="236" w:name="_Hlk154134692"/>
      <w:r>
        <w:rPr>
          <w:rFonts w:hint="eastAsia" w:cstheme="minorBidi"/>
          <w:color w:val="000000" w:themeColor="text1"/>
          <w:szCs w:val="22"/>
          <w14:textFill>
            <w14:solidFill>
              <w14:schemeClr w14:val="tx1"/>
            </w14:solidFill>
          </w14:textFill>
        </w:rPr>
        <w:t>按预期信用损失一般模型计提坏账准备</w:t>
      </w:r>
    </w:p>
    <w:sdt>
      <w:sdtPr>
        <w:rPr>
          <w:rFonts w:cstheme="minorBidi"/>
          <w:bCs w:val="0"/>
          <w:color w:val="000000" w:themeColor="text1"/>
          <w:szCs w:val="22"/>
          <w14:textFill>
            <w14:solidFill>
              <w14:schemeClr w14:val="tx1"/>
            </w14:solidFill>
          </w14:textFill>
        </w:rPr>
        <w:alias w:val="是否适用：按预期信用损失一般模型计提坏账准备[双击切换]"/>
        <w:tag w:val="_GBC_205986a144f344f78129e3fba39b34ca"/>
        <w:id w:val="147471010"/>
        <w:placeholder>
          <w:docPart w:val="GBC22222222222222222222222222222"/>
        </w:placeholder>
      </w:sdtPr>
      <w:sdtEndPr>
        <w:rPr>
          <w:rFonts w:cstheme="minorBidi"/>
          <w:bCs w:val="0"/>
          <w:color w:val="000000" w:themeColor="text1"/>
          <w:szCs w:val="22"/>
          <w14:textFill>
            <w14:solidFill>
              <w14:schemeClr w14:val="tx1"/>
            </w14:solidFill>
          </w14:textFill>
        </w:rPr>
      </w:sdtEndPr>
      <w:sdtContent>
        <w:p w14:paraId="787F61E4">
          <w:pPr>
            <w:autoSpaceDE w:val="0"/>
            <w:autoSpaceDN w:val="0"/>
            <w:adjustRightInd w:val="0"/>
            <w:ind w:right="105" w:rightChars="50"/>
            <w:rPr>
              <w:rFonts w:cstheme="minorBidi"/>
              <w:bCs w:val="0"/>
              <w:color w:val="000000" w:themeColor="text1"/>
              <w:szCs w:val="22"/>
              <w14:textFill>
                <w14:solidFill>
                  <w14:schemeClr w14:val="tx1"/>
                </w14:solidFill>
              </w14:textFill>
            </w:rPr>
          </w:pPr>
          <w:r>
            <w:rPr>
              <w:rFonts w:ascii="宋体" w:hAnsi="宋体" w:cstheme="minorBidi"/>
              <w:bCs w:val="0"/>
              <w:color w:val="000000" w:themeColor="text1"/>
              <w:szCs w:val="22"/>
              <w14:textFill>
                <w14:solidFill>
                  <w14:schemeClr w14:val="tx1"/>
                </w14:solidFill>
              </w14:textFill>
            </w:rPr>
            <w:fldChar w:fldCharType="begin"/>
          </w:r>
          <w:r>
            <w:rPr>
              <w:rFonts w:hint="eastAsia" w:ascii="宋体" w:hAnsi="宋体" w:cstheme="minorBidi"/>
              <w:color w:val="000000" w:themeColor="text1"/>
              <w:szCs w:val="22"/>
              <w14:textFill>
                <w14:solidFill>
                  <w14:schemeClr w14:val="tx1"/>
                </w14:solidFill>
              </w14:textFill>
            </w:rPr>
            <w:instrText xml:space="preserve"> MACROBUTTON  SnrToggleCheckbox □适用 </w:instrText>
          </w:r>
          <w:r>
            <w:rPr>
              <w:rFonts w:ascii="宋体" w:hAnsi="宋体" w:cstheme="minorBidi"/>
              <w:bCs w:val="0"/>
              <w:color w:val="000000" w:themeColor="text1"/>
              <w:szCs w:val="22"/>
              <w14:textFill>
                <w14:solidFill>
                  <w14:schemeClr w14:val="tx1"/>
                </w14:solidFill>
              </w14:textFill>
            </w:rPr>
            <w:fldChar w:fldCharType="end"/>
          </w:r>
          <w:r>
            <w:rPr>
              <w:rFonts w:ascii="宋体" w:hAnsi="宋体" w:cstheme="minorBidi"/>
              <w:bCs w:val="0"/>
              <w:color w:val="000000" w:themeColor="text1"/>
              <w:szCs w:val="22"/>
              <w14:textFill>
                <w14:solidFill>
                  <w14:schemeClr w14:val="tx1"/>
                </w14:solidFill>
              </w14:textFill>
            </w:rPr>
            <w:fldChar w:fldCharType="begin"/>
          </w:r>
          <w:r>
            <w:rPr>
              <w:rFonts w:hint="eastAsia" w:ascii="宋体" w:hAnsi="宋体" w:cstheme="minorBidi"/>
              <w:color w:val="000000" w:themeColor="text1"/>
              <w:szCs w:val="22"/>
              <w14:textFill>
                <w14:solidFill>
                  <w14:schemeClr w14:val="tx1"/>
                </w14:solidFill>
              </w14:textFill>
            </w:rPr>
            <w:instrText xml:space="preserve"> MACROBUTTON  SnrToggleCheckbox √不适用 </w:instrText>
          </w:r>
          <w:r>
            <w:rPr>
              <w:rFonts w:ascii="宋体" w:hAnsi="宋体" w:cstheme="minorBidi"/>
              <w:bCs w:val="0"/>
              <w:color w:val="000000" w:themeColor="text1"/>
              <w:szCs w:val="22"/>
              <w14:textFill>
                <w14:solidFill>
                  <w14:schemeClr w14:val="tx1"/>
                </w14:solidFill>
              </w14:textFill>
            </w:rPr>
            <w:fldChar w:fldCharType="end"/>
          </w:r>
        </w:p>
      </w:sdtContent>
    </w:sdt>
    <w:p w14:paraId="29B2E807">
      <w:pPr>
        <w:autoSpaceDE w:val="0"/>
        <w:autoSpaceDN w:val="0"/>
        <w:adjustRightInd w:val="0"/>
        <w:ind w:right="105" w:rightChars="50"/>
        <w:rPr>
          <w:rFonts w:cstheme="minorBidi"/>
          <w:bCs w:val="0"/>
          <w:color w:val="000000" w:themeColor="text1"/>
          <w:szCs w:val="22"/>
          <w14:textFill>
            <w14:solidFill>
              <w14:schemeClr w14:val="tx1"/>
            </w14:solidFill>
          </w14:textFill>
        </w:rPr>
      </w:pPr>
    </w:p>
    <w:p w14:paraId="25D30CBB">
      <w:pPr>
        <w:autoSpaceDE w:val="0"/>
        <w:autoSpaceDN w:val="0"/>
        <w:adjustRightInd w:val="0"/>
        <w:ind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各阶段划分依据和坏账准备计提比例</w:t>
      </w:r>
    </w:p>
    <w:sdt>
      <w:sdtPr>
        <w:rPr>
          <w:rFonts w:cs="Times New Roman"/>
          <w:bCs w:val="0"/>
          <w:color w:val="000000" w:themeColor="text1"/>
          <w:szCs w:val="22"/>
          <w14:textFill>
            <w14:solidFill>
              <w14:schemeClr w14:val="tx1"/>
            </w14:solidFill>
          </w14:textFill>
        </w:rPr>
        <w:alias w:val="各阶段划分依据和坏账准备计提比例"/>
        <w:tag w:val="_GBC_ad44af7652e14ebaa2475a018590c7f5"/>
        <w:id w:val="147470799"/>
        <w:placeholder>
          <w:docPart w:val="GBC22222222222222222222222222222"/>
        </w:placeholder>
      </w:sdtPr>
      <w:sdtEndPr>
        <w:rPr>
          <w:rFonts w:cs="Times New Roman"/>
          <w:bCs w:val="0"/>
          <w:color w:val="000000" w:themeColor="text1"/>
          <w:szCs w:val="22"/>
          <w14:textFill>
            <w14:solidFill>
              <w14:schemeClr w14:val="tx1"/>
            </w14:solidFill>
          </w14:textFill>
        </w:rPr>
      </w:sdtEndPr>
      <w:sdtContent>
        <w:p w14:paraId="3E84B433">
          <w:pPr>
            <w:rPr>
              <w:rFonts w:cs="Times New Roman"/>
              <w:bCs w:val="0"/>
              <w:color w:val="000000" w:themeColor="text1"/>
              <w:szCs w:val="22"/>
              <w14:textFill>
                <w14:solidFill>
                  <w14:schemeClr w14:val="tx1"/>
                </w14:solidFill>
              </w14:textFill>
            </w:rPr>
          </w:pPr>
          <w:r>
            <w:rPr>
              <w:rFonts w:hint="eastAsia" w:cs="Times New Roman"/>
              <w:bCs w:val="0"/>
              <w:color w:val="000000" w:themeColor="text1"/>
              <w:szCs w:val="22"/>
              <w14:textFill>
                <w14:solidFill>
                  <w14:schemeClr w14:val="tx1"/>
                </w14:solidFill>
              </w14:textFill>
            </w:rPr>
            <w:t>无</w:t>
          </w:r>
        </w:p>
      </w:sdtContent>
    </w:sdt>
    <w:p w14:paraId="3D3E4E54">
      <w:pPr>
        <w:rPr>
          <w:rFonts w:asciiTheme="minorHAnsi" w:hAnsiTheme="minorHAnsi" w:cstheme="minorBidi"/>
          <w:b/>
          <w:bCs w:val="0"/>
          <w:color w:val="000000" w:themeColor="text1"/>
          <w:szCs w:val="22"/>
          <w14:textFill>
            <w14:solidFill>
              <w14:schemeClr w14:val="tx1"/>
            </w14:solidFill>
          </w14:textFill>
        </w:rPr>
      </w:pPr>
    </w:p>
    <w:p w14:paraId="6BF504EE">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对本期发生损失准备变动的应收款项融资账面余额显著变动的情况说明：</w:t>
      </w:r>
    </w:p>
    <w:sdt>
      <w:sdtPr>
        <w:rPr>
          <w:color w:val="000000" w:themeColor="text1"/>
          <w14:textFill>
            <w14:solidFill>
              <w14:schemeClr w14:val="tx1"/>
            </w14:solidFill>
          </w14:textFill>
        </w:rPr>
        <w:alias w:val="是否适用：对本期发生损失准备变动的账面余额显著变动的情况说明[双击切换]"/>
        <w:tag w:val="_GBC_ae382171e73840ef92b5fb34fa844e9f"/>
        <w:id w:val="147473214"/>
        <w:placeholder>
          <w:docPart w:val="GBC22222222222222222222222222222"/>
        </w:placeholder>
      </w:sdtPr>
      <w:sdtEndPr>
        <w:rPr>
          <w:color w:val="000000" w:themeColor="text1"/>
          <w14:textFill>
            <w14:solidFill>
              <w14:schemeClr w14:val="tx1"/>
            </w14:solidFill>
          </w14:textFill>
        </w:rPr>
      </w:sdtEndPr>
      <w:sdtContent>
        <w:p w14:paraId="6A15561D">
          <w:pPr>
            <w:autoSpaceDE w:val="0"/>
            <w:autoSpaceDN w:val="0"/>
            <w:adjustRightInd w:val="0"/>
            <w:ind w:right="105" w:rightChars="5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FCFD9FB">
      <w:pPr>
        <w:rPr>
          <w:rFonts w:asciiTheme="minorHAnsi" w:hAnsiTheme="minorHAnsi" w:cstheme="minorBidi"/>
          <w:b/>
          <w:bCs w:val="0"/>
          <w:color w:val="000000" w:themeColor="text1"/>
          <w:szCs w:val="22"/>
          <w14:textFill>
            <w14:solidFill>
              <w14:schemeClr w14:val="tx1"/>
            </w14:solidFill>
          </w14:textFill>
        </w:rPr>
      </w:pPr>
    </w:p>
    <w:bookmarkEnd w:id="235"/>
    <w:bookmarkEnd w:id="236"/>
    <w:p w14:paraId="33926A7D">
      <w:pPr>
        <w:pStyle w:val="58"/>
        <w:numPr>
          <w:ilvl w:val="0"/>
          <w:numId w:val="58"/>
        </w:numPr>
        <w:tabs>
          <w:tab w:val="left" w:pos="360"/>
        </w:tabs>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坏账准备的情况</w:t>
      </w:r>
    </w:p>
    <w:sdt>
      <w:sdtPr>
        <w:rPr>
          <w:color w:val="000000" w:themeColor="text1"/>
          <w14:textFill>
            <w14:solidFill>
              <w14:schemeClr w14:val="tx1"/>
            </w14:solidFill>
          </w14:textFill>
        </w:rPr>
        <w:alias w:val="是否适用：坏账准备情况[双击切换]"/>
        <w:tag w:val="_GBC_808e84ec9b034cfdb05b2cba07546530"/>
        <w:id w:val="147453027"/>
        <w:placeholder>
          <w:docPart w:val="GBC22222222222222222222222222222"/>
        </w:placeholder>
      </w:sdtPr>
      <w:sdtEndPr>
        <w:rPr>
          <w:color w:val="000000" w:themeColor="text1"/>
          <w14:textFill>
            <w14:solidFill>
              <w14:schemeClr w14:val="tx1"/>
            </w14:solidFill>
          </w14:textFill>
        </w:rPr>
      </w:sdtEndPr>
      <w:sdtContent>
        <w:p w14:paraId="79C02917">
          <w:pPr>
            <w:pStyle w:val="67"/>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580782F">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其中本期坏账准备收回或转回金额重要的：</w:t>
      </w:r>
    </w:p>
    <w:sdt>
      <w:sdtPr>
        <w:rPr>
          <w:color w:val="000000" w:themeColor="text1"/>
          <w14:textFill>
            <w14:solidFill>
              <w14:schemeClr w14:val="tx1"/>
            </w14:solidFill>
          </w14:textFill>
        </w:rPr>
        <w:alias w:val="是否适用：本期坏账准备收回或转回金额重要的[双击切换]"/>
        <w:tag w:val="_GBC_382a7c63c3664661a21baa08f6ba86a8"/>
        <w:id w:val="147460521"/>
        <w:placeholder>
          <w:docPart w:val="GBC22222222222222222222222222222"/>
        </w:placeholder>
      </w:sdtPr>
      <w:sdtEndPr>
        <w:rPr>
          <w:color w:val="000000" w:themeColor="text1"/>
          <w14:textFill>
            <w14:solidFill>
              <w14:schemeClr w14:val="tx1"/>
            </w14:solidFill>
          </w14:textFill>
        </w:rPr>
      </w:sdtEndPr>
      <w:sdtContent>
        <w:p w14:paraId="270A38A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2D0F465">
      <w:pPr>
        <w:rPr>
          <w:color w:val="000000" w:themeColor="text1"/>
          <w14:textFill>
            <w14:solidFill>
              <w14:schemeClr w14:val="tx1"/>
            </w14:solidFill>
          </w14:textFill>
        </w:rPr>
      </w:pPr>
    </w:p>
    <w:p w14:paraId="7598526C">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坏账准备情况的说明"/>
        <w:tag w:val="_GBC_61ca0a7cb2a147fba52fe081c3ffe8b1"/>
        <w:id w:val="147463299"/>
        <w:placeholder>
          <w:docPart w:val="GBC22222222222222222222222222222"/>
        </w:placeholder>
      </w:sdtPr>
      <w:sdtEndPr>
        <w:rPr>
          <w:color w:val="000000" w:themeColor="text1"/>
          <w14:textFill>
            <w14:solidFill>
              <w14:schemeClr w14:val="tx1"/>
            </w14:solidFill>
          </w14:textFill>
        </w:rPr>
      </w:sdtEndPr>
      <w:sdtContent>
        <w:p w14:paraId="57CD8A71">
          <w:pPr>
            <w:ind w:right="42" w:rightChars="2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3FBC136E">
      <w:pPr>
        <w:ind w:right="-1594" w:rightChars="-759"/>
        <w:rPr>
          <w:color w:val="000000" w:themeColor="text1"/>
          <w14:textFill>
            <w14:solidFill>
              <w14:schemeClr w14:val="tx1"/>
            </w14:solidFill>
          </w14:textFill>
        </w:rPr>
      </w:pPr>
    </w:p>
    <w:p w14:paraId="21FE7445">
      <w:pPr>
        <w:pStyle w:val="58"/>
        <w:numPr>
          <w:ilvl w:val="0"/>
          <w:numId w:val="58"/>
        </w:numPr>
        <w:tabs>
          <w:tab w:val="left" w:pos="360"/>
        </w:tabs>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本期实际核销的应收款项融资情况</w:t>
      </w:r>
    </w:p>
    <w:sdt>
      <w:sdtPr>
        <w:rPr>
          <w:color w:val="000000" w:themeColor="text1"/>
          <w14:textFill>
            <w14:solidFill>
              <w14:schemeClr w14:val="tx1"/>
            </w14:solidFill>
          </w14:textFill>
        </w:rPr>
        <w:alias w:val="是否适用：实际核销的情况[双击切换]"/>
        <w:tag w:val="_GBC_a2d69dfc601543db9955bbac18a0162c"/>
        <w:id w:val="147469700"/>
        <w:placeholder>
          <w:docPart w:val="GBC22222222222222222222222222222"/>
        </w:placeholder>
      </w:sdtPr>
      <w:sdtEndPr>
        <w:rPr>
          <w:color w:val="000000" w:themeColor="text1"/>
          <w14:textFill>
            <w14:solidFill>
              <w14:schemeClr w14:val="tx1"/>
            </w14:solidFill>
          </w14:textFill>
        </w:rPr>
      </w:sdtEndPr>
      <w:sdtContent>
        <w:p w14:paraId="6BE3C10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6BE19AF">
      <w:pPr>
        <w:rPr>
          <w:color w:val="000000" w:themeColor="text1"/>
          <w14:textFill>
            <w14:solidFill>
              <w14:schemeClr w14:val="tx1"/>
            </w14:solidFill>
          </w14:textFill>
        </w:rPr>
      </w:pPr>
    </w:p>
    <w:p w14:paraId="44F73C80">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其中重要的应收款项融资核销情况</w:t>
      </w:r>
    </w:p>
    <w:sdt>
      <w:sdtPr>
        <w:rPr>
          <w:rFonts w:hint="eastAsia"/>
          <w:color w:val="000000" w:themeColor="text1"/>
          <w14:textFill>
            <w14:solidFill>
              <w14:schemeClr w14:val="tx1"/>
            </w14:solidFill>
          </w14:textFill>
        </w:rPr>
        <w:alias w:val="是否适用：重要的核销情况[双击切换]"/>
        <w:tag w:val="_GBC_1b7bee0edc57444896650801ca80ffe4"/>
        <w:id w:val="147478821"/>
        <w:placeholder>
          <w:docPart w:val="GBC22222222222222222222222222222"/>
        </w:placeholder>
      </w:sdtPr>
      <w:sdtEndPr>
        <w:rPr>
          <w:rFonts w:hint="eastAsia"/>
          <w:color w:val="000000" w:themeColor="text1"/>
          <w14:textFill>
            <w14:solidFill>
              <w14:schemeClr w14:val="tx1"/>
            </w14:solidFill>
          </w14:textFill>
        </w:rPr>
      </w:sdtEndPr>
      <w:sdtContent>
        <w:p w14:paraId="53754CC3">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DAE687B">
      <w:pPr>
        <w:snapToGrid w:val="0"/>
        <w:spacing w:line="240" w:lineRule="atLeast"/>
        <w:rPr>
          <w:color w:val="000000" w:themeColor="text1"/>
          <w14:textFill>
            <w14:solidFill>
              <w14:schemeClr w14:val="tx1"/>
            </w14:solidFill>
          </w14:textFill>
        </w:rPr>
      </w:pPr>
    </w:p>
    <w:p w14:paraId="09327B4E">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核销说明：</w:t>
      </w:r>
    </w:p>
    <w:sdt>
      <w:sdtPr>
        <w:rPr>
          <w:color w:val="000000" w:themeColor="text1"/>
          <w14:textFill>
            <w14:solidFill>
              <w14:schemeClr w14:val="tx1"/>
            </w14:solidFill>
          </w14:textFill>
        </w:rPr>
        <w:alias w:val="是否适用：核销说明[双击切换]"/>
        <w:tag w:val="_GBC_488ea774dd4f4c1d882f56da574ad29c"/>
        <w:id w:val="147460198"/>
        <w:placeholder>
          <w:docPart w:val="GBC22222222222222222222222222222"/>
        </w:placeholder>
      </w:sdtPr>
      <w:sdtEndPr>
        <w:rPr>
          <w:color w:val="000000" w:themeColor="text1"/>
          <w14:textFill>
            <w14:solidFill>
              <w14:schemeClr w14:val="tx1"/>
            </w14:solidFill>
          </w14:textFill>
        </w:rPr>
      </w:sdtEndPr>
      <w:sdtContent>
        <w:p w14:paraId="249D2B6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172C095">
      <w:pPr>
        <w:rPr>
          <w:color w:val="000000" w:themeColor="text1"/>
          <w14:textFill>
            <w14:solidFill>
              <w14:schemeClr w14:val="tx1"/>
            </w14:solidFill>
          </w14:textFill>
        </w:rPr>
      </w:pPr>
    </w:p>
    <w:p w14:paraId="39D39EBB">
      <w:pPr>
        <w:pStyle w:val="58"/>
        <w:numPr>
          <w:ilvl w:val="0"/>
          <w:numId w:val="58"/>
        </w:numPr>
        <w:tabs>
          <w:tab w:val="left" w:pos="360"/>
        </w:tabs>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应收款项融资本期增减变动及公允价值变动情况：</w:t>
      </w:r>
    </w:p>
    <w:sdt>
      <w:sdtPr>
        <w:rPr>
          <w:rFonts w:hint="eastAsia"/>
          <w:color w:val="000000" w:themeColor="text1"/>
          <w14:textFill>
            <w14:solidFill>
              <w14:schemeClr w14:val="tx1"/>
            </w14:solidFill>
          </w14:textFill>
        </w:rPr>
        <w:alias w:val="是否适用：应收款项融资本期增减变动及公允价值变动情况[双击切换]"/>
        <w:tag w:val="_GBC_229d012533ea43b7b63c184aa0b161d0"/>
        <w:id w:val="147454473"/>
        <w:placeholder>
          <w:docPart w:val="GBC22222222222222222222222222222"/>
        </w:placeholder>
      </w:sdtPr>
      <w:sdtEndPr>
        <w:rPr>
          <w:rFonts w:hint="eastAsia"/>
          <w:color w:val="000000" w:themeColor="text1"/>
          <w14:textFill>
            <w14:solidFill>
              <w14:schemeClr w14:val="tx1"/>
            </w14:solidFill>
          </w14:textFill>
        </w:rPr>
      </w:sdtEndPr>
      <w:sdtContent>
        <w:p w14:paraId="4457DCB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C18DF3B">
      <w:pPr>
        <w:rPr>
          <w:color w:val="000000" w:themeColor="text1"/>
          <w14:textFill>
            <w14:solidFill>
              <w14:schemeClr w14:val="tx1"/>
            </w14:solidFill>
          </w14:textFill>
        </w:rPr>
      </w:pPr>
    </w:p>
    <w:bookmarkEnd w:id="231"/>
    <w:bookmarkEnd w:id="233"/>
    <w:bookmarkEnd w:id="234"/>
    <w:p w14:paraId="717796FF">
      <w:pPr>
        <w:pStyle w:val="58"/>
        <w:numPr>
          <w:ilvl w:val="0"/>
          <w:numId w:val="58"/>
        </w:numPr>
        <w:tabs>
          <w:tab w:val="left" w:pos="360"/>
        </w:tabs>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rFonts w:hint="eastAsia"/>
          <w:color w:val="000000" w:themeColor="text1"/>
          <w14:textFill>
            <w14:solidFill>
              <w14:schemeClr w14:val="tx1"/>
            </w14:solidFill>
          </w14:textFill>
        </w:rPr>
        <w:alias w:val="是否适用：应收款项融资其他说明[双击切换]"/>
        <w:tag w:val="_GBC_f2fd5be9d56145ea8eaacde595a4b245"/>
        <w:id w:val="147451262"/>
        <w:placeholder>
          <w:docPart w:val="GBC22222222222222222222222222222"/>
        </w:placeholder>
      </w:sdtPr>
      <w:sdtEndPr>
        <w:rPr>
          <w:rFonts w:hint="eastAsia"/>
          <w:color w:val="000000" w:themeColor="text1"/>
          <w14:textFill>
            <w14:solidFill>
              <w14:schemeClr w14:val="tx1"/>
            </w14:solidFill>
          </w14:textFill>
        </w:rPr>
      </w:sdtEndPr>
      <w:sdtContent>
        <w:p w14:paraId="26034A04">
          <w:pPr>
            <w:rPr>
              <w:color w:val="000000" w:themeColor="text1"/>
              <w14:textFill>
                <w14:solidFill>
                  <w14:schemeClr w14:val="tx1"/>
                </w14:solidFill>
              </w14:textFill>
            </w:rPr>
          </w:pPr>
          <w:bookmarkStart w:id="237" w:name="_Hlk13057390"/>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232"/>
    <w:bookmarkEnd w:id="237"/>
    <w:p w14:paraId="5E7BAD87">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预付款项</w:t>
      </w:r>
    </w:p>
    <w:p w14:paraId="5EF4E179">
      <w:pPr>
        <w:pStyle w:val="58"/>
        <w:numPr>
          <w:ilvl w:val="0"/>
          <w:numId w:val="59"/>
        </w:numPr>
        <w:tabs>
          <w:tab w:val="left" w:pos="616"/>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预付款项按账龄列示</w:t>
      </w:r>
    </w:p>
    <w:sdt>
      <w:sdtPr>
        <w:rPr>
          <w:color w:val="000000" w:themeColor="text1"/>
          <w14:textFill>
            <w14:solidFill>
              <w14:schemeClr w14:val="tx1"/>
            </w14:solidFill>
          </w14:textFill>
        </w:rPr>
        <w:alias w:val="是否适用：预付款项按账龄列示[双击切换]"/>
        <w:tag w:val="_GBC_af3b3e24767e48f7a70a5cfa609407a2"/>
        <w:id w:val="147469422"/>
        <w:placeholder>
          <w:docPart w:val="GBC22222222222222222222222222222"/>
        </w:placeholder>
      </w:sdtPr>
      <w:sdtEndPr>
        <w:rPr>
          <w:color w:val="000000" w:themeColor="text1"/>
          <w14:textFill>
            <w14:solidFill>
              <w14:schemeClr w14:val="tx1"/>
            </w14:solidFill>
          </w14:textFill>
        </w:rPr>
      </w:sdtEndPr>
      <w:sdtContent>
        <w:p w14:paraId="14CD0DF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FBE0450">
      <w:pPr>
        <w:jc w:val="right"/>
        <w:rPr>
          <w:b/>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预付账款账龄"/>
          <w:tag w:val="_GBC_9eb28bbf7d374cdf965c7e133b610fb3"/>
          <w:id w:val="1474835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预付账款账龄"/>
          <w:tag w:val="_GBC_d491347f74764df5af3312ad7a0a92e5"/>
          <w:id w:val="1474515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363"/>
        <w:gridCol w:w="1891"/>
        <w:gridCol w:w="1879"/>
        <w:gridCol w:w="1873"/>
        <w:gridCol w:w="1889"/>
      </w:tblGrid>
      <w:tr w14:paraId="2207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37" w:hRule="atLeast"/>
        </w:trPr>
        <w:sdt>
          <w:sdtPr>
            <w:tag w:val="_PLD_159a64f22a4a4b1ab31846b4d6034c4c"/>
            <w:id w:val="147477269"/>
          </w:sdtPr>
          <w:sdtContent>
            <w:tc>
              <w:tcPr>
                <w:tcW w:w="766" w:type="pct"/>
                <w:vMerge w:val="restart"/>
                <w:vAlign w:val="center"/>
              </w:tcPr>
              <w:p w14:paraId="1F52AD6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账龄</w:t>
                </w:r>
              </w:p>
            </w:tc>
          </w:sdtContent>
        </w:sdt>
        <w:sdt>
          <w:sdtPr>
            <w:tag w:val="_PLD_6ca82cba92a649d08c6ceb86dd951ef3"/>
            <w:id w:val="147482018"/>
          </w:sdtPr>
          <w:sdtContent>
            <w:tc>
              <w:tcPr>
                <w:tcW w:w="2118" w:type="pct"/>
                <w:gridSpan w:val="2"/>
                <w:vAlign w:val="center"/>
              </w:tcPr>
              <w:p w14:paraId="66ECC27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365dab2f8fd246d79543ed0d2e6dcab7"/>
            <w:id w:val="147461515"/>
          </w:sdtPr>
          <w:sdtContent>
            <w:tc>
              <w:tcPr>
                <w:tcW w:w="2116" w:type="pct"/>
                <w:gridSpan w:val="2"/>
                <w:vAlign w:val="center"/>
              </w:tcPr>
              <w:p w14:paraId="1FED061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3FD5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66" w:type="pct"/>
            <w:vMerge w:val="continue"/>
          </w:tcPr>
          <w:p w14:paraId="35C03290">
            <w:pPr>
              <w:rPr>
                <w:color w:val="000000" w:themeColor="text1"/>
                <w14:textFill>
                  <w14:solidFill>
                    <w14:schemeClr w14:val="tx1"/>
                  </w14:solidFill>
                </w14:textFill>
              </w:rPr>
            </w:pPr>
          </w:p>
        </w:tc>
        <w:sdt>
          <w:sdtPr>
            <w:tag w:val="_PLD_a9d7b721cfa446e9ae31149380da5970"/>
            <w:id w:val="147463216"/>
          </w:sdtPr>
          <w:sdtContent>
            <w:tc>
              <w:tcPr>
                <w:tcW w:w="1063" w:type="pct"/>
                <w:vAlign w:val="center"/>
              </w:tcPr>
              <w:p w14:paraId="3EA4AE2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金额</w:t>
                </w:r>
              </w:p>
            </w:tc>
          </w:sdtContent>
        </w:sdt>
        <w:sdt>
          <w:sdtPr>
            <w:tag w:val="_PLD_2d8b8f523dcd4c95815b7c8fd528129d"/>
            <w:id w:val="147463666"/>
          </w:sdtPr>
          <w:sdtContent>
            <w:tc>
              <w:tcPr>
                <w:tcW w:w="1056" w:type="pct"/>
                <w:vAlign w:val="center"/>
              </w:tcPr>
              <w:p w14:paraId="3293B00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比例</w:t>
                </w:r>
                <w:r>
                  <w:rPr>
                    <w:color w:val="000000" w:themeColor="text1"/>
                    <w14:textFill>
                      <w14:solidFill>
                        <w14:schemeClr w14:val="tx1"/>
                      </w14:solidFill>
                    </w14:textFill>
                  </w:rPr>
                  <w:t>(%)</w:t>
                </w:r>
              </w:p>
            </w:tc>
          </w:sdtContent>
        </w:sdt>
        <w:sdt>
          <w:sdtPr>
            <w:tag w:val="_PLD_f01816a56b3f4ec1a7d603d3ac318eb1"/>
            <w:id w:val="147459372"/>
          </w:sdtPr>
          <w:sdtContent>
            <w:tc>
              <w:tcPr>
                <w:tcW w:w="1053" w:type="pct"/>
                <w:vAlign w:val="center"/>
              </w:tcPr>
              <w:p w14:paraId="4FAA6A8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金额</w:t>
                </w:r>
              </w:p>
            </w:tc>
          </w:sdtContent>
        </w:sdt>
        <w:sdt>
          <w:sdtPr>
            <w:tag w:val="_PLD_55adcab5f9be4d24b3d0faaf5403e89a"/>
            <w:id w:val="147456335"/>
          </w:sdtPr>
          <w:sdtContent>
            <w:tc>
              <w:tcPr>
                <w:tcW w:w="1063" w:type="pct"/>
                <w:vAlign w:val="center"/>
              </w:tcPr>
              <w:p w14:paraId="214FAB5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比例</w:t>
                </w:r>
                <w:r>
                  <w:rPr>
                    <w:color w:val="000000" w:themeColor="text1"/>
                    <w14:textFill>
                      <w14:solidFill>
                        <w14:schemeClr w14:val="tx1"/>
                      </w14:solidFill>
                    </w14:textFill>
                  </w:rPr>
                  <w:t>(%)</w:t>
                </w:r>
              </w:p>
            </w:tc>
          </w:sdtContent>
        </w:sdt>
      </w:tr>
      <w:tr w14:paraId="1DECA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66" w:type="pct"/>
          </w:tcPr>
          <w:p w14:paraId="7FAAFF09">
            <w:pPr>
              <w:rPr>
                <w:color w:val="000000" w:themeColor="text1"/>
                <w14:textFill>
                  <w14:solidFill>
                    <w14:schemeClr w14:val="tx1"/>
                  </w14:solidFill>
                </w14:textFill>
              </w:rPr>
            </w:pPr>
            <w:r>
              <w:rPr>
                <w:rFonts w:hint="eastAsia"/>
                <w:color w:val="000000" w:themeColor="text1"/>
                <w14:textFill>
                  <w14:solidFill>
                    <w14:schemeClr w14:val="tx1"/>
                  </w14:solidFill>
                </w14:textFill>
              </w:rPr>
              <w:t>1年以内</w:t>
            </w:r>
          </w:p>
        </w:tc>
        <w:tc>
          <w:tcPr>
            <w:tcW w:w="1876" w:type="dxa"/>
            <w:vAlign w:val="center"/>
          </w:tcPr>
          <w:p w14:paraId="19F01D27">
            <w:pPr>
              <w:jc w:val="right"/>
              <w:textAlignment w:val="bottom"/>
              <w:rPr>
                <w:rFonts w:cs="Times New Roman"/>
              </w:rPr>
            </w:pPr>
            <w:r>
              <w:rPr>
                <w:rFonts w:eastAsia="Arial Narrow" w:cs="Times New Roman"/>
                <w:color w:val="000000"/>
                <w:lang w:bidi="ar"/>
              </w:rPr>
              <w:t>92,124,105.15</w:t>
            </w:r>
          </w:p>
        </w:tc>
        <w:tc>
          <w:tcPr>
            <w:tcW w:w="1863" w:type="dxa"/>
            <w:vAlign w:val="center"/>
          </w:tcPr>
          <w:p w14:paraId="3C069E3A">
            <w:pPr>
              <w:jc w:val="right"/>
              <w:textAlignment w:val="bottom"/>
              <w:rPr>
                <w:rFonts w:cs="Times New Roman"/>
              </w:rPr>
            </w:pPr>
            <w:r>
              <w:rPr>
                <w:rFonts w:eastAsia="Arial Narrow" w:cs="Times New Roman"/>
                <w:color w:val="000000"/>
                <w:lang w:bidi="ar"/>
              </w:rPr>
              <w:t>77.64</w:t>
            </w:r>
          </w:p>
        </w:tc>
        <w:tc>
          <w:tcPr>
            <w:tcW w:w="1053" w:type="pct"/>
            <w:vAlign w:val="center"/>
          </w:tcPr>
          <w:p w14:paraId="0FAA3FD8">
            <w:pPr>
              <w:jc w:val="right"/>
              <w:textAlignment w:val="bottom"/>
              <w:rPr>
                <w:rFonts w:cs="Times New Roman"/>
              </w:rPr>
            </w:pPr>
            <w:r>
              <w:rPr>
                <w:rFonts w:cs="Times New Roman"/>
                <w:color w:val="000000"/>
              </w:rPr>
              <w:t>117,647,205.80</w:t>
            </w:r>
          </w:p>
        </w:tc>
        <w:tc>
          <w:tcPr>
            <w:tcW w:w="1063" w:type="pct"/>
            <w:vAlign w:val="center"/>
          </w:tcPr>
          <w:p w14:paraId="04FB8145">
            <w:pPr>
              <w:jc w:val="right"/>
              <w:textAlignment w:val="bottom"/>
              <w:rPr>
                <w:rFonts w:cs="Times New Roman"/>
              </w:rPr>
            </w:pPr>
            <w:r>
              <w:rPr>
                <w:rFonts w:cs="Times New Roman"/>
                <w:color w:val="000000"/>
              </w:rPr>
              <w:t>80.18</w:t>
            </w:r>
          </w:p>
        </w:tc>
      </w:tr>
      <w:tr w14:paraId="51F22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66" w:type="pct"/>
          </w:tcPr>
          <w:p w14:paraId="5D2721F7">
            <w:pPr>
              <w:rPr>
                <w:color w:val="000000" w:themeColor="text1"/>
                <w14:textFill>
                  <w14:solidFill>
                    <w14:schemeClr w14:val="tx1"/>
                  </w14:solidFill>
                </w14:textFill>
              </w:rPr>
            </w:pPr>
            <w:r>
              <w:rPr>
                <w:rFonts w:hint="eastAsia"/>
                <w:color w:val="000000" w:themeColor="text1"/>
                <w14:textFill>
                  <w14:solidFill>
                    <w14:schemeClr w14:val="tx1"/>
                  </w14:solidFill>
                </w14:textFill>
              </w:rPr>
              <w:t>1至2年</w:t>
            </w:r>
          </w:p>
        </w:tc>
        <w:tc>
          <w:tcPr>
            <w:tcW w:w="1876" w:type="dxa"/>
            <w:vAlign w:val="center"/>
          </w:tcPr>
          <w:p w14:paraId="0A0343EE">
            <w:pPr>
              <w:jc w:val="right"/>
              <w:textAlignment w:val="bottom"/>
              <w:rPr>
                <w:rFonts w:cs="Times New Roman"/>
              </w:rPr>
            </w:pPr>
            <w:r>
              <w:rPr>
                <w:rFonts w:eastAsia="Arial Narrow" w:cs="Times New Roman"/>
                <w:color w:val="000000"/>
                <w:lang w:bidi="ar"/>
              </w:rPr>
              <w:t>6,437,577.89</w:t>
            </w:r>
          </w:p>
        </w:tc>
        <w:tc>
          <w:tcPr>
            <w:tcW w:w="1863" w:type="dxa"/>
            <w:vAlign w:val="center"/>
          </w:tcPr>
          <w:p w14:paraId="542B10EB">
            <w:pPr>
              <w:jc w:val="right"/>
              <w:textAlignment w:val="bottom"/>
              <w:rPr>
                <w:rFonts w:cs="Times New Roman"/>
              </w:rPr>
            </w:pPr>
            <w:r>
              <w:rPr>
                <w:rFonts w:eastAsia="Arial Narrow" w:cs="Times New Roman"/>
                <w:color w:val="000000"/>
                <w:lang w:bidi="ar"/>
              </w:rPr>
              <w:t>5.43</w:t>
            </w:r>
          </w:p>
        </w:tc>
        <w:tc>
          <w:tcPr>
            <w:tcW w:w="1053" w:type="pct"/>
            <w:vAlign w:val="center"/>
          </w:tcPr>
          <w:p w14:paraId="0B2532EB">
            <w:pPr>
              <w:jc w:val="right"/>
              <w:textAlignment w:val="bottom"/>
              <w:rPr>
                <w:rFonts w:cs="Times New Roman"/>
              </w:rPr>
            </w:pPr>
            <w:r>
              <w:rPr>
                <w:rFonts w:cs="Times New Roman"/>
                <w:color w:val="000000"/>
              </w:rPr>
              <w:t>11,143,737.74</w:t>
            </w:r>
          </w:p>
        </w:tc>
        <w:tc>
          <w:tcPr>
            <w:tcW w:w="1063" w:type="pct"/>
            <w:vAlign w:val="center"/>
          </w:tcPr>
          <w:p w14:paraId="0B736371">
            <w:pPr>
              <w:jc w:val="right"/>
              <w:textAlignment w:val="bottom"/>
              <w:rPr>
                <w:rFonts w:cs="Times New Roman"/>
              </w:rPr>
            </w:pPr>
            <w:r>
              <w:rPr>
                <w:rFonts w:cs="Times New Roman"/>
                <w:color w:val="000000"/>
              </w:rPr>
              <w:t>7.59</w:t>
            </w:r>
          </w:p>
        </w:tc>
      </w:tr>
      <w:tr w14:paraId="4F158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66" w:type="pct"/>
          </w:tcPr>
          <w:p w14:paraId="21833D90">
            <w:pPr>
              <w:rPr>
                <w:color w:val="000000" w:themeColor="text1"/>
                <w14:textFill>
                  <w14:solidFill>
                    <w14:schemeClr w14:val="tx1"/>
                  </w14:solidFill>
                </w14:textFill>
              </w:rPr>
            </w:pPr>
            <w:r>
              <w:rPr>
                <w:rFonts w:hint="eastAsia"/>
                <w:color w:val="000000" w:themeColor="text1"/>
                <w14:textFill>
                  <w14:solidFill>
                    <w14:schemeClr w14:val="tx1"/>
                  </w14:solidFill>
                </w14:textFill>
              </w:rPr>
              <w:t>2至3年</w:t>
            </w:r>
          </w:p>
        </w:tc>
        <w:tc>
          <w:tcPr>
            <w:tcW w:w="1876" w:type="dxa"/>
            <w:vAlign w:val="center"/>
          </w:tcPr>
          <w:p w14:paraId="475E9E76">
            <w:pPr>
              <w:jc w:val="right"/>
              <w:textAlignment w:val="bottom"/>
              <w:rPr>
                <w:rFonts w:cs="Times New Roman"/>
              </w:rPr>
            </w:pPr>
            <w:r>
              <w:rPr>
                <w:rFonts w:eastAsia="Arial Narrow" w:cs="Times New Roman"/>
                <w:color w:val="000000"/>
                <w:lang w:bidi="ar"/>
              </w:rPr>
              <w:t>7,347,719.43</w:t>
            </w:r>
          </w:p>
        </w:tc>
        <w:tc>
          <w:tcPr>
            <w:tcW w:w="1863" w:type="dxa"/>
            <w:vAlign w:val="center"/>
          </w:tcPr>
          <w:p w14:paraId="63CEB530">
            <w:pPr>
              <w:jc w:val="right"/>
              <w:textAlignment w:val="bottom"/>
              <w:rPr>
                <w:rFonts w:cs="Times New Roman"/>
              </w:rPr>
            </w:pPr>
            <w:r>
              <w:rPr>
                <w:rFonts w:eastAsia="Arial Narrow" w:cs="Times New Roman"/>
                <w:color w:val="000000"/>
                <w:lang w:bidi="ar"/>
              </w:rPr>
              <w:t>6.19</w:t>
            </w:r>
          </w:p>
        </w:tc>
        <w:tc>
          <w:tcPr>
            <w:tcW w:w="1053" w:type="pct"/>
            <w:vAlign w:val="center"/>
          </w:tcPr>
          <w:p w14:paraId="42F6CA3A">
            <w:pPr>
              <w:jc w:val="right"/>
              <w:textAlignment w:val="bottom"/>
              <w:rPr>
                <w:rFonts w:cs="Times New Roman"/>
              </w:rPr>
            </w:pPr>
            <w:r>
              <w:rPr>
                <w:rFonts w:cs="Times New Roman"/>
                <w:color w:val="000000"/>
              </w:rPr>
              <w:t>4,499,544.67</w:t>
            </w:r>
          </w:p>
        </w:tc>
        <w:tc>
          <w:tcPr>
            <w:tcW w:w="1063" w:type="pct"/>
            <w:vAlign w:val="center"/>
          </w:tcPr>
          <w:p w14:paraId="11A42834">
            <w:pPr>
              <w:jc w:val="right"/>
              <w:textAlignment w:val="bottom"/>
              <w:rPr>
                <w:rFonts w:cs="Times New Roman"/>
              </w:rPr>
            </w:pPr>
            <w:r>
              <w:rPr>
                <w:rFonts w:cs="Times New Roman"/>
                <w:color w:val="000000"/>
              </w:rPr>
              <w:t>3.07</w:t>
            </w:r>
          </w:p>
        </w:tc>
      </w:tr>
      <w:tr w14:paraId="6332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66" w:type="pct"/>
          </w:tcPr>
          <w:p w14:paraId="215458B9">
            <w:pPr>
              <w:rPr>
                <w:color w:val="000000" w:themeColor="text1"/>
                <w14:textFill>
                  <w14:solidFill>
                    <w14:schemeClr w14:val="tx1"/>
                  </w14:solidFill>
                </w14:textFill>
              </w:rPr>
            </w:pPr>
            <w:r>
              <w:rPr>
                <w:rFonts w:hint="eastAsia"/>
                <w:color w:val="000000" w:themeColor="text1"/>
                <w14:textFill>
                  <w14:solidFill>
                    <w14:schemeClr w14:val="tx1"/>
                  </w14:solidFill>
                </w14:textFill>
              </w:rPr>
              <w:t>3年以上</w:t>
            </w:r>
          </w:p>
        </w:tc>
        <w:tc>
          <w:tcPr>
            <w:tcW w:w="1876" w:type="dxa"/>
            <w:vAlign w:val="center"/>
          </w:tcPr>
          <w:p w14:paraId="0D1964A8">
            <w:pPr>
              <w:jc w:val="right"/>
              <w:textAlignment w:val="bottom"/>
              <w:rPr>
                <w:rFonts w:cs="Times New Roman"/>
              </w:rPr>
            </w:pPr>
            <w:r>
              <w:rPr>
                <w:rFonts w:eastAsia="Arial Narrow" w:cs="Times New Roman"/>
                <w:color w:val="000000"/>
                <w:lang w:bidi="ar"/>
              </w:rPr>
              <w:t>12,745,248.37</w:t>
            </w:r>
          </w:p>
        </w:tc>
        <w:tc>
          <w:tcPr>
            <w:tcW w:w="1863" w:type="dxa"/>
            <w:vAlign w:val="center"/>
          </w:tcPr>
          <w:p w14:paraId="0C5B94EC">
            <w:pPr>
              <w:jc w:val="right"/>
              <w:textAlignment w:val="bottom"/>
              <w:rPr>
                <w:rFonts w:cs="Times New Roman"/>
              </w:rPr>
            </w:pPr>
            <w:r>
              <w:rPr>
                <w:rFonts w:eastAsia="Arial Narrow" w:cs="Times New Roman"/>
                <w:color w:val="000000"/>
                <w:lang w:bidi="ar"/>
              </w:rPr>
              <w:t>10.74</w:t>
            </w:r>
          </w:p>
        </w:tc>
        <w:tc>
          <w:tcPr>
            <w:tcW w:w="1053" w:type="pct"/>
            <w:vAlign w:val="center"/>
          </w:tcPr>
          <w:p w14:paraId="6B9761A3">
            <w:pPr>
              <w:jc w:val="right"/>
              <w:textAlignment w:val="bottom"/>
              <w:rPr>
                <w:rFonts w:cs="Times New Roman"/>
              </w:rPr>
            </w:pPr>
            <w:r>
              <w:rPr>
                <w:rFonts w:cs="Times New Roman"/>
                <w:color w:val="000000"/>
              </w:rPr>
              <w:t>13,434,492.66</w:t>
            </w:r>
          </w:p>
        </w:tc>
        <w:tc>
          <w:tcPr>
            <w:tcW w:w="1063" w:type="pct"/>
            <w:vAlign w:val="center"/>
          </w:tcPr>
          <w:p w14:paraId="7E5C6809">
            <w:pPr>
              <w:jc w:val="right"/>
              <w:textAlignment w:val="bottom"/>
              <w:rPr>
                <w:rFonts w:cs="Times New Roman"/>
              </w:rPr>
            </w:pPr>
            <w:r>
              <w:rPr>
                <w:rFonts w:cs="Times New Roman"/>
                <w:color w:val="000000"/>
              </w:rPr>
              <w:t>9.16</w:t>
            </w:r>
          </w:p>
        </w:tc>
      </w:tr>
      <w:tr w14:paraId="3246D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66" w:type="pct"/>
          </w:tcPr>
          <w:p w14:paraId="21DCC80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876" w:type="dxa"/>
            <w:vAlign w:val="center"/>
          </w:tcPr>
          <w:p w14:paraId="1263B90F">
            <w:pPr>
              <w:jc w:val="right"/>
              <w:textAlignment w:val="bottom"/>
              <w:rPr>
                <w:rFonts w:cs="Times New Roman"/>
              </w:rPr>
            </w:pPr>
            <w:r>
              <w:rPr>
                <w:rFonts w:eastAsia="Arial Narrow" w:cs="Times New Roman"/>
                <w:color w:val="000000"/>
                <w:lang w:bidi="ar"/>
              </w:rPr>
              <w:t>118,654,650.84</w:t>
            </w:r>
          </w:p>
        </w:tc>
        <w:tc>
          <w:tcPr>
            <w:tcW w:w="1863" w:type="dxa"/>
            <w:vAlign w:val="center"/>
          </w:tcPr>
          <w:p w14:paraId="3C5F9D21">
            <w:pPr>
              <w:jc w:val="right"/>
              <w:textAlignment w:val="bottom"/>
              <w:rPr>
                <w:rFonts w:cs="Times New Roman"/>
              </w:rPr>
            </w:pPr>
            <w:r>
              <w:rPr>
                <w:rFonts w:eastAsia="Arial Narrow" w:cs="Times New Roman"/>
                <w:color w:val="000000"/>
                <w:lang w:bidi="ar"/>
              </w:rPr>
              <w:t>100.00</w:t>
            </w:r>
          </w:p>
        </w:tc>
        <w:tc>
          <w:tcPr>
            <w:tcW w:w="1053" w:type="pct"/>
            <w:vAlign w:val="center"/>
          </w:tcPr>
          <w:p w14:paraId="23F4AC79">
            <w:pPr>
              <w:jc w:val="right"/>
              <w:textAlignment w:val="bottom"/>
              <w:rPr>
                <w:rFonts w:cs="Times New Roman"/>
              </w:rPr>
            </w:pPr>
            <w:r>
              <w:rPr>
                <w:rFonts w:cs="Times New Roman"/>
                <w:color w:val="000000"/>
              </w:rPr>
              <w:t>146,724,980.87</w:t>
            </w:r>
          </w:p>
        </w:tc>
        <w:tc>
          <w:tcPr>
            <w:tcW w:w="1063" w:type="pct"/>
            <w:vAlign w:val="center"/>
          </w:tcPr>
          <w:p w14:paraId="51F7A4E2">
            <w:pPr>
              <w:jc w:val="right"/>
              <w:textAlignment w:val="bottom"/>
              <w:rPr>
                <w:rFonts w:cs="Times New Roman"/>
              </w:rPr>
            </w:pPr>
            <w:r>
              <w:rPr>
                <w:rFonts w:cs="Times New Roman"/>
                <w:color w:val="000000"/>
              </w:rPr>
              <w:t>100.00</w:t>
            </w:r>
          </w:p>
        </w:tc>
      </w:tr>
    </w:tbl>
    <w:p w14:paraId="1F18B429">
      <w:pPr>
        <w:rPr>
          <w:color w:val="000000" w:themeColor="text1"/>
          <w14:textFill>
            <w14:solidFill>
              <w14:schemeClr w14:val="tx1"/>
            </w14:solidFill>
          </w14:textFill>
        </w:rPr>
      </w:pPr>
      <w:r>
        <w:rPr>
          <w:rFonts w:hint="eastAsia"/>
          <w:color w:val="000000" w:themeColor="text1"/>
          <w14:textFill>
            <w14:solidFill>
              <w14:schemeClr w14:val="tx1"/>
            </w14:solidFill>
          </w14:textFill>
        </w:rPr>
        <w:t>账龄超过1年且金额重要的预付款项未及时结算原因</w:t>
      </w:r>
      <w:r>
        <w:rPr>
          <w:color w:val="000000" w:themeColor="text1"/>
          <w14:textFill>
            <w14:solidFill>
              <w14:schemeClr w14:val="tx1"/>
            </w14:solidFill>
          </w14:textFill>
        </w:rPr>
        <w:t>的说明：</w:t>
      </w:r>
    </w:p>
    <w:sdt>
      <w:sdtPr>
        <w:rPr>
          <w:color w:val="000000" w:themeColor="text1"/>
          <w14:textFill>
            <w14:solidFill>
              <w14:schemeClr w14:val="tx1"/>
            </w14:solidFill>
          </w14:textFill>
        </w:rPr>
        <w:alias w:val="账龄超过1年且金额重要的预付款项未及时结算原因的说明"/>
        <w:tag w:val="_GBC_174a9654172e49e09cdbf18d854fdd51"/>
        <w:id w:val="147480926"/>
        <w:placeholder>
          <w:docPart w:val="GBC22222222222222222222222222222"/>
        </w:placeholder>
      </w:sdtPr>
      <w:sdtEndPr>
        <w:rPr>
          <w:color w:val="000000" w:themeColor="text1"/>
          <w14:textFill>
            <w14:solidFill>
              <w14:schemeClr w14:val="tx1"/>
            </w14:solidFill>
          </w14:textFill>
        </w:rPr>
      </w:sdtEndPr>
      <w:sdtContent>
        <w:p w14:paraId="35789B02">
          <w:pPr>
            <w:jc w:val="right"/>
            <w:rPr>
              <w:b/>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预付账款账龄"/>
              <w:tag w:val="_GBC_9eb28bbf7d374cdf965c7e133b610fb3"/>
              <w:id w:val="147472770"/>
              <w:placeholder>
                <w:docPart w:val="{8dabe584-f165-47b9-9724-d3b049b84780}"/>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预付账款账龄"/>
              <w:tag w:val="_GBC_d491347f74764df5af3312ad7a0a92e5"/>
              <w:id w:val="147473636"/>
              <w:placeholder>
                <w:docPart w:val="{8dabe584-f165-47b9-9724-d3b049b84780}"/>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p w14:paraId="0E69F1BA">
          <w:pPr>
            <w:snapToGrid w:val="0"/>
            <w:spacing w:line="240" w:lineRule="atLeast"/>
            <w:rPr>
              <w:color w:val="000000" w:themeColor="text1"/>
              <w14:textFill>
                <w14:solidFill>
                  <w14:schemeClr w14:val="tx1"/>
                </w14:solidFill>
              </w14:textFill>
            </w:rPr>
          </w:pP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3"/>
            <w:gridCol w:w="1746"/>
            <w:gridCol w:w="1287"/>
            <w:gridCol w:w="1989"/>
          </w:tblGrid>
          <w:tr w14:paraId="55536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3" w:type="pct"/>
                <w:vAlign w:val="center"/>
              </w:tcPr>
              <w:p w14:paraId="3F4A0AA1">
                <w:pPr>
                  <w:widowControl/>
                  <w:jc w:val="center"/>
                  <w:textAlignment w:val="center"/>
                  <w:rPr>
                    <w:color w:val="000000" w:themeColor="text1"/>
                    <w14:textFill>
                      <w14:solidFill>
                        <w14:schemeClr w14:val="tx1"/>
                      </w14:solidFill>
                    </w14:textFill>
                  </w:rPr>
                </w:pPr>
                <w:r>
                  <w:rPr>
                    <w:rFonts w:cs="Times New Roman"/>
                    <w:color w:val="000000"/>
                    <w:sz w:val="20"/>
                    <w:szCs w:val="20"/>
                    <w:lang w:bidi="ar"/>
                  </w:rPr>
                  <w:t xml:space="preserve"> 单位名称 </w:t>
                </w:r>
              </w:p>
            </w:tc>
            <w:tc>
              <w:tcPr>
                <w:tcW w:w="965" w:type="pct"/>
                <w:vAlign w:val="center"/>
              </w:tcPr>
              <w:p w14:paraId="77BC6F30">
                <w:pPr>
                  <w:widowControl/>
                  <w:jc w:val="center"/>
                  <w:textAlignment w:val="center"/>
                  <w:rPr>
                    <w:color w:val="000000" w:themeColor="text1"/>
                    <w14:textFill>
                      <w14:solidFill>
                        <w14:schemeClr w14:val="tx1"/>
                      </w14:solidFill>
                    </w14:textFill>
                  </w:rPr>
                </w:pPr>
                <w:r>
                  <w:rPr>
                    <w:rFonts w:cs="Times New Roman"/>
                    <w:color w:val="000000"/>
                    <w:sz w:val="20"/>
                    <w:szCs w:val="20"/>
                    <w:lang w:bidi="ar"/>
                  </w:rPr>
                  <w:t xml:space="preserve"> 期末余额 </w:t>
                </w:r>
              </w:p>
            </w:tc>
            <w:tc>
              <w:tcPr>
                <w:tcW w:w="711" w:type="pct"/>
                <w:vAlign w:val="center"/>
              </w:tcPr>
              <w:p w14:paraId="45B5FFC9">
                <w:pPr>
                  <w:widowControl/>
                  <w:jc w:val="center"/>
                  <w:textAlignment w:val="center"/>
                  <w:rPr>
                    <w:color w:val="000000" w:themeColor="text1"/>
                    <w14:textFill>
                      <w14:solidFill>
                        <w14:schemeClr w14:val="tx1"/>
                      </w14:solidFill>
                    </w14:textFill>
                  </w:rPr>
                </w:pPr>
                <w:r>
                  <w:rPr>
                    <w:rFonts w:cs="Times New Roman"/>
                    <w:color w:val="000000"/>
                    <w:sz w:val="20"/>
                    <w:szCs w:val="20"/>
                    <w:lang w:bidi="ar"/>
                  </w:rPr>
                  <w:t xml:space="preserve"> 账龄 </w:t>
                </w:r>
              </w:p>
            </w:tc>
            <w:tc>
              <w:tcPr>
                <w:tcW w:w="1099" w:type="pct"/>
                <w:vAlign w:val="center"/>
              </w:tcPr>
              <w:p w14:paraId="222E2334">
                <w:pPr>
                  <w:widowControl/>
                  <w:jc w:val="center"/>
                  <w:textAlignment w:val="center"/>
                  <w:rPr>
                    <w:color w:val="000000" w:themeColor="text1"/>
                    <w14:textFill>
                      <w14:solidFill>
                        <w14:schemeClr w14:val="tx1"/>
                      </w14:solidFill>
                    </w14:textFill>
                  </w:rPr>
                </w:pPr>
                <w:r>
                  <w:rPr>
                    <w:rFonts w:cs="Times New Roman"/>
                    <w:color w:val="000000"/>
                    <w:sz w:val="20"/>
                    <w:szCs w:val="20"/>
                    <w:lang w:bidi="ar"/>
                  </w:rPr>
                  <w:t xml:space="preserve"> 未及时结算原因 </w:t>
                </w:r>
              </w:p>
            </w:tc>
          </w:tr>
          <w:tr w14:paraId="66F1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3" w:type="pct"/>
                <w:vAlign w:val="center"/>
              </w:tcPr>
              <w:p w14:paraId="4FE2CBF7">
                <w:pPr>
                  <w:widowControl/>
                  <w:jc w:val="left"/>
                  <w:textAlignment w:val="center"/>
                  <w:rPr>
                    <w:color w:val="000000" w:themeColor="text1"/>
                    <w14:textFill>
                      <w14:solidFill>
                        <w14:schemeClr w14:val="tx1"/>
                      </w14:solidFill>
                    </w14:textFill>
                  </w:rPr>
                </w:pPr>
                <w:r>
                  <w:rPr>
                    <w:rFonts w:cs="Times New Roman"/>
                    <w:color w:val="000000"/>
                    <w:sz w:val="20"/>
                    <w:szCs w:val="20"/>
                    <w:lang w:bidi="ar"/>
                  </w:rPr>
                  <w:t xml:space="preserve"> 北京腾奥世杰工贸有限公司 </w:t>
                </w:r>
              </w:p>
            </w:tc>
            <w:tc>
              <w:tcPr>
                <w:tcW w:w="965" w:type="pct"/>
                <w:vAlign w:val="bottom"/>
              </w:tcPr>
              <w:p w14:paraId="45A159F3">
                <w:pPr>
                  <w:widowControl/>
                  <w:jc w:val="right"/>
                  <w:textAlignment w:val="bottom"/>
                  <w:rPr>
                    <w:rFonts w:cs="Times New Roman"/>
                    <w:color w:val="000000" w:themeColor="text1"/>
                    <w14:textFill>
                      <w14:solidFill>
                        <w14:schemeClr w14:val="tx1"/>
                      </w14:solidFill>
                    </w14:textFill>
                  </w:rPr>
                </w:pPr>
                <w:r>
                  <w:rPr>
                    <w:rFonts w:eastAsia="Arial Narrow" w:cs="Times New Roman"/>
                    <w:color w:val="000000"/>
                    <w:lang w:bidi="ar"/>
                  </w:rPr>
                  <w:t>3,768,772.85</w:t>
                </w:r>
              </w:p>
            </w:tc>
            <w:tc>
              <w:tcPr>
                <w:tcW w:w="711" w:type="pct"/>
                <w:vAlign w:val="center"/>
              </w:tcPr>
              <w:p w14:paraId="2555E816">
                <w:pPr>
                  <w:widowControl/>
                  <w:jc w:val="center"/>
                  <w:textAlignment w:val="center"/>
                  <w:rPr>
                    <w:color w:val="000000" w:themeColor="text1"/>
                    <w14:textFill>
                      <w14:solidFill>
                        <w14:schemeClr w14:val="tx1"/>
                      </w14:solidFill>
                    </w14:textFill>
                  </w:rPr>
                </w:pPr>
                <w:r>
                  <w:rPr>
                    <w:rFonts w:cs="Times New Roman"/>
                    <w:color w:val="000000"/>
                    <w:sz w:val="20"/>
                    <w:szCs w:val="20"/>
                    <w:lang w:bidi="ar"/>
                  </w:rPr>
                  <w:t>3年以上</w:t>
                </w:r>
              </w:p>
            </w:tc>
            <w:tc>
              <w:tcPr>
                <w:tcW w:w="1099" w:type="pct"/>
                <w:vAlign w:val="center"/>
              </w:tcPr>
              <w:p w14:paraId="29127FD0">
                <w:pPr>
                  <w:widowControl/>
                  <w:jc w:val="center"/>
                  <w:textAlignment w:val="center"/>
                  <w:rPr>
                    <w:color w:val="000000" w:themeColor="text1"/>
                    <w14:textFill>
                      <w14:solidFill>
                        <w14:schemeClr w14:val="tx1"/>
                      </w14:solidFill>
                    </w14:textFill>
                  </w:rPr>
                </w:pPr>
                <w:r>
                  <w:rPr>
                    <w:rFonts w:cs="Times New Roman"/>
                    <w:color w:val="000000"/>
                    <w:sz w:val="20"/>
                    <w:szCs w:val="20"/>
                  </w:rPr>
                  <w:t>尚未结算</w:t>
                </w:r>
              </w:p>
            </w:tc>
          </w:tr>
          <w:tr w14:paraId="248F8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3" w:type="pct"/>
                <w:vAlign w:val="center"/>
              </w:tcPr>
              <w:p w14:paraId="76B86BFB">
                <w:pPr>
                  <w:widowControl/>
                  <w:jc w:val="left"/>
                  <w:textAlignment w:val="center"/>
                  <w:rPr>
                    <w:color w:val="000000" w:themeColor="text1"/>
                    <w14:textFill>
                      <w14:solidFill>
                        <w14:schemeClr w14:val="tx1"/>
                      </w14:solidFill>
                    </w14:textFill>
                  </w:rPr>
                </w:pPr>
                <w:r>
                  <w:rPr>
                    <w:rFonts w:cs="Times New Roman"/>
                    <w:color w:val="000000"/>
                    <w:sz w:val="20"/>
                    <w:szCs w:val="20"/>
                    <w:lang w:bidi="ar"/>
                  </w:rPr>
                  <w:t xml:space="preserve"> 河南省远航制鞋有限公司 </w:t>
                </w:r>
              </w:p>
            </w:tc>
            <w:tc>
              <w:tcPr>
                <w:tcW w:w="965" w:type="pct"/>
                <w:vAlign w:val="bottom"/>
              </w:tcPr>
              <w:p w14:paraId="1640E42E">
                <w:pPr>
                  <w:widowControl/>
                  <w:jc w:val="right"/>
                  <w:textAlignment w:val="bottom"/>
                  <w:rPr>
                    <w:rFonts w:cs="Times New Roman"/>
                    <w:color w:val="000000" w:themeColor="text1"/>
                    <w14:textFill>
                      <w14:solidFill>
                        <w14:schemeClr w14:val="tx1"/>
                      </w14:solidFill>
                    </w14:textFill>
                  </w:rPr>
                </w:pPr>
                <w:r>
                  <w:rPr>
                    <w:rFonts w:eastAsia="Arial Narrow" w:cs="Times New Roman"/>
                    <w:color w:val="000000"/>
                    <w:lang w:bidi="ar"/>
                  </w:rPr>
                  <w:t>2,895,867.55</w:t>
                </w:r>
              </w:p>
            </w:tc>
            <w:tc>
              <w:tcPr>
                <w:tcW w:w="711" w:type="pct"/>
                <w:vAlign w:val="center"/>
              </w:tcPr>
              <w:p w14:paraId="53E084A5">
                <w:pPr>
                  <w:widowControl/>
                  <w:jc w:val="center"/>
                  <w:textAlignment w:val="center"/>
                  <w:rPr>
                    <w:color w:val="000000" w:themeColor="text1"/>
                    <w14:textFill>
                      <w14:solidFill>
                        <w14:schemeClr w14:val="tx1"/>
                      </w14:solidFill>
                    </w14:textFill>
                  </w:rPr>
                </w:pPr>
                <w:r>
                  <w:rPr>
                    <w:rFonts w:cs="Times New Roman"/>
                    <w:color w:val="000000"/>
                    <w:sz w:val="20"/>
                    <w:szCs w:val="20"/>
                    <w:lang w:bidi="ar"/>
                  </w:rPr>
                  <w:t>1-</w:t>
                </w:r>
                <w:r>
                  <w:rPr>
                    <w:rFonts w:hint="eastAsia" w:ascii="宋体" w:hAnsi="宋体"/>
                    <w:color w:val="000000"/>
                    <w:sz w:val="20"/>
                    <w:szCs w:val="20"/>
                    <w:lang w:bidi="ar"/>
                  </w:rPr>
                  <w:t>3年</w:t>
                </w:r>
              </w:p>
            </w:tc>
            <w:tc>
              <w:tcPr>
                <w:tcW w:w="1099" w:type="pct"/>
                <w:vAlign w:val="center"/>
              </w:tcPr>
              <w:p w14:paraId="46A7133A">
                <w:pPr>
                  <w:widowControl/>
                  <w:jc w:val="center"/>
                  <w:textAlignment w:val="center"/>
                  <w:rPr>
                    <w:color w:val="000000" w:themeColor="text1"/>
                    <w14:textFill>
                      <w14:solidFill>
                        <w14:schemeClr w14:val="tx1"/>
                      </w14:solidFill>
                    </w14:textFill>
                  </w:rPr>
                </w:pPr>
                <w:r>
                  <w:rPr>
                    <w:rFonts w:cs="Times New Roman"/>
                    <w:color w:val="000000"/>
                    <w:sz w:val="20"/>
                    <w:szCs w:val="20"/>
                  </w:rPr>
                  <w:t>尚未结算</w:t>
                </w:r>
              </w:p>
            </w:tc>
          </w:tr>
          <w:tr w14:paraId="61CE7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3" w:type="pct"/>
                <w:vAlign w:val="center"/>
              </w:tcPr>
              <w:p w14:paraId="266FC730">
                <w:pPr>
                  <w:widowControl/>
                  <w:jc w:val="left"/>
                  <w:textAlignment w:val="center"/>
                  <w:rPr>
                    <w:color w:val="000000" w:themeColor="text1"/>
                    <w14:textFill>
                      <w14:solidFill>
                        <w14:schemeClr w14:val="tx1"/>
                      </w14:solidFill>
                    </w14:textFill>
                  </w:rPr>
                </w:pPr>
                <w:r>
                  <w:rPr>
                    <w:rFonts w:cs="Times New Roman"/>
                    <w:color w:val="000000"/>
                    <w:sz w:val="20"/>
                    <w:szCs w:val="20"/>
                    <w:lang w:bidi="ar"/>
                  </w:rPr>
                  <w:t xml:space="preserve"> 重庆竞博鞋业有限责任公司 </w:t>
                </w:r>
              </w:p>
            </w:tc>
            <w:tc>
              <w:tcPr>
                <w:tcW w:w="965" w:type="pct"/>
                <w:vAlign w:val="bottom"/>
              </w:tcPr>
              <w:p w14:paraId="33C62BC6">
                <w:pPr>
                  <w:widowControl/>
                  <w:jc w:val="right"/>
                  <w:textAlignment w:val="bottom"/>
                  <w:rPr>
                    <w:rFonts w:cs="Times New Roman"/>
                    <w:color w:val="000000" w:themeColor="text1"/>
                    <w14:textFill>
                      <w14:solidFill>
                        <w14:schemeClr w14:val="tx1"/>
                      </w14:solidFill>
                    </w14:textFill>
                  </w:rPr>
                </w:pPr>
                <w:r>
                  <w:rPr>
                    <w:rFonts w:eastAsia="Arial Narrow" w:cs="Times New Roman"/>
                    <w:color w:val="000000"/>
                    <w:lang w:bidi="ar"/>
                  </w:rPr>
                  <w:t>4,164,425.92</w:t>
                </w:r>
              </w:p>
            </w:tc>
            <w:tc>
              <w:tcPr>
                <w:tcW w:w="711" w:type="pct"/>
                <w:vAlign w:val="center"/>
              </w:tcPr>
              <w:p w14:paraId="4784026D">
                <w:pPr>
                  <w:widowControl/>
                  <w:jc w:val="center"/>
                  <w:textAlignment w:val="center"/>
                  <w:rPr>
                    <w:color w:val="000000" w:themeColor="text1"/>
                    <w14:textFill>
                      <w14:solidFill>
                        <w14:schemeClr w14:val="tx1"/>
                      </w14:solidFill>
                    </w14:textFill>
                  </w:rPr>
                </w:pPr>
                <w:r>
                  <w:rPr>
                    <w:rFonts w:cs="Times New Roman"/>
                    <w:color w:val="000000"/>
                    <w:sz w:val="20"/>
                    <w:szCs w:val="20"/>
                    <w:lang w:bidi="ar"/>
                  </w:rPr>
                  <w:t>1-2年</w:t>
                </w:r>
              </w:p>
            </w:tc>
            <w:tc>
              <w:tcPr>
                <w:tcW w:w="1099" w:type="pct"/>
                <w:vAlign w:val="center"/>
              </w:tcPr>
              <w:p w14:paraId="24654231">
                <w:pPr>
                  <w:widowControl/>
                  <w:jc w:val="center"/>
                  <w:textAlignment w:val="center"/>
                  <w:rPr>
                    <w:color w:val="000000" w:themeColor="text1"/>
                    <w14:textFill>
                      <w14:solidFill>
                        <w14:schemeClr w14:val="tx1"/>
                      </w14:solidFill>
                    </w14:textFill>
                  </w:rPr>
                </w:pPr>
                <w:r>
                  <w:rPr>
                    <w:rFonts w:cs="Times New Roman"/>
                    <w:color w:val="000000"/>
                    <w:sz w:val="20"/>
                    <w:szCs w:val="20"/>
                  </w:rPr>
                  <w:t>尚未结算</w:t>
                </w:r>
              </w:p>
            </w:tc>
          </w:tr>
          <w:tr w14:paraId="7C85C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3" w:type="pct"/>
                <w:vAlign w:val="center"/>
              </w:tcPr>
              <w:p w14:paraId="0E9F6125">
                <w:pPr>
                  <w:widowControl/>
                  <w:jc w:val="left"/>
                  <w:textAlignment w:val="center"/>
                  <w:rPr>
                    <w:color w:val="000000" w:themeColor="text1"/>
                    <w14:textFill>
                      <w14:solidFill>
                        <w14:schemeClr w14:val="tx1"/>
                      </w14:solidFill>
                    </w14:textFill>
                  </w:rPr>
                </w:pPr>
                <w:r>
                  <w:rPr>
                    <w:rFonts w:cs="Times New Roman"/>
                    <w:color w:val="000000"/>
                    <w:sz w:val="20"/>
                    <w:szCs w:val="20"/>
                    <w:lang w:bidi="ar"/>
                  </w:rPr>
                  <w:t xml:space="preserve"> 北京万华鑫荣聚氨酯科技发展有限公司 </w:t>
                </w:r>
              </w:p>
            </w:tc>
            <w:tc>
              <w:tcPr>
                <w:tcW w:w="965" w:type="pct"/>
                <w:vAlign w:val="bottom"/>
              </w:tcPr>
              <w:p w14:paraId="01306B01">
                <w:pPr>
                  <w:widowControl/>
                  <w:jc w:val="right"/>
                  <w:textAlignment w:val="bottom"/>
                  <w:rPr>
                    <w:rFonts w:cs="Times New Roman"/>
                    <w:color w:val="000000" w:themeColor="text1"/>
                    <w14:textFill>
                      <w14:solidFill>
                        <w14:schemeClr w14:val="tx1"/>
                      </w14:solidFill>
                    </w14:textFill>
                  </w:rPr>
                </w:pPr>
                <w:r>
                  <w:rPr>
                    <w:rFonts w:eastAsia="Arial Narrow" w:cs="Times New Roman"/>
                    <w:color w:val="000000"/>
                    <w:lang w:bidi="ar"/>
                  </w:rPr>
                  <w:t>1,113,054.61</w:t>
                </w:r>
              </w:p>
            </w:tc>
            <w:tc>
              <w:tcPr>
                <w:tcW w:w="711" w:type="pct"/>
                <w:vAlign w:val="center"/>
              </w:tcPr>
              <w:p w14:paraId="2B29898A">
                <w:pPr>
                  <w:widowControl/>
                  <w:jc w:val="center"/>
                  <w:textAlignment w:val="center"/>
                  <w:rPr>
                    <w:color w:val="000000" w:themeColor="text1"/>
                    <w14:textFill>
                      <w14:solidFill>
                        <w14:schemeClr w14:val="tx1"/>
                      </w14:solidFill>
                    </w14:textFill>
                  </w:rPr>
                </w:pPr>
                <w:r>
                  <w:rPr>
                    <w:rFonts w:cs="Times New Roman"/>
                    <w:color w:val="000000"/>
                    <w:sz w:val="20"/>
                    <w:szCs w:val="20"/>
                    <w:lang w:bidi="ar"/>
                  </w:rPr>
                  <w:t>3年以上</w:t>
                </w:r>
              </w:p>
            </w:tc>
            <w:tc>
              <w:tcPr>
                <w:tcW w:w="1099" w:type="pct"/>
                <w:vAlign w:val="center"/>
              </w:tcPr>
              <w:p w14:paraId="0388B6BF">
                <w:pPr>
                  <w:widowControl/>
                  <w:jc w:val="center"/>
                  <w:textAlignment w:val="center"/>
                  <w:rPr>
                    <w:color w:val="000000" w:themeColor="text1"/>
                    <w14:textFill>
                      <w14:solidFill>
                        <w14:schemeClr w14:val="tx1"/>
                      </w14:solidFill>
                    </w14:textFill>
                  </w:rPr>
                </w:pPr>
                <w:r>
                  <w:rPr>
                    <w:rFonts w:cs="Times New Roman"/>
                    <w:color w:val="000000"/>
                    <w:sz w:val="20"/>
                    <w:szCs w:val="20"/>
                  </w:rPr>
                  <w:t>尚未结算</w:t>
                </w:r>
              </w:p>
            </w:tc>
          </w:tr>
          <w:tr w14:paraId="0E9D5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3" w:type="pct"/>
                <w:vAlign w:val="center"/>
              </w:tcPr>
              <w:p w14:paraId="008D25D8">
                <w:pPr>
                  <w:widowControl/>
                  <w:jc w:val="left"/>
                  <w:textAlignment w:val="center"/>
                  <w:rPr>
                    <w:color w:val="000000" w:themeColor="text1"/>
                    <w14:textFill>
                      <w14:solidFill>
                        <w14:schemeClr w14:val="tx1"/>
                      </w14:solidFill>
                    </w14:textFill>
                  </w:rPr>
                </w:pPr>
                <w:r>
                  <w:rPr>
                    <w:rFonts w:cs="Times New Roman"/>
                    <w:color w:val="000000"/>
                    <w:sz w:val="20"/>
                    <w:szCs w:val="20"/>
                    <w:lang w:bidi="ar"/>
                  </w:rPr>
                  <w:t xml:space="preserve"> 金猴集团威海皮具有限公司 </w:t>
                </w:r>
              </w:p>
            </w:tc>
            <w:tc>
              <w:tcPr>
                <w:tcW w:w="965" w:type="pct"/>
                <w:vAlign w:val="bottom"/>
              </w:tcPr>
              <w:p w14:paraId="7804AF57">
                <w:pPr>
                  <w:widowControl/>
                  <w:jc w:val="right"/>
                  <w:textAlignment w:val="bottom"/>
                  <w:rPr>
                    <w:rFonts w:cs="Times New Roman"/>
                    <w:color w:val="000000" w:themeColor="text1"/>
                    <w14:textFill>
                      <w14:solidFill>
                        <w14:schemeClr w14:val="tx1"/>
                      </w14:solidFill>
                    </w14:textFill>
                  </w:rPr>
                </w:pPr>
                <w:r>
                  <w:rPr>
                    <w:rFonts w:eastAsia="Arial Narrow" w:cs="Times New Roman"/>
                    <w:color w:val="000000"/>
                    <w:lang w:bidi="ar"/>
                  </w:rPr>
                  <w:t>1,105,814.00</w:t>
                </w:r>
              </w:p>
            </w:tc>
            <w:tc>
              <w:tcPr>
                <w:tcW w:w="711" w:type="pct"/>
                <w:vAlign w:val="center"/>
              </w:tcPr>
              <w:p w14:paraId="0495D7E5">
                <w:pPr>
                  <w:widowControl/>
                  <w:jc w:val="center"/>
                  <w:textAlignment w:val="center"/>
                  <w:rPr>
                    <w:color w:val="000000" w:themeColor="text1"/>
                    <w14:textFill>
                      <w14:solidFill>
                        <w14:schemeClr w14:val="tx1"/>
                      </w14:solidFill>
                    </w14:textFill>
                  </w:rPr>
                </w:pPr>
                <w:r>
                  <w:rPr>
                    <w:rFonts w:cs="Times New Roman"/>
                    <w:color w:val="000000"/>
                    <w:sz w:val="20"/>
                    <w:szCs w:val="20"/>
                    <w:lang w:bidi="ar"/>
                  </w:rPr>
                  <w:t>3年以上</w:t>
                </w:r>
              </w:p>
            </w:tc>
            <w:tc>
              <w:tcPr>
                <w:tcW w:w="1099" w:type="pct"/>
                <w:vAlign w:val="center"/>
              </w:tcPr>
              <w:p w14:paraId="657F510A">
                <w:pPr>
                  <w:widowControl/>
                  <w:jc w:val="center"/>
                  <w:textAlignment w:val="center"/>
                  <w:rPr>
                    <w:color w:val="000000" w:themeColor="text1"/>
                    <w14:textFill>
                      <w14:solidFill>
                        <w14:schemeClr w14:val="tx1"/>
                      </w14:solidFill>
                    </w14:textFill>
                  </w:rPr>
                </w:pPr>
                <w:r>
                  <w:rPr>
                    <w:rFonts w:cs="Times New Roman"/>
                    <w:color w:val="000000"/>
                    <w:sz w:val="20"/>
                    <w:szCs w:val="20"/>
                  </w:rPr>
                  <w:t>尚未结算</w:t>
                </w:r>
              </w:p>
            </w:tc>
          </w:tr>
          <w:tr w14:paraId="7CED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3" w:type="pct"/>
                <w:vAlign w:val="center"/>
              </w:tcPr>
              <w:p w14:paraId="6716735F">
                <w:pPr>
                  <w:widowControl/>
                  <w:jc w:val="left"/>
                  <w:textAlignment w:val="center"/>
                  <w:rPr>
                    <w:color w:val="000000" w:themeColor="text1"/>
                    <w14:textFill>
                      <w14:solidFill>
                        <w14:schemeClr w14:val="tx1"/>
                      </w14:solidFill>
                    </w14:textFill>
                  </w:rPr>
                </w:pPr>
                <w:r>
                  <w:rPr>
                    <w:rFonts w:cs="Times New Roman"/>
                    <w:color w:val="000000"/>
                    <w:sz w:val="20"/>
                    <w:szCs w:val="20"/>
                    <w:lang w:bidi="ar"/>
                  </w:rPr>
                  <w:t xml:space="preserve"> 合计 </w:t>
                </w:r>
              </w:p>
            </w:tc>
            <w:tc>
              <w:tcPr>
                <w:tcW w:w="965" w:type="pct"/>
                <w:vAlign w:val="bottom"/>
              </w:tcPr>
              <w:p w14:paraId="73CF840E">
                <w:pPr>
                  <w:widowControl/>
                  <w:jc w:val="right"/>
                  <w:textAlignment w:val="bottom"/>
                  <w:rPr>
                    <w:rFonts w:cs="Times New Roman"/>
                    <w:color w:val="000000" w:themeColor="text1"/>
                    <w14:textFill>
                      <w14:solidFill>
                        <w14:schemeClr w14:val="tx1"/>
                      </w14:solidFill>
                    </w14:textFill>
                  </w:rPr>
                </w:pPr>
                <w:r>
                  <w:rPr>
                    <w:rFonts w:eastAsia="Arial Narrow" w:cs="Times New Roman"/>
                    <w:color w:val="000000"/>
                    <w:lang w:bidi="ar"/>
                  </w:rPr>
                  <w:t>13,047,934.93</w:t>
                </w:r>
              </w:p>
            </w:tc>
            <w:tc>
              <w:tcPr>
                <w:tcW w:w="711" w:type="pct"/>
              </w:tcPr>
              <w:p w14:paraId="6EA0325F">
                <w:pPr>
                  <w:widowControl/>
                  <w:jc w:val="center"/>
                  <w:textAlignment w:val="top"/>
                  <w:rPr>
                    <w:color w:val="000000" w:themeColor="text1"/>
                    <w14:textFill>
                      <w14:solidFill>
                        <w14:schemeClr w14:val="tx1"/>
                      </w14:solidFill>
                    </w14:textFill>
                  </w:rPr>
                </w:pPr>
                <w:r>
                  <w:rPr>
                    <w:rFonts w:ascii="Arial Narrow" w:hAnsi="Arial Narrow"/>
                    <w:color w:val="000000"/>
                  </w:rPr>
                  <w:t>—</w:t>
                </w:r>
              </w:p>
            </w:tc>
            <w:tc>
              <w:tcPr>
                <w:tcW w:w="1099" w:type="pct"/>
              </w:tcPr>
              <w:p w14:paraId="7DF65787">
                <w:pPr>
                  <w:widowControl/>
                  <w:jc w:val="center"/>
                  <w:textAlignment w:val="top"/>
                  <w:rPr>
                    <w:color w:val="000000" w:themeColor="text1"/>
                    <w14:textFill>
                      <w14:solidFill>
                        <w14:schemeClr w14:val="tx1"/>
                      </w14:solidFill>
                    </w14:textFill>
                  </w:rPr>
                </w:pPr>
                <w:r>
                  <w:rPr>
                    <w:rFonts w:ascii="Arial Narrow" w:hAnsi="Arial Narrow"/>
                    <w:color w:val="000000"/>
                  </w:rPr>
                  <w:t>—</w:t>
                </w:r>
              </w:p>
            </w:tc>
          </w:tr>
        </w:tbl>
        <w:p w14:paraId="3F86FD49">
          <w:pPr>
            <w:snapToGrid w:val="0"/>
            <w:spacing w:line="240" w:lineRule="atLeast"/>
            <w:rPr>
              <w:color w:val="000000" w:themeColor="text1"/>
              <w14:textFill>
                <w14:solidFill>
                  <w14:schemeClr w14:val="tx1"/>
                </w14:solidFill>
              </w14:textFill>
            </w:rPr>
          </w:pPr>
        </w:p>
      </w:sdtContent>
    </w:sdt>
    <w:p w14:paraId="1A437FA6">
      <w:pPr>
        <w:pStyle w:val="58"/>
        <w:numPr>
          <w:ilvl w:val="0"/>
          <w:numId w:val="59"/>
        </w:numPr>
        <w:tabs>
          <w:tab w:val="left" w:pos="616"/>
        </w:tabs>
        <w:rPr>
          <w:rFonts w:ascii="宋体" w:hAnsi="宋体"/>
          <w:color w:val="000000" w:themeColor="text1"/>
          <w14:textFill>
            <w14:solidFill>
              <w14:schemeClr w14:val="tx1"/>
            </w14:solidFill>
          </w14:textFill>
        </w:rPr>
      </w:pPr>
      <w:bookmarkStart w:id="238" w:name="_Hlk199853551"/>
      <w:r>
        <w:rPr>
          <w:rFonts w:hint="eastAsia" w:ascii="宋体" w:hAnsi="宋体"/>
          <w:color w:val="000000" w:themeColor="text1"/>
          <w14:textFill>
            <w14:solidFill>
              <w14:schemeClr w14:val="tx1"/>
            </w14:solidFill>
          </w14:textFill>
        </w:rPr>
        <w:t>按预付对象归集的期末余额前五名的预付款情况</w:t>
      </w:r>
    </w:p>
    <w:sdt>
      <w:sdtPr>
        <w:rPr>
          <w:rFonts w:hint="eastAsia"/>
          <w:color w:val="000000" w:themeColor="text1"/>
          <w14:textFill>
            <w14:solidFill>
              <w14:schemeClr w14:val="tx1"/>
            </w14:solidFill>
          </w14:textFill>
        </w:rPr>
        <w:alias w:val="是否适用：按预付对象归集的期末余额前五名的预付款情况[双击切换]"/>
        <w:tag w:val="_GBC_a1864f04af6d49bdb434d74a7f29f8c3"/>
        <w:id w:val="1782603716"/>
      </w:sdtPr>
      <w:sdtEndPr>
        <w:rPr>
          <w:rFonts w:hint="eastAsia"/>
          <w:color w:val="000000" w:themeColor="text1"/>
          <w14:textFill>
            <w14:solidFill>
              <w14:schemeClr w14:val="tx1"/>
            </w14:solidFill>
          </w14:textFill>
        </w:rPr>
      </w:sdtEndPr>
      <w:sdtContent>
        <w:p w14:paraId="7B5C6FF8">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7C33BC76">
      <w:pPr>
        <w:snapToGrid w:val="0"/>
        <w:spacing w:line="240" w:lineRule="atLeast"/>
        <w:jc w:val="right"/>
      </w:pPr>
      <w:r>
        <w:rPr>
          <w:rFonts w:hint="eastAsia"/>
        </w:rPr>
        <w:t>单位：</w:t>
      </w:r>
      <w:sdt>
        <w:sdtPr>
          <w:rPr>
            <w:rFonts w:hint="eastAsia"/>
          </w:rPr>
          <w:alias w:val="单位：按预付对象归集的期末余额前五名的预付款情况"/>
          <w:tag w:val="_GBC_60474912a059478aa7a052f29a7878f6"/>
          <w:id w:val="673465592"/>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按预付对象归集的期末余额前五名的预付款情况"/>
          <w:tag w:val="_GBC_bd430b918c86452ca29c59c0866e9f4e"/>
          <w:id w:val="834723182"/>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rPr>
        </w:sdtEndPr>
        <w:sdtContent>
          <w:r>
            <w:rPr>
              <w:rFonts w:hint="eastAsia"/>
            </w:rPr>
            <w:t>人民币</w:t>
          </w:r>
        </w:sdtContent>
      </w:sdt>
    </w:p>
    <w:tbl>
      <w:tblPr>
        <w:tblStyle w:val="37"/>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7"/>
        <w:gridCol w:w="2485"/>
        <w:gridCol w:w="3014"/>
      </w:tblGrid>
      <w:tr w14:paraId="62CA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d1820e97fc2b412296b96c0151dea923"/>
            <w:id w:val="669682584"/>
          </w:sdtPr>
          <w:sdtContent>
            <w:tc>
              <w:tcPr>
                <w:tcW w:w="1957" w:type="pct"/>
                <w:vAlign w:val="center"/>
              </w:tcPr>
              <w:p w14:paraId="5451A2BB">
                <w:pPr>
                  <w:ind w:right="105"/>
                  <w:jc w:val="center"/>
                </w:pPr>
                <w:r>
                  <w:rPr>
                    <w:rFonts w:hint="eastAsia"/>
                  </w:rPr>
                  <w:t>单位名称</w:t>
                </w:r>
              </w:p>
            </w:tc>
          </w:sdtContent>
        </w:sdt>
        <w:sdt>
          <w:sdtPr>
            <w:tag w:val="_PLD_ea2392e4fefe4be5b353e22520ae4d4e"/>
            <w:id w:val="-1274780049"/>
          </w:sdtPr>
          <w:sdtContent>
            <w:tc>
              <w:tcPr>
                <w:tcW w:w="1375" w:type="pct"/>
                <w:vAlign w:val="center"/>
              </w:tcPr>
              <w:p w14:paraId="42219E5F">
                <w:pPr>
                  <w:ind w:right="73"/>
                  <w:jc w:val="center"/>
                </w:pPr>
                <w:r>
                  <w:rPr>
                    <w:rFonts w:hint="eastAsia"/>
                  </w:rPr>
                  <w:t>期末余额</w:t>
                </w:r>
              </w:p>
            </w:tc>
          </w:sdtContent>
        </w:sdt>
        <w:sdt>
          <w:sdtPr>
            <w:tag w:val="_PLD_0c082a2df5b041d9ab1489c29022c66c"/>
            <w:id w:val="179330713"/>
          </w:sdtPr>
          <w:sdtContent>
            <w:tc>
              <w:tcPr>
                <w:tcW w:w="1667" w:type="pct"/>
                <w:vAlign w:val="center"/>
              </w:tcPr>
              <w:p w14:paraId="7BF3C4F7">
                <w:pPr>
                  <w:jc w:val="center"/>
                </w:pPr>
                <w:r>
                  <w:rPr>
                    <w:rFonts w:hint="eastAsia"/>
                  </w:rPr>
                  <w:t>占预付款项期末余额合计数的比例(</w:t>
                </w:r>
                <w:r>
                  <w:t>%)</w:t>
                </w:r>
              </w:p>
            </w:tc>
          </w:sdtContent>
        </w:sdt>
      </w:tr>
      <w:sdt>
        <w:sdtPr>
          <w:alias w:val="预付帐款欠款户"/>
          <w:tag w:val="_TUP_c33a5c627988444c95f66c45cf6f42b4"/>
          <w:id w:val="1768037856"/>
          <w:placeholder>
            <w:docPart w:val="{cf338f5b-714d-4426-b193-8701ca0eadc9}"/>
          </w:placeholder>
        </w:sdtPr>
        <w:sdtEndPr>
          <w:rPr>
            <w:rFonts w:cs="Times New Roman"/>
          </w:rPr>
        </w:sdtEndPr>
        <w:sdtContent>
          <w:tr w14:paraId="6DE8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57" w:type="pct"/>
              </w:tcPr>
              <w:p w14:paraId="6F61601F">
                <w:pPr>
                  <w:ind w:right="105"/>
                </w:pPr>
                <w:r>
                  <w:rPr>
                    <w:rFonts w:hint="eastAsia"/>
                  </w:rPr>
                  <w:t>内丘县联胜鞋厂</w:t>
                </w:r>
              </w:p>
            </w:tc>
            <w:tc>
              <w:tcPr>
                <w:tcW w:w="1375" w:type="pct"/>
                <w:vAlign w:val="bottom"/>
              </w:tcPr>
              <w:p w14:paraId="75D732D6">
                <w:pPr>
                  <w:ind w:right="73"/>
                  <w:jc w:val="right"/>
                  <w:rPr>
                    <w:rFonts w:cs="Times New Roman"/>
                  </w:rPr>
                </w:pPr>
                <w:r>
                  <w:rPr>
                    <w:rFonts w:cs="Times New Roman"/>
                  </w:rPr>
                  <w:t>8,999,247.88</w:t>
                </w:r>
              </w:p>
            </w:tc>
            <w:tc>
              <w:tcPr>
                <w:tcW w:w="1667" w:type="pct"/>
                <w:vAlign w:val="bottom"/>
              </w:tcPr>
              <w:p w14:paraId="345D2089">
                <w:pPr>
                  <w:jc w:val="right"/>
                  <w:rPr>
                    <w:rFonts w:cs="Times New Roman"/>
                  </w:rPr>
                </w:pPr>
                <w:r>
                  <w:rPr>
                    <w:rFonts w:cs="Times New Roman"/>
                  </w:rPr>
                  <w:t>7.59</w:t>
                </w:r>
              </w:p>
            </w:tc>
          </w:tr>
        </w:sdtContent>
      </w:sdt>
      <w:sdt>
        <w:sdtPr>
          <w:alias w:val="预付帐款欠款户"/>
          <w:tag w:val="_TUP_c33a5c627988444c95f66c45cf6f42b4"/>
          <w:id w:val="1453904272"/>
          <w:placeholder>
            <w:docPart w:val="{cf338f5b-714d-4426-b193-8701ca0eadc9}"/>
          </w:placeholder>
        </w:sdtPr>
        <w:sdtEndPr>
          <w:rPr>
            <w:rFonts w:cs="Times New Roman"/>
          </w:rPr>
        </w:sdtEndPr>
        <w:sdtContent>
          <w:tr w14:paraId="35956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57" w:type="pct"/>
              </w:tcPr>
              <w:p w14:paraId="402597C9">
                <w:pPr>
                  <w:ind w:right="105"/>
                </w:pPr>
                <w:r>
                  <w:rPr>
                    <w:rFonts w:hint="eastAsia"/>
                  </w:rPr>
                  <w:t>宁波中维警用装备有限公司</w:t>
                </w:r>
              </w:p>
            </w:tc>
            <w:tc>
              <w:tcPr>
                <w:tcW w:w="1375" w:type="pct"/>
                <w:vAlign w:val="bottom"/>
              </w:tcPr>
              <w:p w14:paraId="0082E954">
                <w:pPr>
                  <w:ind w:right="73"/>
                  <w:jc w:val="right"/>
                  <w:rPr>
                    <w:rFonts w:cs="Times New Roman"/>
                  </w:rPr>
                </w:pPr>
                <w:r>
                  <w:rPr>
                    <w:rFonts w:cs="Times New Roman"/>
                  </w:rPr>
                  <w:t>5,650,825.05</w:t>
                </w:r>
              </w:p>
            </w:tc>
            <w:tc>
              <w:tcPr>
                <w:tcW w:w="1667" w:type="pct"/>
                <w:vAlign w:val="bottom"/>
              </w:tcPr>
              <w:p w14:paraId="5AD7E388">
                <w:pPr>
                  <w:jc w:val="right"/>
                  <w:rPr>
                    <w:rFonts w:cs="Times New Roman"/>
                  </w:rPr>
                </w:pPr>
                <w:r>
                  <w:rPr>
                    <w:rFonts w:cs="Times New Roman"/>
                  </w:rPr>
                  <w:t>4.76</w:t>
                </w:r>
              </w:p>
            </w:tc>
          </w:tr>
        </w:sdtContent>
      </w:sdt>
      <w:sdt>
        <w:sdtPr>
          <w:alias w:val="预付帐款欠款户"/>
          <w:tag w:val="_TUP_c33a5c627988444c95f66c45cf6f42b4"/>
          <w:id w:val="-399064715"/>
          <w:placeholder>
            <w:docPart w:val="{cf338f5b-714d-4426-b193-8701ca0eadc9}"/>
          </w:placeholder>
        </w:sdtPr>
        <w:sdtEndPr>
          <w:rPr>
            <w:rFonts w:cs="Times New Roman"/>
          </w:rPr>
        </w:sdtEndPr>
        <w:sdtContent>
          <w:tr w14:paraId="0277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57" w:type="pct"/>
              </w:tcPr>
              <w:p w14:paraId="2361147A">
                <w:pPr>
                  <w:ind w:right="105"/>
                </w:pPr>
                <w:r>
                  <w:rPr>
                    <w:rFonts w:hint="eastAsia"/>
                  </w:rPr>
                  <w:t>贵州镇宁永鸿祥鞋业有限公司</w:t>
                </w:r>
              </w:p>
            </w:tc>
            <w:tc>
              <w:tcPr>
                <w:tcW w:w="1375" w:type="pct"/>
                <w:vAlign w:val="bottom"/>
              </w:tcPr>
              <w:p w14:paraId="52FA0E9E">
                <w:pPr>
                  <w:ind w:right="73"/>
                  <w:jc w:val="right"/>
                  <w:rPr>
                    <w:rFonts w:cs="Times New Roman"/>
                  </w:rPr>
                </w:pPr>
                <w:r>
                  <w:rPr>
                    <w:rFonts w:cs="Times New Roman"/>
                  </w:rPr>
                  <w:t>5,013,053.15</w:t>
                </w:r>
              </w:p>
            </w:tc>
            <w:tc>
              <w:tcPr>
                <w:tcW w:w="1667" w:type="pct"/>
                <w:vAlign w:val="bottom"/>
              </w:tcPr>
              <w:p w14:paraId="79954886">
                <w:pPr>
                  <w:jc w:val="right"/>
                  <w:rPr>
                    <w:rFonts w:cs="Times New Roman"/>
                  </w:rPr>
                </w:pPr>
                <w:r>
                  <w:rPr>
                    <w:rFonts w:cs="Times New Roman"/>
                  </w:rPr>
                  <w:t>4.22</w:t>
                </w:r>
              </w:p>
            </w:tc>
          </w:tr>
        </w:sdtContent>
      </w:sdt>
      <w:sdt>
        <w:sdtPr>
          <w:alias w:val="预付帐款欠款户"/>
          <w:tag w:val="_TUP_c33a5c627988444c95f66c45cf6f42b4"/>
          <w:id w:val="273908996"/>
          <w:placeholder>
            <w:docPart w:val="{cf338f5b-714d-4426-b193-8701ca0eadc9}"/>
          </w:placeholder>
        </w:sdtPr>
        <w:sdtEndPr>
          <w:rPr>
            <w:rFonts w:cs="Times New Roman"/>
          </w:rPr>
        </w:sdtEndPr>
        <w:sdtContent>
          <w:tr w14:paraId="36B7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57" w:type="pct"/>
              </w:tcPr>
              <w:p w14:paraId="1BC7BDE4">
                <w:pPr>
                  <w:ind w:right="105"/>
                </w:pPr>
                <w:r>
                  <w:rPr>
                    <w:rFonts w:hint="eastAsia"/>
                  </w:rPr>
                  <w:t>贵州华宝运动制品有限责任公司</w:t>
                </w:r>
              </w:p>
            </w:tc>
            <w:tc>
              <w:tcPr>
                <w:tcW w:w="1375" w:type="pct"/>
                <w:vAlign w:val="bottom"/>
              </w:tcPr>
              <w:p w14:paraId="6CF662D8">
                <w:pPr>
                  <w:ind w:right="73"/>
                  <w:jc w:val="right"/>
                  <w:rPr>
                    <w:rFonts w:cs="Times New Roman"/>
                  </w:rPr>
                </w:pPr>
                <w:r>
                  <w:rPr>
                    <w:rFonts w:cs="Times New Roman"/>
                  </w:rPr>
                  <w:t>4,515,771.73</w:t>
                </w:r>
              </w:p>
            </w:tc>
            <w:tc>
              <w:tcPr>
                <w:tcW w:w="1667" w:type="pct"/>
                <w:vAlign w:val="bottom"/>
              </w:tcPr>
              <w:p w14:paraId="6A8B143B">
                <w:pPr>
                  <w:jc w:val="right"/>
                  <w:rPr>
                    <w:rFonts w:cs="Times New Roman"/>
                  </w:rPr>
                </w:pPr>
                <w:r>
                  <w:rPr>
                    <w:rFonts w:cs="Times New Roman"/>
                  </w:rPr>
                  <w:t>3.81</w:t>
                </w:r>
              </w:p>
            </w:tc>
          </w:tr>
        </w:sdtContent>
      </w:sdt>
      <w:sdt>
        <w:sdtPr>
          <w:alias w:val="预付帐款欠款户"/>
          <w:tag w:val="_TUP_c33a5c627988444c95f66c45cf6f42b4"/>
          <w:id w:val="1208226055"/>
          <w:placeholder>
            <w:docPart w:val="{cf338f5b-714d-4426-b193-8701ca0eadc9}"/>
          </w:placeholder>
        </w:sdtPr>
        <w:sdtEndPr>
          <w:rPr>
            <w:rFonts w:cs="Times New Roman"/>
          </w:rPr>
        </w:sdtEndPr>
        <w:sdtContent>
          <w:tr w14:paraId="715C2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57" w:type="pct"/>
              </w:tcPr>
              <w:p w14:paraId="72AB1F78">
                <w:pPr>
                  <w:ind w:right="105"/>
                </w:pPr>
                <w:r>
                  <w:rPr>
                    <w:rFonts w:hint="eastAsia"/>
                  </w:rPr>
                  <w:t>重庆竞博鞋业有限责任公司</w:t>
                </w:r>
              </w:p>
            </w:tc>
            <w:tc>
              <w:tcPr>
                <w:tcW w:w="1375" w:type="pct"/>
                <w:vAlign w:val="bottom"/>
              </w:tcPr>
              <w:p w14:paraId="13B5EE66">
                <w:pPr>
                  <w:ind w:right="73"/>
                  <w:jc w:val="right"/>
                  <w:rPr>
                    <w:rFonts w:cs="Times New Roman"/>
                  </w:rPr>
                </w:pPr>
                <w:r>
                  <w:rPr>
                    <w:rFonts w:cs="Times New Roman"/>
                  </w:rPr>
                  <w:t>4,165,834.14</w:t>
                </w:r>
              </w:p>
            </w:tc>
            <w:tc>
              <w:tcPr>
                <w:tcW w:w="1667" w:type="pct"/>
                <w:vAlign w:val="bottom"/>
              </w:tcPr>
              <w:p w14:paraId="238A7AEF">
                <w:pPr>
                  <w:jc w:val="right"/>
                  <w:rPr>
                    <w:rFonts w:cs="Times New Roman"/>
                  </w:rPr>
                </w:pPr>
                <w:r>
                  <w:rPr>
                    <w:rFonts w:cs="Times New Roman"/>
                  </w:rPr>
                  <w:t>3.51</w:t>
                </w:r>
              </w:p>
            </w:tc>
          </w:tr>
        </w:sdtContent>
      </w:sdt>
      <w:tr w14:paraId="6472E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57" w:type="pct"/>
          </w:tcPr>
          <w:sdt>
            <w:sdtPr>
              <w:tag w:val="_PLD_4081beae1c6444e3808c9d6ce91bcc83"/>
              <w:id w:val="1921366475"/>
            </w:sdtPr>
            <w:sdtContent>
              <w:p w14:paraId="5F49FB15">
                <w:pPr>
                  <w:ind w:right="105"/>
                  <w:jc w:val="center"/>
                </w:pPr>
                <w:r>
                  <w:rPr>
                    <w:rFonts w:hint="eastAsia"/>
                  </w:rPr>
                  <w:t>合计</w:t>
                </w:r>
              </w:p>
            </w:sdtContent>
          </w:sdt>
        </w:tc>
        <w:tc>
          <w:tcPr>
            <w:tcW w:w="1375" w:type="pct"/>
            <w:vAlign w:val="bottom"/>
          </w:tcPr>
          <w:p w14:paraId="4D24A5F0">
            <w:pPr>
              <w:ind w:right="73"/>
              <w:jc w:val="right"/>
              <w:rPr>
                <w:rFonts w:cs="Times New Roman"/>
              </w:rPr>
            </w:pPr>
            <w:r>
              <w:rPr>
                <w:rFonts w:cs="Times New Roman"/>
              </w:rPr>
              <w:t>28,344,731.95</w:t>
            </w:r>
          </w:p>
        </w:tc>
        <w:tc>
          <w:tcPr>
            <w:tcW w:w="1667" w:type="pct"/>
            <w:vAlign w:val="bottom"/>
          </w:tcPr>
          <w:p w14:paraId="0979D8F0">
            <w:pPr>
              <w:jc w:val="right"/>
              <w:rPr>
                <w:rFonts w:cs="Times New Roman"/>
              </w:rPr>
            </w:pPr>
            <w:r>
              <w:rPr>
                <w:rFonts w:cs="Times New Roman"/>
              </w:rPr>
              <w:t>23.89</w:t>
            </w:r>
          </w:p>
        </w:tc>
      </w:tr>
    </w:tbl>
    <w:p w14:paraId="7B1A3E08">
      <w:pPr>
        <w:snapToGrid w:val="0"/>
        <w:spacing w:line="240" w:lineRule="atLeast"/>
        <w:rPr>
          <w:rFonts w:hint="eastAsia"/>
        </w:rPr>
      </w:pPr>
    </w:p>
    <w:bookmarkEnd w:id="238"/>
    <w:p w14:paraId="0063170E">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预付帐款的说明[双击切换]"/>
        <w:tag w:val="_GBC_c712ee6483d44c77b1f563e552689c6d"/>
        <w:id w:val="147457839"/>
        <w:placeholder>
          <w:docPart w:val="GBC22222222222222222222222222222"/>
        </w:placeholder>
      </w:sdtPr>
      <w:sdtEndPr>
        <w:rPr>
          <w:color w:val="000000" w:themeColor="text1"/>
          <w14:textFill>
            <w14:solidFill>
              <w14:schemeClr w14:val="tx1"/>
            </w14:solidFill>
          </w14:textFill>
        </w:rPr>
      </w:sdtEndPr>
      <w:sdtContent>
        <w:p w14:paraId="4A81EF5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E0D5A97">
      <w:pPr>
        <w:rPr>
          <w:color w:val="000000" w:themeColor="text1"/>
          <w14:textFill>
            <w14:solidFill>
              <w14:schemeClr w14:val="tx1"/>
            </w14:solidFill>
          </w14:textFill>
        </w:rPr>
      </w:pPr>
    </w:p>
    <w:p w14:paraId="2DBC8B86">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其他应收款</w:t>
      </w:r>
    </w:p>
    <w:p w14:paraId="1C111F83">
      <w:pPr>
        <w:pStyle w:val="58"/>
        <w:rPr>
          <w:rFonts w:ascii="宋体" w:hAnsi="宋体"/>
          <w:color w:val="000000" w:themeColor="text1"/>
          <w14:textFill>
            <w14:solidFill>
              <w14:schemeClr w14:val="tx1"/>
            </w14:solidFill>
          </w14:textFill>
        </w:rPr>
      </w:pPr>
      <w:bookmarkStart w:id="239" w:name="_Hlk10467611"/>
      <w:r>
        <w:rPr>
          <w:rFonts w:hint="eastAsia" w:ascii="宋体" w:hAnsi="宋体"/>
          <w:color w:val="000000" w:themeColor="text1"/>
          <w14:textFill>
            <w14:solidFill>
              <w14:schemeClr w14:val="tx1"/>
            </w14:solidFill>
          </w14:textFill>
        </w:rPr>
        <w:t>项目列示</w:t>
      </w:r>
    </w:p>
    <w:sdt>
      <w:sdtPr>
        <w:rPr>
          <w:color w:val="000000" w:themeColor="text1"/>
          <w14:textFill>
            <w14:solidFill>
              <w14:schemeClr w14:val="tx1"/>
            </w14:solidFill>
          </w14:textFill>
        </w:rPr>
        <w:alias w:val="是否适用：其他应收款分类列示[双击切换]"/>
        <w:tag w:val="_GBC_23e3e9ad53624abaaa00fc7f7c24842a"/>
        <w:id w:val="147462195"/>
        <w:placeholder>
          <w:docPart w:val="GBC22222222222222222222222222222"/>
        </w:placeholder>
      </w:sdtPr>
      <w:sdtEndPr>
        <w:rPr>
          <w:color w:val="000000" w:themeColor="text1"/>
          <w14:textFill>
            <w14:solidFill>
              <w14:schemeClr w14:val="tx1"/>
            </w14:solidFill>
          </w14:textFill>
        </w:rPr>
      </w:sdtEndPr>
      <w:sdtContent>
        <w:p w14:paraId="2F97964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B33CB35">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其他应收款分类列示"/>
          <w:tag w:val="_GBC_b73f89c776a341249ed520fe726b4db9"/>
          <w:id w:val="1474811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其他应收款分类列示"/>
          <w:tag w:val="_GBC_a23554f2403346ea97b8fb1ef551ebe4"/>
          <w:id w:val="1474619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98"/>
        <w:gridCol w:w="2939"/>
        <w:gridCol w:w="2922"/>
      </w:tblGrid>
      <w:tr w14:paraId="173F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b049b9a7f344665a70a23c402afbda5"/>
            <w:id w:val="147481460"/>
          </w:sdtPr>
          <w:sdtContent>
            <w:tc>
              <w:tcPr>
                <w:tcW w:w="1765" w:type="pct"/>
                <w:vAlign w:val="center"/>
              </w:tcPr>
              <w:p w14:paraId="22BB075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550a4ba0fb444ea69297bd36780a7618"/>
            <w:id w:val="147460766"/>
          </w:sdtPr>
          <w:sdtContent>
            <w:tc>
              <w:tcPr>
                <w:tcW w:w="1622" w:type="pct"/>
                <w:vAlign w:val="center"/>
              </w:tcPr>
              <w:p w14:paraId="701257D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d58c3f70487c440b99a9f440a2d57d1e"/>
            <w:id w:val="147457519"/>
          </w:sdtPr>
          <w:sdtContent>
            <w:tc>
              <w:tcPr>
                <w:tcW w:w="1613" w:type="pct"/>
                <w:vAlign w:val="center"/>
              </w:tcPr>
              <w:p w14:paraId="1537F82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3B53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5" w:type="pct"/>
          </w:tcPr>
          <w:p w14:paraId="2B4DD755">
            <w:pPr>
              <w:ind w:right="5"/>
              <w:rPr>
                <w:color w:val="000000" w:themeColor="text1"/>
                <w14:textFill>
                  <w14:solidFill>
                    <w14:schemeClr w14:val="tx1"/>
                  </w14:solidFill>
                </w14:textFill>
              </w:rPr>
            </w:pPr>
            <w:r>
              <w:rPr>
                <w:rFonts w:hint="eastAsia"/>
                <w:color w:val="000000" w:themeColor="text1"/>
                <w14:textFill>
                  <w14:solidFill>
                    <w14:schemeClr w14:val="tx1"/>
                  </w14:solidFill>
                </w14:textFill>
              </w:rPr>
              <w:t>应收利息</w:t>
            </w:r>
          </w:p>
        </w:tc>
        <w:tc>
          <w:tcPr>
            <w:tcW w:w="1622" w:type="pct"/>
          </w:tcPr>
          <w:p w14:paraId="7B7DA360">
            <w:pPr>
              <w:ind w:right="5"/>
              <w:jc w:val="right"/>
              <w:rPr>
                <w:rFonts w:cs="Times New Roman"/>
              </w:rPr>
            </w:pPr>
          </w:p>
        </w:tc>
        <w:tc>
          <w:tcPr>
            <w:tcW w:w="1613" w:type="pct"/>
          </w:tcPr>
          <w:p w14:paraId="76016AD8">
            <w:pPr>
              <w:ind w:right="5"/>
              <w:jc w:val="right"/>
              <w:rPr>
                <w:rFonts w:cs="Times New Roman"/>
              </w:rPr>
            </w:pPr>
          </w:p>
        </w:tc>
      </w:tr>
      <w:tr w14:paraId="45F2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5" w:type="pct"/>
          </w:tcPr>
          <w:p w14:paraId="37E260F6">
            <w:pPr>
              <w:ind w:right="5"/>
              <w:rPr>
                <w:color w:val="000000" w:themeColor="text1"/>
                <w14:textFill>
                  <w14:solidFill>
                    <w14:schemeClr w14:val="tx1"/>
                  </w14:solidFill>
                </w14:textFill>
              </w:rPr>
            </w:pPr>
            <w:r>
              <w:rPr>
                <w:rFonts w:hint="eastAsia"/>
                <w:color w:val="000000" w:themeColor="text1"/>
                <w14:textFill>
                  <w14:solidFill>
                    <w14:schemeClr w14:val="tx1"/>
                  </w14:solidFill>
                </w14:textFill>
              </w:rPr>
              <w:t>应收股利</w:t>
            </w:r>
          </w:p>
        </w:tc>
        <w:tc>
          <w:tcPr>
            <w:tcW w:w="2939" w:type="dxa"/>
            <w:vAlign w:val="bottom"/>
          </w:tcPr>
          <w:p w14:paraId="7252EE8D">
            <w:pPr>
              <w:jc w:val="right"/>
              <w:textAlignment w:val="bottom"/>
              <w:rPr>
                <w:rFonts w:cs="Times New Roman"/>
              </w:rPr>
            </w:pPr>
            <w:r>
              <w:rPr>
                <w:rFonts w:eastAsia="Arial Narrow" w:cs="Times New Roman"/>
                <w:color w:val="000000"/>
                <w:lang w:bidi="ar"/>
              </w:rPr>
              <w:t>52,107,547.75</w:t>
            </w:r>
          </w:p>
        </w:tc>
        <w:tc>
          <w:tcPr>
            <w:tcW w:w="1613" w:type="pct"/>
            <w:vAlign w:val="bottom"/>
          </w:tcPr>
          <w:p w14:paraId="26575797">
            <w:pPr>
              <w:jc w:val="right"/>
              <w:textAlignment w:val="bottom"/>
              <w:rPr>
                <w:rFonts w:cs="Times New Roman"/>
              </w:rPr>
            </w:pPr>
            <w:r>
              <w:rPr>
                <w:rFonts w:cs="Times New Roman"/>
                <w:color w:val="000000"/>
              </w:rPr>
              <w:t>52,107,547.75</w:t>
            </w:r>
          </w:p>
        </w:tc>
      </w:tr>
      <w:tr w14:paraId="02EBA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5" w:type="pct"/>
          </w:tcPr>
          <w:p w14:paraId="12F949CF">
            <w:pPr>
              <w:ind w:right="5"/>
              <w:rPr>
                <w:color w:val="000000" w:themeColor="text1"/>
                <w14:textFill>
                  <w14:solidFill>
                    <w14:schemeClr w14:val="tx1"/>
                  </w14:solidFill>
                </w14:textFill>
              </w:rPr>
            </w:pPr>
            <w:r>
              <w:rPr>
                <w:rFonts w:hint="eastAsia"/>
                <w:color w:val="000000" w:themeColor="text1"/>
                <w14:textFill>
                  <w14:solidFill>
                    <w14:schemeClr w14:val="tx1"/>
                  </w14:solidFill>
                </w14:textFill>
              </w:rPr>
              <w:t>其他应收款</w:t>
            </w:r>
          </w:p>
        </w:tc>
        <w:tc>
          <w:tcPr>
            <w:tcW w:w="2939" w:type="dxa"/>
            <w:vAlign w:val="bottom"/>
          </w:tcPr>
          <w:p w14:paraId="1CDE5936">
            <w:pPr>
              <w:jc w:val="right"/>
              <w:textAlignment w:val="bottom"/>
              <w:rPr>
                <w:rFonts w:cs="Times New Roman"/>
              </w:rPr>
            </w:pPr>
            <w:r>
              <w:rPr>
                <w:rFonts w:eastAsia="Arial Narrow" w:cs="Times New Roman"/>
                <w:color w:val="000000"/>
                <w:lang w:bidi="ar"/>
              </w:rPr>
              <w:t>620,127,349.68</w:t>
            </w:r>
          </w:p>
        </w:tc>
        <w:tc>
          <w:tcPr>
            <w:tcW w:w="1613" w:type="pct"/>
            <w:vAlign w:val="bottom"/>
          </w:tcPr>
          <w:p w14:paraId="56235A7E">
            <w:pPr>
              <w:jc w:val="right"/>
              <w:textAlignment w:val="bottom"/>
              <w:rPr>
                <w:rFonts w:cs="Times New Roman"/>
              </w:rPr>
            </w:pPr>
            <w:r>
              <w:rPr>
                <w:rFonts w:cs="Times New Roman"/>
                <w:color w:val="000000"/>
              </w:rPr>
              <w:t>592,465,302.23</w:t>
            </w:r>
          </w:p>
        </w:tc>
      </w:tr>
      <w:tr w14:paraId="5602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5" w:type="pct"/>
          </w:tcPr>
          <w:p w14:paraId="432DA514">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2939" w:type="dxa"/>
            <w:vAlign w:val="bottom"/>
          </w:tcPr>
          <w:p w14:paraId="03C70A00">
            <w:pPr>
              <w:jc w:val="right"/>
              <w:textAlignment w:val="bottom"/>
              <w:rPr>
                <w:rFonts w:cs="Times New Roman"/>
              </w:rPr>
            </w:pPr>
            <w:r>
              <w:rPr>
                <w:rFonts w:eastAsia="Arial Narrow" w:cs="Times New Roman"/>
                <w:color w:val="000000"/>
                <w:lang w:bidi="ar"/>
              </w:rPr>
              <w:t>672,234,897.43</w:t>
            </w:r>
          </w:p>
        </w:tc>
        <w:tc>
          <w:tcPr>
            <w:tcW w:w="1613" w:type="pct"/>
            <w:vAlign w:val="bottom"/>
          </w:tcPr>
          <w:p w14:paraId="62216D68">
            <w:pPr>
              <w:jc w:val="right"/>
              <w:textAlignment w:val="bottom"/>
              <w:rPr>
                <w:rFonts w:cs="Times New Roman"/>
              </w:rPr>
            </w:pPr>
            <w:r>
              <w:rPr>
                <w:rFonts w:cs="Times New Roman"/>
                <w:color w:val="000000"/>
              </w:rPr>
              <w:t>644,572,849.98</w:t>
            </w:r>
          </w:p>
        </w:tc>
      </w:tr>
    </w:tbl>
    <w:p w14:paraId="08226954">
      <w:pPr>
        <w:rPr>
          <w:color w:val="000000" w:themeColor="text1"/>
          <w14:textFill>
            <w14:solidFill>
              <w14:schemeClr w14:val="tx1"/>
            </w14:solidFill>
          </w14:textFill>
        </w:rPr>
      </w:pPr>
      <w:bookmarkStart w:id="240" w:name="_Hlk532906097"/>
      <w:r>
        <w:rPr>
          <w:rFonts w:hint="eastAsia"/>
          <w:color w:val="000000" w:themeColor="text1"/>
          <w14:textFill>
            <w14:solidFill>
              <w14:schemeClr w14:val="tx1"/>
            </w14:solidFill>
          </w14:textFill>
        </w:rPr>
        <w:t>其他说明：</w:t>
      </w:r>
      <w:bookmarkEnd w:id="240"/>
    </w:p>
    <w:sdt>
      <w:sdtPr>
        <w:rPr>
          <w:color w:val="000000" w:themeColor="text1"/>
          <w14:textFill>
            <w14:solidFill>
              <w14:schemeClr w14:val="tx1"/>
            </w14:solidFill>
          </w14:textFill>
        </w:rPr>
        <w:alias w:val="是否适用：其他应收款分类列示其他说明[双击切换]"/>
        <w:tag w:val="_GBC_73a4089b33094d13b0ea7c9bf8cfb58f"/>
        <w:id w:val="147468316"/>
        <w:placeholder>
          <w:docPart w:val="GBC22222222222222222222222222222"/>
        </w:placeholder>
      </w:sdtPr>
      <w:sdtEndPr>
        <w:rPr>
          <w:color w:val="000000" w:themeColor="text1"/>
          <w14:textFill>
            <w14:solidFill>
              <w14:schemeClr w14:val="tx1"/>
            </w14:solidFill>
          </w14:textFill>
        </w:rPr>
      </w:sdtEndPr>
      <w:sdtContent>
        <w:p w14:paraId="7262BFD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FD5242A">
      <w:pPr>
        <w:rPr>
          <w:color w:val="000000" w:themeColor="text1"/>
          <w14:textFill>
            <w14:solidFill>
              <w14:schemeClr w14:val="tx1"/>
            </w14:solidFill>
          </w14:textFill>
        </w:rPr>
      </w:pPr>
    </w:p>
    <w:bookmarkEnd w:id="239"/>
    <w:p w14:paraId="2F72536D">
      <w:pPr>
        <w:pStyle w:val="58"/>
        <w:tabs>
          <w:tab w:val="left" w:pos="546"/>
        </w:tabs>
        <w:rPr>
          <w:rFonts w:ascii="宋体" w:hAnsi="宋体"/>
          <w:color w:val="000000" w:themeColor="text1"/>
          <w14:textFill>
            <w14:solidFill>
              <w14:schemeClr w14:val="tx1"/>
            </w14:solidFill>
          </w14:textFill>
        </w:rPr>
      </w:pPr>
      <w:r>
        <w:rPr>
          <w:rFonts w:hint="eastAsia" w:ascii="宋体" w:hAnsi="宋体" w:cs="宋体"/>
          <w:color w:val="000000" w:themeColor="text1"/>
          <w:kern w:val="0"/>
          <w:szCs w:val="22"/>
          <w14:textFill>
            <w14:solidFill>
              <w14:schemeClr w14:val="tx1"/>
            </w14:solidFill>
          </w14:textFill>
        </w:rPr>
        <w:t>应收利息</w:t>
      </w:r>
    </w:p>
    <w:p w14:paraId="5CFA43A6">
      <w:pPr>
        <w:pStyle w:val="59"/>
        <w:numPr>
          <w:ilvl w:val="0"/>
          <w:numId w:val="60"/>
        </w:numPr>
      </w:pPr>
      <w:r>
        <w:rPr>
          <w:rFonts w:hint="eastAsia"/>
        </w:rPr>
        <w:t>应收利息分类</w:t>
      </w:r>
    </w:p>
    <w:sdt>
      <w:sdtPr>
        <w:rPr>
          <w:color w:val="000000" w:themeColor="text1"/>
          <w14:textFill>
            <w14:solidFill>
              <w14:schemeClr w14:val="tx1"/>
            </w14:solidFill>
          </w14:textFill>
        </w:rPr>
        <w:alias w:val="是否适用：应收利息分类[双击切换]"/>
        <w:tag w:val="_GBC_86f9e9a81d7d4e07ae6873a88ddf6cc7"/>
        <w:id w:val="147451025"/>
        <w:placeholder>
          <w:docPart w:val="GBC22222222222222222222222222222"/>
        </w:placeholder>
      </w:sdtPr>
      <w:sdtEndPr>
        <w:rPr>
          <w:color w:val="000000" w:themeColor="text1"/>
          <w14:textFill>
            <w14:solidFill>
              <w14:schemeClr w14:val="tx1"/>
            </w14:solidFill>
          </w14:textFill>
        </w:rPr>
      </w:sdtEndPr>
      <w:sdtContent>
        <w:p w14:paraId="4C97DDB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90517CC">
      <w:pPr>
        <w:rPr>
          <w:color w:val="000000" w:themeColor="text1"/>
          <w14:textFill>
            <w14:solidFill>
              <w14:schemeClr w14:val="tx1"/>
            </w14:solidFill>
          </w14:textFill>
        </w:rPr>
      </w:pPr>
    </w:p>
    <w:p w14:paraId="57722AC5">
      <w:pPr>
        <w:pStyle w:val="59"/>
        <w:numPr>
          <w:ilvl w:val="0"/>
          <w:numId w:val="60"/>
        </w:numPr>
      </w:pPr>
      <w:r>
        <w:rPr>
          <w:rFonts w:hint="eastAsia"/>
        </w:rPr>
        <w:t>重要逾期利息</w:t>
      </w:r>
    </w:p>
    <w:sdt>
      <w:sdtPr>
        <w:rPr>
          <w:color w:val="000000" w:themeColor="text1"/>
          <w14:textFill>
            <w14:solidFill>
              <w14:schemeClr w14:val="tx1"/>
            </w14:solidFill>
          </w14:textFill>
        </w:rPr>
        <w:alias w:val="是否适用：重要逾期利息[双击切换]"/>
        <w:tag w:val="_GBC_4554f307ef2241a583829b74df8ef0c3"/>
        <w:id w:val="147480071"/>
        <w:placeholder>
          <w:docPart w:val="GBC22222222222222222222222222222"/>
        </w:placeholder>
      </w:sdtPr>
      <w:sdtEndPr>
        <w:rPr>
          <w:color w:val="000000" w:themeColor="text1"/>
          <w14:textFill>
            <w14:solidFill>
              <w14:schemeClr w14:val="tx1"/>
            </w14:solidFill>
          </w14:textFill>
        </w:rPr>
      </w:sdtEndPr>
      <w:sdtContent>
        <w:p w14:paraId="4757A2E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9BD7DB0">
      <w:pPr>
        <w:rPr>
          <w:color w:val="000000" w:themeColor="text1"/>
          <w14:textFill>
            <w14:solidFill>
              <w14:schemeClr w14:val="tx1"/>
            </w14:solidFill>
          </w14:textFill>
        </w:rPr>
      </w:pPr>
    </w:p>
    <w:p w14:paraId="707D5814">
      <w:pPr>
        <w:pStyle w:val="59"/>
        <w:numPr>
          <w:ilvl w:val="0"/>
          <w:numId w:val="60"/>
        </w:numPr>
      </w:pPr>
      <w:bookmarkStart w:id="241" w:name="_Hlk167889561"/>
      <w:bookmarkStart w:id="242" w:name="_Hlk153374831"/>
      <w:r>
        <w:rPr>
          <w:rFonts w:hint="eastAsia"/>
        </w:rPr>
        <w:t>按坏账计提方法分类披露</w:t>
      </w:r>
    </w:p>
    <w:sdt>
      <w:sdtPr>
        <w:rPr>
          <w:color w:val="000000" w:themeColor="text1"/>
          <w14:textFill>
            <w14:solidFill>
              <w14:schemeClr w14:val="tx1"/>
            </w14:solidFill>
          </w14:textFill>
        </w:rPr>
        <w:alias w:val="是否适用：按坏账计提方法分类披露[双击切换]"/>
        <w:tag w:val="_GBC_e7c7032e67f14d5baddb2d7b0cdebf38"/>
        <w:id w:val="147481847"/>
        <w:placeholder>
          <w:docPart w:val="GBC22222222222222222222222222222"/>
        </w:placeholder>
      </w:sdtPr>
      <w:sdtEndPr>
        <w:rPr>
          <w:color w:val="000000" w:themeColor="text1"/>
          <w14:textFill>
            <w14:solidFill>
              <w14:schemeClr w14:val="tx1"/>
            </w14:solidFill>
          </w14:textFill>
        </w:rPr>
      </w:sdtEndPr>
      <w:sdtContent>
        <w:p w14:paraId="235CD9E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BFE4E59">
      <w:pPr>
        <w:rPr>
          <w:color w:val="000000" w:themeColor="text1"/>
          <w14:textFill>
            <w14:solidFill>
              <w14:schemeClr w14:val="tx1"/>
            </w14:solidFill>
          </w14:textFill>
        </w:rPr>
      </w:pPr>
    </w:p>
    <w:p w14:paraId="7D6BAEE0">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w:t>
      </w:r>
    </w:p>
    <w:sdt>
      <w:sdtPr>
        <w:rPr>
          <w:color w:val="000000" w:themeColor="text1"/>
          <w14:textFill>
            <w14:solidFill>
              <w14:schemeClr w14:val="tx1"/>
            </w14:solidFill>
          </w14:textFill>
        </w:rPr>
        <w:alias w:val="是否适用：按单项计提坏账准备的详细情况[双击切换]"/>
        <w:tag w:val="_GBC_07ebcd379e854ad8bd9de0d3ef457583"/>
        <w:id w:val="147451583"/>
        <w:placeholder>
          <w:docPart w:val="GBC22222222222222222222222222222"/>
        </w:placeholder>
      </w:sdtPr>
      <w:sdtEndPr>
        <w:rPr>
          <w:color w:val="000000" w:themeColor="text1"/>
          <w14:textFill>
            <w14:solidFill>
              <w14:schemeClr w14:val="tx1"/>
            </w14:solidFill>
          </w14:textFill>
        </w:rPr>
      </w:sdtEndPr>
      <w:sdtContent>
        <w:p w14:paraId="34E70F0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CEFD7F8">
      <w:pPr>
        <w:rPr>
          <w:color w:val="000000" w:themeColor="text1"/>
          <w14:textFill>
            <w14:solidFill>
              <w14:schemeClr w14:val="tx1"/>
            </w14:solidFill>
          </w14:textFill>
        </w:rPr>
      </w:pPr>
    </w:p>
    <w:p w14:paraId="7CA0F629">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按单项计提坏账准备的说明：</w:t>
      </w:r>
    </w:p>
    <w:sdt>
      <w:sdtPr>
        <w:rPr>
          <w:color w:val="000000" w:themeColor="text1"/>
          <w14:textFill>
            <w14:solidFill>
              <w14:schemeClr w14:val="tx1"/>
            </w14:solidFill>
          </w14:textFill>
        </w:rPr>
        <w:alias w:val="是否适用：按单项计提坏账准备的说明[双击切换]"/>
        <w:tag w:val="_GBC_5e47d50d50fc4b3095057ac3908e407b"/>
        <w:id w:val="147465202"/>
        <w:placeholder>
          <w:docPart w:val="GBC22222222222222222222222222222"/>
        </w:placeholder>
      </w:sdtPr>
      <w:sdtEndPr>
        <w:rPr>
          <w:color w:val="000000" w:themeColor="text1"/>
          <w14:textFill>
            <w14:solidFill>
              <w14:schemeClr w14:val="tx1"/>
            </w14:solidFill>
          </w14:textFill>
        </w:rPr>
      </w:sdtEndPr>
      <w:sdtContent>
        <w:p w14:paraId="2676161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F68BDB8">
      <w:pPr>
        <w:rPr>
          <w:color w:val="000000" w:themeColor="text1"/>
          <w14:textFill>
            <w14:solidFill>
              <w14:schemeClr w14:val="tx1"/>
            </w14:solidFill>
          </w14:textFill>
        </w:rPr>
      </w:pPr>
    </w:p>
    <w:p w14:paraId="641B2978">
      <w:pPr>
        <w:rPr>
          <w:rFonts w:ascii="Calibri" w:hAnsi="Calibri" w:cs="Times New Roman"/>
          <w:bCs w:val="0"/>
          <w:color w:val="000000" w:themeColor="text1"/>
          <w:szCs w:val="22"/>
          <w14:textFill>
            <w14:solidFill>
              <w14:schemeClr w14:val="tx1"/>
            </w14:solidFill>
          </w14:textFill>
        </w:rPr>
      </w:pPr>
      <w:r>
        <w:rPr>
          <w:rFonts w:hint="eastAsia" w:ascii="Calibri" w:hAnsi="Calibri" w:cs="Times New Roman"/>
          <w:color w:val="000000" w:themeColor="text1"/>
          <w:szCs w:val="22"/>
          <w14:textFill>
            <w14:solidFill>
              <w14:schemeClr w14:val="tx1"/>
            </w14:solidFill>
          </w14:textFill>
        </w:rPr>
        <w:t>按组合计提坏账准备：</w:t>
      </w:r>
    </w:p>
    <w:sdt>
      <w:sdtPr>
        <w:rPr>
          <w:rFonts w:ascii="Calibri" w:hAnsi="Calibri" w:cs="Times New Roman"/>
          <w:bCs w:val="0"/>
          <w:color w:val="000000" w:themeColor="text1"/>
          <w:szCs w:val="22"/>
          <w14:textFill>
            <w14:solidFill>
              <w14:schemeClr w14:val="tx1"/>
            </w14:solidFill>
          </w14:textFill>
        </w:rPr>
        <w:alias w:val="是否适用：按组合计提坏账准备的详细情况[双击切换]"/>
        <w:tag w:val="_GBC_0dc49505e0b44d56bf15079c4ea20a9a"/>
        <w:id w:val="147472841"/>
        <w:placeholder>
          <w:docPart w:val="GBC22222222222222222222222222222"/>
        </w:placeholder>
      </w:sdtPr>
      <w:sdtEndPr>
        <w:rPr>
          <w:rFonts w:ascii="Calibri" w:hAnsi="Calibri" w:cs="Times New Roman"/>
          <w:bCs w:val="0"/>
          <w:color w:val="000000" w:themeColor="text1"/>
          <w:szCs w:val="22"/>
          <w14:textFill>
            <w14:solidFill>
              <w14:schemeClr w14:val="tx1"/>
            </w14:solidFill>
          </w14:textFill>
        </w:rPr>
      </w:sdtEndPr>
      <w:sdtContent>
        <w:p w14:paraId="711B78BA">
          <w:pPr>
            <w:rPr>
              <w:color w:val="000000" w:themeColor="text1"/>
              <w14:textFill>
                <w14:solidFill>
                  <w14:schemeClr w14:val="tx1"/>
                </w14:solidFill>
              </w14:textFill>
            </w:rPr>
          </w:pPr>
          <w:r>
            <w:rPr>
              <w:rFonts w:ascii="宋体" w:hAnsi="宋体" w:cs="Times New Roman"/>
              <w:bCs w:val="0"/>
              <w:color w:val="000000" w:themeColor="text1"/>
              <w:szCs w:val="22"/>
              <w14:textFill>
                <w14:solidFill>
                  <w14:schemeClr w14:val="tx1"/>
                </w14:solidFill>
              </w14:textFill>
            </w:rPr>
            <w:fldChar w:fldCharType="begin"/>
          </w:r>
          <w:r>
            <w:rPr>
              <w:rFonts w:hint="eastAsia" w:ascii="宋体" w:hAnsi="宋体" w:cs="Times New Roman"/>
              <w:color w:val="000000" w:themeColor="text1"/>
              <w:szCs w:val="22"/>
              <w14:textFill>
                <w14:solidFill>
                  <w14:schemeClr w14:val="tx1"/>
                </w14:solidFill>
              </w14:textFill>
            </w:rPr>
            <w:instrText xml:space="preserve"> MACROBUTTON  SnrToggleCheckbox □适用 </w:instrText>
          </w:r>
          <w:r>
            <w:rPr>
              <w:rFonts w:ascii="宋体" w:hAnsi="宋体" w:cs="Times New Roman"/>
              <w:bCs w:val="0"/>
              <w:color w:val="000000" w:themeColor="text1"/>
              <w:szCs w:val="22"/>
              <w14:textFill>
                <w14:solidFill>
                  <w14:schemeClr w14:val="tx1"/>
                </w14:solidFill>
              </w14:textFill>
            </w:rPr>
            <w:fldChar w:fldCharType="end"/>
          </w:r>
          <w:r>
            <w:rPr>
              <w:rFonts w:ascii="宋体" w:hAnsi="宋体" w:cs="Times New Roman"/>
              <w:bCs w:val="0"/>
              <w:color w:val="000000" w:themeColor="text1"/>
              <w:szCs w:val="22"/>
              <w14:textFill>
                <w14:solidFill>
                  <w14:schemeClr w14:val="tx1"/>
                </w14:solidFill>
              </w14:textFill>
            </w:rPr>
            <w:fldChar w:fldCharType="begin"/>
          </w:r>
          <w:r>
            <w:rPr>
              <w:rFonts w:hint="eastAsia" w:ascii="宋体" w:hAnsi="宋体" w:cs="Times New Roman"/>
              <w:color w:val="000000" w:themeColor="text1"/>
              <w:szCs w:val="22"/>
              <w14:textFill>
                <w14:solidFill>
                  <w14:schemeClr w14:val="tx1"/>
                </w14:solidFill>
              </w14:textFill>
            </w:rPr>
            <w:instrText xml:space="preserve"> MACROBUTTON  SnrToggleCheckbox √不适用 </w:instrText>
          </w:r>
          <w:r>
            <w:rPr>
              <w:rFonts w:ascii="宋体" w:hAnsi="宋体" w:cs="Times New Roman"/>
              <w:bCs w:val="0"/>
              <w:color w:val="000000" w:themeColor="text1"/>
              <w:szCs w:val="22"/>
              <w14:textFill>
                <w14:solidFill>
                  <w14:schemeClr w14:val="tx1"/>
                </w14:solidFill>
              </w14:textFill>
            </w:rPr>
            <w:fldChar w:fldCharType="end"/>
          </w:r>
        </w:p>
      </w:sdtContent>
    </w:sdt>
    <w:p w14:paraId="2CB657DD">
      <w:pPr>
        <w:rPr>
          <w:rFonts w:ascii="Calibri" w:hAnsi="Calibri" w:cs="Times New Roman"/>
          <w:b/>
          <w:bCs w:val="0"/>
          <w:color w:val="000000" w:themeColor="text1"/>
          <w:szCs w:val="22"/>
          <w14:textFill>
            <w14:solidFill>
              <w14:schemeClr w14:val="tx1"/>
            </w14:solidFill>
          </w14:textFill>
        </w:rPr>
      </w:pPr>
    </w:p>
    <w:bookmarkEnd w:id="241"/>
    <w:bookmarkEnd w:id="242"/>
    <w:p w14:paraId="33D963B8">
      <w:pPr>
        <w:pStyle w:val="59"/>
        <w:numPr>
          <w:ilvl w:val="0"/>
          <w:numId w:val="60"/>
        </w:numPr>
      </w:pPr>
      <w:bookmarkStart w:id="243" w:name="_Hlk10468247"/>
      <w:r>
        <w:rPr>
          <w:rFonts w:hint="eastAsia"/>
        </w:rPr>
        <w:t>按预期信用损失一般模型计提坏账准备</w:t>
      </w:r>
    </w:p>
    <w:sdt>
      <w:sdtPr>
        <w:rPr>
          <w:color w:val="000000" w:themeColor="text1"/>
          <w14:textFill>
            <w14:solidFill>
              <w14:schemeClr w14:val="tx1"/>
            </w14:solidFill>
          </w14:textFill>
        </w:rPr>
        <w:alias w:val="是否适用：应收利息坏账准备调节表[双击切换]"/>
        <w:tag w:val="_GBC_2081adab30854417bcfae25caae8c9f9"/>
        <w:id w:val="147476670"/>
        <w:placeholder>
          <w:docPart w:val="GBC22222222222222222222222222222"/>
        </w:placeholder>
      </w:sdtPr>
      <w:sdtEndPr>
        <w:rPr>
          <w:color w:val="000000" w:themeColor="text1"/>
          <w14:textFill>
            <w14:solidFill>
              <w14:schemeClr w14:val="tx1"/>
            </w14:solidFill>
          </w14:textFill>
        </w:rPr>
      </w:sdtEndPr>
      <w:sdtContent>
        <w:p w14:paraId="36092DCF">
          <w:pPr>
            <w:autoSpaceDE w:val="0"/>
            <w:autoSpaceDN w:val="0"/>
            <w:adjustRightInd w:val="0"/>
            <w:ind w:right="105" w:rightChars="5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567BF53">
      <w:pPr>
        <w:rPr>
          <w:color w:val="000000" w:themeColor="text1"/>
          <w14:textFill>
            <w14:solidFill>
              <w14:schemeClr w14:val="tx1"/>
            </w14:solidFill>
          </w14:textFill>
        </w:rPr>
      </w:pPr>
    </w:p>
    <w:bookmarkEnd w:id="243"/>
    <w:p w14:paraId="6E6A915A">
      <w:pPr>
        <w:pStyle w:val="59"/>
        <w:numPr>
          <w:ilvl w:val="0"/>
          <w:numId w:val="60"/>
        </w:numPr>
      </w:pPr>
      <w:bookmarkStart w:id="244" w:name="_Hlk153375041"/>
      <w:bookmarkStart w:id="245" w:name="_Hlk167889778"/>
      <w:r>
        <w:rPr>
          <w:rFonts w:hint="eastAsia"/>
        </w:rPr>
        <w:t>坏账准备的情况</w:t>
      </w:r>
    </w:p>
    <w:sdt>
      <w:sdtPr>
        <w:rPr>
          <w:color w:val="000000" w:themeColor="text1"/>
          <w14:textFill>
            <w14:solidFill>
              <w14:schemeClr w14:val="tx1"/>
            </w14:solidFill>
          </w14:textFill>
        </w:rPr>
        <w:alias w:val="是否适用：坏账准备情况[双击切换]"/>
        <w:tag w:val="_GBC_4a551e6f1c064b2d9170d6f608a5d12b"/>
        <w:id w:val="147474432"/>
        <w:placeholder>
          <w:docPart w:val="GBC22222222222222222222222222222"/>
        </w:placeholder>
      </w:sdtPr>
      <w:sdtEndPr>
        <w:rPr>
          <w:color w:val="000000" w:themeColor="text1"/>
          <w14:textFill>
            <w14:solidFill>
              <w14:schemeClr w14:val="tx1"/>
            </w14:solidFill>
          </w14:textFill>
        </w:rPr>
      </w:sdtEndPr>
      <w:sdtContent>
        <w:p w14:paraId="19AE35F3">
          <w:pPr>
            <w:pStyle w:val="67"/>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442CDE0">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其中本期坏账准备收回或转回金额重要的：</w:t>
      </w:r>
    </w:p>
    <w:sdt>
      <w:sdtPr>
        <w:rPr>
          <w:color w:val="000000" w:themeColor="text1"/>
          <w14:textFill>
            <w14:solidFill>
              <w14:schemeClr w14:val="tx1"/>
            </w14:solidFill>
          </w14:textFill>
        </w:rPr>
        <w:alias w:val="是否适用：本期坏账准备收回或转回金额重要的[双击切换]"/>
        <w:tag w:val="_GBC_5092fe8f9b7d425eb163b84fd07f53f0"/>
        <w:id w:val="147463463"/>
        <w:placeholder>
          <w:docPart w:val="GBC22222222222222222222222222222"/>
        </w:placeholder>
      </w:sdtPr>
      <w:sdtEndPr>
        <w:rPr>
          <w:color w:val="000000" w:themeColor="text1"/>
          <w14:textFill>
            <w14:solidFill>
              <w14:schemeClr w14:val="tx1"/>
            </w14:solidFill>
          </w14:textFill>
        </w:rPr>
      </w:sdtEndPr>
      <w:sdtContent>
        <w:p w14:paraId="279844D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D68B45C">
      <w:pPr>
        <w:rPr>
          <w:color w:val="000000" w:themeColor="text1"/>
          <w14:textFill>
            <w14:solidFill>
              <w14:schemeClr w14:val="tx1"/>
            </w14:solidFill>
          </w14:textFill>
        </w:rPr>
      </w:pPr>
    </w:p>
    <w:p w14:paraId="3151B3A2">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坏账准备情况的说明"/>
        <w:tag w:val="_GBC_456f6a2707124917aced7af3ec2980f6"/>
        <w:id w:val="147470081"/>
        <w:placeholder>
          <w:docPart w:val="GBC22222222222222222222222222222"/>
        </w:placeholder>
      </w:sdtPr>
      <w:sdtEndPr>
        <w:rPr>
          <w:color w:val="000000" w:themeColor="text1"/>
          <w14:textFill>
            <w14:solidFill>
              <w14:schemeClr w14:val="tx1"/>
            </w14:solidFill>
          </w14:textFill>
        </w:rPr>
      </w:sdtEndPr>
      <w:sdtContent>
        <w:p w14:paraId="10F275ED">
          <w:pPr>
            <w:ind w:right="42" w:rightChars="2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4BFFC294">
      <w:pPr>
        <w:ind w:right="-1594" w:rightChars="-759"/>
        <w:rPr>
          <w:color w:val="000000" w:themeColor="text1"/>
          <w14:textFill>
            <w14:solidFill>
              <w14:schemeClr w14:val="tx1"/>
            </w14:solidFill>
          </w14:textFill>
        </w:rPr>
      </w:pPr>
    </w:p>
    <w:p w14:paraId="5B8555A7">
      <w:pPr>
        <w:pStyle w:val="59"/>
        <w:numPr>
          <w:ilvl w:val="0"/>
          <w:numId w:val="60"/>
        </w:numPr>
      </w:pPr>
      <w:r>
        <w:rPr>
          <w:rFonts w:hint="eastAsia"/>
        </w:rPr>
        <w:t>本期实际核销的应收利息情况</w:t>
      </w:r>
    </w:p>
    <w:sdt>
      <w:sdtPr>
        <w:rPr>
          <w:color w:val="000000" w:themeColor="text1"/>
          <w14:textFill>
            <w14:solidFill>
              <w14:schemeClr w14:val="tx1"/>
            </w14:solidFill>
          </w14:textFill>
        </w:rPr>
        <w:alias w:val="是否适用：实际核销的情况[双击切换]"/>
        <w:tag w:val="_GBC_4b850c38d1264ec6b7921671d08b78eb"/>
        <w:id w:val="147455830"/>
        <w:placeholder>
          <w:docPart w:val="GBC22222222222222222222222222222"/>
        </w:placeholder>
      </w:sdtPr>
      <w:sdtEndPr>
        <w:rPr>
          <w:color w:val="000000" w:themeColor="text1"/>
          <w14:textFill>
            <w14:solidFill>
              <w14:schemeClr w14:val="tx1"/>
            </w14:solidFill>
          </w14:textFill>
        </w:rPr>
      </w:sdtEndPr>
      <w:sdtContent>
        <w:p w14:paraId="1352E2D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E01C288">
      <w:pPr>
        <w:rPr>
          <w:color w:val="000000" w:themeColor="text1"/>
          <w14:textFill>
            <w14:solidFill>
              <w14:schemeClr w14:val="tx1"/>
            </w14:solidFill>
          </w14:textFill>
        </w:rPr>
      </w:pPr>
    </w:p>
    <w:p w14:paraId="09FDF64D">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其中重要的应收利息核销情况</w:t>
      </w:r>
    </w:p>
    <w:sdt>
      <w:sdtPr>
        <w:rPr>
          <w:rFonts w:hint="eastAsia"/>
          <w:color w:val="000000" w:themeColor="text1"/>
          <w14:textFill>
            <w14:solidFill>
              <w14:schemeClr w14:val="tx1"/>
            </w14:solidFill>
          </w14:textFill>
        </w:rPr>
        <w:alias w:val="是否适用：重要的核销情况[双击切换]"/>
        <w:tag w:val="_GBC_01d7a4e15dbb43749e9afdba26e20527"/>
        <w:id w:val="147455799"/>
        <w:placeholder>
          <w:docPart w:val="GBC22222222222222222222222222222"/>
        </w:placeholder>
      </w:sdtPr>
      <w:sdtEndPr>
        <w:rPr>
          <w:rFonts w:hint="eastAsia"/>
          <w:color w:val="000000" w:themeColor="text1"/>
          <w14:textFill>
            <w14:solidFill>
              <w14:schemeClr w14:val="tx1"/>
            </w14:solidFill>
          </w14:textFill>
        </w:rPr>
      </w:sdtEndPr>
      <w:sdtContent>
        <w:p w14:paraId="1830E4D6">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29F0146">
      <w:pPr>
        <w:snapToGrid w:val="0"/>
        <w:spacing w:line="240" w:lineRule="atLeast"/>
        <w:rPr>
          <w:color w:val="000000" w:themeColor="text1"/>
          <w14:textFill>
            <w14:solidFill>
              <w14:schemeClr w14:val="tx1"/>
            </w14:solidFill>
          </w14:textFill>
        </w:rPr>
      </w:pPr>
    </w:p>
    <w:p w14:paraId="0E5479D4">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核销说明：</w:t>
      </w:r>
    </w:p>
    <w:sdt>
      <w:sdtPr>
        <w:rPr>
          <w:color w:val="000000" w:themeColor="text1"/>
          <w14:textFill>
            <w14:solidFill>
              <w14:schemeClr w14:val="tx1"/>
            </w14:solidFill>
          </w14:textFill>
        </w:rPr>
        <w:alias w:val="是否适用：核销说明[双击切换]"/>
        <w:tag w:val="_GBC_fa943be869f247e4945a7336e3ce2e1f"/>
        <w:id w:val="147481925"/>
        <w:placeholder>
          <w:docPart w:val="GBC22222222222222222222222222222"/>
        </w:placeholder>
      </w:sdtPr>
      <w:sdtEndPr>
        <w:rPr>
          <w:color w:val="000000" w:themeColor="text1"/>
          <w14:textFill>
            <w14:solidFill>
              <w14:schemeClr w14:val="tx1"/>
            </w14:solidFill>
          </w14:textFill>
        </w:rPr>
      </w:sdtEndPr>
      <w:sdtContent>
        <w:p w14:paraId="79A19A2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B2E1A63">
      <w:pPr>
        <w:rPr>
          <w:color w:val="000000" w:themeColor="text1"/>
          <w14:textFill>
            <w14:solidFill>
              <w14:schemeClr w14:val="tx1"/>
            </w14:solidFill>
          </w14:textFill>
        </w:rPr>
      </w:pPr>
    </w:p>
    <w:bookmarkEnd w:id="244"/>
    <w:bookmarkEnd w:id="245"/>
    <w:p w14:paraId="4E1776F6">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应收利息的说明[双击切换]"/>
        <w:tag w:val="_GBC_9fcbab94f58048baace4761ca17ae925"/>
        <w:id w:val="147452187"/>
        <w:placeholder>
          <w:docPart w:val="GBC22222222222222222222222222222"/>
        </w:placeholder>
      </w:sdtPr>
      <w:sdtEndPr>
        <w:rPr>
          <w:color w:val="000000" w:themeColor="text1"/>
          <w14:textFill>
            <w14:solidFill>
              <w14:schemeClr w14:val="tx1"/>
            </w14:solidFill>
          </w14:textFill>
        </w:rPr>
      </w:sdtEndPr>
      <w:sdtContent>
        <w:p w14:paraId="2ECB063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52B166B">
      <w:pPr>
        <w:rPr>
          <w:color w:val="000000" w:themeColor="text1"/>
          <w14:textFill>
            <w14:solidFill>
              <w14:schemeClr w14:val="tx1"/>
            </w14:solidFill>
          </w14:textFill>
        </w:rPr>
      </w:pPr>
    </w:p>
    <w:p w14:paraId="2240CA2E">
      <w:pPr>
        <w:pStyle w:val="58"/>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应收股利</w:t>
      </w:r>
    </w:p>
    <w:p w14:paraId="19E5A089">
      <w:pPr>
        <w:pStyle w:val="59"/>
        <w:numPr>
          <w:ilvl w:val="0"/>
          <w:numId w:val="61"/>
        </w:numPr>
      </w:pPr>
      <w:r>
        <w:rPr>
          <w:rFonts w:hint="eastAsia"/>
        </w:rPr>
        <w:t>应收股利</w:t>
      </w:r>
    </w:p>
    <w:sdt>
      <w:sdtPr>
        <w:rPr>
          <w:color w:val="000000" w:themeColor="text1"/>
          <w14:textFill>
            <w14:solidFill>
              <w14:schemeClr w14:val="tx1"/>
            </w14:solidFill>
          </w14:textFill>
        </w:rPr>
        <w:alias w:val="是否适用：应收股利[双击切换]"/>
        <w:tag w:val="_GBC_002b8ba295db406eb34a179aa27a4801"/>
        <w:id w:val="147457645"/>
        <w:placeholder>
          <w:docPart w:val="GBC22222222222222222222222222222"/>
        </w:placeholder>
      </w:sdtPr>
      <w:sdtEndPr>
        <w:rPr>
          <w:color w:val="000000" w:themeColor="text1"/>
          <w14:textFill>
            <w14:solidFill>
              <w14:schemeClr w14:val="tx1"/>
            </w14:solidFill>
          </w14:textFill>
        </w:rPr>
      </w:sdtEndPr>
      <w:sdtContent>
        <w:p w14:paraId="5438201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255B83A">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应收股利"/>
          <w:tag w:val="_GBC_21cf7178837042889094b06d89cb1845"/>
          <w:id w:val="1474569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应收股利"/>
          <w:tag w:val="_GBC_d4486348b4bd4056afd97c6bb061623e"/>
          <w:id w:val="1474801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2"/>
        <w:gridCol w:w="2811"/>
        <w:gridCol w:w="2826"/>
      </w:tblGrid>
      <w:tr w14:paraId="5B0D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a240773011804aa5a4245c98b5f473de"/>
            <w:id w:val="147454916"/>
          </w:sdtPr>
          <w:sdtEndPr>
            <w:rPr>
              <w:rFonts w:cs="Times New Roman"/>
            </w:rPr>
          </w:sdtEndPr>
          <w:sdtContent>
            <w:tc>
              <w:tcPr>
                <w:tcW w:w="1885" w:type="pct"/>
                <w:vAlign w:val="center"/>
              </w:tcPr>
              <w:p w14:paraId="7D19618E">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项目(或被投资单位)</w:t>
                </w:r>
              </w:p>
            </w:tc>
          </w:sdtContent>
        </w:sdt>
        <w:sdt>
          <w:sdtPr>
            <w:rPr>
              <w:rFonts w:cs="Times New Roman"/>
            </w:rPr>
            <w:tag w:val="_PLD_cadc07ed6f504e63b41def670f3c2338"/>
            <w:id w:val="147451368"/>
          </w:sdtPr>
          <w:sdtEndPr>
            <w:rPr>
              <w:rFonts w:cs="Times New Roman"/>
            </w:rPr>
          </w:sdtEndPr>
          <w:sdtContent>
            <w:tc>
              <w:tcPr>
                <w:tcW w:w="1553" w:type="pct"/>
                <w:vAlign w:val="center"/>
              </w:tcPr>
              <w:p w14:paraId="2AE2365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33c992e918b546739aa3d8a0d43ef633"/>
            <w:id w:val="147455092"/>
          </w:sdtPr>
          <w:sdtEndPr>
            <w:rPr>
              <w:rFonts w:cs="Times New Roman"/>
            </w:rPr>
          </w:sdtEndPr>
          <w:sdtContent>
            <w:tc>
              <w:tcPr>
                <w:tcW w:w="1561" w:type="pct"/>
                <w:vAlign w:val="center"/>
              </w:tcPr>
              <w:p w14:paraId="1A08E34A">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tr>
      <w:tr w14:paraId="758DE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pct"/>
          </w:tcPr>
          <w:p w14:paraId="73ED8613">
            <w:pPr>
              <w:textAlignment w:val="top"/>
              <w:rPr>
                <w:rFonts w:cs="Times New Roman"/>
              </w:rPr>
            </w:pPr>
            <w:r>
              <w:rPr>
                <w:rFonts w:cs="Times New Roman"/>
                <w:color w:val="000000"/>
                <w:lang w:bidi="ar"/>
              </w:rPr>
              <w:t>新兴际华投资有限公司</w:t>
            </w:r>
          </w:p>
        </w:tc>
        <w:tc>
          <w:tcPr>
            <w:tcW w:w="1553" w:type="pct"/>
            <w:vAlign w:val="bottom"/>
          </w:tcPr>
          <w:p w14:paraId="4AE16B59">
            <w:pPr>
              <w:jc w:val="right"/>
              <w:textAlignment w:val="bottom"/>
              <w:rPr>
                <w:rFonts w:cs="Times New Roman"/>
              </w:rPr>
            </w:pPr>
            <w:r>
              <w:rPr>
                <w:rFonts w:cs="Times New Roman"/>
                <w:color w:val="000000"/>
              </w:rPr>
              <w:t>52,107,547.75</w:t>
            </w:r>
          </w:p>
        </w:tc>
        <w:tc>
          <w:tcPr>
            <w:tcW w:w="1561" w:type="pct"/>
            <w:vAlign w:val="bottom"/>
          </w:tcPr>
          <w:p w14:paraId="4E7F23C1">
            <w:pPr>
              <w:jc w:val="right"/>
              <w:textAlignment w:val="bottom"/>
              <w:rPr>
                <w:rFonts w:cs="Times New Roman"/>
              </w:rPr>
            </w:pPr>
            <w:r>
              <w:rPr>
                <w:rFonts w:cs="Times New Roman"/>
                <w:color w:val="000000"/>
              </w:rPr>
              <w:t>52,107,547.75</w:t>
            </w:r>
          </w:p>
        </w:tc>
      </w:tr>
      <w:tr w14:paraId="4B53B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5" w:type="pct"/>
            <w:vAlign w:val="center"/>
          </w:tcPr>
          <w:p w14:paraId="5262631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553" w:type="pct"/>
            <w:vAlign w:val="bottom"/>
          </w:tcPr>
          <w:p w14:paraId="3D668F60">
            <w:pPr>
              <w:jc w:val="right"/>
              <w:textAlignment w:val="bottom"/>
              <w:rPr>
                <w:rFonts w:cs="Times New Roman"/>
              </w:rPr>
            </w:pPr>
            <w:r>
              <w:rPr>
                <w:rFonts w:cs="Times New Roman"/>
                <w:color w:val="000000"/>
              </w:rPr>
              <w:t>52,107,547.75</w:t>
            </w:r>
          </w:p>
        </w:tc>
        <w:tc>
          <w:tcPr>
            <w:tcW w:w="1561" w:type="pct"/>
            <w:vAlign w:val="bottom"/>
          </w:tcPr>
          <w:p w14:paraId="1DF0066E">
            <w:pPr>
              <w:jc w:val="right"/>
              <w:textAlignment w:val="bottom"/>
              <w:rPr>
                <w:rFonts w:cs="Times New Roman"/>
              </w:rPr>
            </w:pPr>
            <w:r>
              <w:rPr>
                <w:rFonts w:cs="Times New Roman"/>
                <w:color w:val="000000"/>
              </w:rPr>
              <w:t>52,107,547.75</w:t>
            </w:r>
          </w:p>
        </w:tc>
      </w:tr>
    </w:tbl>
    <w:p w14:paraId="41F463F3">
      <w:pPr>
        <w:rPr>
          <w:color w:val="000000" w:themeColor="text1"/>
          <w14:textFill>
            <w14:solidFill>
              <w14:schemeClr w14:val="tx1"/>
            </w14:solidFill>
          </w14:textFill>
        </w:rPr>
      </w:pPr>
    </w:p>
    <w:p w14:paraId="2742C7FC">
      <w:pPr>
        <w:pStyle w:val="59"/>
        <w:numPr>
          <w:ilvl w:val="0"/>
          <w:numId w:val="61"/>
        </w:numPr>
      </w:pPr>
      <w:r>
        <w:rPr>
          <w:rFonts w:hint="eastAsia"/>
        </w:rPr>
        <w:t>重要的账龄超过1年的应收股利</w:t>
      </w:r>
    </w:p>
    <w:p w14:paraId="3A5D7253">
      <w:pPr>
        <w:rPr>
          <w:color w:val="000000" w:themeColor="text1"/>
          <w14:textFill>
            <w14:solidFill>
              <w14:schemeClr w14:val="tx1"/>
            </w14:solidFill>
          </w14:textFill>
        </w:rPr>
      </w:pPr>
      <w:sdt>
        <w:sdtPr>
          <w:rPr>
            <w:rFonts w:hint="eastAsia"/>
            <w:color w:val="000000" w:themeColor="text1"/>
            <w14:textFill>
              <w14:solidFill>
                <w14:schemeClr w14:val="tx1"/>
              </w14:solidFill>
            </w14:textFill>
          </w:rPr>
          <w:alias w:val="是否适用：重要的账龄超过1年的应收股利[双击切换]"/>
          <w:tag w:val="_GBC_9aa7ef4a3c0c40638901a5b7f6224231"/>
          <w:id w:val="147461175"/>
          <w:placeholder>
            <w:docPart w:val="GBC22222222222222222222222222222"/>
          </w:placeholder>
        </w:sdtPr>
        <w:sdtEndPr>
          <w:rPr>
            <w:rFonts w:hint="eastAsia"/>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tbl>
      <w:tblPr>
        <w:tblStyle w:val="37"/>
        <w:tblpPr w:leftFromText="180" w:rightFromText="180" w:vertAnchor="text" w:horzAnchor="page" w:tblpX="1791" w:tblpY="273"/>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407"/>
        <w:gridCol w:w="1793"/>
        <w:gridCol w:w="1144"/>
        <w:gridCol w:w="1520"/>
        <w:gridCol w:w="2029"/>
      </w:tblGrid>
      <w:tr w14:paraId="0AC4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cs="Times New Roman"/>
            </w:rPr>
            <w:tag w:val="_PLD_54325778de824e9297cb1c149c22dd25"/>
            <w:id w:val="147480970"/>
          </w:sdtPr>
          <w:sdtEndPr>
            <w:rPr>
              <w:rFonts w:cs="Times New Roman"/>
            </w:rPr>
          </w:sdtEndPr>
          <w:sdtContent>
            <w:tc>
              <w:tcPr>
                <w:tcW w:w="1353" w:type="pct"/>
                <w:vAlign w:val="center"/>
              </w:tcPr>
              <w:p w14:paraId="2D99C0D1">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项目(或被投资单位)</w:t>
                </w:r>
              </w:p>
            </w:tc>
          </w:sdtContent>
        </w:sdt>
        <w:sdt>
          <w:sdtPr>
            <w:rPr>
              <w:rFonts w:cs="Times New Roman"/>
            </w:rPr>
            <w:tag w:val="_PLD_3c6fcc2eeb2e43f884e135de407bf935"/>
            <w:id w:val="147482042"/>
          </w:sdtPr>
          <w:sdtEndPr>
            <w:rPr>
              <w:rFonts w:cs="Times New Roman"/>
            </w:rPr>
          </w:sdtEndPr>
          <w:sdtContent>
            <w:tc>
              <w:tcPr>
                <w:tcW w:w="1008" w:type="pct"/>
                <w:vAlign w:val="center"/>
              </w:tcPr>
              <w:p w14:paraId="513C9340">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5753b571b76c4818b08432ac4b75a19b"/>
            <w:id w:val="147461298"/>
          </w:sdtPr>
          <w:sdtEndPr>
            <w:rPr>
              <w:rFonts w:cs="Times New Roman"/>
            </w:rPr>
          </w:sdtEndPr>
          <w:sdtContent>
            <w:tc>
              <w:tcPr>
                <w:tcW w:w="643" w:type="pct"/>
                <w:vAlign w:val="center"/>
              </w:tcPr>
              <w:p w14:paraId="169CBB89">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账龄</w:t>
                </w:r>
              </w:p>
            </w:tc>
          </w:sdtContent>
        </w:sdt>
        <w:sdt>
          <w:sdtPr>
            <w:rPr>
              <w:rFonts w:cs="Times New Roman"/>
            </w:rPr>
            <w:tag w:val="_PLD_0152ee4fb8ae4030adfa916347591a85"/>
            <w:id w:val="147479300"/>
          </w:sdtPr>
          <w:sdtEndPr>
            <w:rPr>
              <w:rFonts w:cs="Times New Roman"/>
            </w:rPr>
          </w:sdtEndPr>
          <w:sdtContent>
            <w:tc>
              <w:tcPr>
                <w:tcW w:w="854" w:type="pct"/>
                <w:vAlign w:val="center"/>
              </w:tcPr>
              <w:p w14:paraId="2018FCF4">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未收回的原因</w:t>
                </w:r>
              </w:p>
            </w:tc>
          </w:sdtContent>
        </w:sdt>
        <w:sdt>
          <w:sdtPr>
            <w:rPr>
              <w:rFonts w:cs="Times New Roman"/>
            </w:rPr>
            <w:tag w:val="_PLD_3bb7e6ec4cc148b7a30573dbbf2a2707"/>
            <w:id w:val="147471599"/>
          </w:sdtPr>
          <w:sdtEndPr>
            <w:rPr>
              <w:rFonts w:cs="Times New Roman"/>
            </w:rPr>
          </w:sdtEndPr>
          <w:sdtContent>
            <w:tc>
              <w:tcPr>
                <w:tcW w:w="1140" w:type="pct"/>
                <w:vAlign w:val="center"/>
              </w:tcPr>
              <w:p w14:paraId="520236F6">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是否发生减值及其判断依据</w:t>
                </w:r>
              </w:p>
            </w:tc>
          </w:sdtContent>
        </w:sdt>
      </w:tr>
      <w:tr w14:paraId="48E21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353" w:type="pct"/>
            <w:vAlign w:val="center"/>
          </w:tcPr>
          <w:p w14:paraId="4E35EA85">
            <w:pPr>
              <w:jc w:val="center"/>
              <w:textAlignment w:val="center"/>
              <w:rPr>
                <w:rFonts w:cs="Times New Roman"/>
              </w:rPr>
            </w:pPr>
            <w:r>
              <w:rPr>
                <w:rFonts w:cs="Times New Roman"/>
                <w:color w:val="000000"/>
                <w:lang w:bidi="ar"/>
              </w:rPr>
              <w:t>新兴际华投资有限公司</w:t>
            </w:r>
          </w:p>
        </w:tc>
        <w:tc>
          <w:tcPr>
            <w:tcW w:w="1008" w:type="pct"/>
            <w:vAlign w:val="bottom"/>
          </w:tcPr>
          <w:p w14:paraId="24B2E1D8">
            <w:pPr>
              <w:jc w:val="right"/>
              <w:textAlignment w:val="bottom"/>
              <w:rPr>
                <w:rFonts w:cs="Times New Roman"/>
              </w:rPr>
            </w:pPr>
            <w:r>
              <w:rPr>
                <w:rFonts w:eastAsia="Arial Narrow" w:cs="Times New Roman"/>
                <w:color w:val="000000"/>
                <w:lang w:bidi="ar"/>
              </w:rPr>
              <w:t>44,854,927.40</w:t>
            </w:r>
          </w:p>
        </w:tc>
        <w:tc>
          <w:tcPr>
            <w:tcW w:w="643" w:type="pct"/>
            <w:vAlign w:val="center"/>
          </w:tcPr>
          <w:p w14:paraId="773C22F6">
            <w:pPr>
              <w:jc w:val="center"/>
              <w:textAlignment w:val="center"/>
              <w:rPr>
                <w:rFonts w:cs="Times New Roman"/>
              </w:rPr>
            </w:pPr>
            <w:r>
              <w:rPr>
                <w:rFonts w:eastAsia="Arial Narrow" w:cs="Times New Roman"/>
                <w:color w:val="000000"/>
                <w:lang w:bidi="ar"/>
              </w:rPr>
              <w:t>3-4</w:t>
            </w:r>
            <w:r>
              <w:rPr>
                <w:rFonts w:cs="Times New Roman"/>
                <w:color w:val="000000"/>
                <w:lang w:bidi="ar"/>
              </w:rPr>
              <w:t>年</w:t>
            </w:r>
          </w:p>
        </w:tc>
        <w:tc>
          <w:tcPr>
            <w:tcW w:w="854" w:type="pct"/>
            <w:vAlign w:val="center"/>
          </w:tcPr>
          <w:p w14:paraId="1B6C6974">
            <w:pPr>
              <w:jc w:val="center"/>
              <w:textAlignment w:val="center"/>
              <w:rPr>
                <w:rFonts w:cs="Times New Roman"/>
              </w:rPr>
            </w:pPr>
            <w:r>
              <w:rPr>
                <w:rFonts w:hint="eastAsia" w:asciiTheme="minorEastAsia" w:hAnsiTheme="minorEastAsia" w:eastAsiaTheme="minorEastAsia" w:cstheme="minorEastAsia"/>
                <w:color w:val="000000"/>
                <w:lang w:bidi="ar"/>
              </w:rPr>
              <w:t>尚未发放</w:t>
            </w:r>
          </w:p>
        </w:tc>
        <w:tc>
          <w:tcPr>
            <w:tcW w:w="1140" w:type="pct"/>
            <w:vAlign w:val="center"/>
          </w:tcPr>
          <w:p w14:paraId="028718D5">
            <w:pPr>
              <w:jc w:val="center"/>
              <w:textAlignment w:val="center"/>
              <w:rPr>
                <w:rFonts w:cs="Times New Roman"/>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否</w:t>
            </w:r>
          </w:p>
        </w:tc>
      </w:tr>
      <w:tr w14:paraId="7509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353" w:type="pct"/>
            <w:vAlign w:val="center"/>
          </w:tcPr>
          <w:p w14:paraId="7CCCC357">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008" w:type="pct"/>
            <w:vAlign w:val="bottom"/>
          </w:tcPr>
          <w:p w14:paraId="38488684">
            <w:pPr>
              <w:jc w:val="right"/>
              <w:textAlignment w:val="bottom"/>
              <w:rPr>
                <w:rFonts w:cs="Times New Roman"/>
              </w:rPr>
            </w:pPr>
            <w:r>
              <w:rPr>
                <w:rFonts w:eastAsia="Arial Narrow" w:cs="Times New Roman"/>
                <w:color w:val="000000"/>
                <w:lang w:bidi="ar"/>
              </w:rPr>
              <w:t>44,854,927.40</w:t>
            </w:r>
          </w:p>
        </w:tc>
        <w:tc>
          <w:tcPr>
            <w:tcW w:w="643" w:type="pct"/>
            <w:vAlign w:val="center"/>
          </w:tcPr>
          <w:p w14:paraId="793F59CC">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854" w:type="pct"/>
            <w:vAlign w:val="center"/>
          </w:tcPr>
          <w:p w14:paraId="59F741C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140" w:type="pct"/>
            <w:vAlign w:val="center"/>
          </w:tcPr>
          <w:p w14:paraId="5CCBF118">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bl>
    <w:p w14:paraId="1FA1812A">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重要的账龄超过1年的应收股利"/>
          <w:tag w:val="_GBC_f08fb2c53aeb449bb75e121ee3aeca9c"/>
          <w:id w:val="1474835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重要的账龄超过1年的应收股利"/>
          <w:tag w:val="_GBC_bd52ead6e46444738b8ef3b24c67296e"/>
          <w:id w:val="1474594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p w14:paraId="68A05544">
      <w:pPr>
        <w:rPr>
          <w:rFonts w:cs="Times New Roman"/>
          <w:color w:val="000000" w:themeColor="text1"/>
          <w14:textFill>
            <w14:solidFill>
              <w14:schemeClr w14:val="tx1"/>
            </w14:solidFill>
          </w14:textFill>
        </w:rPr>
      </w:pPr>
    </w:p>
    <w:p w14:paraId="2DAA4B70">
      <w:pPr>
        <w:pStyle w:val="59"/>
        <w:numPr>
          <w:ilvl w:val="0"/>
          <w:numId w:val="61"/>
        </w:numPr>
      </w:pPr>
      <w:bookmarkStart w:id="246" w:name="_Hlk153377225"/>
      <w:bookmarkStart w:id="247" w:name="_Hlk167889908"/>
      <w:r>
        <w:rPr>
          <w:rFonts w:hint="eastAsia"/>
        </w:rPr>
        <w:t>按坏账计提方法分类披露</w:t>
      </w:r>
    </w:p>
    <w:sdt>
      <w:sdtPr>
        <w:rPr>
          <w:color w:val="000000" w:themeColor="text1"/>
          <w14:textFill>
            <w14:solidFill>
              <w14:schemeClr w14:val="tx1"/>
            </w14:solidFill>
          </w14:textFill>
        </w:rPr>
        <w:alias w:val="是否适用：按坏账计提方法分类披露[双击切换]"/>
        <w:tag w:val="_GBC_8b70ad2470ad4f7fa9d5783df04c53e3"/>
        <w:id w:val="147467484"/>
        <w:placeholder>
          <w:docPart w:val="GBC22222222222222222222222222222"/>
        </w:placeholder>
      </w:sdtPr>
      <w:sdtEndPr>
        <w:rPr>
          <w:color w:val="000000" w:themeColor="text1"/>
          <w14:textFill>
            <w14:solidFill>
              <w14:schemeClr w14:val="tx1"/>
            </w14:solidFill>
          </w14:textFill>
        </w:rPr>
      </w:sdtEndPr>
      <w:sdtContent>
        <w:p w14:paraId="329C270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06E5202">
      <w:pPr>
        <w:rPr>
          <w:color w:val="000000" w:themeColor="text1"/>
          <w14:textFill>
            <w14:solidFill>
              <w14:schemeClr w14:val="tx1"/>
            </w14:solidFill>
          </w14:textFill>
        </w:rPr>
      </w:pPr>
    </w:p>
    <w:p w14:paraId="18DCD38E">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w:t>
      </w:r>
    </w:p>
    <w:sdt>
      <w:sdtPr>
        <w:rPr>
          <w:color w:val="000000" w:themeColor="text1"/>
          <w14:textFill>
            <w14:solidFill>
              <w14:schemeClr w14:val="tx1"/>
            </w14:solidFill>
          </w14:textFill>
        </w:rPr>
        <w:alias w:val="是否适用：按单项计提坏账准备的详细情况[双击切换]"/>
        <w:tag w:val="_GBC_483991b4a15b41e5972cf3114089a5f0"/>
        <w:id w:val="147472157"/>
        <w:placeholder>
          <w:docPart w:val="GBC22222222222222222222222222222"/>
        </w:placeholder>
      </w:sdtPr>
      <w:sdtEndPr>
        <w:rPr>
          <w:color w:val="000000" w:themeColor="text1"/>
          <w14:textFill>
            <w14:solidFill>
              <w14:schemeClr w14:val="tx1"/>
            </w14:solidFill>
          </w14:textFill>
        </w:rPr>
      </w:sdtEndPr>
      <w:sdtContent>
        <w:p w14:paraId="128B2F4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468BA15">
      <w:pPr>
        <w:rPr>
          <w:color w:val="000000" w:themeColor="text1"/>
          <w14:textFill>
            <w14:solidFill>
              <w14:schemeClr w14:val="tx1"/>
            </w14:solidFill>
          </w14:textFill>
        </w:rPr>
      </w:pPr>
    </w:p>
    <w:p w14:paraId="68E2ACB1">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按单项计提坏账准备的说明：</w:t>
      </w:r>
    </w:p>
    <w:sdt>
      <w:sdtPr>
        <w:rPr>
          <w:color w:val="000000" w:themeColor="text1"/>
          <w14:textFill>
            <w14:solidFill>
              <w14:schemeClr w14:val="tx1"/>
            </w14:solidFill>
          </w14:textFill>
        </w:rPr>
        <w:alias w:val="是否适用：按单项计提坏账准备的说明[双击切换]"/>
        <w:tag w:val="_GBC_d7afb2e278434689a41c386c91ae5fd8"/>
        <w:id w:val="147470611"/>
        <w:placeholder>
          <w:docPart w:val="GBC22222222222222222222222222222"/>
        </w:placeholder>
      </w:sdtPr>
      <w:sdtEndPr>
        <w:rPr>
          <w:color w:val="000000" w:themeColor="text1"/>
          <w14:textFill>
            <w14:solidFill>
              <w14:schemeClr w14:val="tx1"/>
            </w14:solidFill>
          </w14:textFill>
        </w:rPr>
      </w:sdtEndPr>
      <w:sdtContent>
        <w:p w14:paraId="0007790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97F8276">
      <w:pPr>
        <w:rPr>
          <w:color w:val="000000" w:themeColor="text1"/>
          <w14:textFill>
            <w14:solidFill>
              <w14:schemeClr w14:val="tx1"/>
            </w14:solidFill>
          </w14:textFill>
        </w:rPr>
      </w:pPr>
    </w:p>
    <w:p w14:paraId="790DDD6A">
      <w:pPr>
        <w:rPr>
          <w:rFonts w:ascii="Calibri" w:hAnsi="Calibri" w:cs="Times New Roman"/>
          <w:bCs w:val="0"/>
          <w:color w:val="000000" w:themeColor="text1"/>
          <w:szCs w:val="22"/>
          <w14:textFill>
            <w14:solidFill>
              <w14:schemeClr w14:val="tx1"/>
            </w14:solidFill>
          </w14:textFill>
        </w:rPr>
      </w:pPr>
      <w:r>
        <w:rPr>
          <w:rFonts w:hint="eastAsia" w:ascii="Calibri" w:hAnsi="Calibri" w:cs="Times New Roman"/>
          <w:color w:val="000000" w:themeColor="text1"/>
          <w:szCs w:val="22"/>
          <w14:textFill>
            <w14:solidFill>
              <w14:schemeClr w14:val="tx1"/>
            </w14:solidFill>
          </w14:textFill>
        </w:rPr>
        <w:t>按组合计提坏账准备：</w:t>
      </w:r>
    </w:p>
    <w:sdt>
      <w:sdtPr>
        <w:rPr>
          <w:rFonts w:ascii="Calibri" w:hAnsi="Calibri" w:cs="Times New Roman"/>
          <w:bCs w:val="0"/>
          <w:color w:val="000000" w:themeColor="text1"/>
          <w:szCs w:val="22"/>
          <w14:textFill>
            <w14:solidFill>
              <w14:schemeClr w14:val="tx1"/>
            </w14:solidFill>
          </w14:textFill>
        </w:rPr>
        <w:alias w:val="是否适用：按组合计提坏账准备的详细情况[双击切换]"/>
        <w:tag w:val="_GBC_37434366d06a4e49b22522b1d88358dd"/>
        <w:id w:val="147453074"/>
        <w:placeholder>
          <w:docPart w:val="GBC22222222222222222222222222222"/>
        </w:placeholder>
      </w:sdtPr>
      <w:sdtEndPr>
        <w:rPr>
          <w:rFonts w:ascii="Calibri" w:hAnsi="Calibri" w:cs="Times New Roman"/>
          <w:bCs w:val="0"/>
          <w:color w:val="000000" w:themeColor="text1"/>
          <w:szCs w:val="22"/>
          <w14:textFill>
            <w14:solidFill>
              <w14:schemeClr w14:val="tx1"/>
            </w14:solidFill>
          </w14:textFill>
        </w:rPr>
      </w:sdtEndPr>
      <w:sdtContent>
        <w:p w14:paraId="640AC4CA">
          <w:pPr>
            <w:rPr>
              <w:color w:val="000000" w:themeColor="text1"/>
              <w14:textFill>
                <w14:solidFill>
                  <w14:schemeClr w14:val="tx1"/>
                </w14:solidFill>
              </w14:textFill>
            </w:rPr>
          </w:pPr>
          <w:r>
            <w:rPr>
              <w:rFonts w:ascii="宋体" w:hAnsi="宋体" w:cs="Times New Roman"/>
              <w:bCs w:val="0"/>
              <w:color w:val="000000" w:themeColor="text1"/>
              <w:szCs w:val="22"/>
              <w14:textFill>
                <w14:solidFill>
                  <w14:schemeClr w14:val="tx1"/>
                </w14:solidFill>
              </w14:textFill>
            </w:rPr>
            <w:fldChar w:fldCharType="begin"/>
          </w:r>
          <w:r>
            <w:rPr>
              <w:rFonts w:hint="eastAsia" w:ascii="宋体" w:hAnsi="宋体" w:cs="Times New Roman"/>
              <w:color w:val="000000" w:themeColor="text1"/>
              <w:szCs w:val="22"/>
              <w14:textFill>
                <w14:solidFill>
                  <w14:schemeClr w14:val="tx1"/>
                </w14:solidFill>
              </w14:textFill>
            </w:rPr>
            <w:instrText xml:space="preserve"> MACROBUTTON  SnrToggleCheckbox □适用 </w:instrText>
          </w:r>
          <w:r>
            <w:rPr>
              <w:rFonts w:ascii="宋体" w:hAnsi="宋体" w:cs="Times New Roman"/>
              <w:bCs w:val="0"/>
              <w:color w:val="000000" w:themeColor="text1"/>
              <w:szCs w:val="22"/>
              <w14:textFill>
                <w14:solidFill>
                  <w14:schemeClr w14:val="tx1"/>
                </w14:solidFill>
              </w14:textFill>
            </w:rPr>
            <w:fldChar w:fldCharType="end"/>
          </w:r>
          <w:r>
            <w:rPr>
              <w:rFonts w:ascii="宋体" w:hAnsi="宋体" w:cs="Times New Roman"/>
              <w:bCs w:val="0"/>
              <w:color w:val="000000" w:themeColor="text1"/>
              <w:szCs w:val="22"/>
              <w14:textFill>
                <w14:solidFill>
                  <w14:schemeClr w14:val="tx1"/>
                </w14:solidFill>
              </w14:textFill>
            </w:rPr>
            <w:fldChar w:fldCharType="begin"/>
          </w:r>
          <w:r>
            <w:rPr>
              <w:rFonts w:hint="eastAsia" w:ascii="宋体" w:hAnsi="宋体" w:cs="Times New Roman"/>
              <w:color w:val="000000" w:themeColor="text1"/>
              <w:szCs w:val="22"/>
              <w14:textFill>
                <w14:solidFill>
                  <w14:schemeClr w14:val="tx1"/>
                </w14:solidFill>
              </w14:textFill>
            </w:rPr>
            <w:instrText xml:space="preserve"> MACROBUTTON  SnrToggleCheckbox √不适用 </w:instrText>
          </w:r>
          <w:r>
            <w:rPr>
              <w:rFonts w:ascii="宋体" w:hAnsi="宋体" w:cs="Times New Roman"/>
              <w:bCs w:val="0"/>
              <w:color w:val="000000" w:themeColor="text1"/>
              <w:szCs w:val="22"/>
              <w14:textFill>
                <w14:solidFill>
                  <w14:schemeClr w14:val="tx1"/>
                </w14:solidFill>
              </w14:textFill>
            </w:rPr>
            <w:fldChar w:fldCharType="end"/>
          </w:r>
        </w:p>
      </w:sdtContent>
    </w:sdt>
    <w:p w14:paraId="1A7613B0">
      <w:pPr>
        <w:rPr>
          <w:rFonts w:ascii="Calibri" w:hAnsi="Calibri" w:cs="Times New Roman"/>
          <w:b/>
          <w:bCs w:val="0"/>
          <w:color w:val="000000" w:themeColor="text1"/>
          <w:szCs w:val="22"/>
          <w14:textFill>
            <w14:solidFill>
              <w14:schemeClr w14:val="tx1"/>
            </w14:solidFill>
          </w14:textFill>
        </w:rPr>
      </w:pPr>
    </w:p>
    <w:bookmarkEnd w:id="246"/>
    <w:bookmarkEnd w:id="247"/>
    <w:p w14:paraId="0589990B">
      <w:pPr>
        <w:pStyle w:val="59"/>
        <w:numPr>
          <w:ilvl w:val="0"/>
          <w:numId w:val="61"/>
        </w:numPr>
      </w:pPr>
      <w:bookmarkStart w:id="248" w:name="_Hlk10468610"/>
      <w:r>
        <w:rPr>
          <w:rFonts w:hint="eastAsia"/>
        </w:rPr>
        <w:t>按预期信用损失一般模型计提坏账准备</w:t>
      </w:r>
    </w:p>
    <w:sdt>
      <w:sdtPr>
        <w:rPr>
          <w:color w:val="000000" w:themeColor="text1"/>
          <w14:textFill>
            <w14:solidFill>
              <w14:schemeClr w14:val="tx1"/>
            </w14:solidFill>
          </w14:textFill>
        </w:rPr>
        <w:alias w:val="是否适用：应收股利坏账准备调节表[双击切换]"/>
        <w:tag w:val="_GBC_5a51eb2bfb0643eb8b9c73cdd0dbec60"/>
        <w:id w:val="147477308"/>
        <w:placeholder>
          <w:docPart w:val="GBC22222222222222222222222222222"/>
        </w:placeholder>
      </w:sdtPr>
      <w:sdtEndPr>
        <w:rPr>
          <w:color w:val="000000" w:themeColor="text1"/>
          <w14:textFill>
            <w14:solidFill>
              <w14:schemeClr w14:val="tx1"/>
            </w14:solidFill>
          </w14:textFill>
        </w:rPr>
      </w:sdtEndPr>
      <w:sdtContent>
        <w:p w14:paraId="7C18EE6B">
          <w:pPr>
            <w:autoSpaceDE w:val="0"/>
            <w:autoSpaceDN w:val="0"/>
            <w:adjustRightInd w:val="0"/>
            <w:ind w:right="105" w:rightChars="5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6F351AB">
      <w:pPr>
        <w:rPr>
          <w:color w:val="000000" w:themeColor="text1"/>
          <w14:textFill>
            <w14:solidFill>
              <w14:schemeClr w14:val="tx1"/>
            </w14:solidFill>
          </w14:textFill>
        </w:rPr>
      </w:pPr>
    </w:p>
    <w:bookmarkEnd w:id="248"/>
    <w:p w14:paraId="2F5C2A2E">
      <w:pPr>
        <w:pStyle w:val="59"/>
        <w:numPr>
          <w:ilvl w:val="0"/>
          <w:numId w:val="61"/>
        </w:numPr>
      </w:pPr>
      <w:bookmarkStart w:id="249" w:name="_Hlk153377452"/>
      <w:bookmarkStart w:id="250" w:name="_Hlk167890094"/>
      <w:r>
        <w:rPr>
          <w:rFonts w:hint="eastAsia"/>
        </w:rPr>
        <w:t>坏账准备的情况</w:t>
      </w:r>
    </w:p>
    <w:sdt>
      <w:sdtPr>
        <w:rPr>
          <w:color w:val="000000" w:themeColor="text1"/>
          <w14:textFill>
            <w14:solidFill>
              <w14:schemeClr w14:val="tx1"/>
            </w14:solidFill>
          </w14:textFill>
        </w:rPr>
        <w:alias w:val="是否适用：坏账准备情况[双击切换]"/>
        <w:tag w:val="_GBC_27a4f54f16d145c384ec77d7ec602dbc"/>
        <w:id w:val="147463130"/>
        <w:placeholder>
          <w:docPart w:val="GBC22222222222222222222222222222"/>
        </w:placeholder>
      </w:sdtPr>
      <w:sdtEndPr>
        <w:rPr>
          <w:color w:val="000000" w:themeColor="text1"/>
          <w14:textFill>
            <w14:solidFill>
              <w14:schemeClr w14:val="tx1"/>
            </w14:solidFill>
          </w14:textFill>
        </w:rPr>
      </w:sdtEndPr>
      <w:sdtContent>
        <w:p w14:paraId="412446C9">
          <w:pPr>
            <w:pStyle w:val="67"/>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AB46FA1">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其中本期坏账准备收回或转回金额重要的：</w:t>
      </w:r>
    </w:p>
    <w:sdt>
      <w:sdtPr>
        <w:rPr>
          <w:color w:val="000000" w:themeColor="text1"/>
          <w14:textFill>
            <w14:solidFill>
              <w14:schemeClr w14:val="tx1"/>
            </w14:solidFill>
          </w14:textFill>
        </w:rPr>
        <w:alias w:val="是否适用：本期坏账准备收回或转回金额重要的[双击切换]"/>
        <w:tag w:val="_GBC_e4fd140c18e841efba2e4cb5bf308654"/>
        <w:id w:val="147459069"/>
        <w:placeholder>
          <w:docPart w:val="GBC22222222222222222222222222222"/>
        </w:placeholder>
      </w:sdtPr>
      <w:sdtEndPr>
        <w:rPr>
          <w:color w:val="000000" w:themeColor="text1"/>
          <w14:textFill>
            <w14:solidFill>
              <w14:schemeClr w14:val="tx1"/>
            </w14:solidFill>
          </w14:textFill>
        </w:rPr>
      </w:sdtEndPr>
      <w:sdtContent>
        <w:p w14:paraId="5E8D0E0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75A92B0">
      <w:pPr>
        <w:rPr>
          <w:color w:val="000000" w:themeColor="text1"/>
          <w14:textFill>
            <w14:solidFill>
              <w14:schemeClr w14:val="tx1"/>
            </w14:solidFill>
          </w14:textFill>
        </w:rPr>
      </w:pPr>
    </w:p>
    <w:p w14:paraId="5C839D2A">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坏账准备情况的说明"/>
        <w:tag w:val="_GBC_414c7640b0394cf3a868f0350c981765"/>
        <w:id w:val="147469869"/>
        <w:placeholder>
          <w:docPart w:val="GBC22222222222222222222222222222"/>
        </w:placeholder>
      </w:sdtPr>
      <w:sdtEndPr>
        <w:rPr>
          <w:color w:val="000000" w:themeColor="text1"/>
          <w14:textFill>
            <w14:solidFill>
              <w14:schemeClr w14:val="tx1"/>
            </w14:solidFill>
          </w14:textFill>
        </w:rPr>
      </w:sdtEndPr>
      <w:sdtContent>
        <w:p w14:paraId="53420F1A">
          <w:pPr>
            <w:ind w:right="42" w:rightChars="2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488E87B1">
      <w:pPr>
        <w:ind w:right="-1594" w:rightChars="-759"/>
        <w:rPr>
          <w:color w:val="000000" w:themeColor="text1"/>
          <w14:textFill>
            <w14:solidFill>
              <w14:schemeClr w14:val="tx1"/>
            </w14:solidFill>
          </w14:textFill>
        </w:rPr>
      </w:pPr>
    </w:p>
    <w:p w14:paraId="163E8BA9">
      <w:pPr>
        <w:pStyle w:val="59"/>
        <w:numPr>
          <w:ilvl w:val="0"/>
          <w:numId w:val="61"/>
        </w:numPr>
      </w:pPr>
      <w:r>
        <w:rPr>
          <w:rFonts w:hint="eastAsia"/>
        </w:rPr>
        <w:t>本期实际核销的应收股利情况</w:t>
      </w:r>
    </w:p>
    <w:sdt>
      <w:sdtPr>
        <w:rPr>
          <w:color w:val="000000" w:themeColor="text1"/>
          <w14:textFill>
            <w14:solidFill>
              <w14:schemeClr w14:val="tx1"/>
            </w14:solidFill>
          </w14:textFill>
        </w:rPr>
        <w:alias w:val="是否适用：实际核销的情况[双击切换]"/>
        <w:tag w:val="_GBC_9eaf5a867a514dab9094fbf8401be69b"/>
        <w:id w:val="147455521"/>
        <w:placeholder>
          <w:docPart w:val="GBC22222222222222222222222222222"/>
        </w:placeholder>
      </w:sdtPr>
      <w:sdtEndPr>
        <w:rPr>
          <w:color w:val="000000" w:themeColor="text1"/>
          <w14:textFill>
            <w14:solidFill>
              <w14:schemeClr w14:val="tx1"/>
            </w14:solidFill>
          </w14:textFill>
        </w:rPr>
      </w:sdtEndPr>
      <w:sdtContent>
        <w:p w14:paraId="55BF7B6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DAD45A6">
      <w:pPr>
        <w:rPr>
          <w:color w:val="000000" w:themeColor="text1"/>
          <w14:textFill>
            <w14:solidFill>
              <w14:schemeClr w14:val="tx1"/>
            </w14:solidFill>
          </w14:textFill>
        </w:rPr>
      </w:pPr>
    </w:p>
    <w:p w14:paraId="5602031E">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其中重要的应收股利核销情况</w:t>
      </w:r>
    </w:p>
    <w:sdt>
      <w:sdtPr>
        <w:rPr>
          <w:rFonts w:hint="eastAsia"/>
          <w:color w:val="000000" w:themeColor="text1"/>
          <w14:textFill>
            <w14:solidFill>
              <w14:schemeClr w14:val="tx1"/>
            </w14:solidFill>
          </w14:textFill>
        </w:rPr>
        <w:alias w:val="是否适用：重要的核销情况[双击切换]"/>
        <w:tag w:val="_GBC_5cf96e8ce96146ed94b21417af438fca"/>
        <w:id w:val="147451850"/>
        <w:placeholder>
          <w:docPart w:val="GBC22222222222222222222222222222"/>
        </w:placeholder>
      </w:sdtPr>
      <w:sdtEndPr>
        <w:rPr>
          <w:rFonts w:hint="eastAsia"/>
          <w:color w:val="000000" w:themeColor="text1"/>
          <w14:textFill>
            <w14:solidFill>
              <w14:schemeClr w14:val="tx1"/>
            </w14:solidFill>
          </w14:textFill>
        </w:rPr>
      </w:sdtEndPr>
      <w:sdtContent>
        <w:p w14:paraId="6AADA76A">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44C18F6">
      <w:pPr>
        <w:snapToGrid w:val="0"/>
        <w:spacing w:line="240" w:lineRule="atLeast"/>
        <w:rPr>
          <w:color w:val="000000" w:themeColor="text1"/>
          <w14:textFill>
            <w14:solidFill>
              <w14:schemeClr w14:val="tx1"/>
            </w14:solidFill>
          </w14:textFill>
        </w:rPr>
      </w:pPr>
    </w:p>
    <w:p w14:paraId="02399D63">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核销说明：</w:t>
      </w:r>
    </w:p>
    <w:sdt>
      <w:sdtPr>
        <w:rPr>
          <w:color w:val="000000" w:themeColor="text1"/>
          <w14:textFill>
            <w14:solidFill>
              <w14:schemeClr w14:val="tx1"/>
            </w14:solidFill>
          </w14:textFill>
        </w:rPr>
        <w:alias w:val="是否适用：核销说明[双击切换]"/>
        <w:tag w:val="_GBC_cdab003e34144d27a769732520f8f54a"/>
        <w:id w:val="147466002"/>
        <w:placeholder>
          <w:docPart w:val="GBC22222222222222222222222222222"/>
        </w:placeholder>
      </w:sdtPr>
      <w:sdtEndPr>
        <w:rPr>
          <w:color w:val="000000" w:themeColor="text1"/>
          <w14:textFill>
            <w14:solidFill>
              <w14:schemeClr w14:val="tx1"/>
            </w14:solidFill>
          </w14:textFill>
        </w:rPr>
      </w:sdtEndPr>
      <w:sdtContent>
        <w:p w14:paraId="17B84D3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182F4F2">
      <w:pPr>
        <w:rPr>
          <w:color w:val="000000" w:themeColor="text1"/>
          <w14:textFill>
            <w14:solidFill>
              <w14:schemeClr w14:val="tx1"/>
            </w14:solidFill>
          </w14:textFill>
        </w:rPr>
      </w:pPr>
    </w:p>
    <w:bookmarkEnd w:id="249"/>
    <w:bookmarkEnd w:id="250"/>
    <w:p w14:paraId="319D9D7C">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应收股利的说明[双击切换]"/>
        <w:tag w:val="_GBC_108dd924d7ca4fa78961046db5cd354e"/>
        <w:id w:val="147481086"/>
        <w:placeholder>
          <w:docPart w:val="GBC22222222222222222222222222222"/>
        </w:placeholder>
      </w:sdtPr>
      <w:sdtEndPr>
        <w:rPr>
          <w:color w:val="000000" w:themeColor="text1"/>
          <w14:textFill>
            <w14:solidFill>
              <w14:schemeClr w14:val="tx1"/>
            </w14:solidFill>
          </w14:textFill>
        </w:rPr>
      </w:sdtEndPr>
      <w:sdtContent>
        <w:p w14:paraId="6793C1E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E5C534D">
      <w:pPr>
        <w:snapToGrid w:val="0"/>
        <w:spacing w:line="240" w:lineRule="atLeast"/>
        <w:ind w:right="25" w:rightChars="12"/>
        <w:rPr>
          <w:color w:val="000000" w:themeColor="text1"/>
          <w14:textFill>
            <w14:solidFill>
              <w14:schemeClr w14:val="tx1"/>
            </w14:solidFill>
          </w14:textFill>
        </w:rPr>
      </w:pPr>
    </w:p>
    <w:p w14:paraId="6D245A44">
      <w:pPr>
        <w:pStyle w:val="58"/>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其他应收款</w:t>
      </w:r>
    </w:p>
    <w:p w14:paraId="5A39D000">
      <w:pPr>
        <w:pStyle w:val="6"/>
        <w:numPr>
          <w:ilvl w:val="0"/>
          <w:numId w:val="62"/>
        </w:numPr>
      </w:pPr>
      <w:bookmarkStart w:id="251" w:name="_Hlk167890330"/>
      <w:r>
        <w:rPr>
          <w:rFonts w:hint="eastAsia"/>
        </w:rPr>
        <w:t>按账龄披露</w:t>
      </w:r>
    </w:p>
    <w:sdt>
      <w:sdtPr>
        <w:rPr>
          <w:rFonts w:hint="eastAsia"/>
          <w:color w:val="000000" w:themeColor="text1"/>
          <w14:textFill>
            <w14:solidFill>
              <w14:schemeClr w14:val="tx1"/>
            </w14:solidFill>
          </w14:textFill>
        </w:rPr>
        <w:alias w:val="是否适用：组合中，按账龄分析法计提坏账准备的其他应收账款[双击切换]"/>
        <w:tag w:val="_GBC_2dc7496d7daf42fabc670f597f99f9a3"/>
        <w:id w:val="237371206"/>
      </w:sdtPr>
      <w:sdtEndPr>
        <w:rPr>
          <w:rFonts w:hint="eastAsia"/>
          <w:color w:val="000000" w:themeColor="text1"/>
          <w14:textFill>
            <w14:solidFill>
              <w14:schemeClr w14:val="tx1"/>
            </w14:solidFill>
          </w14:textFill>
        </w:rPr>
      </w:sdtEndPr>
      <w:sdtContent>
        <w:p w14:paraId="6B89775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045FDE3F">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单项金额不重大但按信用风险特征组合后该组合的风险较大的其他应收账款"/>
          <w:tag w:val="_GBC_cdb739275e9048aba4230ed9bd146a45"/>
          <w:id w:val="-2039800863"/>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单项金额不重大但按信用风险特征组合后该组合的风险较大的其他应收账款"/>
          <w:tag w:val="_GBC_3fef54d9cee94f85a0131be89bc468aa"/>
          <w:id w:val="-71528236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073"/>
        <w:gridCol w:w="2993"/>
        <w:gridCol w:w="2993"/>
      </w:tblGrid>
      <w:tr w14:paraId="799B9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b6e27a2b2e82491eabe1f7ae934a9024"/>
            <w:id w:val="572777227"/>
          </w:sdtPr>
          <w:sdtContent>
            <w:tc>
              <w:tcPr>
                <w:tcW w:w="1696" w:type="pct"/>
                <w:tcBorders>
                  <w:top w:val="single" w:color="auto" w:sz="4" w:space="0"/>
                  <w:left w:val="single" w:color="auto" w:sz="4" w:space="0"/>
                  <w:bottom w:val="single" w:color="auto" w:sz="4" w:space="0"/>
                  <w:right w:val="single" w:color="auto" w:sz="4" w:space="0"/>
                </w:tcBorders>
                <w:vAlign w:val="center"/>
              </w:tcPr>
              <w:p w14:paraId="30A5CC6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账龄</w:t>
                </w:r>
              </w:p>
            </w:tc>
          </w:sdtContent>
        </w:sdt>
        <w:sdt>
          <w:sdtPr>
            <w:tag w:val="_PLD_1ec6a999d56e428c86b4b1d15e441db3"/>
            <w:id w:val="-1712412474"/>
          </w:sdtPr>
          <w:sdtContent>
            <w:tc>
              <w:tcPr>
                <w:tcW w:w="1651" w:type="pct"/>
                <w:tcBorders>
                  <w:top w:val="single" w:color="auto" w:sz="4" w:space="0"/>
                  <w:left w:val="single" w:color="auto" w:sz="4" w:space="0"/>
                  <w:bottom w:val="single" w:color="auto" w:sz="4" w:space="0"/>
                  <w:right w:val="single" w:color="auto" w:sz="4" w:space="0"/>
                </w:tcBorders>
                <w:vAlign w:val="center"/>
              </w:tcPr>
              <w:p w14:paraId="7BC4271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期末账面余额</w:t>
                </w:r>
              </w:p>
            </w:tc>
          </w:sdtContent>
        </w:sdt>
        <w:tc>
          <w:tcPr>
            <w:tcW w:w="1651" w:type="pct"/>
            <w:tcBorders>
              <w:top w:val="single" w:color="auto" w:sz="4" w:space="0"/>
              <w:left w:val="single" w:color="auto" w:sz="4" w:space="0"/>
              <w:bottom w:val="single" w:color="auto" w:sz="4" w:space="0"/>
              <w:right w:val="single" w:color="auto" w:sz="4" w:space="0"/>
            </w:tcBorders>
          </w:tcPr>
          <w:sdt>
            <w:sdtPr>
              <w:tag w:val="_PLD_7e4dd2ab04c74f9b948d19d48ec6182e"/>
              <w:id w:val="402802837"/>
            </w:sdtPr>
            <w:sdtContent>
              <w:p w14:paraId="21796F0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期初账面余额</w:t>
                </w:r>
              </w:p>
            </w:sdtContent>
          </w:sdt>
        </w:tc>
      </w:tr>
      <w:tr w14:paraId="4D1ED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f92a15823e8c4c6b81cf1a2d6edf8107"/>
            <w:id w:val="-730696649"/>
          </w:sdtPr>
          <w:sdtContent>
            <w:tc>
              <w:tcPr>
                <w:tcW w:w="1696" w:type="pct"/>
                <w:tcBorders>
                  <w:top w:val="single" w:color="auto" w:sz="4" w:space="0"/>
                  <w:left w:val="single" w:color="auto" w:sz="4" w:space="0"/>
                  <w:bottom w:val="single" w:color="auto" w:sz="4" w:space="0"/>
                  <w:right w:val="single" w:color="auto" w:sz="4" w:space="0"/>
                </w:tcBorders>
              </w:tcPr>
              <w:p w14:paraId="015C9BA5">
                <w:pPr>
                  <w:rPr>
                    <w:color w:val="000000" w:themeColor="text1"/>
                    <w14:textFill>
                      <w14:solidFill>
                        <w14:schemeClr w14:val="tx1"/>
                      </w14:solidFill>
                    </w14:textFill>
                  </w:rPr>
                </w:pPr>
                <w:r>
                  <w:rPr>
                    <w:rFonts w:hint="eastAsia"/>
                    <w:color w:val="000000" w:themeColor="text1"/>
                    <w14:textFill>
                      <w14:solidFill>
                        <w14:schemeClr w14:val="tx1"/>
                      </w14:solidFill>
                    </w14:textFill>
                  </w:rPr>
                  <w:t>1年以内（含1年）</w:t>
                </w:r>
              </w:p>
            </w:tc>
          </w:sdtContent>
        </w:sdt>
        <w:tc>
          <w:tcPr>
            <w:tcW w:w="2993" w:type="dxa"/>
            <w:tcBorders>
              <w:top w:val="single" w:color="auto" w:sz="4" w:space="0"/>
              <w:left w:val="single" w:color="auto" w:sz="4" w:space="0"/>
              <w:bottom w:val="single" w:color="auto" w:sz="4" w:space="0"/>
              <w:right w:val="single" w:color="auto" w:sz="4" w:space="0"/>
            </w:tcBorders>
            <w:vAlign w:val="center"/>
          </w:tcPr>
          <w:p w14:paraId="1FFDED36">
            <w:pPr>
              <w:jc w:val="right"/>
              <w:textAlignment w:val="center"/>
              <w:rPr>
                <w:rFonts w:cs="Times New Roman"/>
              </w:rPr>
            </w:pPr>
            <w:r>
              <w:rPr>
                <w:rFonts w:eastAsia="Arial Narrow" w:cs="Times New Roman"/>
                <w:color w:val="000000"/>
                <w:lang w:bidi="ar"/>
              </w:rPr>
              <w:t>291,637,195.96</w:t>
            </w:r>
          </w:p>
        </w:tc>
        <w:tc>
          <w:tcPr>
            <w:tcW w:w="1651" w:type="pct"/>
            <w:tcBorders>
              <w:top w:val="single" w:color="auto" w:sz="4" w:space="0"/>
              <w:left w:val="single" w:color="auto" w:sz="4" w:space="0"/>
              <w:bottom w:val="single" w:color="auto" w:sz="4" w:space="0"/>
              <w:right w:val="single" w:color="auto" w:sz="4" w:space="0"/>
            </w:tcBorders>
            <w:vAlign w:val="center"/>
          </w:tcPr>
          <w:p w14:paraId="6B2AE604">
            <w:pPr>
              <w:jc w:val="right"/>
              <w:rPr>
                <w:rFonts w:cs="Times New Roman"/>
              </w:rPr>
            </w:pPr>
            <w:r>
              <w:rPr>
                <w:rFonts w:cs="Times New Roman"/>
              </w:rPr>
              <w:t>211,009,198.67</w:t>
            </w:r>
          </w:p>
        </w:tc>
      </w:tr>
      <w:sdt>
        <w:sdtPr>
          <w:rPr>
            <w:rFonts w:hint="eastAsia"/>
            <w:color w:val="000000" w:themeColor="text1"/>
            <w14:textFill>
              <w14:solidFill>
                <w14:schemeClr w14:val="tx1"/>
              </w14:solidFill>
            </w14:textFill>
          </w:rPr>
          <w:alias w:val="一年以内其他应收款金额明细"/>
          <w:tag w:val="_TUP_9657fd9a14d248d6b5760bd521376fca"/>
          <w:id w:val="-886562373"/>
          <w:placeholder>
            <w:docPart w:val="{b1467952-0f0f-4b1e-a167-fdb4424c5074}"/>
          </w:placeholder>
        </w:sdtPr>
        <w:sdtEndPr>
          <w:rPr>
            <w:rFonts w:hint="default" w:cs="Times New Roman"/>
            <w:color w:val="000000" w:themeColor="text1"/>
            <w14:textFill>
              <w14:solidFill>
                <w14:schemeClr w14:val="tx1"/>
              </w14:solidFill>
            </w14:textFill>
          </w:rPr>
        </w:sdtEndPr>
        <w:sdtContent>
          <w:tr w14:paraId="70CA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14:paraId="5E530C1A">
                <w:r>
                  <w:rPr>
                    <w:rFonts w:hint="eastAsia"/>
                  </w:rPr>
                  <w:t>1年以内小计</w:t>
                </w:r>
              </w:p>
            </w:tc>
            <w:tc>
              <w:tcPr>
                <w:tcW w:w="2993" w:type="dxa"/>
                <w:tcBorders>
                  <w:top w:val="single" w:color="auto" w:sz="4" w:space="0"/>
                  <w:left w:val="single" w:color="auto" w:sz="4" w:space="0"/>
                  <w:bottom w:val="single" w:color="auto" w:sz="4" w:space="0"/>
                  <w:right w:val="single" w:color="auto" w:sz="4" w:space="0"/>
                </w:tcBorders>
                <w:vAlign w:val="center"/>
              </w:tcPr>
              <w:p w14:paraId="46D1E272">
                <w:pPr>
                  <w:jc w:val="right"/>
                  <w:textAlignment w:val="center"/>
                  <w:rPr>
                    <w:rFonts w:cs="Times New Roman"/>
                  </w:rPr>
                </w:pPr>
                <w:r>
                  <w:rPr>
                    <w:rFonts w:eastAsia="Arial Narrow" w:cs="Times New Roman"/>
                    <w:color w:val="000000"/>
                    <w:lang w:bidi="ar"/>
                  </w:rPr>
                  <w:t>291,637,195.96</w:t>
                </w:r>
              </w:p>
            </w:tc>
            <w:tc>
              <w:tcPr>
                <w:tcW w:w="1651" w:type="pct"/>
                <w:tcBorders>
                  <w:top w:val="single" w:color="auto" w:sz="4" w:space="0"/>
                  <w:left w:val="single" w:color="auto" w:sz="4" w:space="0"/>
                  <w:bottom w:val="single" w:color="auto" w:sz="4" w:space="0"/>
                  <w:right w:val="single" w:color="auto" w:sz="4" w:space="0"/>
                </w:tcBorders>
                <w:vAlign w:val="center"/>
              </w:tcPr>
              <w:p w14:paraId="510B539F">
                <w:pPr>
                  <w:jc w:val="right"/>
                  <w:rPr>
                    <w:rFonts w:cs="Times New Roman"/>
                  </w:rPr>
                </w:pPr>
                <w:r>
                  <w:rPr>
                    <w:rFonts w:cs="Times New Roman"/>
                  </w:rPr>
                  <w:t>211,009,198.67</w:t>
                </w:r>
              </w:p>
            </w:tc>
          </w:tr>
        </w:sdtContent>
      </w:sdt>
      <w:sdt>
        <w:sdtPr>
          <w:alias w:val="一年以内其他应收款金额明细"/>
          <w:tag w:val="_TUP_9657fd9a14d248d6b5760bd521376fca"/>
          <w:id w:val="1167902987"/>
          <w:placeholder>
            <w:docPart w:val="{b1467952-0f0f-4b1e-a167-fdb4424c5074}"/>
          </w:placeholder>
        </w:sdtPr>
        <w:sdtEndPr>
          <w:rPr>
            <w:rFonts w:cs="Times New Roman"/>
          </w:rPr>
        </w:sdtEndPr>
        <w:sdtContent>
          <w:tr w14:paraId="087A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7ed955778e404c8ea48c566f9db6e1e8"/>
                <w:id w:val="1608841054"/>
              </w:sdtPr>
              <w:sdtContent>
                <w:tc>
                  <w:tcPr>
                    <w:tcW w:w="1696" w:type="pct"/>
                    <w:tcBorders>
                      <w:top w:val="single" w:color="auto" w:sz="4" w:space="0"/>
                      <w:left w:val="single" w:color="auto" w:sz="4" w:space="0"/>
                      <w:bottom w:val="single" w:color="auto" w:sz="4" w:space="0"/>
                      <w:right w:val="single" w:color="auto" w:sz="4" w:space="0"/>
                    </w:tcBorders>
                  </w:tcPr>
                  <w:p w14:paraId="02ED19DD">
                    <w:pPr>
                      <w:rPr>
                        <w:color w:val="000000" w:themeColor="text1"/>
                        <w14:textFill>
                          <w14:solidFill>
                            <w14:schemeClr w14:val="tx1"/>
                          </w14:solidFill>
                        </w14:textFill>
                      </w:rPr>
                    </w:pPr>
                    <w:r>
                      <w:rPr>
                        <w:rFonts w:hint="eastAsia"/>
                        <w:color w:val="000000" w:themeColor="text1"/>
                        <w14:textFill>
                          <w14:solidFill>
                            <w14:schemeClr w14:val="tx1"/>
                          </w14:solidFill>
                        </w14:textFill>
                      </w:rPr>
                      <w:t>1至2年</w:t>
                    </w:r>
                  </w:p>
                </w:tc>
              </w:sdtContent>
            </w:sdt>
            <w:tc>
              <w:tcPr>
                <w:tcW w:w="2993" w:type="dxa"/>
                <w:tcBorders>
                  <w:top w:val="single" w:color="auto" w:sz="4" w:space="0"/>
                  <w:left w:val="single" w:color="auto" w:sz="4" w:space="0"/>
                  <w:bottom w:val="single" w:color="auto" w:sz="4" w:space="0"/>
                  <w:right w:val="single" w:color="auto" w:sz="4" w:space="0"/>
                </w:tcBorders>
                <w:vAlign w:val="center"/>
              </w:tcPr>
              <w:p w14:paraId="1DF26380">
                <w:pPr>
                  <w:jc w:val="right"/>
                  <w:textAlignment w:val="center"/>
                  <w:rPr>
                    <w:rFonts w:cs="Times New Roman"/>
                  </w:rPr>
                </w:pPr>
                <w:r>
                  <w:rPr>
                    <w:rFonts w:eastAsia="Arial Narrow" w:cs="Times New Roman"/>
                    <w:color w:val="000000"/>
                    <w:lang w:bidi="ar"/>
                  </w:rPr>
                  <w:t>96,457,640.56</w:t>
                </w:r>
              </w:p>
            </w:tc>
            <w:tc>
              <w:tcPr>
                <w:tcW w:w="1651" w:type="pct"/>
                <w:tcBorders>
                  <w:top w:val="single" w:color="auto" w:sz="4" w:space="0"/>
                  <w:left w:val="single" w:color="auto" w:sz="4" w:space="0"/>
                  <w:bottom w:val="single" w:color="auto" w:sz="4" w:space="0"/>
                  <w:right w:val="single" w:color="auto" w:sz="4" w:space="0"/>
                </w:tcBorders>
                <w:vAlign w:val="center"/>
              </w:tcPr>
              <w:p w14:paraId="642A6C10">
                <w:pPr>
                  <w:jc w:val="right"/>
                  <w:rPr>
                    <w:rFonts w:cs="Times New Roman"/>
                  </w:rPr>
                </w:pPr>
                <w:r>
                  <w:rPr>
                    <w:rFonts w:cs="Times New Roman"/>
                  </w:rPr>
                  <w:t>139,539,147.22</w:t>
                </w:r>
              </w:p>
            </w:tc>
          </w:tr>
        </w:sdtContent>
      </w:sdt>
      <w:tr w14:paraId="7909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2c310667e2f84a449ed516027c5c988d"/>
            <w:id w:val="247863641"/>
          </w:sdtPr>
          <w:sdtContent>
            <w:tc>
              <w:tcPr>
                <w:tcW w:w="1696" w:type="pct"/>
                <w:tcBorders>
                  <w:top w:val="single" w:color="auto" w:sz="4" w:space="0"/>
                  <w:left w:val="single" w:color="auto" w:sz="4" w:space="0"/>
                  <w:bottom w:val="single" w:color="auto" w:sz="4" w:space="0"/>
                  <w:right w:val="single" w:color="auto" w:sz="4" w:space="0"/>
                </w:tcBorders>
              </w:tcPr>
              <w:p w14:paraId="77DAA38F">
                <w:pPr>
                  <w:rPr>
                    <w:color w:val="000000" w:themeColor="text1"/>
                    <w14:textFill>
                      <w14:solidFill>
                        <w14:schemeClr w14:val="tx1"/>
                      </w14:solidFill>
                    </w14:textFill>
                  </w:rPr>
                </w:pPr>
                <w:r>
                  <w:rPr>
                    <w:rFonts w:hint="eastAsia"/>
                    <w:color w:val="000000" w:themeColor="text1"/>
                    <w14:textFill>
                      <w14:solidFill>
                        <w14:schemeClr w14:val="tx1"/>
                      </w14:solidFill>
                    </w14:textFill>
                  </w:rPr>
                  <w:t>2至3年</w:t>
                </w:r>
              </w:p>
            </w:tc>
          </w:sdtContent>
        </w:sdt>
        <w:tc>
          <w:tcPr>
            <w:tcW w:w="2993" w:type="dxa"/>
            <w:tcBorders>
              <w:top w:val="single" w:color="auto" w:sz="4" w:space="0"/>
              <w:left w:val="single" w:color="auto" w:sz="4" w:space="0"/>
              <w:bottom w:val="single" w:color="auto" w:sz="4" w:space="0"/>
              <w:right w:val="single" w:color="auto" w:sz="4" w:space="0"/>
            </w:tcBorders>
            <w:vAlign w:val="center"/>
          </w:tcPr>
          <w:p w14:paraId="6F2CB8A2">
            <w:pPr>
              <w:jc w:val="right"/>
              <w:textAlignment w:val="center"/>
              <w:rPr>
                <w:rFonts w:cs="Times New Roman"/>
              </w:rPr>
            </w:pPr>
            <w:r>
              <w:rPr>
                <w:rFonts w:eastAsia="Arial Narrow" w:cs="Times New Roman"/>
                <w:color w:val="000000"/>
                <w:lang w:bidi="ar"/>
              </w:rPr>
              <w:t>156,241,048.88</w:t>
            </w:r>
          </w:p>
        </w:tc>
        <w:tc>
          <w:tcPr>
            <w:tcW w:w="1651" w:type="pct"/>
            <w:tcBorders>
              <w:top w:val="single" w:color="auto" w:sz="4" w:space="0"/>
              <w:left w:val="single" w:color="auto" w:sz="4" w:space="0"/>
              <w:bottom w:val="single" w:color="auto" w:sz="4" w:space="0"/>
              <w:right w:val="single" w:color="auto" w:sz="4" w:space="0"/>
            </w:tcBorders>
            <w:vAlign w:val="center"/>
          </w:tcPr>
          <w:p w14:paraId="519126C1">
            <w:pPr>
              <w:jc w:val="right"/>
              <w:rPr>
                <w:rFonts w:cs="Times New Roman"/>
              </w:rPr>
            </w:pPr>
            <w:r>
              <w:rPr>
                <w:rFonts w:cs="Times New Roman"/>
              </w:rPr>
              <w:t>161,707,101.44</w:t>
            </w:r>
          </w:p>
        </w:tc>
      </w:tr>
      <w:tr w14:paraId="11568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b5b152c7cc204819a78863560b31e87a"/>
            <w:id w:val="-998656102"/>
          </w:sdtPr>
          <w:sdtContent>
            <w:tc>
              <w:tcPr>
                <w:tcW w:w="1696" w:type="pct"/>
                <w:tcBorders>
                  <w:top w:val="single" w:color="auto" w:sz="4" w:space="0"/>
                  <w:left w:val="single" w:color="auto" w:sz="4" w:space="0"/>
                  <w:bottom w:val="single" w:color="auto" w:sz="4" w:space="0"/>
                  <w:right w:val="single" w:color="auto" w:sz="4" w:space="0"/>
                </w:tcBorders>
              </w:tcPr>
              <w:p w14:paraId="63517FF5">
                <w:pPr>
                  <w:rPr>
                    <w:color w:val="000000" w:themeColor="text1"/>
                    <w14:textFill>
                      <w14:solidFill>
                        <w14:schemeClr w14:val="tx1"/>
                      </w14:solidFill>
                    </w14:textFill>
                  </w:rPr>
                </w:pPr>
                <w:r>
                  <w:rPr>
                    <w:rFonts w:hint="eastAsia"/>
                    <w:color w:val="000000" w:themeColor="text1"/>
                    <w14:textFill>
                      <w14:solidFill>
                        <w14:schemeClr w14:val="tx1"/>
                      </w14:solidFill>
                    </w14:textFill>
                  </w:rPr>
                  <w:t>3至4年</w:t>
                </w:r>
              </w:p>
            </w:tc>
          </w:sdtContent>
        </w:sdt>
        <w:tc>
          <w:tcPr>
            <w:tcW w:w="2993" w:type="dxa"/>
            <w:tcBorders>
              <w:top w:val="single" w:color="auto" w:sz="4" w:space="0"/>
              <w:left w:val="single" w:color="auto" w:sz="4" w:space="0"/>
              <w:bottom w:val="single" w:color="auto" w:sz="4" w:space="0"/>
              <w:right w:val="single" w:color="auto" w:sz="4" w:space="0"/>
            </w:tcBorders>
            <w:vAlign w:val="center"/>
          </w:tcPr>
          <w:p w14:paraId="4CFEC3ED">
            <w:pPr>
              <w:jc w:val="right"/>
              <w:textAlignment w:val="center"/>
              <w:rPr>
                <w:rFonts w:cs="Times New Roman"/>
              </w:rPr>
            </w:pPr>
            <w:r>
              <w:rPr>
                <w:rFonts w:eastAsia="Arial Narrow" w:cs="Times New Roman"/>
                <w:color w:val="000000"/>
                <w:lang w:bidi="ar"/>
              </w:rPr>
              <w:t>63,160,945.27</w:t>
            </w:r>
          </w:p>
        </w:tc>
        <w:tc>
          <w:tcPr>
            <w:tcW w:w="1651" w:type="pct"/>
            <w:tcBorders>
              <w:top w:val="single" w:color="auto" w:sz="4" w:space="0"/>
              <w:left w:val="single" w:color="auto" w:sz="4" w:space="0"/>
              <w:bottom w:val="single" w:color="auto" w:sz="4" w:space="0"/>
              <w:right w:val="single" w:color="auto" w:sz="4" w:space="0"/>
            </w:tcBorders>
            <w:vAlign w:val="center"/>
          </w:tcPr>
          <w:p w14:paraId="5D896202">
            <w:pPr>
              <w:jc w:val="right"/>
              <w:rPr>
                <w:rFonts w:cs="Times New Roman"/>
              </w:rPr>
            </w:pPr>
            <w:r>
              <w:rPr>
                <w:rFonts w:cs="Times New Roman"/>
              </w:rPr>
              <w:t>106,915,200.36</w:t>
            </w:r>
          </w:p>
        </w:tc>
      </w:tr>
      <w:tr w14:paraId="1086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ba03b5ab3a8940fb9d5c4ee2ff3466e7"/>
            <w:id w:val="-449327205"/>
          </w:sdtPr>
          <w:sdtContent>
            <w:tc>
              <w:tcPr>
                <w:tcW w:w="1696" w:type="pct"/>
                <w:tcBorders>
                  <w:top w:val="single" w:color="auto" w:sz="4" w:space="0"/>
                  <w:left w:val="single" w:color="auto" w:sz="4" w:space="0"/>
                  <w:bottom w:val="single" w:color="auto" w:sz="4" w:space="0"/>
                  <w:right w:val="single" w:color="auto" w:sz="4" w:space="0"/>
                </w:tcBorders>
              </w:tcPr>
              <w:p w14:paraId="1DEECCAF">
                <w:pPr>
                  <w:rPr>
                    <w:color w:val="000000" w:themeColor="text1"/>
                    <w14:textFill>
                      <w14:solidFill>
                        <w14:schemeClr w14:val="tx1"/>
                      </w14:solidFill>
                    </w14:textFill>
                  </w:rPr>
                </w:pPr>
                <w:r>
                  <w:rPr>
                    <w:rFonts w:hint="eastAsia"/>
                    <w:color w:val="000000" w:themeColor="text1"/>
                    <w14:textFill>
                      <w14:solidFill>
                        <w14:schemeClr w14:val="tx1"/>
                      </w14:solidFill>
                    </w14:textFill>
                  </w:rPr>
                  <w:t>4至5年</w:t>
                </w:r>
              </w:p>
            </w:tc>
          </w:sdtContent>
        </w:sdt>
        <w:tc>
          <w:tcPr>
            <w:tcW w:w="2993" w:type="dxa"/>
            <w:tcBorders>
              <w:top w:val="single" w:color="auto" w:sz="4" w:space="0"/>
              <w:left w:val="single" w:color="auto" w:sz="4" w:space="0"/>
              <w:bottom w:val="single" w:color="auto" w:sz="4" w:space="0"/>
              <w:right w:val="single" w:color="auto" w:sz="4" w:space="0"/>
            </w:tcBorders>
            <w:vAlign w:val="center"/>
          </w:tcPr>
          <w:p w14:paraId="5D060A5C">
            <w:pPr>
              <w:jc w:val="right"/>
              <w:textAlignment w:val="center"/>
              <w:rPr>
                <w:rFonts w:cs="Times New Roman"/>
              </w:rPr>
            </w:pPr>
            <w:r>
              <w:rPr>
                <w:rFonts w:eastAsia="Arial Narrow" w:cs="Times New Roman"/>
                <w:color w:val="000000"/>
                <w:lang w:bidi="ar"/>
              </w:rPr>
              <w:t>153,583,694.37</w:t>
            </w:r>
          </w:p>
        </w:tc>
        <w:tc>
          <w:tcPr>
            <w:tcW w:w="1651" w:type="pct"/>
            <w:tcBorders>
              <w:top w:val="single" w:color="auto" w:sz="4" w:space="0"/>
              <w:left w:val="single" w:color="auto" w:sz="4" w:space="0"/>
              <w:bottom w:val="single" w:color="auto" w:sz="4" w:space="0"/>
              <w:right w:val="single" w:color="auto" w:sz="4" w:space="0"/>
            </w:tcBorders>
            <w:vAlign w:val="center"/>
          </w:tcPr>
          <w:p w14:paraId="44F911E7">
            <w:pPr>
              <w:jc w:val="right"/>
              <w:rPr>
                <w:rFonts w:cs="Times New Roman"/>
              </w:rPr>
            </w:pPr>
            <w:r>
              <w:rPr>
                <w:rFonts w:cs="Times New Roman"/>
              </w:rPr>
              <w:t>667,922,594.12</w:t>
            </w:r>
          </w:p>
        </w:tc>
      </w:tr>
      <w:tr w14:paraId="1FFC1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502a774e6de84cb1877f4de9276c6c03"/>
            <w:id w:val="-915558254"/>
          </w:sdtPr>
          <w:sdtContent>
            <w:tc>
              <w:tcPr>
                <w:tcW w:w="1696" w:type="pct"/>
                <w:tcBorders>
                  <w:top w:val="single" w:color="auto" w:sz="4" w:space="0"/>
                  <w:left w:val="single" w:color="auto" w:sz="4" w:space="0"/>
                  <w:bottom w:val="single" w:color="auto" w:sz="4" w:space="0"/>
                  <w:right w:val="single" w:color="auto" w:sz="4" w:space="0"/>
                </w:tcBorders>
              </w:tcPr>
              <w:p w14:paraId="5453BBD9">
                <w:pPr>
                  <w:rPr>
                    <w:color w:val="000000" w:themeColor="text1"/>
                    <w14:textFill>
                      <w14:solidFill>
                        <w14:schemeClr w14:val="tx1"/>
                      </w14:solidFill>
                    </w14:textFill>
                  </w:rPr>
                </w:pPr>
                <w:r>
                  <w:rPr>
                    <w:rFonts w:hint="eastAsia"/>
                    <w:color w:val="000000" w:themeColor="text1"/>
                    <w14:textFill>
                      <w14:solidFill>
                        <w14:schemeClr w14:val="tx1"/>
                      </w14:solidFill>
                    </w14:textFill>
                  </w:rPr>
                  <w:t>5年以上</w:t>
                </w:r>
              </w:p>
            </w:tc>
          </w:sdtContent>
        </w:sdt>
        <w:tc>
          <w:tcPr>
            <w:tcW w:w="2993" w:type="dxa"/>
            <w:tcBorders>
              <w:top w:val="single" w:color="auto" w:sz="4" w:space="0"/>
              <w:left w:val="single" w:color="auto" w:sz="4" w:space="0"/>
              <w:bottom w:val="single" w:color="auto" w:sz="4" w:space="0"/>
              <w:right w:val="single" w:color="auto" w:sz="4" w:space="0"/>
            </w:tcBorders>
            <w:vAlign w:val="center"/>
          </w:tcPr>
          <w:p w14:paraId="5CCBE5B7">
            <w:pPr>
              <w:jc w:val="right"/>
              <w:textAlignment w:val="center"/>
              <w:rPr>
                <w:rFonts w:cs="Times New Roman"/>
              </w:rPr>
            </w:pPr>
            <w:r>
              <w:rPr>
                <w:rFonts w:eastAsia="Arial Narrow" w:cs="Times New Roman"/>
                <w:color w:val="000000"/>
                <w:lang w:bidi="ar"/>
              </w:rPr>
              <w:t>1,299,701,654.98</w:t>
            </w:r>
          </w:p>
        </w:tc>
        <w:tc>
          <w:tcPr>
            <w:tcW w:w="1651" w:type="pct"/>
            <w:tcBorders>
              <w:top w:val="single" w:color="auto" w:sz="4" w:space="0"/>
              <w:left w:val="single" w:color="auto" w:sz="4" w:space="0"/>
              <w:bottom w:val="single" w:color="auto" w:sz="4" w:space="0"/>
              <w:right w:val="single" w:color="auto" w:sz="4" w:space="0"/>
            </w:tcBorders>
            <w:vAlign w:val="center"/>
          </w:tcPr>
          <w:p w14:paraId="74FB8054">
            <w:pPr>
              <w:jc w:val="right"/>
              <w:rPr>
                <w:rFonts w:cs="Times New Roman"/>
              </w:rPr>
            </w:pPr>
            <w:r>
              <w:rPr>
                <w:rFonts w:cs="Times New Roman"/>
              </w:rPr>
              <w:t>789,580,447.10</w:t>
            </w:r>
          </w:p>
        </w:tc>
      </w:tr>
      <w:sdt>
        <w:sdtPr>
          <w:alias w:val="按账龄分析法计提坏账准备的其他应收款明细"/>
          <w:tag w:val="_TUP_2f86aef020064c61b40edf0a7b7b1d62"/>
          <w:id w:val="1281693021"/>
          <w:placeholder>
            <w:docPart w:val="{b1467952-0f0f-4b1e-a167-fdb4424c5074}"/>
          </w:placeholder>
        </w:sdtPr>
        <w:sdtEndPr>
          <w:rPr>
            <w:rFonts w:cs="Times New Roman"/>
          </w:rPr>
        </w:sdtEndPr>
        <w:sdtContent>
          <w:sdt>
            <w:sdtPr>
              <w:alias w:val="按账龄分析法计提坏账准备的其他应收款明细"/>
              <w:tag w:val="_TUP_2f86aef020064c61b40edf0a7b7b1d62"/>
              <w:id w:val="-352342130"/>
              <w:placeholder>
                <w:docPart w:val="{b1467952-0f0f-4b1e-a167-fdb4424c5074}"/>
              </w:placeholder>
            </w:sdtPr>
            <w:sdtEndPr>
              <w:rPr>
                <w:rFonts w:cs="Times New Roman"/>
              </w:rPr>
            </w:sdtEndPr>
            <w:sdtContent>
              <w:tr w14:paraId="39E66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d6ef2110aa3849b7b2f44fd2be8b2a9a"/>
                    <w:id w:val="702449351"/>
                  </w:sdtPr>
                  <w:sdtContent>
                    <w:tc>
                      <w:tcPr>
                        <w:tcW w:w="1696" w:type="pct"/>
                        <w:tcBorders>
                          <w:top w:val="single" w:color="auto" w:sz="4" w:space="0"/>
                          <w:left w:val="single" w:color="auto" w:sz="4" w:space="0"/>
                          <w:bottom w:val="single" w:color="auto" w:sz="4" w:space="0"/>
                          <w:right w:val="single" w:color="auto" w:sz="4" w:space="0"/>
                        </w:tcBorders>
                        <w:vAlign w:val="center"/>
                      </w:tcPr>
                      <w:p w14:paraId="2A9F0ED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sdtContent>
                </w:sdt>
                <w:tc>
                  <w:tcPr>
                    <w:tcW w:w="2993" w:type="dxa"/>
                    <w:tcBorders>
                      <w:top w:val="single" w:color="auto" w:sz="4" w:space="0"/>
                      <w:left w:val="single" w:color="auto" w:sz="4" w:space="0"/>
                      <w:bottom w:val="single" w:color="auto" w:sz="4" w:space="0"/>
                      <w:right w:val="single" w:color="auto" w:sz="4" w:space="0"/>
                    </w:tcBorders>
                    <w:vAlign w:val="center"/>
                  </w:tcPr>
                  <w:p w14:paraId="59BB6C22">
                    <w:pPr>
                      <w:jc w:val="right"/>
                      <w:textAlignment w:val="center"/>
                      <w:rPr>
                        <w:rFonts w:cs="Times New Roman"/>
                      </w:rPr>
                    </w:pPr>
                    <w:r>
                      <w:rPr>
                        <w:rFonts w:eastAsia="Arial Narrow" w:cs="Times New Roman"/>
                        <w:color w:val="000000"/>
                        <w:lang w:bidi="ar"/>
                      </w:rPr>
                      <w:t>2,060,782,180.02</w:t>
                    </w:r>
                  </w:p>
                </w:tc>
                <w:tc>
                  <w:tcPr>
                    <w:tcW w:w="1651" w:type="pct"/>
                    <w:tcBorders>
                      <w:top w:val="single" w:color="auto" w:sz="4" w:space="0"/>
                      <w:left w:val="single" w:color="auto" w:sz="4" w:space="0"/>
                      <w:bottom w:val="single" w:color="auto" w:sz="4" w:space="0"/>
                      <w:right w:val="single" w:color="auto" w:sz="4" w:space="0"/>
                    </w:tcBorders>
                    <w:vAlign w:val="center"/>
                  </w:tcPr>
                  <w:p w14:paraId="15478D71">
                    <w:pPr>
                      <w:jc w:val="right"/>
                      <w:rPr>
                        <w:rFonts w:cs="Times New Roman"/>
                      </w:rPr>
                    </w:pPr>
                    <w:r>
                      <w:rPr>
                        <w:rFonts w:cs="Times New Roman"/>
                      </w:rPr>
                      <w:t>2,076,673,688.91</w:t>
                    </w:r>
                  </w:p>
                </w:tc>
              </w:tr>
            </w:sdtContent>
          </w:sdt>
        </w:sdtContent>
      </w:sdt>
    </w:tbl>
    <w:p w14:paraId="6824151B"/>
    <w:bookmarkEnd w:id="251"/>
    <w:p w14:paraId="72DBE7D3">
      <w:pPr>
        <w:pStyle w:val="6"/>
        <w:numPr>
          <w:ilvl w:val="0"/>
          <w:numId w:val="62"/>
        </w:numPr>
      </w:pPr>
      <w:r>
        <w:rPr>
          <w:rFonts w:hint="eastAsia"/>
        </w:rPr>
        <w:t>按款项性质分类情况</w:t>
      </w:r>
    </w:p>
    <w:sdt>
      <w:sdtPr>
        <w:rPr>
          <w:color w:val="000000" w:themeColor="text1"/>
          <w14:textFill>
            <w14:solidFill>
              <w14:schemeClr w14:val="tx1"/>
            </w14:solidFill>
          </w14:textFill>
        </w:rPr>
        <w:alias w:val="是否适用：其他应收款按款项性质分类情况[双击切换]"/>
        <w:tag w:val="_GBC_43f55a27297f4f93b1b4f668134ac6be"/>
        <w:id w:val="147459444"/>
        <w:placeholder>
          <w:docPart w:val="GBC22222222222222222222222222222"/>
        </w:placeholder>
      </w:sdtPr>
      <w:sdtEndPr>
        <w:rPr>
          <w:color w:val="000000" w:themeColor="text1"/>
          <w14:textFill>
            <w14:solidFill>
              <w14:schemeClr w14:val="tx1"/>
            </w14:solidFill>
          </w14:textFill>
        </w:rPr>
      </w:sdtEndPr>
      <w:sdtContent>
        <w:p w14:paraId="6CB8801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B896919">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其他应收款按款项性质分类情况"/>
          <w:tag w:val="_GBC_9a3af1171f5640cd83ea2c41e0145167"/>
          <w:id w:val="1474691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其他应收款按款项性质分类情况"/>
          <w:tag w:val="_GBC_0d096e7260294092a6e9a8405d01bc70"/>
          <w:id w:val="1474607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7"/>
        <w:gridCol w:w="2980"/>
        <w:gridCol w:w="2992"/>
      </w:tblGrid>
      <w:tr w14:paraId="56F1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e66a0098cd34ad6a335156852121360"/>
            <w:id w:val="147482953"/>
          </w:sdtPr>
          <w:sdtContent>
            <w:tc>
              <w:tcPr>
                <w:tcW w:w="1700" w:type="pct"/>
                <w:vAlign w:val="center"/>
              </w:tcPr>
              <w:p w14:paraId="5F6325B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款项性质</w:t>
                </w:r>
              </w:p>
            </w:tc>
          </w:sdtContent>
        </w:sdt>
        <w:sdt>
          <w:sdtPr>
            <w:tag w:val="_PLD_51fee06f6d3944a9bbc7bac249ed63b6"/>
            <w:id w:val="147463715"/>
          </w:sdtPr>
          <w:sdtContent>
            <w:tc>
              <w:tcPr>
                <w:tcW w:w="1647" w:type="pct"/>
                <w:vAlign w:val="center"/>
              </w:tcPr>
              <w:p w14:paraId="4F3A149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期末账面余额</w:t>
                </w:r>
              </w:p>
            </w:tc>
          </w:sdtContent>
        </w:sdt>
        <w:sdt>
          <w:sdtPr>
            <w:tag w:val="_PLD_0297dadecff24ff8926a98d0267a917b"/>
            <w:id w:val="147474683"/>
          </w:sdtPr>
          <w:sdtContent>
            <w:tc>
              <w:tcPr>
                <w:tcW w:w="1653" w:type="pct"/>
                <w:vAlign w:val="center"/>
              </w:tcPr>
              <w:p w14:paraId="4EAB926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期初账面余额</w:t>
                </w:r>
              </w:p>
            </w:tc>
          </w:sdtContent>
        </w:sdt>
      </w:tr>
      <w:tr w14:paraId="1AD15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01577684">
            <w:pPr>
              <w:textAlignment w:val="top"/>
            </w:pPr>
            <w:r>
              <w:rPr>
                <w:rFonts w:hint="eastAsia" w:ascii="宋体" w:hAnsi="宋体"/>
                <w:color w:val="000000"/>
                <w:lang w:bidi="ar"/>
              </w:rPr>
              <w:t>往来款</w:t>
            </w:r>
          </w:p>
        </w:tc>
        <w:tc>
          <w:tcPr>
            <w:tcW w:w="2980" w:type="dxa"/>
            <w:vAlign w:val="center"/>
          </w:tcPr>
          <w:p w14:paraId="5E5EB708">
            <w:pPr>
              <w:jc w:val="right"/>
              <w:textAlignment w:val="center"/>
              <w:rPr>
                <w:rFonts w:cs="Times New Roman"/>
              </w:rPr>
            </w:pPr>
            <w:r>
              <w:rPr>
                <w:rFonts w:eastAsia="Arial Narrow" w:cs="Times New Roman"/>
                <w:color w:val="000000"/>
                <w:lang w:bidi="ar"/>
              </w:rPr>
              <w:t>1,310,050,151.09</w:t>
            </w:r>
          </w:p>
        </w:tc>
        <w:tc>
          <w:tcPr>
            <w:tcW w:w="1653" w:type="pct"/>
            <w:vAlign w:val="center"/>
          </w:tcPr>
          <w:p w14:paraId="57EAD6C6">
            <w:pPr>
              <w:jc w:val="right"/>
              <w:textAlignment w:val="center"/>
              <w:rPr>
                <w:rFonts w:cs="Times New Roman"/>
              </w:rPr>
            </w:pPr>
            <w:r>
              <w:rPr>
                <w:rFonts w:cs="Times New Roman"/>
                <w:color w:val="000000"/>
              </w:rPr>
              <w:t>1,323,669,160.28</w:t>
            </w:r>
          </w:p>
        </w:tc>
      </w:tr>
      <w:tr w14:paraId="6742B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607E38D8">
            <w:pPr>
              <w:textAlignment w:val="top"/>
            </w:pPr>
            <w:r>
              <w:rPr>
                <w:rFonts w:hint="eastAsia" w:ascii="宋体" w:hAnsi="宋体"/>
                <w:color w:val="000000"/>
                <w:lang w:bidi="ar"/>
              </w:rPr>
              <w:t>涉诉往来款</w:t>
            </w:r>
          </w:p>
        </w:tc>
        <w:tc>
          <w:tcPr>
            <w:tcW w:w="2980" w:type="dxa"/>
            <w:vAlign w:val="center"/>
          </w:tcPr>
          <w:p w14:paraId="597DE0F1">
            <w:pPr>
              <w:jc w:val="right"/>
              <w:textAlignment w:val="center"/>
              <w:rPr>
                <w:rFonts w:cs="Times New Roman"/>
              </w:rPr>
            </w:pPr>
            <w:r>
              <w:rPr>
                <w:rFonts w:eastAsia="Arial Narrow" w:cs="Times New Roman"/>
                <w:color w:val="000000"/>
                <w:lang w:bidi="ar"/>
              </w:rPr>
              <w:t>480,528,300.00</w:t>
            </w:r>
          </w:p>
        </w:tc>
        <w:tc>
          <w:tcPr>
            <w:tcW w:w="1653" w:type="pct"/>
            <w:vAlign w:val="center"/>
          </w:tcPr>
          <w:p w14:paraId="1EC33765">
            <w:pPr>
              <w:jc w:val="right"/>
              <w:textAlignment w:val="center"/>
              <w:rPr>
                <w:rFonts w:cs="Times New Roman"/>
              </w:rPr>
            </w:pPr>
            <w:r>
              <w:rPr>
                <w:rFonts w:cs="Times New Roman"/>
                <w:color w:val="000000"/>
              </w:rPr>
              <w:t>480,528,300.00</w:t>
            </w:r>
          </w:p>
        </w:tc>
      </w:tr>
      <w:tr w14:paraId="01C8C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506A104C">
            <w:pPr>
              <w:textAlignment w:val="top"/>
            </w:pPr>
            <w:r>
              <w:rPr>
                <w:rFonts w:hint="eastAsia" w:ascii="宋体" w:hAnsi="宋体"/>
                <w:color w:val="000000"/>
                <w:lang w:bidi="ar"/>
              </w:rPr>
              <w:t>押金及保证金</w:t>
            </w:r>
          </w:p>
        </w:tc>
        <w:tc>
          <w:tcPr>
            <w:tcW w:w="2980" w:type="dxa"/>
            <w:vAlign w:val="center"/>
          </w:tcPr>
          <w:p w14:paraId="27496EF6">
            <w:pPr>
              <w:jc w:val="right"/>
              <w:textAlignment w:val="center"/>
              <w:rPr>
                <w:rFonts w:cs="Times New Roman"/>
              </w:rPr>
            </w:pPr>
            <w:r>
              <w:rPr>
                <w:rFonts w:eastAsia="Arial Narrow" w:cs="Times New Roman"/>
                <w:color w:val="000000"/>
                <w:lang w:bidi="ar"/>
              </w:rPr>
              <w:t>193,487,481.22</w:t>
            </w:r>
          </w:p>
        </w:tc>
        <w:tc>
          <w:tcPr>
            <w:tcW w:w="1653" w:type="pct"/>
            <w:vAlign w:val="center"/>
          </w:tcPr>
          <w:p w14:paraId="0117AB50">
            <w:pPr>
              <w:jc w:val="right"/>
              <w:textAlignment w:val="center"/>
              <w:rPr>
                <w:rFonts w:cs="Times New Roman"/>
              </w:rPr>
            </w:pPr>
            <w:r>
              <w:rPr>
                <w:rFonts w:cs="Times New Roman"/>
                <w:color w:val="000000"/>
              </w:rPr>
              <w:t>200,490,769.26</w:t>
            </w:r>
          </w:p>
        </w:tc>
      </w:tr>
      <w:tr w14:paraId="23ED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232F026C">
            <w:pPr>
              <w:textAlignment w:val="top"/>
            </w:pPr>
            <w:r>
              <w:rPr>
                <w:rFonts w:hint="eastAsia" w:ascii="宋体" w:hAnsi="宋体"/>
                <w:color w:val="000000"/>
                <w:lang w:bidi="ar"/>
              </w:rPr>
              <w:t>应收出口退税款</w:t>
            </w:r>
          </w:p>
        </w:tc>
        <w:tc>
          <w:tcPr>
            <w:tcW w:w="2980" w:type="dxa"/>
            <w:vAlign w:val="center"/>
          </w:tcPr>
          <w:p w14:paraId="7B49F511">
            <w:pPr>
              <w:jc w:val="right"/>
              <w:textAlignment w:val="center"/>
              <w:rPr>
                <w:rFonts w:cs="Times New Roman"/>
              </w:rPr>
            </w:pPr>
            <w:r>
              <w:rPr>
                <w:rFonts w:eastAsia="Arial Narrow" w:cs="Times New Roman"/>
                <w:color w:val="000000"/>
                <w:lang w:bidi="ar"/>
              </w:rPr>
              <w:t>12,423,404.77</w:t>
            </w:r>
          </w:p>
        </w:tc>
        <w:tc>
          <w:tcPr>
            <w:tcW w:w="1653" w:type="pct"/>
            <w:vAlign w:val="center"/>
          </w:tcPr>
          <w:p w14:paraId="11101738">
            <w:pPr>
              <w:jc w:val="right"/>
              <w:textAlignment w:val="center"/>
              <w:rPr>
                <w:rFonts w:cs="Times New Roman"/>
              </w:rPr>
            </w:pPr>
            <w:r>
              <w:rPr>
                <w:rFonts w:cs="Times New Roman"/>
                <w:color w:val="000000"/>
              </w:rPr>
              <w:t>14,365,284.72</w:t>
            </w:r>
          </w:p>
        </w:tc>
      </w:tr>
      <w:tr w14:paraId="3A2A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50A67360">
            <w:pPr>
              <w:textAlignment w:val="top"/>
            </w:pPr>
            <w:r>
              <w:rPr>
                <w:rFonts w:hint="eastAsia" w:ascii="宋体" w:hAnsi="宋体"/>
                <w:color w:val="000000"/>
                <w:lang w:bidi="ar"/>
              </w:rPr>
              <w:t>代垫款</w:t>
            </w:r>
          </w:p>
        </w:tc>
        <w:tc>
          <w:tcPr>
            <w:tcW w:w="2980" w:type="dxa"/>
            <w:vAlign w:val="center"/>
          </w:tcPr>
          <w:p w14:paraId="6E3DF012">
            <w:pPr>
              <w:jc w:val="right"/>
              <w:textAlignment w:val="center"/>
              <w:rPr>
                <w:rFonts w:cs="Times New Roman"/>
              </w:rPr>
            </w:pPr>
            <w:r>
              <w:rPr>
                <w:rFonts w:eastAsia="Arial Narrow" w:cs="Times New Roman"/>
                <w:color w:val="000000"/>
                <w:lang w:bidi="ar"/>
              </w:rPr>
              <w:t>17,009,714.29</w:t>
            </w:r>
          </w:p>
        </w:tc>
        <w:tc>
          <w:tcPr>
            <w:tcW w:w="1653" w:type="pct"/>
            <w:vAlign w:val="center"/>
          </w:tcPr>
          <w:p w14:paraId="7C4A4A25">
            <w:pPr>
              <w:jc w:val="right"/>
              <w:textAlignment w:val="center"/>
              <w:rPr>
                <w:rFonts w:cs="Times New Roman"/>
              </w:rPr>
            </w:pPr>
            <w:r>
              <w:rPr>
                <w:rFonts w:cs="Times New Roman"/>
                <w:color w:val="000000"/>
              </w:rPr>
              <w:t>16,845,246.31</w:t>
            </w:r>
          </w:p>
        </w:tc>
      </w:tr>
      <w:tr w14:paraId="40959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0E4CE832">
            <w:pPr>
              <w:textAlignment w:val="top"/>
            </w:pPr>
            <w:r>
              <w:rPr>
                <w:rFonts w:hint="eastAsia" w:ascii="宋体" w:hAnsi="宋体"/>
                <w:color w:val="000000"/>
                <w:lang w:bidi="ar"/>
              </w:rPr>
              <w:t>备用金</w:t>
            </w:r>
          </w:p>
        </w:tc>
        <w:tc>
          <w:tcPr>
            <w:tcW w:w="2980" w:type="dxa"/>
            <w:vAlign w:val="center"/>
          </w:tcPr>
          <w:p w14:paraId="0825E09C">
            <w:pPr>
              <w:jc w:val="right"/>
              <w:textAlignment w:val="center"/>
              <w:rPr>
                <w:rFonts w:cs="Times New Roman"/>
              </w:rPr>
            </w:pPr>
            <w:r>
              <w:rPr>
                <w:rFonts w:eastAsia="Arial Narrow" w:cs="Times New Roman"/>
                <w:color w:val="000000"/>
                <w:lang w:bidi="ar"/>
              </w:rPr>
              <w:t>14,052,127.79</w:t>
            </w:r>
          </w:p>
        </w:tc>
        <w:tc>
          <w:tcPr>
            <w:tcW w:w="1653" w:type="pct"/>
            <w:vAlign w:val="center"/>
          </w:tcPr>
          <w:p w14:paraId="07F79687">
            <w:pPr>
              <w:jc w:val="right"/>
              <w:textAlignment w:val="center"/>
              <w:rPr>
                <w:rFonts w:cs="Times New Roman"/>
              </w:rPr>
            </w:pPr>
            <w:r>
              <w:rPr>
                <w:rFonts w:cs="Times New Roman"/>
                <w:color w:val="000000"/>
              </w:rPr>
              <w:t>9,566,810.55</w:t>
            </w:r>
          </w:p>
        </w:tc>
      </w:tr>
      <w:tr w14:paraId="340A4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4E85504A">
            <w:pPr>
              <w:textAlignment w:val="top"/>
            </w:pPr>
            <w:r>
              <w:rPr>
                <w:rFonts w:hint="eastAsia" w:ascii="宋体" w:hAnsi="宋体"/>
                <w:color w:val="000000"/>
                <w:lang w:bidi="ar"/>
              </w:rPr>
              <w:t>其他</w:t>
            </w:r>
          </w:p>
        </w:tc>
        <w:tc>
          <w:tcPr>
            <w:tcW w:w="2980" w:type="dxa"/>
            <w:vAlign w:val="center"/>
          </w:tcPr>
          <w:p w14:paraId="3B52CF88">
            <w:pPr>
              <w:jc w:val="right"/>
              <w:textAlignment w:val="center"/>
              <w:rPr>
                <w:rFonts w:cs="Times New Roman"/>
              </w:rPr>
            </w:pPr>
            <w:r>
              <w:rPr>
                <w:rFonts w:eastAsia="Arial Narrow" w:cs="Times New Roman"/>
                <w:color w:val="000000"/>
                <w:lang w:bidi="ar"/>
              </w:rPr>
              <w:t>33,231,000.86</w:t>
            </w:r>
          </w:p>
        </w:tc>
        <w:tc>
          <w:tcPr>
            <w:tcW w:w="1653" w:type="pct"/>
            <w:vAlign w:val="center"/>
          </w:tcPr>
          <w:p w14:paraId="062DCEE4">
            <w:pPr>
              <w:jc w:val="right"/>
              <w:textAlignment w:val="center"/>
              <w:rPr>
                <w:rFonts w:cs="Times New Roman"/>
              </w:rPr>
            </w:pPr>
            <w:r>
              <w:rPr>
                <w:rFonts w:cs="Times New Roman"/>
                <w:color w:val="000000"/>
              </w:rPr>
              <w:t>31,208,117.79</w:t>
            </w:r>
          </w:p>
        </w:tc>
      </w:tr>
      <w:tr w14:paraId="68C5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673D5358">
            <w:pPr>
              <w:jc w:val="center"/>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2980" w:type="dxa"/>
            <w:vAlign w:val="center"/>
          </w:tcPr>
          <w:p w14:paraId="3C04DAF0">
            <w:pPr>
              <w:jc w:val="right"/>
              <w:textAlignment w:val="center"/>
              <w:rPr>
                <w:rFonts w:cs="Times New Roman"/>
              </w:rPr>
            </w:pPr>
            <w:r>
              <w:rPr>
                <w:rFonts w:eastAsia="Arial Narrow" w:cs="Times New Roman"/>
                <w:color w:val="000000"/>
                <w:lang w:bidi="ar"/>
              </w:rPr>
              <w:t>2,060,782,180.02</w:t>
            </w:r>
          </w:p>
        </w:tc>
        <w:tc>
          <w:tcPr>
            <w:tcW w:w="1653" w:type="pct"/>
            <w:vAlign w:val="center"/>
          </w:tcPr>
          <w:p w14:paraId="72E42D5B">
            <w:pPr>
              <w:jc w:val="right"/>
              <w:textAlignment w:val="center"/>
              <w:rPr>
                <w:rFonts w:cs="Times New Roman"/>
              </w:rPr>
            </w:pPr>
            <w:r>
              <w:rPr>
                <w:rFonts w:cs="Times New Roman"/>
                <w:color w:val="000000"/>
              </w:rPr>
              <w:t>2,076,673,688.91</w:t>
            </w:r>
          </w:p>
        </w:tc>
      </w:tr>
    </w:tbl>
    <w:p w14:paraId="2200BA9B">
      <w:pPr>
        <w:rPr>
          <w:color w:val="000000" w:themeColor="text1"/>
          <w14:textFill>
            <w14:solidFill>
              <w14:schemeClr w14:val="tx1"/>
            </w14:solidFill>
          </w14:textFill>
        </w:rPr>
      </w:pPr>
    </w:p>
    <w:p w14:paraId="023890E5">
      <w:pPr>
        <w:pStyle w:val="6"/>
        <w:numPr>
          <w:ilvl w:val="0"/>
          <w:numId w:val="62"/>
        </w:numPr>
      </w:pPr>
      <w:bookmarkStart w:id="252" w:name="_Hlk10469799"/>
      <w:r>
        <w:rPr>
          <w:rFonts w:hint="eastAsia"/>
        </w:rPr>
        <w:t>坏账准备计提情况</w:t>
      </w:r>
    </w:p>
    <w:sdt>
      <w:sdtPr>
        <w:rPr>
          <w:color w:val="000000" w:themeColor="text1"/>
          <w14:textFill>
            <w14:solidFill>
              <w14:schemeClr w14:val="tx1"/>
            </w14:solidFill>
          </w14:textFill>
        </w:rPr>
        <w:alias w:val="是否适用：其他应收款坏账准备调节表[双击切换]"/>
        <w:tag w:val="_GBC_29d0c5a1588a4f6589b1f8148c9ef180"/>
        <w:id w:val="-364911642"/>
      </w:sdtPr>
      <w:sdtEndPr>
        <w:rPr>
          <w:color w:val="000000" w:themeColor="text1"/>
          <w14:textFill>
            <w14:solidFill>
              <w14:schemeClr w14:val="tx1"/>
            </w14:solidFill>
          </w14:textFill>
        </w:rPr>
      </w:sdtEndPr>
      <w:sdtContent>
        <w:p w14:paraId="0DB79F6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04DDD183">
      <w:pPr>
        <w:autoSpaceDE w:val="0"/>
        <w:autoSpaceDN w:val="0"/>
        <w:adjustRightInd w:val="0"/>
        <w:ind w:right="105" w:rightChars="5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其他应收款坏账准备调节表"/>
          <w:tag w:val="_GBC_c65b82e3cfaf4fde8d75eac8c9a6e9f9"/>
          <w:id w:val="1493839008"/>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其他应收款坏账准备调节表"/>
          <w:tag w:val="_GBC_08cd78a434cc441cbfff10030c5a8719"/>
          <w:id w:val="145267226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7"/>
        <w:gridCol w:w="1758"/>
        <w:gridCol w:w="1624"/>
        <w:gridCol w:w="1929"/>
        <w:gridCol w:w="1721"/>
      </w:tblGrid>
      <w:tr w14:paraId="08582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df16deeb9614db49d9aa88a31229d9a"/>
            <w:id w:val="-1103413069"/>
          </w:sdtPr>
          <w:sdtContent>
            <w:tc>
              <w:tcPr>
                <w:tcW w:w="1114" w:type="pct"/>
                <w:vMerge w:val="restart"/>
                <w:vAlign w:val="center"/>
              </w:tcPr>
              <w:p w14:paraId="16299B56">
                <w:pPr>
                  <w:pStyle w:val="255"/>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坏账准备</w:t>
                </w:r>
              </w:p>
            </w:tc>
          </w:sdtContent>
        </w:sdt>
        <w:sdt>
          <w:sdtPr>
            <w:tag w:val="_PLD_f47baed0f5d14c0486b4530b2aa1cb4c"/>
            <w:id w:val="1585637877"/>
          </w:sdtPr>
          <w:sdtContent>
            <w:tc>
              <w:tcPr>
                <w:tcW w:w="971" w:type="pct"/>
                <w:vAlign w:val="center"/>
              </w:tcPr>
              <w:p w14:paraId="1C0C676B">
                <w:pPr>
                  <w:pStyle w:val="255"/>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第一阶段</w:t>
                </w:r>
              </w:p>
            </w:tc>
          </w:sdtContent>
        </w:sdt>
        <w:sdt>
          <w:sdtPr>
            <w:tag w:val="_PLD_a29dd4725bec4eb78b246b92252a24df"/>
            <w:id w:val="-868677993"/>
          </w:sdtPr>
          <w:sdtContent>
            <w:tc>
              <w:tcPr>
                <w:tcW w:w="897" w:type="pct"/>
                <w:vAlign w:val="center"/>
              </w:tcPr>
              <w:p w14:paraId="2870AC93">
                <w:pPr>
                  <w:pStyle w:val="255"/>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第二阶段</w:t>
                </w:r>
              </w:p>
            </w:tc>
          </w:sdtContent>
        </w:sdt>
        <w:sdt>
          <w:sdtPr>
            <w:tag w:val="_PLD_c495a5d3c56f4cb9a0bd5cc9cc9b5410"/>
            <w:id w:val="719167721"/>
          </w:sdtPr>
          <w:sdtContent>
            <w:tc>
              <w:tcPr>
                <w:tcW w:w="1065" w:type="pct"/>
                <w:vAlign w:val="center"/>
              </w:tcPr>
              <w:p w14:paraId="2AF41D85">
                <w:pPr>
                  <w:pStyle w:val="255"/>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第三阶段</w:t>
                </w:r>
              </w:p>
            </w:tc>
          </w:sdtContent>
        </w:sdt>
        <w:sdt>
          <w:sdtPr>
            <w:tag w:val="_PLD_0dc8bab0b7424c1295b83fcc97ca7554"/>
            <w:id w:val="1693638425"/>
          </w:sdtPr>
          <w:sdtContent>
            <w:tc>
              <w:tcPr>
                <w:tcW w:w="950" w:type="pct"/>
                <w:vMerge w:val="restart"/>
                <w:vAlign w:val="center"/>
              </w:tcPr>
              <w:p w14:paraId="5FD87F0D">
                <w:pPr>
                  <w:pStyle w:val="255"/>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合计</w:t>
                </w:r>
              </w:p>
            </w:tc>
          </w:sdtContent>
        </w:sdt>
      </w:tr>
      <w:tr w14:paraId="7502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pct"/>
            <w:vMerge w:val="continue"/>
            <w:vAlign w:val="center"/>
          </w:tcPr>
          <w:p w14:paraId="3203BFD4">
            <w:pPr>
              <w:jc w:val="center"/>
              <w:rPr>
                <w:color w:val="000000" w:themeColor="text1"/>
                <w14:textFill>
                  <w14:solidFill>
                    <w14:schemeClr w14:val="tx1"/>
                  </w14:solidFill>
                </w14:textFill>
              </w:rPr>
            </w:pPr>
          </w:p>
        </w:tc>
        <w:sdt>
          <w:sdtPr>
            <w:tag w:val="_PLD_08f8b6a1fd974f0d8ae0c04f27849740"/>
            <w:id w:val="936184228"/>
          </w:sdtPr>
          <w:sdtContent>
            <w:tc>
              <w:tcPr>
                <w:tcW w:w="971" w:type="pct"/>
                <w:vAlign w:val="center"/>
              </w:tcPr>
              <w:p w14:paraId="6F230A5C">
                <w:pPr>
                  <w:pStyle w:val="255"/>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未来12个月预期信用损失</w:t>
                </w:r>
              </w:p>
            </w:tc>
          </w:sdtContent>
        </w:sdt>
        <w:sdt>
          <w:sdtPr>
            <w:tag w:val="_PLD_c85cfe8f6d6a4ab0af13d30e76cd7800"/>
            <w:id w:val="712158072"/>
          </w:sdtPr>
          <w:sdtContent>
            <w:tc>
              <w:tcPr>
                <w:tcW w:w="897" w:type="pct"/>
                <w:vAlign w:val="center"/>
              </w:tcPr>
              <w:p w14:paraId="0843A285">
                <w:pPr>
                  <w:pStyle w:val="255"/>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整个存续期预期信用损失(未发生信用减值)</w:t>
                </w:r>
              </w:p>
            </w:tc>
          </w:sdtContent>
        </w:sdt>
        <w:sdt>
          <w:sdtPr>
            <w:tag w:val="_PLD_2df6c7466f224906aa04a411975e6f79"/>
            <w:id w:val="-2134546678"/>
          </w:sdtPr>
          <w:sdtContent>
            <w:tc>
              <w:tcPr>
                <w:tcW w:w="1065" w:type="pct"/>
                <w:vAlign w:val="center"/>
              </w:tcPr>
              <w:p w14:paraId="52F20C81">
                <w:pPr>
                  <w:pStyle w:val="255"/>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整个存续期预期信用损失(已发生信用减值)</w:t>
                </w:r>
              </w:p>
            </w:tc>
          </w:sdtContent>
        </w:sdt>
        <w:tc>
          <w:tcPr>
            <w:tcW w:w="950" w:type="pct"/>
            <w:vMerge w:val="continue"/>
          </w:tcPr>
          <w:p w14:paraId="5457573E">
            <w:pPr>
              <w:jc w:val="center"/>
              <w:rPr>
                <w:color w:val="000000" w:themeColor="text1"/>
                <w14:textFill>
                  <w14:solidFill>
                    <w14:schemeClr w14:val="tx1"/>
                  </w14:solidFill>
                </w14:textFill>
              </w:rPr>
            </w:pPr>
          </w:p>
        </w:tc>
      </w:tr>
      <w:tr w14:paraId="7C73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d320061b2c04b43aa4ffcb4160cc3e9"/>
            <w:id w:val="999702005"/>
          </w:sdtPr>
          <w:sdtContent>
            <w:tc>
              <w:tcPr>
                <w:tcW w:w="1114" w:type="pct"/>
                <w:vAlign w:val="center"/>
              </w:tcPr>
              <w:p w14:paraId="06AC14ED">
                <w:pPr>
                  <w:pStyle w:val="255"/>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2025年</w:t>
                </w:r>
                <w:r>
                  <w:rPr>
                    <w:rFonts w:hint="eastAsia" w:ascii="宋体" w:hAnsi="宋体" w:eastAsia="宋体" w:cs="宋体"/>
                    <w:color w:val="000000" w:themeColor="text1"/>
                    <w:sz w:val="21"/>
                    <w:szCs w:val="21"/>
                    <w:lang w:eastAsia="zh-CN"/>
                    <w14:textFill>
                      <w14:solidFill>
                        <w14:schemeClr w14:val="tx1"/>
                      </w14:solidFill>
                    </w14:textFill>
                  </w:rPr>
                  <w:t>1月1日余额</w:t>
                </w:r>
              </w:p>
            </w:tc>
          </w:sdtContent>
        </w:sdt>
        <w:tc>
          <w:tcPr>
            <w:tcW w:w="971" w:type="pct"/>
            <w:vAlign w:val="center"/>
          </w:tcPr>
          <w:p w14:paraId="6C4C8AD9">
            <w:pPr>
              <w:jc w:val="right"/>
              <w:rPr>
                <w:rFonts w:cs="Times New Roman"/>
              </w:rPr>
            </w:pPr>
            <w:r>
              <w:rPr>
                <w:rFonts w:cs="Times New Roman"/>
              </w:rPr>
              <w:t>121,704,480.11</w:t>
            </w:r>
          </w:p>
        </w:tc>
        <w:tc>
          <w:tcPr>
            <w:tcW w:w="897" w:type="pct"/>
          </w:tcPr>
          <w:p w14:paraId="00A919DD">
            <w:pPr>
              <w:jc w:val="right"/>
              <w:rPr>
                <w:rFonts w:cs="Times New Roman"/>
              </w:rPr>
            </w:pPr>
          </w:p>
        </w:tc>
        <w:tc>
          <w:tcPr>
            <w:tcW w:w="1065" w:type="pct"/>
            <w:vAlign w:val="center"/>
          </w:tcPr>
          <w:p w14:paraId="51BA1BD7">
            <w:pPr>
              <w:jc w:val="right"/>
              <w:rPr>
                <w:rFonts w:cs="Times New Roman"/>
              </w:rPr>
            </w:pPr>
            <w:r>
              <w:rPr>
                <w:rFonts w:cs="Times New Roman"/>
              </w:rPr>
              <w:t>1,362,503,906.57</w:t>
            </w:r>
          </w:p>
        </w:tc>
        <w:tc>
          <w:tcPr>
            <w:tcW w:w="950" w:type="pct"/>
            <w:vAlign w:val="center"/>
          </w:tcPr>
          <w:p w14:paraId="57BEE40B">
            <w:pPr>
              <w:jc w:val="right"/>
              <w:rPr>
                <w:rFonts w:cs="Times New Roman"/>
              </w:rPr>
            </w:pPr>
            <w:r>
              <w:rPr>
                <w:rFonts w:cs="Times New Roman"/>
              </w:rPr>
              <w:t>1,484,208,386.68</w:t>
            </w:r>
          </w:p>
        </w:tc>
      </w:tr>
      <w:tr w14:paraId="58AE5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39b03f459c4452c8b986b7b696cbc3f"/>
            <w:id w:val="1090207443"/>
          </w:sdtPr>
          <w:sdtContent>
            <w:tc>
              <w:tcPr>
                <w:tcW w:w="1114" w:type="pct"/>
                <w:vAlign w:val="center"/>
              </w:tcPr>
              <w:p w14:paraId="2646A56D">
                <w:pPr>
                  <w:pStyle w:val="255"/>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本期计提</w:t>
                </w:r>
              </w:p>
            </w:tc>
          </w:sdtContent>
        </w:sdt>
        <w:tc>
          <w:tcPr>
            <w:tcW w:w="971" w:type="pct"/>
            <w:vAlign w:val="center"/>
          </w:tcPr>
          <w:p w14:paraId="4978E9E6">
            <w:pPr>
              <w:jc w:val="right"/>
              <w:rPr>
                <w:rFonts w:cs="Times New Roman"/>
              </w:rPr>
            </w:pPr>
            <w:r>
              <w:rPr>
                <w:rFonts w:cs="Times New Roman"/>
              </w:rPr>
              <w:t>-2,096,478.96</w:t>
            </w:r>
          </w:p>
        </w:tc>
        <w:tc>
          <w:tcPr>
            <w:tcW w:w="897" w:type="pct"/>
          </w:tcPr>
          <w:p w14:paraId="104FE362">
            <w:pPr>
              <w:jc w:val="right"/>
              <w:rPr>
                <w:rFonts w:cs="Times New Roman"/>
              </w:rPr>
            </w:pPr>
          </w:p>
        </w:tc>
        <w:tc>
          <w:tcPr>
            <w:tcW w:w="1065" w:type="pct"/>
            <w:vAlign w:val="center"/>
          </w:tcPr>
          <w:p w14:paraId="52189CE1">
            <w:pPr>
              <w:jc w:val="right"/>
              <w:rPr>
                <w:rFonts w:cs="Times New Roman"/>
              </w:rPr>
            </w:pPr>
            <w:r>
              <w:rPr>
                <w:rFonts w:cs="Times New Roman"/>
              </w:rPr>
              <w:t>21,858,979.96</w:t>
            </w:r>
          </w:p>
        </w:tc>
        <w:tc>
          <w:tcPr>
            <w:tcW w:w="950" w:type="pct"/>
            <w:vAlign w:val="center"/>
          </w:tcPr>
          <w:p w14:paraId="6BC0CC31">
            <w:pPr>
              <w:jc w:val="right"/>
              <w:rPr>
                <w:rFonts w:cs="Times New Roman"/>
              </w:rPr>
            </w:pPr>
            <w:r>
              <w:rPr>
                <w:rFonts w:cs="Times New Roman"/>
              </w:rPr>
              <w:t>19,762,501.00</w:t>
            </w:r>
          </w:p>
        </w:tc>
      </w:tr>
      <w:tr w14:paraId="3E94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pct"/>
            <w:vAlign w:val="center"/>
          </w:tcPr>
          <w:sdt>
            <w:sdtPr>
              <w:tag w:val="_PLD_ddcd4306bc5c4cc89da3fd6a733c0801"/>
              <w:id w:val="-2133849423"/>
            </w:sdtPr>
            <w:sdtContent>
              <w:p w14:paraId="3E052D2C">
                <w:pPr>
                  <w:pStyle w:val="255"/>
                  <w:spacing w:after="0" w:line="240" w:lineRule="auto"/>
                  <w:jc w:val="both"/>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本期转回</w:t>
                </w:r>
              </w:p>
            </w:sdtContent>
          </w:sdt>
        </w:tc>
        <w:tc>
          <w:tcPr>
            <w:tcW w:w="971" w:type="pct"/>
          </w:tcPr>
          <w:p w14:paraId="54BB15F0">
            <w:pPr>
              <w:jc w:val="right"/>
              <w:rPr>
                <w:rFonts w:cs="Times New Roman"/>
              </w:rPr>
            </w:pPr>
          </w:p>
        </w:tc>
        <w:tc>
          <w:tcPr>
            <w:tcW w:w="897" w:type="pct"/>
          </w:tcPr>
          <w:p w14:paraId="28CBE42E">
            <w:pPr>
              <w:jc w:val="right"/>
              <w:rPr>
                <w:rFonts w:cs="Times New Roman"/>
              </w:rPr>
            </w:pPr>
          </w:p>
        </w:tc>
        <w:tc>
          <w:tcPr>
            <w:tcW w:w="1065" w:type="pct"/>
            <w:vAlign w:val="center"/>
          </w:tcPr>
          <w:p w14:paraId="14E0DCA1">
            <w:pPr>
              <w:jc w:val="right"/>
              <w:textAlignment w:val="center"/>
              <w:rPr>
                <w:rFonts w:cs="Times New Roman"/>
              </w:rPr>
            </w:pPr>
            <w:r>
              <w:rPr>
                <w:rFonts w:eastAsia="Arial Narrow" w:cs="Times New Roman"/>
                <w:color w:val="000000"/>
                <w:lang w:bidi="ar"/>
              </w:rPr>
              <w:t>100,000.00</w:t>
            </w:r>
          </w:p>
        </w:tc>
        <w:tc>
          <w:tcPr>
            <w:tcW w:w="950" w:type="pct"/>
            <w:vAlign w:val="center"/>
          </w:tcPr>
          <w:p w14:paraId="7EE3F0BB">
            <w:pPr>
              <w:jc w:val="right"/>
              <w:textAlignment w:val="center"/>
              <w:rPr>
                <w:rFonts w:cs="Times New Roman"/>
              </w:rPr>
            </w:pPr>
            <w:r>
              <w:rPr>
                <w:rFonts w:eastAsia="Arial Narrow" w:cs="Times New Roman"/>
                <w:color w:val="000000"/>
                <w:lang w:bidi="ar"/>
              </w:rPr>
              <w:t>100,000.00</w:t>
            </w:r>
          </w:p>
        </w:tc>
      </w:tr>
      <w:tr w14:paraId="0DED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0203c10cb0c468dbd7a48669ddd0f63"/>
            <w:id w:val="2071301093"/>
          </w:sdtPr>
          <w:sdtContent>
            <w:tc>
              <w:tcPr>
                <w:tcW w:w="1114" w:type="pct"/>
                <w:vAlign w:val="center"/>
              </w:tcPr>
              <w:p w14:paraId="2F1F29EE">
                <w:pPr>
                  <w:pStyle w:val="255"/>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其他变动</w:t>
                </w:r>
              </w:p>
            </w:tc>
          </w:sdtContent>
        </w:sdt>
        <w:tc>
          <w:tcPr>
            <w:tcW w:w="971" w:type="pct"/>
            <w:vAlign w:val="center"/>
          </w:tcPr>
          <w:p w14:paraId="1E45098B">
            <w:pPr>
              <w:jc w:val="right"/>
              <w:rPr>
                <w:rFonts w:cs="Times New Roman"/>
              </w:rPr>
            </w:pPr>
            <w:r>
              <w:rPr>
                <w:rFonts w:cs="Times New Roman"/>
              </w:rPr>
              <w:t>-576,011.56</w:t>
            </w:r>
          </w:p>
        </w:tc>
        <w:tc>
          <w:tcPr>
            <w:tcW w:w="897" w:type="pct"/>
          </w:tcPr>
          <w:p w14:paraId="39E7DF87">
            <w:pPr>
              <w:jc w:val="right"/>
              <w:rPr>
                <w:rFonts w:cs="Times New Roman"/>
              </w:rPr>
            </w:pPr>
          </w:p>
        </w:tc>
        <w:tc>
          <w:tcPr>
            <w:tcW w:w="1065" w:type="pct"/>
            <w:vAlign w:val="center"/>
          </w:tcPr>
          <w:p w14:paraId="70BE1765">
            <w:pPr>
              <w:jc w:val="right"/>
              <w:rPr>
                <w:rFonts w:cs="Times New Roman"/>
              </w:rPr>
            </w:pPr>
            <w:r>
              <w:rPr>
                <w:rFonts w:cs="Times New Roman"/>
              </w:rPr>
              <w:t>-62,640,045.78</w:t>
            </w:r>
          </w:p>
        </w:tc>
        <w:tc>
          <w:tcPr>
            <w:tcW w:w="950" w:type="pct"/>
            <w:vAlign w:val="center"/>
          </w:tcPr>
          <w:p w14:paraId="2D251B72">
            <w:pPr>
              <w:jc w:val="right"/>
              <w:rPr>
                <w:rFonts w:cs="Times New Roman"/>
              </w:rPr>
            </w:pPr>
            <w:r>
              <w:rPr>
                <w:rFonts w:cs="Times New Roman"/>
              </w:rPr>
              <w:t>-63,216,057.34</w:t>
            </w:r>
          </w:p>
        </w:tc>
      </w:tr>
      <w:tr w14:paraId="12BE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b669c94f1734a70be90735195c143c3"/>
            <w:id w:val="851994222"/>
          </w:sdtPr>
          <w:sdtContent>
            <w:tc>
              <w:tcPr>
                <w:tcW w:w="1114" w:type="pct"/>
                <w:vAlign w:val="center"/>
              </w:tcPr>
              <w:p w14:paraId="7FF6150C">
                <w:pPr>
                  <w:pStyle w:val="255"/>
                  <w:spacing w:after="0" w:line="240" w:lineRule="auto"/>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2025年6月30日</w:t>
                </w:r>
                <w:r>
                  <w:rPr>
                    <w:rFonts w:hint="eastAsia" w:ascii="宋体" w:hAnsi="宋体" w:eastAsia="宋体" w:cs="宋体"/>
                    <w:color w:val="000000" w:themeColor="text1"/>
                    <w:sz w:val="21"/>
                    <w:szCs w:val="21"/>
                    <w:lang w:eastAsia="zh-CN"/>
                    <w14:textFill>
                      <w14:solidFill>
                        <w14:schemeClr w14:val="tx1"/>
                      </w14:solidFill>
                    </w14:textFill>
                  </w:rPr>
                  <w:t>余额</w:t>
                </w:r>
              </w:p>
            </w:tc>
          </w:sdtContent>
        </w:sdt>
        <w:tc>
          <w:tcPr>
            <w:tcW w:w="971" w:type="pct"/>
            <w:vAlign w:val="center"/>
          </w:tcPr>
          <w:p w14:paraId="3024E823">
            <w:pPr>
              <w:jc w:val="right"/>
              <w:rPr>
                <w:rFonts w:cs="Times New Roman"/>
              </w:rPr>
            </w:pPr>
            <w:r>
              <w:rPr>
                <w:rFonts w:cs="Times New Roman"/>
              </w:rPr>
              <w:t>119,031,989.59</w:t>
            </w:r>
          </w:p>
        </w:tc>
        <w:tc>
          <w:tcPr>
            <w:tcW w:w="897" w:type="pct"/>
          </w:tcPr>
          <w:p w14:paraId="34D6D5EB">
            <w:pPr>
              <w:jc w:val="right"/>
              <w:rPr>
                <w:rFonts w:cs="Times New Roman"/>
              </w:rPr>
            </w:pPr>
          </w:p>
        </w:tc>
        <w:tc>
          <w:tcPr>
            <w:tcW w:w="1065" w:type="pct"/>
            <w:vAlign w:val="center"/>
          </w:tcPr>
          <w:p w14:paraId="247F79F9">
            <w:pPr>
              <w:jc w:val="right"/>
              <w:rPr>
                <w:rFonts w:cs="Times New Roman"/>
              </w:rPr>
            </w:pPr>
            <w:r>
              <w:rPr>
                <w:rFonts w:cs="Times New Roman"/>
              </w:rPr>
              <w:t>1,321,622,840.75</w:t>
            </w:r>
          </w:p>
        </w:tc>
        <w:tc>
          <w:tcPr>
            <w:tcW w:w="950" w:type="pct"/>
            <w:vAlign w:val="center"/>
          </w:tcPr>
          <w:p w14:paraId="769A9FC2">
            <w:pPr>
              <w:jc w:val="right"/>
              <w:rPr>
                <w:rFonts w:cs="Times New Roman"/>
              </w:rPr>
            </w:pPr>
            <w:r>
              <w:rPr>
                <w:rFonts w:cs="Times New Roman"/>
              </w:rPr>
              <w:t>1,440,654,830.34</w:t>
            </w:r>
          </w:p>
        </w:tc>
      </w:tr>
    </w:tbl>
    <w:p w14:paraId="1DAE28E0">
      <w:pPr>
        <w:autoSpaceDE w:val="0"/>
        <w:autoSpaceDN w:val="0"/>
        <w:adjustRightInd w:val="0"/>
        <w:ind w:right="105" w:rightChars="50"/>
        <w:rPr>
          <w:color w:val="000000" w:themeColor="text1"/>
          <w14:textFill>
            <w14:solidFill>
              <w14:schemeClr w14:val="tx1"/>
            </w14:solidFill>
          </w14:textFill>
        </w:rPr>
      </w:pPr>
    </w:p>
    <w:p w14:paraId="3761C1AE">
      <w:pPr>
        <w:autoSpaceDE w:val="0"/>
        <w:autoSpaceDN w:val="0"/>
        <w:adjustRightInd w:val="0"/>
        <w:ind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各阶段划分依据和坏账准备计提比例</w:t>
      </w:r>
    </w:p>
    <w:sdt>
      <w:sdtPr>
        <w:rPr>
          <w:rFonts w:cs="Times New Roman"/>
          <w:bCs w:val="0"/>
          <w:color w:val="000000" w:themeColor="text1"/>
          <w:szCs w:val="22"/>
          <w14:textFill>
            <w14:solidFill>
              <w14:schemeClr w14:val="tx1"/>
            </w14:solidFill>
          </w14:textFill>
        </w:rPr>
        <w:alias w:val="其他应收款各阶段划分依据和坏账准备计提比例"/>
        <w:tag w:val="_GBC_db1ccc25244541ad82774f0488b4825b"/>
        <w:id w:val="-429203256"/>
      </w:sdtPr>
      <w:sdtEndPr>
        <w:rPr>
          <w:rFonts w:cs="Times New Roman"/>
          <w:bCs w:val="0"/>
          <w:color w:val="000000" w:themeColor="text1"/>
          <w:szCs w:val="22"/>
          <w14:textFill>
            <w14:solidFill>
              <w14:schemeClr w14:val="tx1"/>
            </w14:solidFill>
          </w14:textFill>
        </w:rPr>
      </w:sdtEndPr>
      <w:sdtContent>
        <w:p w14:paraId="5A7662D9">
          <w:pPr>
            <w:rPr>
              <w:rFonts w:cs="Times New Roman"/>
              <w:bCs w:val="0"/>
              <w:color w:val="000000" w:themeColor="text1"/>
              <w:szCs w:val="22"/>
              <w14:textFill>
                <w14:solidFill>
                  <w14:schemeClr w14:val="tx1"/>
                </w14:solidFill>
              </w14:textFill>
            </w:rPr>
          </w:pPr>
          <w:r>
            <w:rPr>
              <w:rFonts w:cs="Times New Roman"/>
              <w:bCs w:val="0"/>
              <w:color w:val="000000" w:themeColor="text1"/>
              <w:szCs w:val="22"/>
              <w14:textFill>
                <w14:solidFill>
                  <w14:schemeClr w14:val="tx1"/>
                </w14:solidFill>
              </w14:textFill>
            </w:rPr>
            <w:t>无</w:t>
          </w:r>
        </w:p>
      </w:sdtContent>
    </w:sdt>
    <w:p w14:paraId="6AA510A5">
      <w:pPr>
        <w:rPr>
          <w:color w:val="000000" w:themeColor="text1"/>
          <w14:textFill>
            <w14:solidFill>
              <w14:schemeClr w14:val="tx1"/>
            </w14:solidFill>
          </w14:textFill>
        </w:rPr>
      </w:pPr>
    </w:p>
    <w:p w14:paraId="75FC33B9">
      <w:pPr>
        <w:pStyle w:val="239"/>
        <w:rPr>
          <w:color w:val="000000" w:themeColor="text1"/>
          <w14:textFill>
            <w14:solidFill>
              <w14:schemeClr w14:val="tx1"/>
            </w14:solidFill>
          </w14:textFill>
        </w:rPr>
      </w:pPr>
      <w:r>
        <w:rPr>
          <w:rFonts w:hint="eastAsia"/>
          <w:color w:val="000000" w:themeColor="text1"/>
          <w14:textFill>
            <w14:solidFill>
              <w14:schemeClr w14:val="tx1"/>
            </w14:solidFill>
          </w14:textFill>
        </w:rPr>
        <w:t>对本期发生损失准备变动的其他应收款账面余额显著变动的情况说明：</w:t>
      </w:r>
    </w:p>
    <w:sdt>
      <w:sdtPr>
        <w:rPr>
          <w:color w:val="000000" w:themeColor="text1"/>
          <w14:textFill>
            <w14:solidFill>
              <w14:schemeClr w14:val="tx1"/>
            </w14:solidFill>
          </w14:textFill>
        </w:rPr>
        <w:alias w:val="是否适用：其他应收款本期发生损失准备变动且账面余额显著变动的情况说明[双击切换]"/>
        <w:tag w:val="_GBC_32e9d68fc5194869baa30fe15720ff13"/>
        <w:id w:val="-1232917508"/>
      </w:sdtPr>
      <w:sdtEndPr>
        <w:rPr>
          <w:color w:val="000000" w:themeColor="text1"/>
          <w14:textFill>
            <w14:solidFill>
              <w14:schemeClr w14:val="tx1"/>
            </w14:solidFill>
          </w14:textFill>
        </w:rPr>
      </w:sdtEndPr>
      <w:sdtContent>
        <w:p w14:paraId="66BE573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571333B3">
      <w:pPr>
        <w:rPr>
          <w:color w:val="000000" w:themeColor="text1"/>
          <w14:textFill>
            <w14:solidFill>
              <w14:schemeClr w14:val="tx1"/>
            </w14:solidFill>
          </w14:textFill>
        </w:rPr>
      </w:pPr>
    </w:p>
    <w:p w14:paraId="3F38C044">
      <w:pPr>
        <w:rPr>
          <w:color w:val="000000" w:themeColor="text1"/>
          <w14:textFill>
            <w14:solidFill>
              <w14:schemeClr w14:val="tx1"/>
            </w14:solidFill>
          </w14:textFill>
        </w:rPr>
      </w:pPr>
      <w:r>
        <w:rPr>
          <w:rFonts w:hint="eastAsia"/>
          <w:color w:val="000000" w:themeColor="text1"/>
          <w14:textFill>
            <w14:solidFill>
              <w14:schemeClr w14:val="tx1"/>
            </w14:solidFill>
          </w14:textFill>
        </w:rPr>
        <w:t>本期坏账准备计提金额以及评估金融工具的信用风险是否显著增加的采用依据：</w:t>
      </w:r>
    </w:p>
    <w:sdt>
      <w:sdtPr>
        <w:rPr>
          <w:color w:val="000000" w:themeColor="text1"/>
          <w14:textFill>
            <w14:solidFill>
              <w14:schemeClr w14:val="tx1"/>
            </w14:solidFill>
          </w14:textFill>
        </w:rPr>
        <w:alias w:val="是否适用：其他应收款本期坏账准备计提金额以及评估金融工具的信用风险显著增加的采用依据[双击切换]"/>
        <w:tag w:val="_GBC_dde26fcf385445edb7b0e96dab2a2b3e"/>
        <w:id w:val="-1200312088"/>
      </w:sdtPr>
      <w:sdtEndPr>
        <w:rPr>
          <w:color w:val="000000" w:themeColor="text1"/>
          <w14:textFill>
            <w14:solidFill>
              <w14:schemeClr w14:val="tx1"/>
            </w14:solidFill>
          </w14:textFill>
        </w:rPr>
      </w:sdtEndPr>
      <w:sdtContent>
        <w:p w14:paraId="3405AF9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55E8546D">
      <w:pPr>
        <w:rPr>
          <w:color w:val="000000" w:themeColor="text1"/>
          <w14:textFill>
            <w14:solidFill>
              <w14:schemeClr w14:val="tx1"/>
            </w14:solidFill>
          </w14:textFill>
        </w:rPr>
      </w:pPr>
    </w:p>
    <w:bookmarkEnd w:id="252"/>
    <w:p w14:paraId="074EC318">
      <w:pPr>
        <w:pStyle w:val="6"/>
        <w:numPr>
          <w:ilvl w:val="0"/>
          <w:numId w:val="62"/>
        </w:numPr>
      </w:pPr>
      <w:bookmarkStart w:id="253" w:name="_Hlk10469877"/>
      <w:r>
        <w:rPr>
          <w:rFonts w:hint="eastAsia"/>
        </w:rPr>
        <w:t>坏账准备的情况</w:t>
      </w:r>
    </w:p>
    <w:sdt>
      <w:sdtPr>
        <w:rPr>
          <w:color w:val="000000" w:themeColor="text1"/>
          <w14:textFill>
            <w14:solidFill>
              <w14:schemeClr w14:val="tx1"/>
            </w14:solidFill>
          </w14:textFill>
        </w:rPr>
        <w:alias w:val="是否适用：其他应收款坏账准备[双击切换]"/>
        <w:tag w:val="_GBC_b3f4f88802a54b1da539ba2563000c5c"/>
        <w:id w:val="147480733"/>
        <w:placeholder>
          <w:docPart w:val="GBC22222222222222222222222222222"/>
        </w:placeholder>
      </w:sdtPr>
      <w:sdtEndPr>
        <w:rPr>
          <w:color w:val="000000" w:themeColor="text1"/>
          <w14:textFill>
            <w14:solidFill>
              <w14:schemeClr w14:val="tx1"/>
            </w14:solidFill>
          </w14:textFill>
        </w:rPr>
      </w:sdtEndPr>
      <w:sdtContent>
        <w:p w14:paraId="0D48310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B28280D">
      <w:pPr>
        <w:pStyle w:val="63"/>
        <w:snapToGrid w:val="0"/>
        <w:spacing w:line="240" w:lineRule="atLeast"/>
        <w:ind w:left="425"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其他应收款坏账准备"/>
          <w:tag w:val="_GBC_1cb0ccc9627340bb9775e68ec1d11af7"/>
          <w:id w:val="1474693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其他应收款坏账准备"/>
          <w:tag w:val="_GBC_14d59c8ccaef434da24604201125f1f0"/>
          <w:id w:val="1474670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279"/>
        <w:gridCol w:w="1609"/>
        <w:gridCol w:w="1364"/>
        <w:gridCol w:w="1118"/>
        <w:gridCol w:w="719"/>
        <w:gridCol w:w="1364"/>
        <w:gridCol w:w="1606"/>
      </w:tblGrid>
      <w:tr w14:paraId="43996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31bfbbc8809c484e8788c004875b73f7"/>
            <w:id w:val="147481379"/>
          </w:sdtPr>
          <w:sdtContent>
            <w:tc>
              <w:tcPr>
                <w:tcW w:w="706" w:type="pct"/>
                <w:vMerge w:val="restart"/>
                <w:shd w:val="clear" w:color="auto" w:fill="auto"/>
                <w:vAlign w:val="center"/>
              </w:tcPr>
              <w:p w14:paraId="236EF81A">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类别</w:t>
                </w:r>
              </w:p>
            </w:tc>
          </w:sdtContent>
        </w:sdt>
        <w:sdt>
          <w:sdtPr>
            <w:tag w:val="_PLD_8a84de1ffd5c434f9fdf644972838511"/>
            <w:id w:val="147476341"/>
          </w:sdtPr>
          <w:sdtContent>
            <w:tc>
              <w:tcPr>
                <w:tcW w:w="888" w:type="pct"/>
                <w:vMerge w:val="restart"/>
                <w:shd w:val="clear" w:color="auto" w:fill="auto"/>
                <w:vAlign w:val="center"/>
              </w:tcPr>
              <w:p w14:paraId="4CC0F36C">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期初余额</w:t>
                </w:r>
              </w:p>
            </w:tc>
          </w:sdtContent>
        </w:sdt>
        <w:sdt>
          <w:sdtPr>
            <w:tag w:val="_PLD_98e8a6b913f14f6ca45be028ca7fe9b3"/>
            <w:id w:val="147475876"/>
          </w:sdtPr>
          <w:sdtContent>
            <w:tc>
              <w:tcPr>
                <w:tcW w:w="2518" w:type="pct"/>
                <w:gridSpan w:val="4"/>
                <w:shd w:val="clear" w:color="auto" w:fill="auto"/>
                <w:vAlign w:val="center"/>
              </w:tcPr>
              <w:p w14:paraId="59095ADF">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本期变动</w:t>
                </w:r>
                <w:r>
                  <w:rPr>
                    <w:color w:val="000000" w:themeColor="text1"/>
                    <w14:textFill>
                      <w14:solidFill>
                        <w14:schemeClr w14:val="tx1"/>
                      </w14:solidFill>
                    </w14:textFill>
                  </w:rPr>
                  <w:t>金额</w:t>
                </w:r>
              </w:p>
            </w:tc>
          </w:sdtContent>
        </w:sdt>
        <w:sdt>
          <w:sdtPr>
            <w:tag w:val="_PLD_79cbcdb53d6946aa8890a6614ae8fa7c"/>
            <w:id w:val="147474617"/>
          </w:sdtPr>
          <w:sdtContent>
            <w:tc>
              <w:tcPr>
                <w:tcW w:w="888" w:type="pct"/>
                <w:vMerge w:val="restart"/>
                <w:shd w:val="clear" w:color="auto" w:fill="auto"/>
                <w:vAlign w:val="center"/>
              </w:tcPr>
              <w:p w14:paraId="1A62557F">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期末余额</w:t>
                </w:r>
              </w:p>
            </w:tc>
          </w:sdtContent>
        </w:sdt>
      </w:tr>
      <w:tr w14:paraId="4D360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06" w:type="pct"/>
            <w:vMerge w:val="continue"/>
            <w:shd w:val="clear" w:color="auto" w:fill="FFFFFF"/>
          </w:tcPr>
          <w:p w14:paraId="54557893">
            <w:pPr>
              <w:widowControl w:val="0"/>
              <w:jc w:val="center"/>
              <w:rPr>
                <w:color w:val="000000" w:themeColor="text1"/>
                <w14:textFill>
                  <w14:solidFill>
                    <w14:schemeClr w14:val="tx1"/>
                  </w14:solidFill>
                </w14:textFill>
              </w:rPr>
            </w:pPr>
          </w:p>
        </w:tc>
        <w:tc>
          <w:tcPr>
            <w:tcW w:w="888" w:type="pct"/>
            <w:vMerge w:val="continue"/>
            <w:shd w:val="clear" w:color="auto" w:fill="FFFFFF"/>
          </w:tcPr>
          <w:p w14:paraId="214352FD">
            <w:pPr>
              <w:widowControl w:val="0"/>
              <w:jc w:val="center"/>
              <w:rPr>
                <w:color w:val="000000" w:themeColor="text1"/>
                <w14:textFill>
                  <w14:solidFill>
                    <w14:schemeClr w14:val="tx1"/>
                  </w14:solidFill>
                </w14:textFill>
              </w:rPr>
            </w:pPr>
          </w:p>
        </w:tc>
        <w:sdt>
          <w:sdtPr>
            <w:tag w:val="_PLD_e690235010e24ffc8796adbde1bb559c"/>
            <w:id w:val="147454305"/>
          </w:sdtPr>
          <w:sdtContent>
            <w:tc>
              <w:tcPr>
                <w:tcW w:w="753" w:type="pct"/>
                <w:shd w:val="clear" w:color="auto" w:fill="auto"/>
                <w:vAlign w:val="center"/>
              </w:tcPr>
              <w:p w14:paraId="3CBC4E38">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计提</w:t>
                </w:r>
              </w:p>
            </w:tc>
          </w:sdtContent>
        </w:sdt>
        <w:sdt>
          <w:sdtPr>
            <w:tag w:val="_PLD_d059ae406aed4a3a8f46c2d712ef508e"/>
            <w:id w:val="147470655"/>
          </w:sdtPr>
          <w:sdtContent>
            <w:tc>
              <w:tcPr>
                <w:tcW w:w="617" w:type="pct"/>
                <w:shd w:val="clear" w:color="auto" w:fill="auto"/>
                <w:vAlign w:val="center"/>
              </w:tcPr>
              <w:p w14:paraId="325E59A0">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收回或</w:t>
                </w:r>
              </w:p>
              <w:p w14:paraId="6A7F37DC">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转回</w:t>
                </w:r>
              </w:p>
            </w:tc>
          </w:sdtContent>
        </w:sdt>
        <w:sdt>
          <w:sdtPr>
            <w:tag w:val="_PLD_da780fd6da3646febcd85bf9dbd8b64e"/>
            <w:id w:val="147463540"/>
          </w:sdtPr>
          <w:sdtContent>
            <w:tc>
              <w:tcPr>
                <w:tcW w:w="397" w:type="pct"/>
                <w:shd w:val="clear" w:color="auto" w:fill="auto"/>
                <w:vAlign w:val="center"/>
              </w:tcPr>
              <w:p w14:paraId="58E95718">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转销或核销</w:t>
                </w:r>
              </w:p>
            </w:tc>
          </w:sdtContent>
        </w:sdt>
        <w:tc>
          <w:tcPr>
            <w:tcW w:w="753" w:type="pct"/>
            <w:shd w:val="clear" w:color="auto" w:fill="auto"/>
            <w:vAlign w:val="center"/>
          </w:tcPr>
          <w:sdt>
            <w:sdtPr>
              <w:tag w:val="_PLD_d6a9b9888c1a49429189a2a72159c309"/>
              <w:id w:val="147454331"/>
            </w:sdtPr>
            <w:sdtContent>
              <w:p w14:paraId="7EF1B7A1">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其他变动</w:t>
                </w:r>
              </w:p>
            </w:sdtContent>
          </w:sdt>
        </w:tc>
        <w:tc>
          <w:tcPr>
            <w:tcW w:w="888" w:type="pct"/>
            <w:vMerge w:val="continue"/>
            <w:shd w:val="clear" w:color="auto" w:fill="FFFFFF"/>
          </w:tcPr>
          <w:p w14:paraId="555FC6A9">
            <w:pPr>
              <w:widowControl w:val="0"/>
              <w:jc w:val="right"/>
              <w:rPr>
                <w:color w:val="000000" w:themeColor="text1"/>
                <w14:textFill>
                  <w14:solidFill>
                    <w14:schemeClr w14:val="tx1"/>
                  </w14:solidFill>
                </w14:textFill>
              </w:rPr>
            </w:pPr>
          </w:p>
        </w:tc>
      </w:tr>
      <w:tr w14:paraId="2C0A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06" w:type="pct"/>
          </w:tcPr>
          <w:p w14:paraId="3127A99F">
            <w:pPr>
              <w:jc w:val="center"/>
              <w:textAlignment w:val="top"/>
            </w:pPr>
            <w:r>
              <w:rPr>
                <w:rFonts w:cs="Times New Roman"/>
                <w:color w:val="000000"/>
                <w:lang w:bidi="ar"/>
              </w:rPr>
              <w:t>坏账准备</w:t>
            </w:r>
          </w:p>
        </w:tc>
        <w:tc>
          <w:tcPr>
            <w:tcW w:w="1605" w:type="dxa"/>
            <w:vAlign w:val="center"/>
          </w:tcPr>
          <w:p w14:paraId="4278243D">
            <w:pPr>
              <w:jc w:val="right"/>
              <w:textAlignment w:val="center"/>
              <w:rPr>
                <w:rFonts w:cs="Times New Roman"/>
                <w:sz w:val="18"/>
                <w:szCs w:val="18"/>
              </w:rPr>
            </w:pPr>
            <w:r>
              <w:rPr>
                <w:rFonts w:eastAsia="Arial Narrow" w:cs="Times New Roman"/>
                <w:color w:val="000000"/>
                <w:sz w:val="18"/>
                <w:szCs w:val="18"/>
                <w:lang w:bidi="ar"/>
              </w:rPr>
              <w:t>1,484,208,386.68</w:t>
            </w:r>
          </w:p>
        </w:tc>
        <w:tc>
          <w:tcPr>
            <w:tcW w:w="1360" w:type="dxa"/>
            <w:vAlign w:val="center"/>
          </w:tcPr>
          <w:p w14:paraId="705F52EF">
            <w:pPr>
              <w:jc w:val="right"/>
              <w:textAlignment w:val="center"/>
              <w:rPr>
                <w:rFonts w:cs="Times New Roman"/>
                <w:sz w:val="18"/>
                <w:szCs w:val="18"/>
              </w:rPr>
            </w:pPr>
            <w:r>
              <w:rPr>
                <w:rFonts w:eastAsia="Arial Narrow" w:cs="Times New Roman"/>
                <w:color w:val="000000"/>
                <w:sz w:val="18"/>
                <w:szCs w:val="18"/>
                <w:lang w:bidi="ar"/>
              </w:rPr>
              <w:t>19,762,501.00</w:t>
            </w:r>
          </w:p>
        </w:tc>
        <w:tc>
          <w:tcPr>
            <w:tcW w:w="1115" w:type="dxa"/>
            <w:vAlign w:val="center"/>
          </w:tcPr>
          <w:p w14:paraId="59CC245D">
            <w:pPr>
              <w:jc w:val="right"/>
              <w:textAlignment w:val="center"/>
              <w:rPr>
                <w:rFonts w:cs="Times New Roman"/>
                <w:sz w:val="18"/>
                <w:szCs w:val="18"/>
              </w:rPr>
            </w:pPr>
            <w:r>
              <w:rPr>
                <w:rFonts w:eastAsia="Arial Narrow" w:cs="Times New Roman"/>
                <w:color w:val="000000"/>
                <w:sz w:val="18"/>
                <w:szCs w:val="18"/>
                <w:lang w:bidi="ar"/>
              </w:rPr>
              <w:t>100,000.00</w:t>
            </w:r>
          </w:p>
        </w:tc>
        <w:tc>
          <w:tcPr>
            <w:tcW w:w="716" w:type="dxa"/>
            <w:vAlign w:val="center"/>
          </w:tcPr>
          <w:p w14:paraId="32065495">
            <w:pPr>
              <w:jc w:val="right"/>
              <w:rPr>
                <w:rFonts w:cs="Times New Roman"/>
                <w:sz w:val="18"/>
                <w:szCs w:val="18"/>
              </w:rPr>
            </w:pPr>
          </w:p>
        </w:tc>
        <w:tc>
          <w:tcPr>
            <w:tcW w:w="1386" w:type="dxa"/>
            <w:vAlign w:val="center"/>
          </w:tcPr>
          <w:p w14:paraId="7636E7F2">
            <w:pPr>
              <w:jc w:val="right"/>
              <w:textAlignment w:val="center"/>
              <w:rPr>
                <w:rFonts w:cs="Times New Roman"/>
                <w:sz w:val="18"/>
                <w:szCs w:val="18"/>
              </w:rPr>
            </w:pPr>
            <w:r>
              <w:rPr>
                <w:rFonts w:eastAsia="Arial Narrow" w:cs="Times New Roman"/>
                <w:color w:val="000000"/>
                <w:sz w:val="18"/>
                <w:szCs w:val="18"/>
                <w:lang w:bidi="ar"/>
              </w:rPr>
              <w:t>-63,216,057.34</w:t>
            </w:r>
          </w:p>
        </w:tc>
        <w:tc>
          <w:tcPr>
            <w:tcW w:w="1602" w:type="dxa"/>
            <w:vAlign w:val="center"/>
          </w:tcPr>
          <w:p w14:paraId="3470FC6F">
            <w:pPr>
              <w:jc w:val="right"/>
              <w:textAlignment w:val="center"/>
              <w:rPr>
                <w:rFonts w:cs="Times New Roman"/>
                <w:sz w:val="18"/>
                <w:szCs w:val="18"/>
              </w:rPr>
            </w:pPr>
            <w:r>
              <w:rPr>
                <w:rFonts w:eastAsia="Arial Narrow" w:cs="Times New Roman"/>
                <w:color w:val="000000"/>
                <w:sz w:val="18"/>
                <w:szCs w:val="18"/>
                <w:lang w:bidi="ar"/>
              </w:rPr>
              <w:t>1,440,654,830.34</w:t>
            </w:r>
          </w:p>
        </w:tc>
      </w:tr>
      <w:tr w14:paraId="4ACD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06" w:type="pct"/>
          </w:tcPr>
          <w:p w14:paraId="1743D56E">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605" w:type="dxa"/>
            <w:vAlign w:val="center"/>
          </w:tcPr>
          <w:p w14:paraId="69E22D54">
            <w:pPr>
              <w:jc w:val="right"/>
              <w:textAlignment w:val="center"/>
              <w:rPr>
                <w:rFonts w:cs="Times New Roman"/>
                <w:sz w:val="18"/>
                <w:szCs w:val="18"/>
              </w:rPr>
            </w:pPr>
            <w:r>
              <w:rPr>
                <w:rFonts w:eastAsia="Arial Narrow" w:cs="Times New Roman"/>
                <w:color w:val="000000"/>
                <w:sz w:val="18"/>
                <w:szCs w:val="18"/>
                <w:lang w:bidi="ar"/>
              </w:rPr>
              <w:t>1,484,208,386.68</w:t>
            </w:r>
          </w:p>
        </w:tc>
        <w:tc>
          <w:tcPr>
            <w:tcW w:w="1360" w:type="dxa"/>
            <w:vAlign w:val="center"/>
          </w:tcPr>
          <w:p w14:paraId="385669A3">
            <w:pPr>
              <w:jc w:val="right"/>
              <w:textAlignment w:val="center"/>
              <w:rPr>
                <w:rFonts w:cs="Times New Roman"/>
                <w:sz w:val="18"/>
                <w:szCs w:val="18"/>
              </w:rPr>
            </w:pPr>
            <w:r>
              <w:rPr>
                <w:rFonts w:eastAsia="Arial Narrow" w:cs="Times New Roman"/>
                <w:color w:val="000000"/>
                <w:sz w:val="18"/>
                <w:szCs w:val="18"/>
                <w:lang w:bidi="ar"/>
              </w:rPr>
              <w:t>19,762,501.00</w:t>
            </w:r>
          </w:p>
        </w:tc>
        <w:tc>
          <w:tcPr>
            <w:tcW w:w="1115" w:type="dxa"/>
            <w:vAlign w:val="center"/>
          </w:tcPr>
          <w:p w14:paraId="5FE0242B">
            <w:pPr>
              <w:jc w:val="right"/>
              <w:textAlignment w:val="center"/>
              <w:rPr>
                <w:rFonts w:cs="Times New Roman"/>
                <w:sz w:val="18"/>
                <w:szCs w:val="18"/>
              </w:rPr>
            </w:pPr>
            <w:r>
              <w:rPr>
                <w:rFonts w:eastAsia="Arial Narrow" w:cs="Times New Roman"/>
                <w:color w:val="000000"/>
                <w:sz w:val="18"/>
                <w:szCs w:val="18"/>
                <w:lang w:bidi="ar"/>
              </w:rPr>
              <w:t>100,000.00</w:t>
            </w:r>
          </w:p>
        </w:tc>
        <w:tc>
          <w:tcPr>
            <w:tcW w:w="716" w:type="dxa"/>
            <w:vAlign w:val="center"/>
          </w:tcPr>
          <w:p w14:paraId="5C60C1E7">
            <w:pPr>
              <w:jc w:val="right"/>
              <w:rPr>
                <w:rFonts w:cs="Times New Roman"/>
                <w:sz w:val="18"/>
                <w:szCs w:val="18"/>
              </w:rPr>
            </w:pPr>
          </w:p>
        </w:tc>
        <w:tc>
          <w:tcPr>
            <w:tcW w:w="1386" w:type="dxa"/>
            <w:vAlign w:val="center"/>
          </w:tcPr>
          <w:p w14:paraId="7A425CBF">
            <w:pPr>
              <w:jc w:val="right"/>
              <w:textAlignment w:val="center"/>
              <w:rPr>
                <w:rFonts w:cs="Times New Roman"/>
                <w:sz w:val="18"/>
                <w:szCs w:val="18"/>
              </w:rPr>
            </w:pPr>
            <w:r>
              <w:rPr>
                <w:rFonts w:eastAsia="Arial Narrow" w:cs="Times New Roman"/>
                <w:color w:val="000000"/>
                <w:sz w:val="18"/>
                <w:szCs w:val="18"/>
                <w:lang w:bidi="ar"/>
              </w:rPr>
              <w:t>-63,216,057.34</w:t>
            </w:r>
          </w:p>
        </w:tc>
        <w:tc>
          <w:tcPr>
            <w:tcW w:w="1602" w:type="dxa"/>
            <w:vAlign w:val="center"/>
          </w:tcPr>
          <w:p w14:paraId="49F8A7A8">
            <w:pPr>
              <w:jc w:val="right"/>
              <w:textAlignment w:val="center"/>
              <w:rPr>
                <w:rFonts w:cs="Times New Roman"/>
                <w:sz w:val="18"/>
                <w:szCs w:val="18"/>
              </w:rPr>
            </w:pPr>
            <w:r>
              <w:rPr>
                <w:rFonts w:eastAsia="Arial Narrow" w:cs="Times New Roman"/>
                <w:color w:val="000000"/>
                <w:sz w:val="18"/>
                <w:szCs w:val="18"/>
                <w:lang w:bidi="ar"/>
              </w:rPr>
              <w:t>1,440,654,830.34</w:t>
            </w:r>
          </w:p>
        </w:tc>
      </w:tr>
    </w:tbl>
    <w:p w14:paraId="702909D3">
      <w:pPr>
        <w:rPr>
          <w:color w:val="000000" w:themeColor="text1"/>
          <w14:textFill>
            <w14:solidFill>
              <w14:schemeClr w14:val="tx1"/>
            </w14:solidFill>
          </w14:textFill>
        </w:rPr>
      </w:pPr>
    </w:p>
    <w:p w14:paraId="4A22D88D">
      <w:pPr>
        <w:rPr>
          <w:color w:val="000000" w:themeColor="text1"/>
          <w14:textFill>
            <w14:solidFill>
              <w14:schemeClr w14:val="tx1"/>
            </w14:solidFill>
          </w14:textFill>
        </w:rPr>
      </w:pPr>
      <w:bookmarkStart w:id="254" w:name="_Hlk167890685"/>
      <w:bookmarkStart w:id="255" w:name="_Hlk154157836"/>
      <w:r>
        <w:rPr>
          <w:rFonts w:hint="eastAsia"/>
          <w:color w:val="000000" w:themeColor="text1"/>
          <w14:textFill>
            <w14:solidFill>
              <w14:schemeClr w14:val="tx1"/>
            </w14:solidFill>
          </w14:textFill>
        </w:rPr>
        <w:t>其中本期坏账准备转回或收回金额重要的：</w:t>
      </w:r>
    </w:p>
    <w:sdt>
      <w:sdtPr>
        <w:rPr>
          <w:color w:val="000000" w:themeColor="text1"/>
          <w14:textFill>
            <w14:solidFill>
              <w14:schemeClr w14:val="tx1"/>
            </w14:solidFill>
          </w14:textFill>
        </w:rPr>
        <w:alias w:val="是否适用：其中本期其他应收账款坏账准备收回或转回金额重要的[双击切换]"/>
        <w:tag w:val="_GBC_eff381ff9a444ac19dde18c443ef3ff1"/>
        <w:id w:val="147468099"/>
        <w:placeholder>
          <w:docPart w:val="GBC22222222222222222222222222222"/>
        </w:placeholder>
      </w:sdtPr>
      <w:sdtEndPr>
        <w:rPr>
          <w:color w:val="000000" w:themeColor="text1"/>
          <w14:textFill>
            <w14:solidFill>
              <w14:schemeClr w14:val="tx1"/>
            </w14:solidFill>
          </w14:textFill>
        </w:rPr>
      </w:sdtEndPr>
      <w:sdtContent>
        <w:p w14:paraId="08BB716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7E800DC">
      <w:pPr>
        <w:rPr>
          <w:color w:val="000000" w:themeColor="text1"/>
          <w14:textFill>
            <w14:solidFill>
              <w14:schemeClr w14:val="tx1"/>
            </w14:solidFill>
          </w14:textFill>
        </w:rPr>
      </w:pPr>
    </w:p>
    <w:p w14:paraId="77749A93">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其他应收款坏账准备情况的说明"/>
        <w:tag w:val="_GBC_11748f5205eb4dda805c8e59fe7ff0df"/>
        <w:id w:val="147473637"/>
        <w:placeholder>
          <w:docPart w:val="GBC22222222222222222222222222222"/>
        </w:placeholder>
      </w:sdtPr>
      <w:sdtEndPr>
        <w:rPr>
          <w:color w:val="000000" w:themeColor="text1"/>
          <w14:textFill>
            <w14:solidFill>
              <w14:schemeClr w14:val="tx1"/>
            </w14:solidFill>
          </w14:textFill>
        </w:rPr>
      </w:sdtEndPr>
      <w:sdtContent>
        <w:p w14:paraId="167C274C">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bookmarkEnd w:id="254"/>
    <w:bookmarkEnd w:id="255"/>
    <w:p w14:paraId="589A7C77">
      <w:pPr>
        <w:rPr>
          <w:color w:val="000000" w:themeColor="text1"/>
          <w14:textFill>
            <w14:solidFill>
              <w14:schemeClr w14:val="tx1"/>
            </w14:solidFill>
          </w14:textFill>
        </w:rPr>
      </w:pPr>
    </w:p>
    <w:bookmarkEnd w:id="253"/>
    <w:p w14:paraId="157FE8C1">
      <w:pPr>
        <w:pStyle w:val="6"/>
        <w:numPr>
          <w:ilvl w:val="0"/>
          <w:numId w:val="62"/>
        </w:numPr>
      </w:pPr>
      <w:r>
        <w:rPr>
          <w:rFonts w:hint="eastAsia"/>
        </w:rPr>
        <w:t>本期实际核销的其他应收款情况</w:t>
      </w:r>
    </w:p>
    <w:sdt>
      <w:sdtPr>
        <w:rPr>
          <w:color w:val="000000" w:themeColor="text1"/>
          <w14:textFill>
            <w14:solidFill>
              <w14:schemeClr w14:val="tx1"/>
            </w14:solidFill>
          </w14:textFill>
        </w:rPr>
        <w:alias w:val="是否适用：本期实际核销的其他应收款情况[双击切换]"/>
        <w:tag w:val="_GBC_99c0ad513e2447ba8b2267c169be5583"/>
        <w:id w:val="147480922"/>
        <w:placeholder>
          <w:docPart w:val="GBC22222222222222222222222222222"/>
        </w:placeholder>
      </w:sdtPr>
      <w:sdtEndPr>
        <w:rPr>
          <w:color w:val="000000" w:themeColor="text1"/>
          <w14:textFill>
            <w14:solidFill>
              <w14:schemeClr w14:val="tx1"/>
            </w14:solidFill>
          </w14:textFill>
        </w:rPr>
      </w:sdtEndPr>
      <w:sdtContent>
        <w:p w14:paraId="491030D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78CB094">
      <w:pPr>
        <w:rPr>
          <w:color w:val="000000" w:themeColor="text1"/>
          <w14:textFill>
            <w14:solidFill>
              <w14:schemeClr w14:val="tx1"/>
            </w14:solidFill>
          </w14:textFill>
        </w:rPr>
      </w:pPr>
    </w:p>
    <w:p w14:paraId="33014C26">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其中重要的其他应收款核销情况：</w:t>
      </w:r>
    </w:p>
    <w:sdt>
      <w:sdtPr>
        <w:rPr>
          <w:color w:val="000000" w:themeColor="text1"/>
          <w14:textFill>
            <w14:solidFill>
              <w14:schemeClr w14:val="tx1"/>
            </w14:solidFill>
          </w14:textFill>
        </w:rPr>
        <w:alias w:val="是否适用：其中重要的其他应收款核销情况[双击切换]"/>
        <w:tag w:val="_GBC_18f34d9f47f24d07986c3f3568dd2c70"/>
        <w:id w:val="147467514"/>
        <w:placeholder>
          <w:docPart w:val="GBC22222222222222222222222222222"/>
        </w:placeholder>
      </w:sdtPr>
      <w:sdtEndPr>
        <w:rPr>
          <w:color w:val="000000" w:themeColor="text1"/>
          <w14:textFill>
            <w14:solidFill>
              <w14:schemeClr w14:val="tx1"/>
            </w14:solidFill>
          </w14:textFill>
        </w:rPr>
      </w:sdtEndPr>
      <w:sdtContent>
        <w:p w14:paraId="3965603F">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9668A7F">
      <w:pPr>
        <w:snapToGrid w:val="0"/>
        <w:spacing w:line="240" w:lineRule="atLeast"/>
        <w:rPr>
          <w:color w:val="000000" w:themeColor="text1"/>
          <w14:textFill>
            <w14:solidFill>
              <w14:schemeClr w14:val="tx1"/>
            </w14:solidFill>
          </w14:textFill>
        </w:rPr>
      </w:pPr>
    </w:p>
    <w:p w14:paraId="467A163C">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其他应收款核销说明：</w:t>
      </w:r>
    </w:p>
    <w:sdt>
      <w:sdtPr>
        <w:rPr>
          <w:b/>
          <w:bCs w:val="0"/>
          <w:color w:val="000000" w:themeColor="text1"/>
          <w14:textFill>
            <w14:solidFill>
              <w14:schemeClr w14:val="tx1"/>
            </w14:solidFill>
          </w14:textFill>
        </w:rPr>
        <w:alias w:val="是否适用：其他应收款冲销坏帐明细的说明[双击切换]"/>
        <w:tag w:val="_GBC_04f9a50bf0244ec4a466448325e84289"/>
        <w:id w:val="147454959"/>
        <w:placeholder>
          <w:docPart w:val="GBC22222222222222222222222222222"/>
        </w:placeholder>
      </w:sdtPr>
      <w:sdtEndPr>
        <w:rPr>
          <w:b w:val="0"/>
          <w:bCs w:val="0"/>
          <w:color w:val="000000" w:themeColor="text1"/>
          <w14:textFill>
            <w14:solidFill>
              <w14:schemeClr w14:val="tx1"/>
            </w14:solidFill>
          </w14:textFill>
        </w:rPr>
      </w:sdtEndPr>
      <w:sdtContent>
        <w:p w14:paraId="7952CBDD">
          <w:pPr>
            <w:snapToGrid w:val="0"/>
            <w:spacing w:line="240" w:lineRule="atLeast"/>
            <w:rPr>
              <w:color w:val="000000" w:themeColor="text1"/>
              <w14:textFill>
                <w14:solidFill>
                  <w14:schemeClr w14:val="tx1"/>
                </w14:solidFill>
              </w14:textFill>
            </w:rPr>
          </w:pPr>
          <w:r>
            <w:rPr>
              <w:rFonts w:ascii="宋体" w:hAnsi="宋体"/>
              <w:bCs w:val="0"/>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bCs w:val="0"/>
              <w:color w:val="000000" w:themeColor="text1"/>
              <w14:textFill>
                <w14:solidFill>
                  <w14:schemeClr w14:val="tx1"/>
                </w14:solidFill>
              </w14:textFill>
            </w:rPr>
            <w:fldChar w:fldCharType="end"/>
          </w:r>
          <w:r>
            <w:rPr>
              <w:rFonts w:ascii="宋体" w:hAnsi="宋体"/>
              <w:bCs w:val="0"/>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bCs w:val="0"/>
              <w:color w:val="000000" w:themeColor="text1"/>
              <w14:textFill>
                <w14:solidFill>
                  <w14:schemeClr w14:val="tx1"/>
                </w14:solidFill>
              </w14:textFill>
            </w:rPr>
            <w:fldChar w:fldCharType="end"/>
          </w:r>
        </w:p>
      </w:sdtContent>
    </w:sdt>
    <w:p w14:paraId="643A8973">
      <w:pPr>
        <w:rPr>
          <w:color w:val="000000" w:themeColor="text1"/>
          <w14:textFill>
            <w14:solidFill>
              <w14:schemeClr w14:val="tx1"/>
            </w14:solidFill>
          </w14:textFill>
        </w:rPr>
      </w:pPr>
    </w:p>
    <w:p w14:paraId="68332488">
      <w:pPr>
        <w:pStyle w:val="6"/>
        <w:numPr>
          <w:ilvl w:val="0"/>
          <w:numId w:val="62"/>
        </w:numPr>
      </w:pPr>
      <w:r>
        <w:rPr>
          <w:rFonts w:hint="eastAsia"/>
        </w:rPr>
        <w:t>按欠款方归集的期末余额前五名的其他应收款情况</w:t>
      </w:r>
    </w:p>
    <w:sdt>
      <w:sdtPr>
        <w:rPr>
          <w:color w:val="000000" w:themeColor="text1"/>
          <w14:textFill>
            <w14:solidFill>
              <w14:schemeClr w14:val="tx1"/>
            </w14:solidFill>
          </w14:textFill>
        </w:rPr>
        <w:alias w:val="是否适用：按欠款方归集的期末余额前五名的其他应收款情况[双击切换]"/>
        <w:tag w:val="_GBC_1ad831584f90441b93cce7d9b7baa3c9"/>
        <w:id w:val="147454759"/>
        <w:placeholder>
          <w:docPart w:val="GBC22222222222222222222222222222"/>
        </w:placeholder>
      </w:sdtPr>
      <w:sdtEndPr>
        <w:rPr>
          <w:color w:val="000000" w:themeColor="text1"/>
          <w14:textFill>
            <w14:solidFill>
              <w14:schemeClr w14:val="tx1"/>
            </w14:solidFill>
          </w14:textFill>
        </w:rPr>
      </w:sdtEndPr>
      <w:sdtContent>
        <w:p w14:paraId="1FD2554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87EB53F">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其他应收账款前五名欠款情况"/>
          <w:tag w:val="_GBC_1f85b3036b0644cbaf6c33311b7f159d"/>
          <w:id w:val="1474530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其他应收账款前五名欠款情况"/>
          <w:tag w:val="_GBC_bc5cf48306144a92af62fef51b293c5a"/>
          <w:id w:val="1474686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509"/>
        <w:gridCol w:w="1741"/>
        <w:gridCol w:w="1369"/>
        <w:gridCol w:w="1326"/>
        <w:gridCol w:w="1303"/>
        <w:gridCol w:w="1647"/>
      </w:tblGrid>
      <w:tr w14:paraId="798DB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6d371f7abd044db6abe05c7f74810d89"/>
            <w:id w:val="147461657"/>
          </w:sdtPr>
          <w:sdtContent>
            <w:tc>
              <w:tcPr>
                <w:tcW w:w="848" w:type="pct"/>
                <w:vAlign w:val="center"/>
              </w:tcPr>
              <w:p w14:paraId="6BD6FAD8">
                <w:pPr>
                  <w:ind w:right="10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单位名称</w:t>
                </w:r>
              </w:p>
            </w:tc>
          </w:sdtContent>
        </w:sdt>
        <w:sdt>
          <w:sdtPr>
            <w:tag w:val="_PLD_9561b3d624ee40c28568fb322a981ebc"/>
            <w:id w:val="147461395"/>
          </w:sdtPr>
          <w:sdtContent>
            <w:tc>
              <w:tcPr>
                <w:tcW w:w="978" w:type="pct"/>
                <w:vAlign w:val="center"/>
              </w:tcPr>
              <w:p w14:paraId="6FB28C2B">
                <w:pPr>
                  <w:ind w:right="7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e2774c827e314521821234a0e399c2c1"/>
            <w:id w:val="147477575"/>
          </w:sdtPr>
          <w:sdtContent>
            <w:tc>
              <w:tcPr>
                <w:tcW w:w="769" w:type="pct"/>
                <w:vAlign w:val="center"/>
              </w:tcPr>
              <w:p w14:paraId="5C9BE86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占其他应收款期末余额合计数的比例(</w:t>
                </w:r>
                <w:r>
                  <w:rPr>
                    <w:color w:val="000000" w:themeColor="text1"/>
                    <w14:textFill>
                      <w14:solidFill>
                        <w14:schemeClr w14:val="tx1"/>
                      </w14:solidFill>
                    </w14:textFill>
                  </w:rPr>
                  <w:t>%)</w:t>
                </w:r>
              </w:p>
            </w:tc>
          </w:sdtContent>
        </w:sdt>
        <w:sdt>
          <w:sdtPr>
            <w:tag w:val="_PLD_538171446ab849ca976672ecf5055c60"/>
            <w:id w:val="147477847"/>
          </w:sdtPr>
          <w:sdtContent>
            <w:tc>
              <w:tcPr>
                <w:tcW w:w="745" w:type="pct"/>
                <w:vAlign w:val="center"/>
              </w:tcPr>
              <w:p w14:paraId="03915F2E">
                <w:pPr>
                  <w:ind w:right="7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款项的性质</w:t>
                </w:r>
              </w:p>
            </w:tc>
          </w:sdtContent>
        </w:sdt>
        <w:sdt>
          <w:sdtPr>
            <w:tag w:val="_PLD_a97392b37d5d4c709a23cfdece48161b"/>
            <w:id w:val="147455219"/>
          </w:sdtPr>
          <w:sdtContent>
            <w:tc>
              <w:tcPr>
                <w:tcW w:w="732" w:type="pct"/>
                <w:vAlign w:val="center"/>
              </w:tcPr>
              <w:p w14:paraId="47E85E45">
                <w:pPr>
                  <w:ind w:right="7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账龄</w:t>
                </w:r>
              </w:p>
            </w:tc>
          </w:sdtContent>
        </w:sdt>
        <w:sdt>
          <w:sdtPr>
            <w:tag w:val="_PLD_ac7ac1a39d1a46eb9269fc6979d54f6f"/>
            <w:id w:val="147460421"/>
          </w:sdtPr>
          <w:sdtContent>
            <w:tc>
              <w:tcPr>
                <w:tcW w:w="925" w:type="pct"/>
                <w:vAlign w:val="center"/>
              </w:tcPr>
              <w:p w14:paraId="21523CD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坏账准备</w:t>
                </w:r>
              </w:p>
              <w:p w14:paraId="0A60FAD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tr>
      <w:tr w14:paraId="732CA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48" w:type="pct"/>
          </w:tcPr>
          <w:p w14:paraId="05F0969B">
            <w:pPr>
              <w:textAlignment w:val="top"/>
            </w:pPr>
            <w:r>
              <w:rPr>
                <w:rFonts w:cs="Times New Roman"/>
                <w:color w:val="000000"/>
                <w:lang w:bidi="ar"/>
              </w:rPr>
              <w:t>债务人一</w:t>
            </w:r>
          </w:p>
        </w:tc>
        <w:tc>
          <w:tcPr>
            <w:tcW w:w="978" w:type="pct"/>
            <w:vAlign w:val="center"/>
          </w:tcPr>
          <w:p w14:paraId="495F2A19">
            <w:pPr>
              <w:jc w:val="right"/>
              <w:textAlignment w:val="center"/>
              <w:rPr>
                <w:rFonts w:cs="Times New Roman"/>
              </w:rPr>
            </w:pPr>
            <w:r>
              <w:rPr>
                <w:rFonts w:eastAsia="Arial Narrow" w:cs="Times New Roman"/>
                <w:color w:val="000000"/>
                <w:lang w:bidi="ar"/>
              </w:rPr>
              <w:t>480,528,300.00</w:t>
            </w:r>
          </w:p>
        </w:tc>
        <w:tc>
          <w:tcPr>
            <w:tcW w:w="769" w:type="pct"/>
            <w:vAlign w:val="center"/>
          </w:tcPr>
          <w:p w14:paraId="4D75B33E">
            <w:pPr>
              <w:jc w:val="right"/>
              <w:textAlignment w:val="center"/>
              <w:rPr>
                <w:rFonts w:cs="Times New Roman"/>
              </w:rPr>
            </w:pPr>
            <w:r>
              <w:rPr>
                <w:rFonts w:eastAsia="Arial Narrow" w:cs="Times New Roman"/>
                <w:color w:val="000000"/>
                <w:lang w:bidi="ar"/>
              </w:rPr>
              <w:t>23.31</w:t>
            </w:r>
          </w:p>
        </w:tc>
        <w:tc>
          <w:tcPr>
            <w:tcW w:w="745" w:type="pct"/>
            <w:vAlign w:val="center"/>
          </w:tcPr>
          <w:p w14:paraId="31BCEB1A">
            <w:pPr>
              <w:jc w:val="center"/>
              <w:textAlignment w:val="center"/>
              <w:rPr>
                <w:rFonts w:cs="Times New Roman"/>
              </w:rPr>
            </w:pPr>
            <w:r>
              <w:rPr>
                <w:rFonts w:cs="Times New Roman"/>
                <w:color w:val="000000"/>
              </w:rPr>
              <w:t>涉诉往来款</w:t>
            </w:r>
          </w:p>
        </w:tc>
        <w:tc>
          <w:tcPr>
            <w:tcW w:w="732" w:type="pct"/>
            <w:vAlign w:val="center"/>
          </w:tcPr>
          <w:p w14:paraId="58F86C61">
            <w:pPr>
              <w:jc w:val="center"/>
              <w:textAlignment w:val="center"/>
              <w:rPr>
                <w:rFonts w:cs="Times New Roman"/>
              </w:rPr>
            </w:pPr>
            <w:r>
              <w:rPr>
                <w:rFonts w:cs="Times New Roman"/>
                <w:color w:val="000000"/>
              </w:rPr>
              <w:t>5年以上</w:t>
            </w:r>
          </w:p>
        </w:tc>
        <w:tc>
          <w:tcPr>
            <w:tcW w:w="925" w:type="pct"/>
            <w:vAlign w:val="center"/>
          </w:tcPr>
          <w:p w14:paraId="1739DAAE">
            <w:pPr>
              <w:jc w:val="right"/>
              <w:textAlignment w:val="center"/>
              <w:rPr>
                <w:rFonts w:cs="Times New Roman"/>
              </w:rPr>
            </w:pPr>
            <w:r>
              <w:rPr>
                <w:rFonts w:cs="Times New Roman"/>
                <w:color w:val="000000"/>
              </w:rPr>
              <w:t>353,670,368.00</w:t>
            </w:r>
          </w:p>
        </w:tc>
      </w:tr>
      <w:tr w14:paraId="75BB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48" w:type="pct"/>
          </w:tcPr>
          <w:p w14:paraId="6738C82A">
            <w:pPr>
              <w:textAlignment w:val="top"/>
            </w:pPr>
            <w:r>
              <w:rPr>
                <w:rFonts w:cs="Times New Roman"/>
                <w:color w:val="000000"/>
                <w:lang w:bidi="ar"/>
              </w:rPr>
              <w:t>债务人二</w:t>
            </w:r>
          </w:p>
        </w:tc>
        <w:tc>
          <w:tcPr>
            <w:tcW w:w="978" w:type="pct"/>
            <w:vAlign w:val="center"/>
          </w:tcPr>
          <w:p w14:paraId="1532508F">
            <w:pPr>
              <w:jc w:val="right"/>
              <w:textAlignment w:val="center"/>
              <w:rPr>
                <w:rFonts w:cs="Times New Roman"/>
              </w:rPr>
            </w:pPr>
            <w:r>
              <w:rPr>
                <w:rFonts w:eastAsia="Arial Narrow" w:cs="Times New Roman"/>
                <w:color w:val="000000"/>
                <w:lang w:bidi="ar"/>
              </w:rPr>
              <w:t>208,180,775.20</w:t>
            </w:r>
          </w:p>
        </w:tc>
        <w:tc>
          <w:tcPr>
            <w:tcW w:w="769" w:type="pct"/>
            <w:vAlign w:val="center"/>
          </w:tcPr>
          <w:p w14:paraId="0BD7CD46">
            <w:pPr>
              <w:jc w:val="right"/>
              <w:textAlignment w:val="center"/>
              <w:rPr>
                <w:rFonts w:cs="Times New Roman"/>
              </w:rPr>
            </w:pPr>
            <w:r>
              <w:rPr>
                <w:rFonts w:eastAsia="Arial Narrow" w:cs="Times New Roman"/>
                <w:color w:val="000000"/>
                <w:lang w:bidi="ar"/>
              </w:rPr>
              <w:t>10.10</w:t>
            </w:r>
          </w:p>
        </w:tc>
        <w:tc>
          <w:tcPr>
            <w:tcW w:w="745" w:type="pct"/>
            <w:vAlign w:val="center"/>
          </w:tcPr>
          <w:p w14:paraId="389E006D">
            <w:pPr>
              <w:jc w:val="center"/>
              <w:textAlignment w:val="center"/>
              <w:rPr>
                <w:rFonts w:cs="Times New Roman"/>
              </w:rPr>
            </w:pPr>
            <w:r>
              <w:rPr>
                <w:rFonts w:cs="Times New Roman"/>
                <w:color w:val="000000"/>
              </w:rPr>
              <w:t>往来款</w:t>
            </w:r>
          </w:p>
        </w:tc>
        <w:tc>
          <w:tcPr>
            <w:tcW w:w="732" w:type="pct"/>
            <w:vAlign w:val="center"/>
          </w:tcPr>
          <w:p w14:paraId="167A11DC">
            <w:pPr>
              <w:jc w:val="center"/>
              <w:textAlignment w:val="center"/>
              <w:rPr>
                <w:rFonts w:cs="Times New Roman"/>
              </w:rPr>
            </w:pPr>
            <w:r>
              <w:rPr>
                <w:rFonts w:cs="Times New Roman"/>
                <w:color w:val="000000"/>
              </w:rPr>
              <w:t>5年以上</w:t>
            </w:r>
          </w:p>
        </w:tc>
        <w:tc>
          <w:tcPr>
            <w:tcW w:w="925" w:type="pct"/>
            <w:vAlign w:val="center"/>
          </w:tcPr>
          <w:p w14:paraId="2DC59F61">
            <w:pPr>
              <w:jc w:val="right"/>
              <w:textAlignment w:val="center"/>
              <w:rPr>
                <w:rFonts w:cs="Times New Roman"/>
              </w:rPr>
            </w:pPr>
            <w:r>
              <w:rPr>
                <w:rFonts w:cs="Times New Roman"/>
                <w:color w:val="000000"/>
              </w:rPr>
              <w:t>208,180,775.20</w:t>
            </w:r>
          </w:p>
        </w:tc>
      </w:tr>
      <w:tr w14:paraId="274D2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48" w:type="pct"/>
          </w:tcPr>
          <w:p w14:paraId="10300362">
            <w:pPr>
              <w:textAlignment w:val="top"/>
            </w:pPr>
            <w:r>
              <w:rPr>
                <w:rFonts w:cs="Times New Roman"/>
                <w:color w:val="000000"/>
                <w:lang w:bidi="ar"/>
              </w:rPr>
              <w:t>债务人三</w:t>
            </w:r>
          </w:p>
        </w:tc>
        <w:tc>
          <w:tcPr>
            <w:tcW w:w="978" w:type="pct"/>
            <w:vAlign w:val="center"/>
          </w:tcPr>
          <w:p w14:paraId="03905711">
            <w:pPr>
              <w:jc w:val="right"/>
              <w:textAlignment w:val="center"/>
              <w:rPr>
                <w:rFonts w:cs="Times New Roman"/>
              </w:rPr>
            </w:pPr>
            <w:r>
              <w:rPr>
                <w:rFonts w:eastAsia="Arial Narrow" w:cs="Times New Roman"/>
                <w:color w:val="000000"/>
                <w:lang w:bidi="ar"/>
              </w:rPr>
              <w:t>134,295,801.02</w:t>
            </w:r>
          </w:p>
        </w:tc>
        <w:tc>
          <w:tcPr>
            <w:tcW w:w="769" w:type="pct"/>
            <w:vAlign w:val="center"/>
          </w:tcPr>
          <w:p w14:paraId="0B28AD4F">
            <w:pPr>
              <w:jc w:val="right"/>
              <w:textAlignment w:val="center"/>
              <w:rPr>
                <w:rFonts w:cs="Times New Roman"/>
              </w:rPr>
            </w:pPr>
            <w:r>
              <w:rPr>
                <w:rFonts w:eastAsia="Arial Narrow" w:cs="Times New Roman"/>
                <w:color w:val="000000"/>
                <w:lang w:bidi="ar"/>
              </w:rPr>
              <w:t>6.52</w:t>
            </w:r>
          </w:p>
        </w:tc>
        <w:tc>
          <w:tcPr>
            <w:tcW w:w="745" w:type="pct"/>
            <w:vAlign w:val="center"/>
          </w:tcPr>
          <w:p w14:paraId="13F7618F">
            <w:pPr>
              <w:jc w:val="center"/>
              <w:textAlignment w:val="center"/>
              <w:rPr>
                <w:rFonts w:cs="Times New Roman"/>
              </w:rPr>
            </w:pPr>
            <w:r>
              <w:rPr>
                <w:rFonts w:cs="Times New Roman"/>
                <w:color w:val="000000"/>
              </w:rPr>
              <w:t>往来款</w:t>
            </w:r>
          </w:p>
        </w:tc>
        <w:tc>
          <w:tcPr>
            <w:tcW w:w="732" w:type="pct"/>
            <w:vAlign w:val="center"/>
          </w:tcPr>
          <w:p w14:paraId="5CD2B835">
            <w:pPr>
              <w:jc w:val="center"/>
              <w:textAlignment w:val="center"/>
              <w:rPr>
                <w:rFonts w:cs="Times New Roman"/>
              </w:rPr>
            </w:pPr>
            <w:r>
              <w:rPr>
                <w:rFonts w:cs="Times New Roman"/>
                <w:color w:val="000000"/>
              </w:rPr>
              <w:t>5年以上</w:t>
            </w:r>
          </w:p>
        </w:tc>
        <w:tc>
          <w:tcPr>
            <w:tcW w:w="925" w:type="pct"/>
            <w:vAlign w:val="center"/>
          </w:tcPr>
          <w:p w14:paraId="3E247FC7">
            <w:pPr>
              <w:jc w:val="right"/>
              <w:textAlignment w:val="center"/>
              <w:rPr>
                <w:rFonts w:cs="Times New Roman"/>
              </w:rPr>
            </w:pPr>
            <w:r>
              <w:rPr>
                <w:rFonts w:cs="Times New Roman"/>
                <w:color w:val="000000"/>
              </w:rPr>
              <w:t>134,295,801.02</w:t>
            </w:r>
          </w:p>
        </w:tc>
      </w:tr>
      <w:tr w14:paraId="6D23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48" w:type="pct"/>
          </w:tcPr>
          <w:p w14:paraId="1593977B">
            <w:pPr>
              <w:textAlignment w:val="top"/>
            </w:pPr>
            <w:r>
              <w:rPr>
                <w:rFonts w:cs="Times New Roman"/>
                <w:color w:val="000000"/>
                <w:lang w:bidi="ar"/>
              </w:rPr>
              <w:t>债务人四</w:t>
            </w:r>
          </w:p>
        </w:tc>
        <w:tc>
          <w:tcPr>
            <w:tcW w:w="978" w:type="pct"/>
            <w:vAlign w:val="center"/>
          </w:tcPr>
          <w:p w14:paraId="0A6215BF">
            <w:pPr>
              <w:jc w:val="right"/>
              <w:textAlignment w:val="center"/>
              <w:rPr>
                <w:rFonts w:cs="Times New Roman"/>
              </w:rPr>
            </w:pPr>
            <w:r>
              <w:rPr>
                <w:rFonts w:eastAsia="Arial Narrow" w:cs="Times New Roman"/>
                <w:color w:val="000000"/>
                <w:lang w:bidi="ar"/>
              </w:rPr>
              <w:t>103,786,567.99</w:t>
            </w:r>
          </w:p>
        </w:tc>
        <w:tc>
          <w:tcPr>
            <w:tcW w:w="769" w:type="pct"/>
            <w:vAlign w:val="center"/>
          </w:tcPr>
          <w:p w14:paraId="08007C2E">
            <w:pPr>
              <w:jc w:val="right"/>
              <w:textAlignment w:val="center"/>
              <w:rPr>
                <w:rFonts w:cs="Times New Roman"/>
              </w:rPr>
            </w:pPr>
            <w:r>
              <w:rPr>
                <w:rFonts w:eastAsia="Arial Narrow" w:cs="Times New Roman"/>
                <w:color w:val="000000"/>
                <w:lang w:bidi="ar"/>
              </w:rPr>
              <w:t>5.04</w:t>
            </w:r>
          </w:p>
        </w:tc>
        <w:tc>
          <w:tcPr>
            <w:tcW w:w="745" w:type="pct"/>
            <w:vAlign w:val="center"/>
          </w:tcPr>
          <w:p w14:paraId="77A64F10">
            <w:pPr>
              <w:jc w:val="center"/>
              <w:textAlignment w:val="center"/>
              <w:rPr>
                <w:rFonts w:cs="Times New Roman"/>
              </w:rPr>
            </w:pPr>
            <w:r>
              <w:rPr>
                <w:rFonts w:cs="Times New Roman"/>
                <w:color w:val="000000"/>
              </w:rPr>
              <w:t>往来款</w:t>
            </w:r>
          </w:p>
        </w:tc>
        <w:tc>
          <w:tcPr>
            <w:tcW w:w="732" w:type="pct"/>
            <w:vAlign w:val="center"/>
          </w:tcPr>
          <w:p w14:paraId="5F55B9CF">
            <w:pPr>
              <w:jc w:val="center"/>
              <w:textAlignment w:val="center"/>
              <w:rPr>
                <w:rFonts w:cs="Times New Roman"/>
              </w:rPr>
            </w:pPr>
            <w:r>
              <w:rPr>
                <w:rFonts w:cs="Times New Roman"/>
                <w:color w:val="000000"/>
              </w:rPr>
              <w:t>1-5年</w:t>
            </w:r>
          </w:p>
        </w:tc>
        <w:tc>
          <w:tcPr>
            <w:tcW w:w="925" w:type="pct"/>
            <w:vAlign w:val="center"/>
          </w:tcPr>
          <w:p w14:paraId="6B3C9944">
            <w:pPr>
              <w:jc w:val="right"/>
              <w:textAlignment w:val="center"/>
              <w:rPr>
                <w:rFonts w:cs="Times New Roman"/>
              </w:rPr>
            </w:pPr>
            <w:r>
              <w:rPr>
                <w:rFonts w:cs="Times New Roman"/>
                <w:color w:val="000000"/>
              </w:rPr>
              <w:t>103,786,567.99</w:t>
            </w:r>
          </w:p>
        </w:tc>
      </w:tr>
      <w:tr w14:paraId="6CFF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48" w:type="pct"/>
          </w:tcPr>
          <w:p w14:paraId="32E676B1">
            <w:pPr>
              <w:textAlignment w:val="top"/>
            </w:pPr>
            <w:r>
              <w:rPr>
                <w:rFonts w:cs="Times New Roman"/>
                <w:color w:val="000000"/>
                <w:lang w:bidi="ar"/>
              </w:rPr>
              <w:t>债务人五</w:t>
            </w:r>
          </w:p>
        </w:tc>
        <w:tc>
          <w:tcPr>
            <w:tcW w:w="978" w:type="pct"/>
            <w:vAlign w:val="center"/>
          </w:tcPr>
          <w:p w14:paraId="5AA5250C">
            <w:pPr>
              <w:jc w:val="right"/>
              <w:textAlignment w:val="center"/>
              <w:rPr>
                <w:rFonts w:cs="Times New Roman"/>
              </w:rPr>
            </w:pPr>
            <w:r>
              <w:rPr>
                <w:rFonts w:eastAsia="Arial Narrow" w:cs="Times New Roman"/>
                <w:color w:val="000000"/>
                <w:lang w:bidi="ar"/>
              </w:rPr>
              <w:t>63,633,872.83</w:t>
            </w:r>
          </w:p>
        </w:tc>
        <w:tc>
          <w:tcPr>
            <w:tcW w:w="769" w:type="pct"/>
            <w:vAlign w:val="center"/>
          </w:tcPr>
          <w:p w14:paraId="0E276A51">
            <w:pPr>
              <w:jc w:val="right"/>
              <w:textAlignment w:val="center"/>
              <w:rPr>
                <w:rFonts w:cs="Times New Roman"/>
              </w:rPr>
            </w:pPr>
            <w:r>
              <w:rPr>
                <w:rFonts w:eastAsia="Arial Narrow" w:cs="Times New Roman"/>
                <w:color w:val="000000"/>
                <w:lang w:bidi="ar"/>
              </w:rPr>
              <w:t>3.09</w:t>
            </w:r>
          </w:p>
        </w:tc>
        <w:tc>
          <w:tcPr>
            <w:tcW w:w="745" w:type="pct"/>
            <w:vAlign w:val="center"/>
          </w:tcPr>
          <w:p w14:paraId="58D2EAA2">
            <w:pPr>
              <w:jc w:val="center"/>
              <w:textAlignment w:val="center"/>
              <w:rPr>
                <w:rFonts w:cs="Times New Roman"/>
              </w:rPr>
            </w:pPr>
            <w:r>
              <w:rPr>
                <w:rFonts w:cs="Times New Roman"/>
                <w:color w:val="000000"/>
              </w:rPr>
              <w:t>往来款</w:t>
            </w:r>
          </w:p>
        </w:tc>
        <w:tc>
          <w:tcPr>
            <w:tcW w:w="732" w:type="pct"/>
            <w:vAlign w:val="center"/>
          </w:tcPr>
          <w:p w14:paraId="2F5DAC97">
            <w:pPr>
              <w:jc w:val="center"/>
              <w:textAlignment w:val="center"/>
              <w:rPr>
                <w:rFonts w:cs="Times New Roman"/>
              </w:rPr>
            </w:pPr>
            <w:r>
              <w:rPr>
                <w:rFonts w:cs="Times New Roman"/>
                <w:color w:val="000000"/>
              </w:rPr>
              <w:t>5年以上</w:t>
            </w:r>
          </w:p>
        </w:tc>
        <w:tc>
          <w:tcPr>
            <w:tcW w:w="925" w:type="pct"/>
            <w:vAlign w:val="center"/>
          </w:tcPr>
          <w:p w14:paraId="3D73BF9E">
            <w:pPr>
              <w:jc w:val="right"/>
              <w:textAlignment w:val="center"/>
              <w:rPr>
                <w:rFonts w:cs="Times New Roman"/>
              </w:rPr>
            </w:pPr>
            <w:r>
              <w:rPr>
                <w:rFonts w:cs="Times New Roman"/>
                <w:color w:val="000000"/>
              </w:rPr>
              <w:t>63,633,872.83</w:t>
            </w:r>
          </w:p>
        </w:tc>
      </w:tr>
      <w:tr w14:paraId="668B3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48" w:type="pct"/>
          </w:tcPr>
          <w:p w14:paraId="7E14FB99">
            <w:pPr>
              <w:ind w:right="10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978" w:type="pct"/>
            <w:vAlign w:val="center"/>
          </w:tcPr>
          <w:p w14:paraId="188BCE25">
            <w:pPr>
              <w:jc w:val="right"/>
              <w:textAlignment w:val="center"/>
              <w:rPr>
                <w:rFonts w:cs="Times New Roman"/>
              </w:rPr>
            </w:pPr>
            <w:r>
              <w:rPr>
                <w:rFonts w:eastAsia="Arial Narrow" w:cs="Times New Roman"/>
                <w:color w:val="000000"/>
                <w:lang w:bidi="ar"/>
              </w:rPr>
              <w:t>990,425,317.04</w:t>
            </w:r>
          </w:p>
        </w:tc>
        <w:tc>
          <w:tcPr>
            <w:tcW w:w="769" w:type="pct"/>
            <w:vAlign w:val="center"/>
          </w:tcPr>
          <w:p w14:paraId="3B1AB284">
            <w:pPr>
              <w:jc w:val="right"/>
              <w:textAlignment w:val="center"/>
              <w:rPr>
                <w:rFonts w:cs="Times New Roman"/>
              </w:rPr>
            </w:pPr>
            <w:r>
              <w:rPr>
                <w:rFonts w:eastAsia="Arial Narrow" w:cs="Times New Roman"/>
                <w:color w:val="000000"/>
                <w:lang w:bidi="ar"/>
              </w:rPr>
              <w:t>48.06</w:t>
            </w:r>
          </w:p>
        </w:tc>
        <w:tc>
          <w:tcPr>
            <w:tcW w:w="745" w:type="pct"/>
          </w:tcPr>
          <w:p w14:paraId="0AC64E5F">
            <w:pPr>
              <w:ind w:right="73"/>
              <w:jc w:val="center"/>
              <w:rPr>
                <w:rFonts w:cs="Times New Roman"/>
                <w:color w:val="000000" w:themeColor="text1"/>
                <w14:textFill>
                  <w14:solidFill>
                    <w14:schemeClr w14:val="tx1"/>
                  </w14:solidFill>
                </w14:textFill>
              </w:rPr>
            </w:pPr>
            <w:r>
              <w:rPr>
                <w:rFonts w:cs="Times New Roman"/>
                <w:color w:val="000000"/>
              </w:rPr>
              <w:t>/</w:t>
            </w:r>
          </w:p>
        </w:tc>
        <w:tc>
          <w:tcPr>
            <w:tcW w:w="732" w:type="pct"/>
          </w:tcPr>
          <w:p w14:paraId="20968EF1">
            <w:pPr>
              <w:ind w:right="73"/>
              <w:jc w:val="center"/>
              <w:rPr>
                <w:rFonts w:cs="Times New Roman"/>
                <w:color w:val="000000" w:themeColor="text1"/>
                <w14:textFill>
                  <w14:solidFill>
                    <w14:schemeClr w14:val="tx1"/>
                  </w14:solidFill>
                </w14:textFill>
              </w:rPr>
            </w:pPr>
            <w:r>
              <w:rPr>
                <w:rFonts w:cs="Times New Roman"/>
                <w:color w:val="000000"/>
              </w:rPr>
              <w:t>/</w:t>
            </w:r>
          </w:p>
        </w:tc>
        <w:tc>
          <w:tcPr>
            <w:tcW w:w="925" w:type="pct"/>
            <w:vAlign w:val="center"/>
          </w:tcPr>
          <w:p w14:paraId="125BC998">
            <w:pPr>
              <w:jc w:val="right"/>
              <w:textAlignment w:val="center"/>
              <w:rPr>
                <w:rFonts w:cs="Times New Roman"/>
              </w:rPr>
            </w:pPr>
            <w:r>
              <w:rPr>
                <w:rFonts w:cs="Times New Roman"/>
                <w:color w:val="000000"/>
              </w:rPr>
              <w:t>863,567,385.04</w:t>
            </w:r>
          </w:p>
        </w:tc>
      </w:tr>
    </w:tbl>
    <w:p w14:paraId="086DD5A7">
      <w:pPr>
        <w:snapToGrid w:val="0"/>
        <w:spacing w:line="240" w:lineRule="atLeast"/>
        <w:rPr>
          <w:color w:val="000000" w:themeColor="text1"/>
          <w14:textFill>
            <w14:solidFill>
              <w14:schemeClr w14:val="tx1"/>
            </w14:solidFill>
          </w14:textFill>
        </w:rPr>
      </w:pPr>
    </w:p>
    <w:p w14:paraId="6C1A19D5">
      <w:pPr>
        <w:pStyle w:val="6"/>
        <w:numPr>
          <w:ilvl w:val="0"/>
          <w:numId w:val="62"/>
        </w:numPr>
      </w:pPr>
      <w:bookmarkStart w:id="256" w:name="_Hlk167891115"/>
      <w:r>
        <w:rPr>
          <w:rFonts w:hint="eastAsia"/>
        </w:rPr>
        <w:t>因资金集中管理而列报于其他应收款</w:t>
      </w:r>
    </w:p>
    <w:sdt>
      <w:sdtPr>
        <w:rPr>
          <w:color w:val="000000" w:themeColor="text1"/>
          <w14:textFill>
            <w14:solidFill>
              <w14:schemeClr w14:val="tx1"/>
            </w14:solidFill>
          </w14:textFill>
        </w:rPr>
        <w:alias w:val="是否适用：因资金集中管理而列报于其他应收款[双击切换]"/>
        <w:tag w:val="_GBC_4dd617ad43cc44e08e5603fa324c6566"/>
        <w:id w:val="147476522"/>
        <w:placeholder>
          <w:docPart w:val="GBC22222222222222222222222222222"/>
        </w:placeholder>
      </w:sdtPr>
      <w:sdtEndPr>
        <w:rPr>
          <w:color w:val="000000" w:themeColor="text1"/>
          <w14:textFill>
            <w14:solidFill>
              <w14:schemeClr w14:val="tx1"/>
            </w14:solidFill>
          </w14:textFill>
        </w:rPr>
      </w:sdtEndPr>
      <w:sdtContent>
        <w:p w14:paraId="6EED2F9A">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256"/>
    <w:p w14:paraId="20A5B97E">
      <w:pPr>
        <w:snapToGrid w:val="0"/>
        <w:spacing w:line="240" w:lineRule="atLeast"/>
        <w:rPr>
          <w:color w:val="000000" w:themeColor="text1"/>
          <w14:textFill>
            <w14:solidFill>
              <w14:schemeClr w14:val="tx1"/>
            </w14:solidFill>
          </w14:textFill>
        </w:rPr>
        <w:sectPr>
          <w:pgSz w:w="11906" w:h="16838"/>
          <w:pgMar w:top="1525" w:right="1276" w:bottom="1440" w:left="1797" w:header="856" w:footer="992" w:gutter="0"/>
          <w:cols w:space="425" w:num="1"/>
          <w:docGrid w:linePitch="312" w:charSpace="0"/>
        </w:sectPr>
      </w:pPr>
    </w:p>
    <w:p w14:paraId="3C73AC9F">
      <w:pPr>
        <w:snapToGrid w:val="0"/>
        <w:spacing w:line="240" w:lineRule="atLeast"/>
        <w:rPr>
          <w:color w:val="000000" w:themeColor="text1"/>
          <w14:textFill>
            <w14:solidFill>
              <w14:schemeClr w14:val="tx1"/>
            </w14:solidFill>
          </w14:textFill>
        </w:rPr>
      </w:pPr>
    </w:p>
    <w:p w14:paraId="7192031D">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说明：</w:t>
      </w:r>
    </w:p>
    <w:sdt>
      <w:sdtPr>
        <w:rPr>
          <w:color w:val="000000" w:themeColor="text1"/>
          <w14:textFill>
            <w14:solidFill>
              <w14:schemeClr w14:val="tx1"/>
            </w14:solidFill>
          </w14:textFill>
        </w:rPr>
        <w:alias w:val="是否适用：其他应收款的其他说明[双击切换]"/>
        <w:tag w:val="_GBC_55d570440c184744bd13a4938ba488d1"/>
        <w:id w:val="147458044"/>
        <w:placeholder>
          <w:docPart w:val="GBC22222222222222222222222222222"/>
        </w:placeholder>
      </w:sdtPr>
      <w:sdtEndPr>
        <w:rPr>
          <w:color w:val="000000" w:themeColor="text1"/>
          <w14:textFill>
            <w14:solidFill>
              <w14:schemeClr w14:val="tx1"/>
            </w14:solidFill>
          </w14:textFill>
        </w:rPr>
      </w:sdtEndPr>
      <w:sdtContent>
        <w:p w14:paraId="17C40FF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F71FCC9">
      <w:pPr>
        <w:rPr>
          <w:color w:val="000000" w:themeColor="text1"/>
          <w14:textFill>
            <w14:solidFill>
              <w14:schemeClr w14:val="tx1"/>
            </w14:solidFill>
          </w14:textFill>
        </w:rPr>
      </w:pPr>
    </w:p>
    <w:p w14:paraId="45E3E96A">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存货</w:t>
      </w:r>
    </w:p>
    <w:p w14:paraId="3F160C47">
      <w:pPr>
        <w:pStyle w:val="58"/>
        <w:numPr>
          <w:ilvl w:val="0"/>
          <w:numId w:val="63"/>
        </w:numPr>
        <w:tabs>
          <w:tab w:val="left" w:pos="630"/>
        </w:tabs>
        <w:rPr>
          <w:rFonts w:ascii="宋体" w:hAnsi="宋体"/>
          <w:color w:val="000000" w:themeColor="text1"/>
          <w14:textFill>
            <w14:solidFill>
              <w14:schemeClr w14:val="tx1"/>
            </w14:solidFill>
          </w14:textFill>
        </w:rPr>
      </w:pPr>
      <w:bookmarkStart w:id="257" w:name="_Hlk10470159"/>
      <w:r>
        <w:rPr>
          <w:rFonts w:hint="eastAsia" w:ascii="宋体" w:hAnsi="宋体"/>
          <w:color w:val="000000" w:themeColor="text1"/>
          <w14:textFill>
            <w14:solidFill>
              <w14:schemeClr w14:val="tx1"/>
            </w14:solidFill>
          </w14:textFill>
        </w:rPr>
        <w:t>存货分类</w:t>
      </w:r>
    </w:p>
    <w:sdt>
      <w:sdtPr>
        <w:rPr>
          <w:color w:val="000000" w:themeColor="text1"/>
          <w14:textFill>
            <w14:solidFill>
              <w14:schemeClr w14:val="tx1"/>
            </w14:solidFill>
          </w14:textFill>
        </w:rPr>
        <w:alias w:val="是否适用：存货分类[双击切换]"/>
        <w:tag w:val="_GBC_06c46a03a226418fb8e5e84326c47750"/>
        <w:id w:val="147451877"/>
        <w:placeholder>
          <w:docPart w:val="GBC22222222222222222222222222222"/>
        </w:placeholder>
      </w:sdtPr>
      <w:sdtEndPr>
        <w:rPr>
          <w:color w:val="000000" w:themeColor="text1"/>
          <w14:textFill>
            <w14:solidFill>
              <w14:schemeClr w14:val="tx1"/>
            </w14:solidFill>
          </w14:textFill>
        </w:rPr>
      </w:sdtEndPr>
      <w:sdtContent>
        <w:p w14:paraId="201FAF7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D8BE77E">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存货分类"/>
          <w:tag w:val="_GBC_cc6e1ec3be0141cbb25cf999a897b29b"/>
          <w:id w:val="1474636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存货分类"/>
          <w:tag w:val="_GBC_d85b2ad6790d4fa2ace1d773934cd4b3"/>
          <w:id w:val="1474614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2181"/>
        <w:gridCol w:w="1915"/>
        <w:gridCol w:w="2093"/>
        <w:gridCol w:w="1915"/>
        <w:gridCol w:w="1915"/>
        <w:gridCol w:w="2004"/>
        <w:gridCol w:w="1912"/>
      </w:tblGrid>
      <w:tr w14:paraId="0766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48d855cd658044389f8d1cbe0016be78"/>
            <w:id w:val="147483295"/>
          </w:sdtPr>
          <w:sdtContent>
            <w:tc>
              <w:tcPr>
                <w:tcW w:w="783" w:type="pct"/>
                <w:vMerge w:val="restart"/>
                <w:vAlign w:val="center"/>
              </w:tcPr>
              <w:p w14:paraId="79D58A8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586606f595aa4fff8214f9b6209260b6"/>
            <w:id w:val="147470377"/>
          </w:sdtPr>
          <w:sdtContent>
            <w:tc>
              <w:tcPr>
                <w:tcW w:w="2125" w:type="pct"/>
                <w:gridSpan w:val="3"/>
                <w:vAlign w:val="center"/>
              </w:tcPr>
              <w:p w14:paraId="418CB07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a1bbc97888494137a790328386c2b9d8"/>
            <w:id w:val="147464493"/>
          </w:sdtPr>
          <w:sdtContent>
            <w:tc>
              <w:tcPr>
                <w:tcW w:w="2093" w:type="pct"/>
                <w:gridSpan w:val="3"/>
                <w:vAlign w:val="center"/>
              </w:tcPr>
              <w:p w14:paraId="6AF6C22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64E99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83" w:type="pct"/>
            <w:vMerge w:val="continue"/>
          </w:tcPr>
          <w:p w14:paraId="18409837">
            <w:pPr>
              <w:ind w:right="5"/>
              <w:jc w:val="center"/>
              <w:rPr>
                <w:color w:val="000000" w:themeColor="text1"/>
                <w14:textFill>
                  <w14:solidFill>
                    <w14:schemeClr w14:val="tx1"/>
                  </w14:solidFill>
                </w14:textFill>
              </w:rPr>
            </w:pPr>
          </w:p>
        </w:tc>
        <w:sdt>
          <w:sdtPr>
            <w:tag w:val="_PLD_60368d835c2843d99b5061f4c84f8d8e"/>
            <w:id w:val="147456968"/>
          </w:sdtPr>
          <w:sdtContent>
            <w:tc>
              <w:tcPr>
                <w:tcW w:w="687" w:type="pct"/>
                <w:vAlign w:val="center"/>
              </w:tcPr>
              <w:p w14:paraId="602A00BE">
                <w:pPr>
                  <w:ind w:right="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账面余额</w:t>
                </w:r>
              </w:p>
            </w:tc>
          </w:sdtContent>
        </w:sdt>
        <w:tc>
          <w:tcPr>
            <w:tcW w:w="751" w:type="pct"/>
            <w:vAlign w:val="center"/>
          </w:tcPr>
          <w:p w14:paraId="3805A57A">
            <w:pPr>
              <w:ind w:right="5"/>
              <w:jc w:val="center"/>
              <w:rPr>
                <w:color w:val="000000" w:themeColor="text1"/>
                <w14:textFill>
                  <w14:solidFill>
                    <w14:schemeClr w14:val="tx1"/>
                  </w14:solidFill>
                </w14:textFill>
              </w:rPr>
            </w:pPr>
            <w:sdt>
              <w:sdtPr>
                <w:tag w:val="_PLD_b5c53ce2a5004db988af9e72594f6b6a"/>
                <w:id w:val="147458900"/>
              </w:sdtPr>
              <w:sdtContent>
                <w:r>
                  <w:rPr>
                    <w:rFonts w:hint="eastAsia"/>
                    <w:color w:val="000000" w:themeColor="text1"/>
                    <w14:textFill>
                      <w14:solidFill>
                        <w14:schemeClr w14:val="tx1"/>
                      </w14:solidFill>
                    </w14:textFill>
                  </w:rPr>
                  <w:t>存货跌价准备</w:t>
                </w:r>
                <w:r>
                  <w:rPr>
                    <w:color w:val="000000" w:themeColor="text1"/>
                    <w14:textFill>
                      <w14:solidFill>
                        <w14:schemeClr w14:val="tx1"/>
                      </w14:solidFill>
                    </w14:textFill>
                  </w:rPr>
                  <w:t>/合同履约成本减值准备</w:t>
                </w:r>
              </w:sdtContent>
            </w:sdt>
          </w:p>
        </w:tc>
        <w:sdt>
          <w:sdtPr>
            <w:tag w:val="_PLD_f2691cf723784fbcbc9a900f61c6e250"/>
            <w:id w:val="147459493"/>
          </w:sdtPr>
          <w:sdtContent>
            <w:tc>
              <w:tcPr>
                <w:tcW w:w="687" w:type="pct"/>
                <w:vAlign w:val="center"/>
              </w:tcPr>
              <w:p w14:paraId="71B54F3B">
                <w:pPr>
                  <w:ind w:right="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账面价值</w:t>
                </w:r>
              </w:p>
            </w:tc>
          </w:sdtContent>
        </w:sdt>
        <w:sdt>
          <w:sdtPr>
            <w:tag w:val="_PLD_df34ec94af0b441bab962cb42fe65b1a"/>
            <w:id w:val="147457700"/>
          </w:sdtPr>
          <w:sdtContent>
            <w:tc>
              <w:tcPr>
                <w:tcW w:w="687" w:type="pct"/>
                <w:vAlign w:val="center"/>
              </w:tcPr>
              <w:p w14:paraId="149F2957">
                <w:pPr>
                  <w:ind w:right="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账面余额</w:t>
                </w:r>
              </w:p>
            </w:tc>
          </w:sdtContent>
        </w:sdt>
        <w:tc>
          <w:tcPr>
            <w:tcW w:w="719" w:type="pct"/>
            <w:vAlign w:val="center"/>
          </w:tcPr>
          <w:p w14:paraId="0E907228">
            <w:pPr>
              <w:ind w:right="5"/>
              <w:jc w:val="center"/>
              <w:rPr>
                <w:color w:val="000000" w:themeColor="text1"/>
                <w14:textFill>
                  <w14:solidFill>
                    <w14:schemeClr w14:val="tx1"/>
                  </w14:solidFill>
                </w14:textFill>
              </w:rPr>
            </w:pPr>
            <w:sdt>
              <w:sdtPr>
                <w:tag w:val="_PLD_7a42c47b54924b47b9e161d8fd9fb840"/>
                <w:id w:val="147454817"/>
              </w:sdtPr>
              <w:sdtContent>
                <w:r>
                  <w:rPr>
                    <w:rFonts w:hint="eastAsia"/>
                    <w:color w:val="000000" w:themeColor="text1"/>
                    <w14:textFill>
                      <w14:solidFill>
                        <w14:schemeClr w14:val="tx1"/>
                      </w14:solidFill>
                    </w14:textFill>
                  </w:rPr>
                  <w:t>存货跌价准备</w:t>
                </w:r>
                <w:r>
                  <w:rPr>
                    <w:color w:val="000000" w:themeColor="text1"/>
                    <w14:textFill>
                      <w14:solidFill>
                        <w14:schemeClr w14:val="tx1"/>
                      </w14:solidFill>
                    </w14:textFill>
                  </w:rPr>
                  <w:t>/合同履约成本减值准备</w:t>
                </w:r>
              </w:sdtContent>
            </w:sdt>
          </w:p>
        </w:tc>
        <w:sdt>
          <w:sdtPr>
            <w:tag w:val="_PLD_0db3a7f82db34583bb111dc2a8e88f8c"/>
            <w:id w:val="147464017"/>
          </w:sdtPr>
          <w:sdtContent>
            <w:tc>
              <w:tcPr>
                <w:tcW w:w="687" w:type="pct"/>
                <w:vAlign w:val="center"/>
              </w:tcPr>
              <w:p w14:paraId="713F6FB7">
                <w:pPr>
                  <w:ind w:right="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账面价值</w:t>
                </w:r>
              </w:p>
            </w:tc>
          </w:sdtContent>
        </w:sdt>
      </w:tr>
      <w:tr w14:paraId="35F44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83" w:type="pct"/>
          </w:tcPr>
          <w:p w14:paraId="7CDA3CEE">
            <w:pPr>
              <w:ind w:right="5"/>
              <w:rPr>
                <w:color w:val="000000" w:themeColor="text1"/>
                <w14:textFill>
                  <w14:solidFill>
                    <w14:schemeClr w14:val="tx1"/>
                  </w14:solidFill>
                </w14:textFill>
              </w:rPr>
            </w:pPr>
            <w:r>
              <w:rPr>
                <w:rFonts w:hint="eastAsia"/>
                <w:color w:val="000000" w:themeColor="text1"/>
                <w14:textFill>
                  <w14:solidFill>
                    <w14:schemeClr w14:val="tx1"/>
                  </w14:solidFill>
                </w14:textFill>
              </w:rPr>
              <w:t>原材料</w:t>
            </w:r>
          </w:p>
        </w:tc>
        <w:tc>
          <w:tcPr>
            <w:tcW w:w="1403" w:type="dxa"/>
            <w:vAlign w:val="center"/>
          </w:tcPr>
          <w:p w14:paraId="50349DCA">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427,945,955.40</w:t>
            </w:r>
          </w:p>
        </w:tc>
        <w:tc>
          <w:tcPr>
            <w:tcW w:w="1260" w:type="dxa"/>
            <w:vAlign w:val="center"/>
          </w:tcPr>
          <w:p w14:paraId="2735D886">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94,371,368.78</w:t>
            </w:r>
          </w:p>
        </w:tc>
        <w:tc>
          <w:tcPr>
            <w:tcW w:w="1403" w:type="dxa"/>
            <w:vAlign w:val="center"/>
          </w:tcPr>
          <w:p w14:paraId="0C081DDE">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333,574,586.62</w:t>
            </w:r>
          </w:p>
        </w:tc>
        <w:tc>
          <w:tcPr>
            <w:tcW w:w="687" w:type="pct"/>
            <w:vAlign w:val="center"/>
          </w:tcPr>
          <w:p w14:paraId="23783472">
            <w:pPr>
              <w:jc w:val="right"/>
              <w:textAlignment w:val="center"/>
              <w:rPr>
                <w:rFonts w:cs="Times New Roman"/>
                <w:sz w:val="18"/>
                <w:szCs w:val="18"/>
              </w:rPr>
            </w:pPr>
            <w:r>
              <w:rPr>
                <w:rFonts w:cs="Times New Roman"/>
                <w:sz w:val="18"/>
                <w:szCs w:val="18"/>
              </w:rPr>
              <w:t>480,119,116.67</w:t>
            </w:r>
          </w:p>
        </w:tc>
        <w:tc>
          <w:tcPr>
            <w:tcW w:w="719" w:type="pct"/>
            <w:vAlign w:val="center"/>
          </w:tcPr>
          <w:p w14:paraId="44732AB2">
            <w:pPr>
              <w:jc w:val="right"/>
              <w:textAlignment w:val="center"/>
              <w:rPr>
                <w:rFonts w:cs="Times New Roman"/>
                <w:sz w:val="18"/>
                <w:szCs w:val="18"/>
              </w:rPr>
            </w:pPr>
            <w:r>
              <w:rPr>
                <w:rFonts w:cs="Times New Roman"/>
                <w:sz w:val="18"/>
                <w:szCs w:val="18"/>
              </w:rPr>
              <w:t>115,615,145.55</w:t>
            </w:r>
          </w:p>
        </w:tc>
        <w:tc>
          <w:tcPr>
            <w:tcW w:w="687" w:type="pct"/>
            <w:vAlign w:val="center"/>
          </w:tcPr>
          <w:p w14:paraId="3AF5DC90">
            <w:pPr>
              <w:jc w:val="right"/>
              <w:textAlignment w:val="center"/>
              <w:rPr>
                <w:rFonts w:cs="Times New Roman"/>
                <w:sz w:val="18"/>
                <w:szCs w:val="18"/>
              </w:rPr>
            </w:pPr>
            <w:r>
              <w:rPr>
                <w:rFonts w:cs="Times New Roman"/>
                <w:sz w:val="18"/>
                <w:szCs w:val="18"/>
              </w:rPr>
              <w:t>364,503,971.12</w:t>
            </w:r>
          </w:p>
        </w:tc>
      </w:tr>
      <w:tr w14:paraId="08B12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83" w:type="pct"/>
          </w:tcPr>
          <w:p w14:paraId="3E9E9F3E">
            <w:pPr>
              <w:ind w:right="5"/>
              <w:rPr>
                <w:color w:val="000000" w:themeColor="text1"/>
                <w14:textFill>
                  <w14:solidFill>
                    <w14:schemeClr w14:val="tx1"/>
                  </w14:solidFill>
                </w14:textFill>
              </w:rPr>
            </w:pPr>
            <w:r>
              <w:rPr>
                <w:rFonts w:hint="eastAsia"/>
                <w:color w:val="000000" w:themeColor="text1"/>
                <w14:textFill>
                  <w14:solidFill>
                    <w14:schemeClr w14:val="tx1"/>
                  </w14:solidFill>
                </w14:textFill>
              </w:rPr>
              <w:t>在产品</w:t>
            </w:r>
          </w:p>
        </w:tc>
        <w:tc>
          <w:tcPr>
            <w:tcW w:w="1403" w:type="dxa"/>
            <w:vAlign w:val="center"/>
          </w:tcPr>
          <w:p w14:paraId="53889AAC">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237,742,161.45</w:t>
            </w:r>
          </w:p>
        </w:tc>
        <w:tc>
          <w:tcPr>
            <w:tcW w:w="1260" w:type="dxa"/>
            <w:vAlign w:val="center"/>
          </w:tcPr>
          <w:p w14:paraId="483D78D0">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4,795,834.59</w:t>
            </w:r>
          </w:p>
        </w:tc>
        <w:tc>
          <w:tcPr>
            <w:tcW w:w="1403" w:type="dxa"/>
            <w:vAlign w:val="center"/>
          </w:tcPr>
          <w:p w14:paraId="43B33587">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232,946,326.86</w:t>
            </w:r>
          </w:p>
        </w:tc>
        <w:tc>
          <w:tcPr>
            <w:tcW w:w="687" w:type="pct"/>
            <w:vAlign w:val="center"/>
          </w:tcPr>
          <w:p w14:paraId="16E5CFE7">
            <w:pPr>
              <w:jc w:val="right"/>
              <w:textAlignment w:val="center"/>
              <w:rPr>
                <w:rFonts w:cs="Times New Roman"/>
                <w:sz w:val="18"/>
                <w:szCs w:val="18"/>
              </w:rPr>
            </w:pPr>
            <w:r>
              <w:rPr>
                <w:rFonts w:cs="Times New Roman"/>
                <w:sz w:val="18"/>
                <w:szCs w:val="18"/>
              </w:rPr>
              <w:t>335,719,270.18</w:t>
            </w:r>
          </w:p>
        </w:tc>
        <w:tc>
          <w:tcPr>
            <w:tcW w:w="719" w:type="pct"/>
            <w:vAlign w:val="center"/>
          </w:tcPr>
          <w:p w14:paraId="31CA94CE">
            <w:pPr>
              <w:jc w:val="right"/>
              <w:textAlignment w:val="center"/>
              <w:rPr>
                <w:rFonts w:cs="Times New Roman"/>
                <w:sz w:val="18"/>
                <w:szCs w:val="18"/>
              </w:rPr>
            </w:pPr>
            <w:r>
              <w:rPr>
                <w:rFonts w:cs="Times New Roman"/>
                <w:sz w:val="18"/>
                <w:szCs w:val="18"/>
              </w:rPr>
              <w:t>4,795,834.59</w:t>
            </w:r>
          </w:p>
        </w:tc>
        <w:tc>
          <w:tcPr>
            <w:tcW w:w="687" w:type="pct"/>
            <w:vAlign w:val="center"/>
          </w:tcPr>
          <w:p w14:paraId="1B3C353F">
            <w:pPr>
              <w:jc w:val="right"/>
              <w:textAlignment w:val="center"/>
              <w:rPr>
                <w:rFonts w:cs="Times New Roman"/>
                <w:sz w:val="18"/>
                <w:szCs w:val="18"/>
              </w:rPr>
            </w:pPr>
            <w:r>
              <w:rPr>
                <w:rFonts w:cs="Times New Roman"/>
                <w:sz w:val="18"/>
                <w:szCs w:val="18"/>
              </w:rPr>
              <w:t>330,923,435.59</w:t>
            </w:r>
          </w:p>
        </w:tc>
      </w:tr>
      <w:tr w14:paraId="52519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83" w:type="pct"/>
          </w:tcPr>
          <w:p w14:paraId="246A4D4D">
            <w:pPr>
              <w:ind w:right="5"/>
              <w:rPr>
                <w:color w:val="000000" w:themeColor="text1"/>
                <w14:textFill>
                  <w14:solidFill>
                    <w14:schemeClr w14:val="tx1"/>
                  </w14:solidFill>
                </w14:textFill>
              </w:rPr>
            </w:pPr>
            <w:r>
              <w:rPr>
                <w:rFonts w:hint="eastAsia"/>
                <w:color w:val="000000" w:themeColor="text1"/>
                <w14:textFill>
                  <w14:solidFill>
                    <w14:schemeClr w14:val="tx1"/>
                  </w14:solidFill>
                </w14:textFill>
              </w:rPr>
              <w:t>库存商品</w:t>
            </w:r>
          </w:p>
        </w:tc>
        <w:tc>
          <w:tcPr>
            <w:tcW w:w="1403" w:type="dxa"/>
            <w:vAlign w:val="center"/>
          </w:tcPr>
          <w:p w14:paraId="2F686A7D">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1,676,298,367.96</w:t>
            </w:r>
          </w:p>
        </w:tc>
        <w:tc>
          <w:tcPr>
            <w:tcW w:w="1260" w:type="dxa"/>
            <w:vAlign w:val="center"/>
          </w:tcPr>
          <w:p w14:paraId="1BAD9AAB">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464,755,420.18</w:t>
            </w:r>
          </w:p>
        </w:tc>
        <w:tc>
          <w:tcPr>
            <w:tcW w:w="1403" w:type="dxa"/>
            <w:vAlign w:val="center"/>
          </w:tcPr>
          <w:p w14:paraId="7DDD184F">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1,211,542,947.78</w:t>
            </w:r>
          </w:p>
        </w:tc>
        <w:tc>
          <w:tcPr>
            <w:tcW w:w="687" w:type="pct"/>
            <w:vAlign w:val="center"/>
          </w:tcPr>
          <w:p w14:paraId="4907F5DC">
            <w:pPr>
              <w:jc w:val="right"/>
              <w:textAlignment w:val="center"/>
              <w:rPr>
                <w:rFonts w:cs="Times New Roman"/>
                <w:sz w:val="18"/>
                <w:szCs w:val="18"/>
              </w:rPr>
            </w:pPr>
            <w:r>
              <w:rPr>
                <w:rFonts w:cs="Times New Roman"/>
                <w:sz w:val="18"/>
                <w:szCs w:val="18"/>
              </w:rPr>
              <w:t>1,970,296,723.26</w:t>
            </w:r>
          </w:p>
        </w:tc>
        <w:tc>
          <w:tcPr>
            <w:tcW w:w="719" w:type="pct"/>
            <w:vAlign w:val="center"/>
          </w:tcPr>
          <w:p w14:paraId="0722D0D5">
            <w:pPr>
              <w:jc w:val="right"/>
              <w:textAlignment w:val="center"/>
              <w:rPr>
                <w:rFonts w:cs="Times New Roman"/>
                <w:sz w:val="18"/>
                <w:szCs w:val="18"/>
              </w:rPr>
            </w:pPr>
            <w:r>
              <w:rPr>
                <w:rFonts w:cs="Times New Roman"/>
                <w:sz w:val="18"/>
                <w:szCs w:val="18"/>
              </w:rPr>
              <w:t>598,909,251.18</w:t>
            </w:r>
          </w:p>
        </w:tc>
        <w:tc>
          <w:tcPr>
            <w:tcW w:w="687" w:type="pct"/>
            <w:vAlign w:val="center"/>
          </w:tcPr>
          <w:p w14:paraId="5DA0A95C">
            <w:pPr>
              <w:jc w:val="right"/>
              <w:textAlignment w:val="center"/>
              <w:rPr>
                <w:rFonts w:cs="Times New Roman"/>
                <w:sz w:val="18"/>
                <w:szCs w:val="18"/>
              </w:rPr>
            </w:pPr>
            <w:r>
              <w:rPr>
                <w:rFonts w:cs="Times New Roman"/>
                <w:sz w:val="18"/>
                <w:szCs w:val="18"/>
              </w:rPr>
              <w:t>1,371,387,472.08</w:t>
            </w:r>
          </w:p>
        </w:tc>
      </w:tr>
      <w:tr w14:paraId="620B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83" w:type="pct"/>
          </w:tcPr>
          <w:p w14:paraId="6342A5A6">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周转材料</w:t>
            </w:r>
          </w:p>
        </w:tc>
        <w:tc>
          <w:tcPr>
            <w:tcW w:w="1403" w:type="dxa"/>
            <w:vAlign w:val="center"/>
          </w:tcPr>
          <w:p w14:paraId="4E24AAB2">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1,182,150.14</w:t>
            </w:r>
          </w:p>
        </w:tc>
        <w:tc>
          <w:tcPr>
            <w:tcW w:w="1260" w:type="dxa"/>
            <w:vAlign w:val="center"/>
          </w:tcPr>
          <w:p w14:paraId="5ACBC6B5">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1,651.49</w:t>
            </w:r>
          </w:p>
        </w:tc>
        <w:tc>
          <w:tcPr>
            <w:tcW w:w="1403" w:type="dxa"/>
            <w:vAlign w:val="center"/>
          </w:tcPr>
          <w:p w14:paraId="290EF557">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1,180,498.65</w:t>
            </w:r>
          </w:p>
        </w:tc>
        <w:tc>
          <w:tcPr>
            <w:tcW w:w="687" w:type="pct"/>
            <w:vAlign w:val="center"/>
          </w:tcPr>
          <w:p w14:paraId="5E815DFF">
            <w:pPr>
              <w:jc w:val="right"/>
              <w:textAlignment w:val="center"/>
              <w:rPr>
                <w:rFonts w:cs="Times New Roman"/>
                <w:sz w:val="18"/>
                <w:szCs w:val="18"/>
              </w:rPr>
            </w:pPr>
            <w:r>
              <w:rPr>
                <w:rFonts w:cs="Times New Roman"/>
                <w:sz w:val="18"/>
                <w:szCs w:val="18"/>
              </w:rPr>
              <w:t>2,228,027.95</w:t>
            </w:r>
          </w:p>
        </w:tc>
        <w:tc>
          <w:tcPr>
            <w:tcW w:w="719" w:type="pct"/>
            <w:vAlign w:val="center"/>
          </w:tcPr>
          <w:p w14:paraId="4759FEE1">
            <w:pPr>
              <w:jc w:val="right"/>
              <w:rPr>
                <w:rFonts w:cs="Times New Roman"/>
                <w:sz w:val="18"/>
                <w:szCs w:val="18"/>
              </w:rPr>
            </w:pPr>
          </w:p>
        </w:tc>
        <w:tc>
          <w:tcPr>
            <w:tcW w:w="687" w:type="pct"/>
            <w:vAlign w:val="center"/>
          </w:tcPr>
          <w:p w14:paraId="13319387">
            <w:pPr>
              <w:jc w:val="right"/>
              <w:textAlignment w:val="center"/>
              <w:rPr>
                <w:rFonts w:cs="Times New Roman"/>
                <w:sz w:val="18"/>
                <w:szCs w:val="18"/>
              </w:rPr>
            </w:pPr>
            <w:r>
              <w:rPr>
                <w:rFonts w:cs="Times New Roman"/>
                <w:sz w:val="18"/>
                <w:szCs w:val="18"/>
              </w:rPr>
              <w:t>2,228,027.95</w:t>
            </w:r>
          </w:p>
        </w:tc>
      </w:tr>
      <w:tr w14:paraId="6C8C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83" w:type="pct"/>
          </w:tcPr>
          <w:p w14:paraId="4EF4EC00">
            <w:pPr>
              <w:textAlignment w:val="top"/>
              <w:rPr>
                <w:color w:val="000000" w:themeColor="text1"/>
                <w14:textFill>
                  <w14:solidFill>
                    <w14:schemeClr w14:val="tx1"/>
                  </w14:solidFill>
                </w14:textFill>
              </w:rPr>
            </w:pPr>
            <w:r>
              <w:rPr>
                <w:rFonts w:hint="eastAsia" w:ascii="宋体" w:hAnsi="宋体"/>
                <w:color w:val="000000"/>
                <w:lang w:bidi="ar"/>
              </w:rPr>
              <w:t>发出商品</w:t>
            </w:r>
          </w:p>
        </w:tc>
        <w:tc>
          <w:tcPr>
            <w:tcW w:w="1403" w:type="dxa"/>
            <w:vAlign w:val="center"/>
          </w:tcPr>
          <w:p w14:paraId="47C66D1C">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209,928,695.90</w:t>
            </w:r>
          </w:p>
        </w:tc>
        <w:tc>
          <w:tcPr>
            <w:tcW w:w="1260" w:type="dxa"/>
            <w:vAlign w:val="center"/>
          </w:tcPr>
          <w:p w14:paraId="3ABD2903">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55,355,789.28</w:t>
            </w:r>
          </w:p>
        </w:tc>
        <w:tc>
          <w:tcPr>
            <w:tcW w:w="1403" w:type="dxa"/>
            <w:vAlign w:val="center"/>
          </w:tcPr>
          <w:p w14:paraId="35A451FE">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154,572,906.62</w:t>
            </w:r>
          </w:p>
        </w:tc>
        <w:tc>
          <w:tcPr>
            <w:tcW w:w="687" w:type="pct"/>
            <w:vAlign w:val="center"/>
          </w:tcPr>
          <w:p w14:paraId="6671932B">
            <w:pPr>
              <w:jc w:val="right"/>
              <w:textAlignment w:val="center"/>
              <w:rPr>
                <w:rFonts w:cs="Times New Roman"/>
                <w:sz w:val="18"/>
                <w:szCs w:val="18"/>
              </w:rPr>
            </w:pPr>
            <w:r>
              <w:rPr>
                <w:rFonts w:cs="Times New Roman"/>
                <w:sz w:val="18"/>
                <w:szCs w:val="18"/>
              </w:rPr>
              <w:t>161,042,797.29</w:t>
            </w:r>
          </w:p>
        </w:tc>
        <w:tc>
          <w:tcPr>
            <w:tcW w:w="719" w:type="pct"/>
            <w:vAlign w:val="center"/>
          </w:tcPr>
          <w:p w14:paraId="254A911E">
            <w:pPr>
              <w:jc w:val="right"/>
              <w:textAlignment w:val="center"/>
              <w:rPr>
                <w:rFonts w:cs="Times New Roman"/>
                <w:sz w:val="18"/>
                <w:szCs w:val="18"/>
              </w:rPr>
            </w:pPr>
            <w:r>
              <w:rPr>
                <w:rFonts w:cs="Times New Roman"/>
                <w:sz w:val="18"/>
                <w:szCs w:val="18"/>
              </w:rPr>
              <w:t>55,355,789.28</w:t>
            </w:r>
          </w:p>
        </w:tc>
        <w:tc>
          <w:tcPr>
            <w:tcW w:w="687" w:type="pct"/>
            <w:vAlign w:val="center"/>
          </w:tcPr>
          <w:p w14:paraId="79D05BAD">
            <w:pPr>
              <w:jc w:val="right"/>
              <w:textAlignment w:val="center"/>
              <w:rPr>
                <w:rFonts w:cs="Times New Roman"/>
                <w:sz w:val="18"/>
                <w:szCs w:val="18"/>
              </w:rPr>
            </w:pPr>
            <w:r>
              <w:rPr>
                <w:rFonts w:cs="Times New Roman"/>
                <w:sz w:val="18"/>
                <w:szCs w:val="18"/>
              </w:rPr>
              <w:t>105,687,008.01</w:t>
            </w:r>
          </w:p>
        </w:tc>
      </w:tr>
      <w:tr w14:paraId="67C3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83" w:type="pct"/>
          </w:tcPr>
          <w:p w14:paraId="785E5CF6">
            <w:pPr>
              <w:textAlignment w:val="top"/>
              <w:rPr>
                <w:color w:val="000000" w:themeColor="text1"/>
                <w14:textFill>
                  <w14:solidFill>
                    <w14:schemeClr w14:val="tx1"/>
                  </w14:solidFill>
                </w14:textFill>
              </w:rPr>
            </w:pPr>
            <w:r>
              <w:rPr>
                <w:rFonts w:hint="eastAsia" w:ascii="宋体" w:hAnsi="宋体"/>
                <w:color w:val="000000"/>
                <w:lang w:bidi="ar"/>
              </w:rPr>
              <w:t>委托加工物资</w:t>
            </w:r>
          </w:p>
        </w:tc>
        <w:tc>
          <w:tcPr>
            <w:tcW w:w="1403" w:type="dxa"/>
            <w:vAlign w:val="center"/>
          </w:tcPr>
          <w:p w14:paraId="7BE77675">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28,275,501.46</w:t>
            </w:r>
          </w:p>
        </w:tc>
        <w:tc>
          <w:tcPr>
            <w:tcW w:w="1260" w:type="dxa"/>
            <w:vAlign w:val="center"/>
          </w:tcPr>
          <w:p w14:paraId="474CE895">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10,515,209.15</w:t>
            </w:r>
          </w:p>
        </w:tc>
        <w:tc>
          <w:tcPr>
            <w:tcW w:w="1403" w:type="dxa"/>
            <w:vAlign w:val="center"/>
          </w:tcPr>
          <w:p w14:paraId="21464A7B">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17,760,292.31</w:t>
            </w:r>
          </w:p>
        </w:tc>
        <w:tc>
          <w:tcPr>
            <w:tcW w:w="687" w:type="pct"/>
            <w:vAlign w:val="center"/>
          </w:tcPr>
          <w:p w14:paraId="3800EB5C">
            <w:pPr>
              <w:jc w:val="right"/>
              <w:textAlignment w:val="center"/>
              <w:rPr>
                <w:rFonts w:cs="Times New Roman"/>
                <w:sz w:val="18"/>
                <w:szCs w:val="18"/>
              </w:rPr>
            </w:pPr>
            <w:r>
              <w:rPr>
                <w:rFonts w:cs="Times New Roman"/>
                <w:sz w:val="18"/>
                <w:szCs w:val="18"/>
              </w:rPr>
              <w:t>59,392,507.40</w:t>
            </w:r>
          </w:p>
        </w:tc>
        <w:tc>
          <w:tcPr>
            <w:tcW w:w="719" w:type="pct"/>
            <w:vAlign w:val="center"/>
          </w:tcPr>
          <w:p w14:paraId="3C4FC082">
            <w:pPr>
              <w:jc w:val="right"/>
              <w:textAlignment w:val="center"/>
              <w:rPr>
                <w:rFonts w:cs="Times New Roman"/>
                <w:sz w:val="18"/>
                <w:szCs w:val="18"/>
              </w:rPr>
            </w:pPr>
            <w:r>
              <w:rPr>
                <w:rFonts w:cs="Times New Roman"/>
                <w:sz w:val="18"/>
                <w:szCs w:val="18"/>
              </w:rPr>
              <w:t>10,515,209.15</w:t>
            </w:r>
          </w:p>
        </w:tc>
        <w:tc>
          <w:tcPr>
            <w:tcW w:w="687" w:type="pct"/>
            <w:vAlign w:val="center"/>
          </w:tcPr>
          <w:p w14:paraId="13210430">
            <w:pPr>
              <w:jc w:val="right"/>
              <w:textAlignment w:val="center"/>
              <w:rPr>
                <w:rFonts w:cs="Times New Roman"/>
                <w:sz w:val="18"/>
                <w:szCs w:val="18"/>
              </w:rPr>
            </w:pPr>
            <w:r>
              <w:rPr>
                <w:rFonts w:cs="Times New Roman"/>
                <w:sz w:val="18"/>
                <w:szCs w:val="18"/>
              </w:rPr>
              <w:t>48,877,298.25</w:t>
            </w:r>
          </w:p>
        </w:tc>
      </w:tr>
      <w:tr w14:paraId="21E31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83" w:type="pct"/>
          </w:tcPr>
          <w:p w14:paraId="05CDD126">
            <w:pPr>
              <w:textAlignment w:val="top"/>
            </w:pPr>
            <w:r>
              <w:rPr>
                <w:rFonts w:cs="Times New Roman"/>
                <w:color w:val="000000"/>
                <w:lang w:bidi="ar"/>
              </w:rPr>
              <w:t>自制半成品</w:t>
            </w:r>
          </w:p>
        </w:tc>
        <w:tc>
          <w:tcPr>
            <w:tcW w:w="1403" w:type="dxa"/>
            <w:vAlign w:val="center"/>
          </w:tcPr>
          <w:p w14:paraId="77FAE942">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34,174,697.63</w:t>
            </w:r>
          </w:p>
        </w:tc>
        <w:tc>
          <w:tcPr>
            <w:tcW w:w="1260" w:type="dxa"/>
            <w:vAlign w:val="center"/>
          </w:tcPr>
          <w:p w14:paraId="1905D485">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7,240,443.67</w:t>
            </w:r>
          </w:p>
        </w:tc>
        <w:tc>
          <w:tcPr>
            <w:tcW w:w="1403" w:type="dxa"/>
            <w:vAlign w:val="center"/>
          </w:tcPr>
          <w:p w14:paraId="54A9E5FD">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26,934,253.96</w:t>
            </w:r>
          </w:p>
        </w:tc>
        <w:tc>
          <w:tcPr>
            <w:tcW w:w="687" w:type="pct"/>
            <w:vAlign w:val="center"/>
          </w:tcPr>
          <w:p w14:paraId="7E1B1096">
            <w:pPr>
              <w:jc w:val="right"/>
              <w:textAlignment w:val="center"/>
              <w:rPr>
                <w:rFonts w:cs="Times New Roman"/>
                <w:sz w:val="18"/>
                <w:szCs w:val="18"/>
              </w:rPr>
            </w:pPr>
            <w:r>
              <w:rPr>
                <w:rFonts w:cs="Times New Roman"/>
                <w:sz w:val="18"/>
                <w:szCs w:val="18"/>
              </w:rPr>
              <w:t>45,970,269.80</w:t>
            </w:r>
          </w:p>
        </w:tc>
        <w:tc>
          <w:tcPr>
            <w:tcW w:w="719" w:type="pct"/>
            <w:vAlign w:val="center"/>
          </w:tcPr>
          <w:p w14:paraId="424E7D35">
            <w:pPr>
              <w:jc w:val="right"/>
              <w:textAlignment w:val="center"/>
              <w:rPr>
                <w:rFonts w:cs="Times New Roman"/>
                <w:sz w:val="18"/>
                <w:szCs w:val="18"/>
              </w:rPr>
            </w:pPr>
            <w:r>
              <w:rPr>
                <w:rFonts w:cs="Times New Roman"/>
                <w:sz w:val="18"/>
                <w:szCs w:val="18"/>
              </w:rPr>
              <w:t>25,396,190.19</w:t>
            </w:r>
          </w:p>
        </w:tc>
        <w:tc>
          <w:tcPr>
            <w:tcW w:w="687" w:type="pct"/>
            <w:vAlign w:val="center"/>
          </w:tcPr>
          <w:p w14:paraId="0203C4DA">
            <w:pPr>
              <w:jc w:val="right"/>
              <w:textAlignment w:val="center"/>
              <w:rPr>
                <w:rFonts w:cs="Times New Roman"/>
                <w:sz w:val="18"/>
                <w:szCs w:val="18"/>
              </w:rPr>
            </w:pPr>
            <w:r>
              <w:rPr>
                <w:rFonts w:cs="Times New Roman"/>
                <w:sz w:val="18"/>
                <w:szCs w:val="18"/>
              </w:rPr>
              <w:t>20,574,079.61</w:t>
            </w:r>
          </w:p>
        </w:tc>
      </w:tr>
      <w:tr w14:paraId="27F4E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83" w:type="pct"/>
          </w:tcPr>
          <w:p w14:paraId="168DE0A5">
            <w:pPr>
              <w:textAlignment w:val="top"/>
            </w:pPr>
            <w:r>
              <w:rPr>
                <w:rFonts w:cs="Times New Roman"/>
                <w:color w:val="000000"/>
                <w:lang w:bidi="ar"/>
              </w:rPr>
              <w:t>开发成本</w:t>
            </w:r>
          </w:p>
        </w:tc>
        <w:tc>
          <w:tcPr>
            <w:tcW w:w="1403" w:type="dxa"/>
            <w:vAlign w:val="center"/>
          </w:tcPr>
          <w:p w14:paraId="6E372DFC">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445,781,235.27</w:t>
            </w:r>
          </w:p>
        </w:tc>
        <w:tc>
          <w:tcPr>
            <w:tcW w:w="1260" w:type="dxa"/>
            <w:vAlign w:val="center"/>
          </w:tcPr>
          <w:p w14:paraId="1118AFEB">
            <w:pPr>
              <w:jc w:val="right"/>
              <w:rPr>
                <w:rFonts w:cs="Times New Roman"/>
                <w:color w:val="000000" w:themeColor="text1"/>
                <w:sz w:val="18"/>
                <w:szCs w:val="18"/>
                <w14:textFill>
                  <w14:solidFill>
                    <w14:schemeClr w14:val="tx1"/>
                  </w14:solidFill>
                </w14:textFill>
              </w:rPr>
            </w:pPr>
          </w:p>
        </w:tc>
        <w:tc>
          <w:tcPr>
            <w:tcW w:w="1403" w:type="dxa"/>
            <w:vAlign w:val="center"/>
          </w:tcPr>
          <w:p w14:paraId="2574B7B4">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445,781,235.27</w:t>
            </w:r>
          </w:p>
        </w:tc>
        <w:tc>
          <w:tcPr>
            <w:tcW w:w="687" w:type="pct"/>
            <w:vAlign w:val="center"/>
          </w:tcPr>
          <w:p w14:paraId="094D1430">
            <w:pPr>
              <w:jc w:val="right"/>
              <w:textAlignment w:val="center"/>
              <w:rPr>
                <w:rFonts w:cs="Times New Roman"/>
                <w:sz w:val="18"/>
                <w:szCs w:val="18"/>
              </w:rPr>
            </w:pPr>
            <w:r>
              <w:rPr>
                <w:rFonts w:cs="Times New Roman"/>
                <w:sz w:val="18"/>
                <w:szCs w:val="18"/>
              </w:rPr>
              <w:t>363,552,665.70</w:t>
            </w:r>
          </w:p>
        </w:tc>
        <w:tc>
          <w:tcPr>
            <w:tcW w:w="719" w:type="pct"/>
            <w:vAlign w:val="center"/>
          </w:tcPr>
          <w:p w14:paraId="3993E0A5">
            <w:pPr>
              <w:jc w:val="right"/>
              <w:rPr>
                <w:rFonts w:cs="Times New Roman"/>
                <w:sz w:val="18"/>
                <w:szCs w:val="18"/>
              </w:rPr>
            </w:pPr>
          </w:p>
        </w:tc>
        <w:tc>
          <w:tcPr>
            <w:tcW w:w="687" w:type="pct"/>
            <w:vAlign w:val="center"/>
          </w:tcPr>
          <w:p w14:paraId="0DBBA1AB">
            <w:pPr>
              <w:jc w:val="right"/>
              <w:textAlignment w:val="center"/>
              <w:rPr>
                <w:rFonts w:cs="Times New Roman"/>
                <w:sz w:val="18"/>
                <w:szCs w:val="18"/>
              </w:rPr>
            </w:pPr>
            <w:r>
              <w:rPr>
                <w:rFonts w:cs="Times New Roman"/>
                <w:sz w:val="18"/>
                <w:szCs w:val="18"/>
              </w:rPr>
              <w:t>363,552,665.70</w:t>
            </w:r>
          </w:p>
        </w:tc>
      </w:tr>
      <w:tr w14:paraId="14CD1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83" w:type="pct"/>
          </w:tcPr>
          <w:p w14:paraId="6CA3FE5D">
            <w:pPr>
              <w:textAlignment w:val="top"/>
            </w:pPr>
            <w:r>
              <w:rPr>
                <w:rFonts w:cs="Times New Roman"/>
                <w:color w:val="000000"/>
                <w:lang w:bidi="ar"/>
              </w:rPr>
              <w:t>开发产品</w:t>
            </w:r>
          </w:p>
        </w:tc>
        <w:tc>
          <w:tcPr>
            <w:tcW w:w="1403" w:type="dxa"/>
            <w:vAlign w:val="center"/>
          </w:tcPr>
          <w:p w14:paraId="6454CC86">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15,623,223.99</w:t>
            </w:r>
          </w:p>
        </w:tc>
        <w:tc>
          <w:tcPr>
            <w:tcW w:w="1260" w:type="dxa"/>
            <w:vAlign w:val="center"/>
          </w:tcPr>
          <w:p w14:paraId="1D8F7F64">
            <w:pPr>
              <w:jc w:val="right"/>
              <w:rPr>
                <w:rFonts w:cs="Times New Roman"/>
                <w:color w:val="000000" w:themeColor="text1"/>
                <w:sz w:val="18"/>
                <w:szCs w:val="18"/>
                <w14:textFill>
                  <w14:solidFill>
                    <w14:schemeClr w14:val="tx1"/>
                  </w14:solidFill>
                </w14:textFill>
              </w:rPr>
            </w:pPr>
          </w:p>
        </w:tc>
        <w:tc>
          <w:tcPr>
            <w:tcW w:w="1403" w:type="dxa"/>
            <w:vAlign w:val="center"/>
          </w:tcPr>
          <w:p w14:paraId="2F36D895">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15,623,223.99</w:t>
            </w:r>
          </w:p>
        </w:tc>
        <w:tc>
          <w:tcPr>
            <w:tcW w:w="687" w:type="pct"/>
            <w:vAlign w:val="center"/>
          </w:tcPr>
          <w:p w14:paraId="2F39381F">
            <w:pPr>
              <w:jc w:val="right"/>
              <w:textAlignment w:val="center"/>
              <w:rPr>
                <w:rFonts w:cs="Times New Roman"/>
                <w:sz w:val="18"/>
                <w:szCs w:val="18"/>
              </w:rPr>
            </w:pPr>
            <w:r>
              <w:rPr>
                <w:rFonts w:cs="Times New Roman"/>
                <w:sz w:val="18"/>
                <w:szCs w:val="18"/>
              </w:rPr>
              <w:t>15,623,223.99</w:t>
            </w:r>
          </w:p>
        </w:tc>
        <w:tc>
          <w:tcPr>
            <w:tcW w:w="719" w:type="pct"/>
            <w:vAlign w:val="center"/>
          </w:tcPr>
          <w:p w14:paraId="459E3555">
            <w:pPr>
              <w:jc w:val="right"/>
              <w:rPr>
                <w:rFonts w:cs="Times New Roman"/>
                <w:sz w:val="18"/>
                <w:szCs w:val="18"/>
              </w:rPr>
            </w:pPr>
          </w:p>
        </w:tc>
        <w:tc>
          <w:tcPr>
            <w:tcW w:w="687" w:type="pct"/>
            <w:vAlign w:val="center"/>
          </w:tcPr>
          <w:p w14:paraId="1741A5CF">
            <w:pPr>
              <w:jc w:val="right"/>
              <w:textAlignment w:val="center"/>
              <w:rPr>
                <w:rFonts w:cs="Times New Roman"/>
                <w:sz w:val="18"/>
                <w:szCs w:val="18"/>
              </w:rPr>
            </w:pPr>
            <w:r>
              <w:rPr>
                <w:rFonts w:cs="Times New Roman"/>
                <w:sz w:val="18"/>
                <w:szCs w:val="18"/>
              </w:rPr>
              <w:t>15,623,223.99</w:t>
            </w:r>
          </w:p>
        </w:tc>
      </w:tr>
      <w:tr w14:paraId="1B1F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83" w:type="pct"/>
          </w:tcPr>
          <w:p w14:paraId="09A5A53B">
            <w:pPr>
              <w:ind w:right="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403" w:type="dxa"/>
            <w:vAlign w:val="center"/>
          </w:tcPr>
          <w:p w14:paraId="5068897C">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3,076,951,989.20</w:t>
            </w:r>
          </w:p>
        </w:tc>
        <w:tc>
          <w:tcPr>
            <w:tcW w:w="1260" w:type="dxa"/>
            <w:vAlign w:val="center"/>
          </w:tcPr>
          <w:p w14:paraId="14D0B354">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637,035,717.14</w:t>
            </w:r>
          </w:p>
        </w:tc>
        <w:tc>
          <w:tcPr>
            <w:tcW w:w="1403" w:type="dxa"/>
            <w:vAlign w:val="center"/>
          </w:tcPr>
          <w:p w14:paraId="37B1E424">
            <w:pPr>
              <w:jc w:val="right"/>
              <w:textAlignment w:val="center"/>
              <w:rPr>
                <w:rFonts w:cs="Times New Roman"/>
                <w:color w:val="000000" w:themeColor="text1"/>
                <w:sz w:val="18"/>
                <w:szCs w:val="18"/>
                <w14:textFill>
                  <w14:solidFill>
                    <w14:schemeClr w14:val="tx1"/>
                  </w14:solidFill>
                </w14:textFill>
              </w:rPr>
            </w:pPr>
            <w:r>
              <w:rPr>
                <w:rFonts w:eastAsia="Arial Narrow" w:cs="Times New Roman"/>
                <w:color w:val="000000"/>
                <w:sz w:val="18"/>
                <w:szCs w:val="18"/>
                <w:lang w:bidi="ar"/>
              </w:rPr>
              <w:t>2,439,916,272.06</w:t>
            </w:r>
          </w:p>
        </w:tc>
        <w:tc>
          <w:tcPr>
            <w:tcW w:w="687" w:type="pct"/>
            <w:vAlign w:val="center"/>
          </w:tcPr>
          <w:p w14:paraId="06C8D326">
            <w:pPr>
              <w:jc w:val="right"/>
              <w:textAlignment w:val="center"/>
              <w:rPr>
                <w:rFonts w:cs="Times New Roman"/>
                <w:sz w:val="18"/>
                <w:szCs w:val="18"/>
              </w:rPr>
            </w:pPr>
            <w:r>
              <w:rPr>
                <w:rFonts w:cs="Times New Roman"/>
                <w:sz w:val="18"/>
                <w:szCs w:val="18"/>
              </w:rPr>
              <w:t>3,433,944,602.24</w:t>
            </w:r>
          </w:p>
        </w:tc>
        <w:tc>
          <w:tcPr>
            <w:tcW w:w="719" w:type="pct"/>
            <w:vAlign w:val="center"/>
          </w:tcPr>
          <w:p w14:paraId="792ED742">
            <w:pPr>
              <w:jc w:val="right"/>
              <w:textAlignment w:val="center"/>
              <w:rPr>
                <w:rFonts w:cs="Times New Roman"/>
                <w:sz w:val="18"/>
                <w:szCs w:val="18"/>
              </w:rPr>
            </w:pPr>
            <w:r>
              <w:rPr>
                <w:rFonts w:cs="Times New Roman"/>
                <w:sz w:val="18"/>
                <w:szCs w:val="18"/>
              </w:rPr>
              <w:t>810,587,419.94</w:t>
            </w:r>
          </w:p>
        </w:tc>
        <w:tc>
          <w:tcPr>
            <w:tcW w:w="687" w:type="pct"/>
            <w:vAlign w:val="center"/>
          </w:tcPr>
          <w:p w14:paraId="7809273F">
            <w:pPr>
              <w:jc w:val="right"/>
              <w:textAlignment w:val="center"/>
              <w:rPr>
                <w:rFonts w:cs="Times New Roman"/>
                <w:sz w:val="18"/>
                <w:szCs w:val="18"/>
              </w:rPr>
            </w:pPr>
            <w:r>
              <w:rPr>
                <w:rFonts w:cs="Times New Roman"/>
                <w:sz w:val="18"/>
                <w:szCs w:val="18"/>
              </w:rPr>
              <w:t>2,623,357,182.30</w:t>
            </w:r>
          </w:p>
        </w:tc>
      </w:tr>
    </w:tbl>
    <w:p w14:paraId="0E239505">
      <w:pPr>
        <w:rPr>
          <w:color w:val="000000" w:themeColor="text1"/>
          <w14:textFill>
            <w14:solidFill>
              <w14:schemeClr w14:val="tx1"/>
            </w14:solidFill>
          </w14:textFill>
        </w:rPr>
      </w:pPr>
    </w:p>
    <w:p w14:paraId="54770D91">
      <w:pPr>
        <w:rPr>
          <w:color w:val="000000" w:themeColor="text1"/>
          <w14:textFill>
            <w14:solidFill>
              <w14:schemeClr w14:val="tx1"/>
            </w14:solidFill>
          </w14:textFill>
        </w:rPr>
      </w:pPr>
    </w:p>
    <w:bookmarkEnd w:id="257"/>
    <w:p w14:paraId="59069D13">
      <w:pPr>
        <w:pStyle w:val="58"/>
        <w:numPr>
          <w:ilvl w:val="0"/>
          <w:numId w:val="63"/>
        </w:numPr>
        <w:tabs>
          <w:tab w:val="left" w:pos="630"/>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确认为存货的数据资源</w:t>
      </w:r>
    </w:p>
    <w:sdt>
      <w:sdtPr>
        <w:rPr>
          <w:rFonts w:hint="eastAsia"/>
          <w:color w:val="000000" w:themeColor="text1"/>
          <w14:textFill>
            <w14:solidFill>
              <w14:schemeClr w14:val="tx1"/>
            </w14:solidFill>
          </w14:textFill>
        </w:rPr>
        <w:alias w:val="是否适用：确认为存货的数据资源[双击切换]"/>
        <w:tag w:val="_GBC_b3f6ef82894a4eb29036b70065be8671"/>
        <w:id w:val="147458330"/>
        <w:placeholder>
          <w:docPart w:val="GBC22222222222222222222222222222"/>
        </w:placeholder>
      </w:sdtPr>
      <w:sdtEndPr>
        <w:rPr>
          <w:rFonts w:hint="eastAsia"/>
          <w:color w:val="000000" w:themeColor="text1"/>
          <w14:textFill>
            <w14:solidFill>
              <w14:schemeClr w14:val="tx1"/>
            </w14:solidFill>
          </w14:textFill>
        </w:rPr>
      </w:sdtEndPr>
      <w:sdtContent>
        <w:p w14:paraId="05674E6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C3376FD">
      <w:pPr>
        <w:rPr>
          <w:color w:val="000000" w:themeColor="text1"/>
          <w14:textFill>
            <w14:solidFill>
              <w14:schemeClr w14:val="tx1"/>
            </w14:solidFill>
          </w14:textFill>
        </w:rPr>
      </w:pPr>
    </w:p>
    <w:p w14:paraId="3243C6D9">
      <w:pPr>
        <w:rPr>
          <w:color w:val="000000" w:themeColor="text1"/>
          <w14:textFill>
            <w14:solidFill>
              <w14:schemeClr w14:val="tx1"/>
            </w14:solidFill>
          </w14:textFill>
        </w:rPr>
      </w:pPr>
    </w:p>
    <w:p w14:paraId="339C6F53">
      <w:pPr>
        <w:rPr>
          <w:color w:val="000000" w:themeColor="text1"/>
          <w14:textFill>
            <w14:solidFill>
              <w14:schemeClr w14:val="tx1"/>
            </w14:solidFill>
          </w14:textFill>
        </w:rPr>
      </w:pPr>
    </w:p>
    <w:p w14:paraId="716E2CCA">
      <w:pPr>
        <w:pStyle w:val="58"/>
        <w:numPr>
          <w:ilvl w:val="0"/>
          <w:numId w:val="63"/>
        </w:numPr>
        <w:tabs>
          <w:tab w:val="left" w:pos="630"/>
        </w:tabs>
        <w:rPr>
          <w:rFonts w:ascii="宋体" w:hAnsi="宋体"/>
          <w:color w:val="000000" w:themeColor="text1"/>
          <w14:textFill>
            <w14:solidFill>
              <w14:schemeClr w14:val="tx1"/>
            </w14:solidFill>
          </w14:textFill>
        </w:rPr>
      </w:pPr>
      <w:bookmarkStart w:id="258" w:name="_Hlk10470459"/>
      <w:r>
        <w:rPr>
          <w:rFonts w:hint="eastAsia" w:ascii="宋体" w:hAnsi="宋体"/>
          <w:color w:val="000000" w:themeColor="text1"/>
          <w14:textFill>
            <w14:solidFill>
              <w14:schemeClr w14:val="tx1"/>
            </w14:solidFill>
          </w14:textFill>
        </w:rPr>
        <w:t>存货跌价准备及合同履约成本减值准备</w:t>
      </w:r>
    </w:p>
    <w:sdt>
      <w:sdtPr>
        <w:rPr>
          <w:color w:val="000000" w:themeColor="text1"/>
          <w14:textFill>
            <w14:solidFill>
              <w14:schemeClr w14:val="tx1"/>
            </w14:solidFill>
          </w14:textFill>
        </w:rPr>
        <w:alias w:val="是否适用：存货跌价准备[双击切换]"/>
        <w:tag w:val="_GBC_b9bd4a0fa089468ebded8bb61a86fbae"/>
        <w:id w:val="147453638"/>
        <w:placeholder>
          <w:docPart w:val="GBC22222222222222222222222222222"/>
        </w:placeholder>
      </w:sdtPr>
      <w:sdtEndPr>
        <w:rPr>
          <w:color w:val="000000" w:themeColor="text1"/>
          <w14:textFill>
            <w14:solidFill>
              <w14:schemeClr w14:val="tx1"/>
            </w14:solidFill>
          </w14:textFill>
        </w:rPr>
      </w:sdtEndPr>
      <w:sdtContent>
        <w:p w14:paraId="384A638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B2169FA">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存货跌价准备"/>
          <w:tag w:val="_GBC_42225a9505da4f598594afea08f9738b"/>
          <w:id w:val="1474829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存货跌价准备"/>
          <w:tag w:val="_GBC_4de434e29d00482b8b3175d1e7874ff2"/>
          <w:id w:val="1474830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2"/>
        <w:gridCol w:w="2142"/>
        <w:gridCol w:w="1920"/>
        <w:gridCol w:w="1553"/>
        <w:gridCol w:w="2258"/>
        <w:gridCol w:w="2106"/>
        <w:gridCol w:w="2258"/>
      </w:tblGrid>
      <w:tr w14:paraId="489EA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sdt>
          <w:sdtPr>
            <w:tag w:val="_PLD_08d27e088675483b81e6b09cfaf565b8"/>
            <w:id w:val="147456517"/>
          </w:sdtPr>
          <w:sdtContent>
            <w:tc>
              <w:tcPr>
                <w:tcW w:w="657" w:type="pct"/>
                <w:vMerge w:val="restart"/>
                <w:tcBorders>
                  <w:top w:val="single" w:color="auto" w:sz="4" w:space="0"/>
                  <w:left w:val="single" w:color="auto" w:sz="4" w:space="0"/>
                  <w:bottom w:val="single" w:color="auto" w:sz="4" w:space="0"/>
                  <w:right w:val="single" w:color="auto" w:sz="4" w:space="0"/>
                </w:tcBorders>
                <w:vAlign w:val="center"/>
              </w:tcPr>
              <w:p w14:paraId="5FF1248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631ae60526c9437f842913d632c47f24"/>
            <w:id w:val="147474694"/>
          </w:sdtPr>
          <w:sdtContent>
            <w:tc>
              <w:tcPr>
                <w:tcW w:w="760" w:type="pct"/>
                <w:vMerge w:val="restart"/>
                <w:tcBorders>
                  <w:top w:val="single" w:color="auto" w:sz="4" w:space="0"/>
                  <w:left w:val="single" w:color="auto" w:sz="4" w:space="0"/>
                  <w:bottom w:val="single" w:color="auto" w:sz="4" w:space="0"/>
                  <w:right w:val="single" w:color="auto" w:sz="4" w:space="0"/>
                </w:tcBorders>
                <w:vAlign w:val="center"/>
              </w:tcPr>
              <w:p w14:paraId="17C442C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sdt>
          <w:sdtPr>
            <w:tag w:val="_PLD_bc39054479074b8ab34cb8519780a5f1"/>
            <w:id w:val="147451194"/>
          </w:sdtPr>
          <w:sdtContent>
            <w:tc>
              <w:tcPr>
                <w:tcW w:w="1232" w:type="pct"/>
                <w:gridSpan w:val="2"/>
                <w:tcBorders>
                  <w:top w:val="single" w:color="auto" w:sz="4" w:space="0"/>
                  <w:left w:val="single" w:color="auto" w:sz="4" w:space="0"/>
                  <w:right w:val="single" w:color="auto" w:sz="4" w:space="0"/>
                </w:tcBorders>
                <w:vAlign w:val="center"/>
              </w:tcPr>
              <w:p w14:paraId="1EC5D13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本期增加金额</w:t>
                </w:r>
              </w:p>
            </w:tc>
          </w:sdtContent>
        </w:sdt>
        <w:sdt>
          <w:sdtPr>
            <w:tag w:val="_PLD_a4a235b43e524c0c98a604df05693747"/>
            <w:id w:val="147478597"/>
          </w:sdtPr>
          <w:sdtContent>
            <w:tc>
              <w:tcPr>
                <w:tcW w:w="1548" w:type="pct"/>
                <w:gridSpan w:val="2"/>
                <w:tcBorders>
                  <w:top w:val="single" w:color="auto" w:sz="4" w:space="0"/>
                  <w:left w:val="single" w:color="auto" w:sz="4" w:space="0"/>
                  <w:right w:val="single" w:color="auto" w:sz="4" w:space="0"/>
                </w:tcBorders>
                <w:vAlign w:val="center"/>
              </w:tcPr>
              <w:p w14:paraId="6773BD2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本期减少金额</w:t>
                </w:r>
              </w:p>
            </w:tc>
          </w:sdtContent>
        </w:sdt>
        <w:sdt>
          <w:sdtPr>
            <w:tag w:val="_PLD_fcea706dd57f438c8205de888401e160"/>
            <w:id w:val="147457600"/>
          </w:sdtPr>
          <w:sdtContent>
            <w:tc>
              <w:tcPr>
                <w:tcW w:w="801" w:type="pct"/>
                <w:vMerge w:val="restart"/>
                <w:tcBorders>
                  <w:top w:val="single" w:color="auto" w:sz="4" w:space="0"/>
                  <w:left w:val="single" w:color="auto" w:sz="4" w:space="0"/>
                  <w:bottom w:val="single" w:color="auto" w:sz="4" w:space="0"/>
                  <w:right w:val="single" w:color="auto" w:sz="4" w:space="0"/>
                </w:tcBorders>
                <w:vAlign w:val="center"/>
              </w:tcPr>
              <w:p w14:paraId="2FD9585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tr>
      <w:tr w14:paraId="2A802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657" w:type="pct"/>
            <w:vMerge w:val="continue"/>
            <w:tcBorders>
              <w:top w:val="single" w:color="auto" w:sz="4" w:space="0"/>
              <w:left w:val="single" w:color="auto" w:sz="4" w:space="0"/>
              <w:bottom w:val="single" w:color="auto" w:sz="4" w:space="0"/>
              <w:right w:val="single" w:color="auto" w:sz="4" w:space="0"/>
            </w:tcBorders>
          </w:tcPr>
          <w:p w14:paraId="4752D735">
            <w:pPr>
              <w:jc w:val="center"/>
              <w:rPr>
                <w:color w:val="000000" w:themeColor="text1"/>
                <w14:textFill>
                  <w14:solidFill>
                    <w14:schemeClr w14:val="tx1"/>
                  </w14:solidFill>
                </w14:textFill>
              </w:rPr>
            </w:pPr>
          </w:p>
        </w:tc>
        <w:tc>
          <w:tcPr>
            <w:tcW w:w="760" w:type="pct"/>
            <w:vMerge w:val="continue"/>
            <w:tcBorders>
              <w:top w:val="single" w:color="auto" w:sz="4" w:space="0"/>
              <w:left w:val="single" w:color="auto" w:sz="4" w:space="0"/>
              <w:bottom w:val="single" w:color="auto" w:sz="4" w:space="0"/>
              <w:right w:val="single" w:color="auto" w:sz="4" w:space="0"/>
            </w:tcBorders>
          </w:tcPr>
          <w:p w14:paraId="1DA90499">
            <w:pPr>
              <w:jc w:val="center"/>
              <w:rPr>
                <w:color w:val="000000" w:themeColor="text1"/>
                <w14:textFill>
                  <w14:solidFill>
                    <w14:schemeClr w14:val="tx1"/>
                  </w14:solidFill>
                </w14:textFill>
              </w:rPr>
            </w:pPr>
          </w:p>
        </w:tc>
        <w:sdt>
          <w:sdtPr>
            <w:tag w:val="_PLD_9355443eafab4f4a862c075a55d7e279"/>
            <w:id w:val="147459273"/>
          </w:sdtPr>
          <w:sdtContent>
            <w:tc>
              <w:tcPr>
                <w:tcW w:w="681" w:type="pct"/>
                <w:tcBorders>
                  <w:left w:val="single" w:color="auto" w:sz="4" w:space="0"/>
                  <w:bottom w:val="single" w:color="auto" w:sz="4" w:space="0"/>
                  <w:right w:val="single" w:color="auto" w:sz="4" w:space="0"/>
                </w:tcBorders>
                <w:vAlign w:val="center"/>
              </w:tcPr>
              <w:p w14:paraId="1EA24B4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计提</w:t>
                </w:r>
              </w:p>
            </w:tc>
          </w:sdtContent>
        </w:sdt>
        <w:sdt>
          <w:sdtPr>
            <w:tag w:val="_PLD_e67cdd42c79245c980edb6a9d839ecd0"/>
            <w:id w:val="147451476"/>
          </w:sdtPr>
          <w:sdtContent>
            <w:tc>
              <w:tcPr>
                <w:tcW w:w="551" w:type="pct"/>
                <w:tcBorders>
                  <w:left w:val="single" w:color="auto" w:sz="4" w:space="0"/>
                  <w:bottom w:val="single" w:color="auto" w:sz="4" w:space="0"/>
                  <w:right w:val="single" w:color="auto" w:sz="4" w:space="0"/>
                </w:tcBorders>
                <w:vAlign w:val="center"/>
              </w:tcPr>
              <w:p w14:paraId="2C3D4A3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sdtContent>
        </w:sdt>
        <w:sdt>
          <w:sdtPr>
            <w:tag w:val="_PLD_d2a5b409858c40b5a77dea8d7f7c8500"/>
            <w:id w:val="147469967"/>
          </w:sdtPr>
          <w:sdtContent>
            <w:tc>
              <w:tcPr>
                <w:tcW w:w="801" w:type="pct"/>
                <w:tcBorders>
                  <w:top w:val="single" w:color="auto" w:sz="4" w:space="0"/>
                  <w:left w:val="single" w:color="auto" w:sz="4" w:space="0"/>
                  <w:bottom w:val="single" w:color="auto" w:sz="4" w:space="0"/>
                  <w:right w:val="single" w:color="auto" w:sz="4" w:space="0"/>
                </w:tcBorders>
                <w:vAlign w:val="center"/>
              </w:tcPr>
              <w:p w14:paraId="151FAA1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转回或转销</w:t>
                </w:r>
              </w:p>
            </w:tc>
          </w:sdtContent>
        </w:sdt>
        <w:sdt>
          <w:sdtPr>
            <w:tag w:val="_PLD_a0a39eeb19a049d18a777b0dc41ab25e"/>
            <w:id w:val="147452507"/>
          </w:sdtPr>
          <w:sdtContent>
            <w:tc>
              <w:tcPr>
                <w:tcW w:w="747" w:type="pct"/>
                <w:tcBorders>
                  <w:top w:val="single" w:color="auto" w:sz="4" w:space="0"/>
                  <w:left w:val="single" w:color="auto" w:sz="4" w:space="0"/>
                  <w:bottom w:val="single" w:color="auto" w:sz="4" w:space="0"/>
                  <w:right w:val="single" w:color="auto" w:sz="4" w:space="0"/>
                </w:tcBorders>
                <w:vAlign w:val="center"/>
              </w:tcPr>
              <w:p w14:paraId="15F77AE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sdtContent>
        </w:sdt>
        <w:tc>
          <w:tcPr>
            <w:tcW w:w="801" w:type="pct"/>
            <w:vMerge w:val="continue"/>
            <w:tcBorders>
              <w:top w:val="single" w:color="auto" w:sz="4" w:space="0"/>
              <w:left w:val="single" w:color="auto" w:sz="4" w:space="0"/>
              <w:bottom w:val="single" w:color="auto" w:sz="4" w:space="0"/>
              <w:right w:val="single" w:color="auto" w:sz="4" w:space="0"/>
            </w:tcBorders>
            <w:vAlign w:val="center"/>
          </w:tcPr>
          <w:p w14:paraId="47D03E39">
            <w:pPr>
              <w:jc w:val="center"/>
              <w:rPr>
                <w:color w:val="000000" w:themeColor="text1"/>
                <w14:textFill>
                  <w14:solidFill>
                    <w14:schemeClr w14:val="tx1"/>
                  </w14:solidFill>
                </w14:textFill>
              </w:rPr>
            </w:pPr>
          </w:p>
        </w:tc>
      </w:tr>
      <w:tr w14:paraId="6AF8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pct"/>
            <w:tcBorders>
              <w:top w:val="single" w:color="auto" w:sz="4" w:space="0"/>
              <w:left w:val="single" w:color="auto" w:sz="4" w:space="0"/>
              <w:bottom w:val="single" w:color="auto" w:sz="4" w:space="0"/>
              <w:right w:val="single" w:color="auto" w:sz="4" w:space="0"/>
            </w:tcBorders>
          </w:tcPr>
          <w:p w14:paraId="2AE9612E">
            <w:pPr>
              <w:rPr>
                <w:color w:val="000000" w:themeColor="text1"/>
                <w14:textFill>
                  <w14:solidFill>
                    <w14:schemeClr w14:val="tx1"/>
                  </w14:solidFill>
                </w14:textFill>
              </w:rPr>
            </w:pPr>
            <w:r>
              <w:rPr>
                <w:rFonts w:hint="eastAsia"/>
                <w:color w:val="000000" w:themeColor="text1"/>
                <w14:textFill>
                  <w14:solidFill>
                    <w14:schemeClr w14:val="tx1"/>
                  </w14:solidFill>
                </w14:textFill>
              </w:rPr>
              <w:t>原材料</w:t>
            </w:r>
          </w:p>
        </w:tc>
        <w:tc>
          <w:tcPr>
            <w:tcW w:w="760" w:type="pct"/>
            <w:tcBorders>
              <w:top w:val="single" w:color="auto" w:sz="4" w:space="0"/>
              <w:left w:val="single" w:color="auto" w:sz="4" w:space="0"/>
              <w:bottom w:val="single" w:color="auto" w:sz="4" w:space="0"/>
              <w:right w:val="single" w:color="auto" w:sz="4" w:space="0"/>
            </w:tcBorders>
            <w:vAlign w:val="center"/>
          </w:tcPr>
          <w:p w14:paraId="0CAE3E98">
            <w:pPr>
              <w:jc w:val="right"/>
              <w:textAlignment w:val="center"/>
              <w:rPr>
                <w:rFonts w:cs="Times New Roman"/>
                <w:sz w:val="18"/>
                <w:szCs w:val="18"/>
              </w:rPr>
            </w:pPr>
            <w:r>
              <w:rPr>
                <w:rFonts w:eastAsia="Arial Narrow" w:cs="Times New Roman"/>
                <w:color w:val="000000"/>
                <w:sz w:val="18"/>
                <w:szCs w:val="18"/>
                <w:lang w:bidi="ar"/>
              </w:rPr>
              <w:t>115,615,145.55</w:t>
            </w:r>
          </w:p>
        </w:tc>
        <w:tc>
          <w:tcPr>
            <w:tcW w:w="681" w:type="pct"/>
            <w:tcBorders>
              <w:top w:val="single" w:color="auto" w:sz="4" w:space="0"/>
              <w:left w:val="single" w:color="auto" w:sz="4" w:space="0"/>
              <w:bottom w:val="single" w:color="auto" w:sz="4" w:space="0"/>
              <w:right w:val="single" w:color="auto" w:sz="4" w:space="0"/>
            </w:tcBorders>
            <w:vAlign w:val="center"/>
          </w:tcPr>
          <w:p w14:paraId="7029408F">
            <w:pPr>
              <w:jc w:val="right"/>
              <w:textAlignment w:val="center"/>
              <w:rPr>
                <w:rFonts w:cs="Times New Roman"/>
                <w:sz w:val="18"/>
                <w:szCs w:val="18"/>
              </w:rPr>
            </w:pPr>
            <w:r>
              <w:rPr>
                <w:rFonts w:eastAsia="Arial Narrow" w:cs="Times New Roman"/>
                <w:color w:val="000000"/>
                <w:sz w:val="18"/>
                <w:szCs w:val="18"/>
                <w:lang w:bidi="ar"/>
              </w:rPr>
              <w:t>2,884,309.98</w:t>
            </w:r>
          </w:p>
        </w:tc>
        <w:tc>
          <w:tcPr>
            <w:tcW w:w="551" w:type="pct"/>
            <w:tcBorders>
              <w:top w:val="single" w:color="auto" w:sz="4" w:space="0"/>
              <w:left w:val="single" w:color="auto" w:sz="4" w:space="0"/>
              <w:bottom w:val="single" w:color="auto" w:sz="4" w:space="0"/>
              <w:right w:val="single" w:color="auto" w:sz="4" w:space="0"/>
            </w:tcBorders>
            <w:vAlign w:val="center"/>
          </w:tcPr>
          <w:p w14:paraId="081B5E36">
            <w:pPr>
              <w:jc w:val="right"/>
              <w:rPr>
                <w:rFonts w:cs="Times New Roman"/>
                <w:sz w:val="18"/>
                <w:szCs w:val="18"/>
              </w:rPr>
            </w:pPr>
          </w:p>
        </w:tc>
        <w:tc>
          <w:tcPr>
            <w:tcW w:w="801" w:type="pct"/>
            <w:tcBorders>
              <w:top w:val="single" w:color="auto" w:sz="4" w:space="0"/>
              <w:left w:val="single" w:color="auto" w:sz="4" w:space="0"/>
              <w:bottom w:val="single" w:color="auto" w:sz="4" w:space="0"/>
              <w:right w:val="single" w:color="auto" w:sz="4" w:space="0"/>
            </w:tcBorders>
            <w:vAlign w:val="center"/>
          </w:tcPr>
          <w:p w14:paraId="08BA1471">
            <w:pPr>
              <w:jc w:val="right"/>
              <w:textAlignment w:val="center"/>
              <w:rPr>
                <w:rFonts w:cs="Times New Roman"/>
                <w:sz w:val="18"/>
                <w:szCs w:val="18"/>
              </w:rPr>
            </w:pPr>
            <w:r>
              <w:rPr>
                <w:rFonts w:eastAsia="Arial Narrow" w:cs="Times New Roman"/>
                <w:color w:val="000000"/>
                <w:sz w:val="18"/>
                <w:szCs w:val="18"/>
                <w:lang w:bidi="ar"/>
              </w:rPr>
              <w:t>20,593,851.96</w:t>
            </w:r>
          </w:p>
        </w:tc>
        <w:tc>
          <w:tcPr>
            <w:tcW w:w="747" w:type="pct"/>
            <w:tcBorders>
              <w:top w:val="single" w:color="auto" w:sz="4" w:space="0"/>
              <w:left w:val="single" w:color="auto" w:sz="4" w:space="0"/>
              <w:bottom w:val="single" w:color="auto" w:sz="4" w:space="0"/>
              <w:right w:val="single" w:color="auto" w:sz="4" w:space="0"/>
            </w:tcBorders>
            <w:vAlign w:val="center"/>
          </w:tcPr>
          <w:p w14:paraId="3FD8C4AB">
            <w:pPr>
              <w:jc w:val="right"/>
              <w:textAlignment w:val="center"/>
              <w:rPr>
                <w:rFonts w:cs="Times New Roman"/>
                <w:sz w:val="18"/>
                <w:szCs w:val="18"/>
              </w:rPr>
            </w:pPr>
            <w:r>
              <w:rPr>
                <w:rFonts w:eastAsia="Arial Narrow" w:cs="Times New Roman"/>
                <w:color w:val="000000"/>
                <w:sz w:val="18"/>
                <w:szCs w:val="18"/>
                <w:lang w:bidi="ar"/>
              </w:rPr>
              <w:t>3,534,234.79</w:t>
            </w:r>
          </w:p>
        </w:tc>
        <w:tc>
          <w:tcPr>
            <w:tcW w:w="801" w:type="pct"/>
            <w:tcBorders>
              <w:top w:val="single" w:color="auto" w:sz="4" w:space="0"/>
              <w:left w:val="single" w:color="auto" w:sz="4" w:space="0"/>
              <w:bottom w:val="single" w:color="auto" w:sz="4" w:space="0"/>
              <w:right w:val="single" w:color="auto" w:sz="4" w:space="0"/>
            </w:tcBorders>
            <w:vAlign w:val="center"/>
          </w:tcPr>
          <w:p w14:paraId="3BFE7E3E">
            <w:pPr>
              <w:jc w:val="right"/>
              <w:textAlignment w:val="center"/>
              <w:rPr>
                <w:rFonts w:cs="Times New Roman"/>
                <w:sz w:val="18"/>
                <w:szCs w:val="18"/>
              </w:rPr>
            </w:pPr>
            <w:r>
              <w:rPr>
                <w:rFonts w:eastAsia="Arial Narrow" w:cs="Times New Roman"/>
                <w:color w:val="000000"/>
                <w:sz w:val="18"/>
                <w:szCs w:val="18"/>
                <w:lang w:bidi="ar"/>
              </w:rPr>
              <w:t>94,371,368.78</w:t>
            </w:r>
          </w:p>
        </w:tc>
      </w:tr>
      <w:tr w14:paraId="6CAD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pct"/>
            <w:tcBorders>
              <w:top w:val="single" w:color="auto" w:sz="4" w:space="0"/>
              <w:left w:val="single" w:color="auto" w:sz="4" w:space="0"/>
              <w:bottom w:val="single" w:color="auto" w:sz="4" w:space="0"/>
              <w:right w:val="single" w:color="auto" w:sz="4" w:space="0"/>
            </w:tcBorders>
          </w:tcPr>
          <w:p w14:paraId="026E15C8">
            <w:pPr>
              <w:rPr>
                <w:color w:val="000000" w:themeColor="text1"/>
                <w14:textFill>
                  <w14:solidFill>
                    <w14:schemeClr w14:val="tx1"/>
                  </w14:solidFill>
                </w14:textFill>
              </w:rPr>
            </w:pPr>
            <w:r>
              <w:rPr>
                <w:rFonts w:hint="eastAsia"/>
                <w:color w:val="000000" w:themeColor="text1"/>
                <w14:textFill>
                  <w14:solidFill>
                    <w14:schemeClr w14:val="tx1"/>
                  </w14:solidFill>
                </w14:textFill>
              </w:rPr>
              <w:t>在产品</w:t>
            </w:r>
          </w:p>
        </w:tc>
        <w:tc>
          <w:tcPr>
            <w:tcW w:w="760" w:type="pct"/>
            <w:tcBorders>
              <w:top w:val="single" w:color="auto" w:sz="4" w:space="0"/>
              <w:left w:val="single" w:color="auto" w:sz="4" w:space="0"/>
              <w:bottom w:val="single" w:color="auto" w:sz="4" w:space="0"/>
              <w:right w:val="single" w:color="auto" w:sz="4" w:space="0"/>
            </w:tcBorders>
            <w:vAlign w:val="center"/>
          </w:tcPr>
          <w:p w14:paraId="04FE67E3">
            <w:pPr>
              <w:jc w:val="right"/>
              <w:textAlignment w:val="center"/>
              <w:rPr>
                <w:rFonts w:cs="Times New Roman"/>
                <w:sz w:val="18"/>
                <w:szCs w:val="18"/>
              </w:rPr>
            </w:pPr>
            <w:r>
              <w:rPr>
                <w:rFonts w:eastAsia="Arial Narrow" w:cs="Times New Roman"/>
                <w:color w:val="000000"/>
                <w:sz w:val="18"/>
                <w:szCs w:val="18"/>
                <w:lang w:bidi="ar"/>
              </w:rPr>
              <w:t>4,795,834.59</w:t>
            </w:r>
          </w:p>
        </w:tc>
        <w:tc>
          <w:tcPr>
            <w:tcW w:w="681" w:type="pct"/>
            <w:tcBorders>
              <w:top w:val="single" w:color="auto" w:sz="4" w:space="0"/>
              <w:left w:val="single" w:color="auto" w:sz="4" w:space="0"/>
              <w:bottom w:val="single" w:color="auto" w:sz="4" w:space="0"/>
              <w:right w:val="single" w:color="auto" w:sz="4" w:space="0"/>
            </w:tcBorders>
            <w:vAlign w:val="center"/>
          </w:tcPr>
          <w:p w14:paraId="2C082563">
            <w:pPr>
              <w:jc w:val="right"/>
              <w:rPr>
                <w:rFonts w:cs="Times New Roman"/>
                <w:sz w:val="18"/>
                <w:szCs w:val="18"/>
              </w:rPr>
            </w:pPr>
          </w:p>
        </w:tc>
        <w:tc>
          <w:tcPr>
            <w:tcW w:w="551" w:type="pct"/>
            <w:tcBorders>
              <w:top w:val="single" w:color="auto" w:sz="4" w:space="0"/>
              <w:left w:val="single" w:color="auto" w:sz="4" w:space="0"/>
              <w:bottom w:val="single" w:color="auto" w:sz="4" w:space="0"/>
              <w:right w:val="single" w:color="auto" w:sz="4" w:space="0"/>
            </w:tcBorders>
            <w:vAlign w:val="center"/>
          </w:tcPr>
          <w:p w14:paraId="7FE8A44B">
            <w:pPr>
              <w:jc w:val="right"/>
              <w:rPr>
                <w:rFonts w:cs="Times New Roman"/>
                <w:sz w:val="18"/>
                <w:szCs w:val="18"/>
              </w:rPr>
            </w:pPr>
          </w:p>
        </w:tc>
        <w:tc>
          <w:tcPr>
            <w:tcW w:w="801" w:type="pct"/>
            <w:tcBorders>
              <w:top w:val="single" w:color="auto" w:sz="4" w:space="0"/>
              <w:left w:val="single" w:color="auto" w:sz="4" w:space="0"/>
              <w:bottom w:val="single" w:color="auto" w:sz="4" w:space="0"/>
              <w:right w:val="single" w:color="auto" w:sz="4" w:space="0"/>
            </w:tcBorders>
            <w:vAlign w:val="center"/>
          </w:tcPr>
          <w:p w14:paraId="658DE678">
            <w:pPr>
              <w:jc w:val="right"/>
              <w:rPr>
                <w:rFonts w:cs="Times New Roman"/>
                <w:sz w:val="18"/>
                <w:szCs w:val="18"/>
              </w:rPr>
            </w:pPr>
          </w:p>
        </w:tc>
        <w:tc>
          <w:tcPr>
            <w:tcW w:w="747" w:type="pct"/>
            <w:tcBorders>
              <w:top w:val="single" w:color="auto" w:sz="4" w:space="0"/>
              <w:left w:val="single" w:color="auto" w:sz="4" w:space="0"/>
              <w:right w:val="single" w:color="auto" w:sz="4" w:space="0"/>
            </w:tcBorders>
            <w:vAlign w:val="center"/>
          </w:tcPr>
          <w:p w14:paraId="30600914">
            <w:pPr>
              <w:jc w:val="right"/>
              <w:rPr>
                <w:rFonts w:cs="Times New Roman"/>
                <w:sz w:val="18"/>
                <w:szCs w:val="18"/>
              </w:rPr>
            </w:pPr>
          </w:p>
        </w:tc>
        <w:tc>
          <w:tcPr>
            <w:tcW w:w="801" w:type="pct"/>
            <w:tcBorders>
              <w:top w:val="single" w:color="auto" w:sz="4" w:space="0"/>
              <w:left w:val="single" w:color="auto" w:sz="4" w:space="0"/>
              <w:bottom w:val="single" w:color="auto" w:sz="4" w:space="0"/>
              <w:right w:val="single" w:color="auto" w:sz="4" w:space="0"/>
            </w:tcBorders>
            <w:vAlign w:val="center"/>
          </w:tcPr>
          <w:p w14:paraId="376581A9">
            <w:pPr>
              <w:jc w:val="right"/>
              <w:textAlignment w:val="center"/>
              <w:rPr>
                <w:rFonts w:cs="Times New Roman"/>
                <w:sz w:val="18"/>
                <w:szCs w:val="18"/>
              </w:rPr>
            </w:pPr>
            <w:r>
              <w:rPr>
                <w:rFonts w:eastAsia="Arial Narrow" w:cs="Times New Roman"/>
                <w:color w:val="000000"/>
                <w:sz w:val="18"/>
                <w:szCs w:val="18"/>
                <w:lang w:bidi="ar"/>
              </w:rPr>
              <w:t>4,795,834.59</w:t>
            </w:r>
          </w:p>
        </w:tc>
      </w:tr>
      <w:tr w14:paraId="2EB35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pct"/>
            <w:tcBorders>
              <w:top w:val="single" w:color="auto" w:sz="4" w:space="0"/>
              <w:left w:val="single" w:color="auto" w:sz="4" w:space="0"/>
              <w:bottom w:val="single" w:color="auto" w:sz="4" w:space="0"/>
              <w:right w:val="single" w:color="auto" w:sz="4" w:space="0"/>
            </w:tcBorders>
          </w:tcPr>
          <w:p w14:paraId="590D1033">
            <w:pPr>
              <w:rPr>
                <w:color w:val="000000" w:themeColor="text1"/>
                <w14:textFill>
                  <w14:solidFill>
                    <w14:schemeClr w14:val="tx1"/>
                  </w14:solidFill>
                </w14:textFill>
              </w:rPr>
            </w:pPr>
            <w:r>
              <w:rPr>
                <w:rFonts w:hint="eastAsia"/>
                <w:color w:val="000000" w:themeColor="text1"/>
                <w14:textFill>
                  <w14:solidFill>
                    <w14:schemeClr w14:val="tx1"/>
                  </w14:solidFill>
                </w14:textFill>
              </w:rPr>
              <w:t>库存商品</w:t>
            </w:r>
          </w:p>
        </w:tc>
        <w:tc>
          <w:tcPr>
            <w:tcW w:w="760" w:type="pct"/>
            <w:tcBorders>
              <w:top w:val="single" w:color="auto" w:sz="4" w:space="0"/>
              <w:left w:val="single" w:color="auto" w:sz="4" w:space="0"/>
              <w:bottom w:val="single" w:color="auto" w:sz="4" w:space="0"/>
              <w:right w:val="single" w:color="auto" w:sz="4" w:space="0"/>
            </w:tcBorders>
            <w:vAlign w:val="center"/>
          </w:tcPr>
          <w:p w14:paraId="796BC0B5">
            <w:pPr>
              <w:jc w:val="right"/>
              <w:textAlignment w:val="center"/>
              <w:rPr>
                <w:rFonts w:cs="Times New Roman"/>
                <w:sz w:val="18"/>
                <w:szCs w:val="18"/>
              </w:rPr>
            </w:pPr>
            <w:r>
              <w:rPr>
                <w:rFonts w:eastAsia="Arial Narrow" w:cs="Times New Roman"/>
                <w:color w:val="000000"/>
                <w:sz w:val="18"/>
                <w:szCs w:val="18"/>
                <w:lang w:bidi="ar"/>
              </w:rPr>
              <w:t>598,909,251.18</w:t>
            </w:r>
          </w:p>
        </w:tc>
        <w:tc>
          <w:tcPr>
            <w:tcW w:w="681" w:type="pct"/>
            <w:tcBorders>
              <w:top w:val="single" w:color="auto" w:sz="4" w:space="0"/>
              <w:left w:val="single" w:color="auto" w:sz="4" w:space="0"/>
              <w:bottom w:val="single" w:color="auto" w:sz="4" w:space="0"/>
              <w:right w:val="single" w:color="auto" w:sz="4" w:space="0"/>
            </w:tcBorders>
            <w:vAlign w:val="center"/>
          </w:tcPr>
          <w:p w14:paraId="4568D481">
            <w:pPr>
              <w:jc w:val="right"/>
              <w:textAlignment w:val="center"/>
              <w:rPr>
                <w:rFonts w:cs="Times New Roman"/>
                <w:sz w:val="18"/>
                <w:szCs w:val="18"/>
              </w:rPr>
            </w:pPr>
            <w:r>
              <w:rPr>
                <w:rFonts w:eastAsia="Arial Narrow" w:cs="Times New Roman"/>
                <w:color w:val="000000"/>
                <w:sz w:val="18"/>
                <w:szCs w:val="18"/>
                <w:lang w:bidi="ar"/>
              </w:rPr>
              <w:t>14,624,680.64</w:t>
            </w:r>
          </w:p>
        </w:tc>
        <w:tc>
          <w:tcPr>
            <w:tcW w:w="551" w:type="pct"/>
            <w:tcBorders>
              <w:top w:val="single" w:color="auto" w:sz="4" w:space="0"/>
              <w:left w:val="single" w:color="auto" w:sz="4" w:space="0"/>
              <w:bottom w:val="single" w:color="auto" w:sz="4" w:space="0"/>
              <w:right w:val="single" w:color="auto" w:sz="4" w:space="0"/>
            </w:tcBorders>
            <w:vAlign w:val="center"/>
          </w:tcPr>
          <w:p w14:paraId="7D2E79B6">
            <w:pPr>
              <w:jc w:val="right"/>
              <w:rPr>
                <w:rFonts w:cs="Times New Roman"/>
                <w:sz w:val="18"/>
                <w:szCs w:val="18"/>
              </w:rPr>
            </w:pPr>
          </w:p>
        </w:tc>
        <w:tc>
          <w:tcPr>
            <w:tcW w:w="801" w:type="pct"/>
            <w:tcBorders>
              <w:top w:val="single" w:color="auto" w:sz="4" w:space="0"/>
              <w:left w:val="single" w:color="auto" w:sz="4" w:space="0"/>
              <w:bottom w:val="single" w:color="auto" w:sz="4" w:space="0"/>
              <w:right w:val="single" w:color="auto" w:sz="4" w:space="0"/>
            </w:tcBorders>
            <w:vAlign w:val="center"/>
          </w:tcPr>
          <w:p w14:paraId="0FF2BC34">
            <w:pPr>
              <w:jc w:val="right"/>
              <w:textAlignment w:val="center"/>
              <w:rPr>
                <w:rFonts w:cs="Times New Roman"/>
                <w:sz w:val="18"/>
                <w:szCs w:val="18"/>
              </w:rPr>
            </w:pPr>
            <w:r>
              <w:rPr>
                <w:rFonts w:eastAsia="Arial Narrow" w:cs="Times New Roman"/>
                <w:color w:val="000000"/>
                <w:sz w:val="18"/>
                <w:szCs w:val="18"/>
                <w:lang w:bidi="ar"/>
              </w:rPr>
              <w:t>78,686,723.39</w:t>
            </w:r>
          </w:p>
        </w:tc>
        <w:tc>
          <w:tcPr>
            <w:tcW w:w="747" w:type="pct"/>
            <w:tcBorders>
              <w:left w:val="single" w:color="auto" w:sz="4" w:space="0"/>
              <w:right w:val="single" w:color="auto" w:sz="4" w:space="0"/>
            </w:tcBorders>
            <w:vAlign w:val="center"/>
          </w:tcPr>
          <w:p w14:paraId="2E30F8AA">
            <w:pPr>
              <w:jc w:val="right"/>
              <w:textAlignment w:val="center"/>
              <w:rPr>
                <w:rFonts w:cs="Times New Roman"/>
                <w:sz w:val="18"/>
                <w:szCs w:val="18"/>
              </w:rPr>
            </w:pPr>
            <w:r>
              <w:rPr>
                <w:rFonts w:eastAsia="Arial Narrow" w:cs="Times New Roman"/>
                <w:color w:val="000000"/>
                <w:sz w:val="18"/>
                <w:szCs w:val="18"/>
                <w:lang w:bidi="ar"/>
              </w:rPr>
              <w:t>70,091,788.25</w:t>
            </w:r>
          </w:p>
        </w:tc>
        <w:tc>
          <w:tcPr>
            <w:tcW w:w="801" w:type="pct"/>
            <w:tcBorders>
              <w:top w:val="single" w:color="auto" w:sz="4" w:space="0"/>
              <w:left w:val="single" w:color="auto" w:sz="4" w:space="0"/>
              <w:bottom w:val="single" w:color="auto" w:sz="4" w:space="0"/>
              <w:right w:val="single" w:color="auto" w:sz="4" w:space="0"/>
            </w:tcBorders>
            <w:vAlign w:val="center"/>
          </w:tcPr>
          <w:p w14:paraId="6C133CBB">
            <w:pPr>
              <w:jc w:val="right"/>
              <w:textAlignment w:val="center"/>
              <w:rPr>
                <w:rFonts w:cs="Times New Roman"/>
                <w:sz w:val="18"/>
                <w:szCs w:val="18"/>
              </w:rPr>
            </w:pPr>
            <w:r>
              <w:rPr>
                <w:rFonts w:eastAsia="Arial Narrow" w:cs="Times New Roman"/>
                <w:color w:val="000000"/>
                <w:sz w:val="18"/>
                <w:szCs w:val="18"/>
                <w:lang w:bidi="ar"/>
              </w:rPr>
              <w:t>464,755,420.18</w:t>
            </w:r>
          </w:p>
        </w:tc>
      </w:tr>
      <w:tr w14:paraId="7C91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pct"/>
            <w:tcBorders>
              <w:top w:val="single" w:color="auto" w:sz="4" w:space="0"/>
              <w:left w:val="single" w:color="auto" w:sz="4" w:space="0"/>
              <w:bottom w:val="single" w:color="auto" w:sz="4" w:space="0"/>
              <w:right w:val="single" w:color="auto" w:sz="4" w:space="0"/>
            </w:tcBorders>
          </w:tcPr>
          <w:p w14:paraId="3C5E8EBB">
            <w:pPr>
              <w:rPr>
                <w:color w:val="000000" w:themeColor="text1"/>
                <w14:textFill>
                  <w14:solidFill>
                    <w14:schemeClr w14:val="tx1"/>
                  </w14:solidFill>
                </w14:textFill>
              </w:rPr>
            </w:pPr>
            <w:r>
              <w:rPr>
                <w:rFonts w:hint="eastAsia"/>
                <w:color w:val="000000" w:themeColor="text1"/>
                <w14:textFill>
                  <w14:solidFill>
                    <w14:schemeClr w14:val="tx1"/>
                  </w14:solidFill>
                </w14:textFill>
              </w:rPr>
              <w:t>周转材料</w:t>
            </w:r>
          </w:p>
        </w:tc>
        <w:tc>
          <w:tcPr>
            <w:tcW w:w="760" w:type="pct"/>
            <w:tcBorders>
              <w:top w:val="single" w:color="auto" w:sz="4" w:space="0"/>
              <w:left w:val="single" w:color="auto" w:sz="4" w:space="0"/>
              <w:bottom w:val="single" w:color="auto" w:sz="4" w:space="0"/>
              <w:right w:val="single" w:color="auto" w:sz="4" w:space="0"/>
            </w:tcBorders>
            <w:vAlign w:val="center"/>
          </w:tcPr>
          <w:p w14:paraId="7419E0D6">
            <w:pPr>
              <w:jc w:val="right"/>
              <w:rPr>
                <w:rFonts w:cs="Times New Roman"/>
                <w:sz w:val="18"/>
                <w:szCs w:val="18"/>
              </w:rPr>
            </w:pPr>
          </w:p>
        </w:tc>
        <w:tc>
          <w:tcPr>
            <w:tcW w:w="681" w:type="pct"/>
            <w:tcBorders>
              <w:top w:val="single" w:color="auto" w:sz="4" w:space="0"/>
              <w:left w:val="single" w:color="auto" w:sz="4" w:space="0"/>
              <w:bottom w:val="single" w:color="auto" w:sz="4" w:space="0"/>
              <w:right w:val="single" w:color="auto" w:sz="4" w:space="0"/>
            </w:tcBorders>
            <w:vAlign w:val="center"/>
          </w:tcPr>
          <w:p w14:paraId="45729C94">
            <w:pPr>
              <w:jc w:val="right"/>
              <w:textAlignment w:val="center"/>
              <w:rPr>
                <w:rFonts w:cs="Times New Roman"/>
                <w:sz w:val="18"/>
                <w:szCs w:val="18"/>
              </w:rPr>
            </w:pPr>
            <w:r>
              <w:rPr>
                <w:rFonts w:eastAsia="Arial Narrow" w:cs="Times New Roman"/>
                <w:color w:val="000000"/>
                <w:sz w:val="18"/>
                <w:szCs w:val="18"/>
                <w:lang w:bidi="ar"/>
              </w:rPr>
              <w:t>1,651.49</w:t>
            </w:r>
          </w:p>
        </w:tc>
        <w:tc>
          <w:tcPr>
            <w:tcW w:w="551" w:type="pct"/>
            <w:tcBorders>
              <w:top w:val="single" w:color="auto" w:sz="4" w:space="0"/>
              <w:left w:val="single" w:color="auto" w:sz="4" w:space="0"/>
              <w:bottom w:val="single" w:color="auto" w:sz="4" w:space="0"/>
              <w:right w:val="single" w:color="auto" w:sz="4" w:space="0"/>
            </w:tcBorders>
            <w:vAlign w:val="center"/>
          </w:tcPr>
          <w:p w14:paraId="292240A4">
            <w:pPr>
              <w:jc w:val="right"/>
              <w:rPr>
                <w:rFonts w:cs="Times New Roman"/>
                <w:sz w:val="18"/>
                <w:szCs w:val="18"/>
              </w:rPr>
            </w:pPr>
          </w:p>
        </w:tc>
        <w:tc>
          <w:tcPr>
            <w:tcW w:w="801" w:type="pct"/>
            <w:tcBorders>
              <w:top w:val="single" w:color="auto" w:sz="4" w:space="0"/>
              <w:left w:val="single" w:color="auto" w:sz="4" w:space="0"/>
              <w:bottom w:val="single" w:color="auto" w:sz="4" w:space="0"/>
              <w:right w:val="single" w:color="auto" w:sz="4" w:space="0"/>
            </w:tcBorders>
            <w:vAlign w:val="center"/>
          </w:tcPr>
          <w:p w14:paraId="2F6C3479">
            <w:pPr>
              <w:jc w:val="right"/>
              <w:rPr>
                <w:rFonts w:cs="Times New Roman"/>
                <w:sz w:val="18"/>
                <w:szCs w:val="18"/>
              </w:rPr>
            </w:pPr>
          </w:p>
        </w:tc>
        <w:tc>
          <w:tcPr>
            <w:tcW w:w="747" w:type="pct"/>
            <w:tcBorders>
              <w:left w:val="single" w:color="auto" w:sz="4" w:space="0"/>
              <w:right w:val="single" w:color="auto" w:sz="4" w:space="0"/>
            </w:tcBorders>
            <w:vAlign w:val="center"/>
          </w:tcPr>
          <w:p w14:paraId="6577B375">
            <w:pPr>
              <w:jc w:val="right"/>
              <w:rPr>
                <w:rFonts w:cs="Times New Roman"/>
                <w:sz w:val="18"/>
                <w:szCs w:val="18"/>
              </w:rPr>
            </w:pPr>
          </w:p>
        </w:tc>
        <w:tc>
          <w:tcPr>
            <w:tcW w:w="801" w:type="pct"/>
            <w:tcBorders>
              <w:top w:val="single" w:color="auto" w:sz="4" w:space="0"/>
              <w:left w:val="single" w:color="auto" w:sz="4" w:space="0"/>
              <w:bottom w:val="single" w:color="auto" w:sz="4" w:space="0"/>
              <w:right w:val="single" w:color="auto" w:sz="4" w:space="0"/>
            </w:tcBorders>
            <w:vAlign w:val="center"/>
          </w:tcPr>
          <w:p w14:paraId="791B0CF0">
            <w:pPr>
              <w:jc w:val="right"/>
              <w:textAlignment w:val="center"/>
              <w:rPr>
                <w:rFonts w:cs="Times New Roman"/>
                <w:sz w:val="18"/>
                <w:szCs w:val="18"/>
              </w:rPr>
            </w:pPr>
            <w:r>
              <w:rPr>
                <w:rFonts w:eastAsia="Arial Narrow" w:cs="Times New Roman"/>
                <w:color w:val="000000"/>
                <w:sz w:val="18"/>
                <w:szCs w:val="18"/>
                <w:lang w:bidi="ar"/>
              </w:rPr>
              <w:t>1,651.49</w:t>
            </w:r>
          </w:p>
        </w:tc>
      </w:tr>
      <w:tr w14:paraId="017E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pct"/>
            <w:tcBorders>
              <w:top w:val="single" w:color="auto" w:sz="4" w:space="0"/>
              <w:left w:val="single" w:color="auto" w:sz="4" w:space="0"/>
              <w:bottom w:val="single" w:color="auto" w:sz="4" w:space="0"/>
              <w:right w:val="single" w:color="auto" w:sz="4" w:space="0"/>
            </w:tcBorders>
          </w:tcPr>
          <w:p w14:paraId="35716F03">
            <w:pPr>
              <w:textAlignment w:val="top"/>
              <w:rPr>
                <w:color w:val="000000" w:themeColor="text1"/>
                <w14:textFill>
                  <w14:solidFill>
                    <w14:schemeClr w14:val="tx1"/>
                  </w14:solidFill>
                </w14:textFill>
              </w:rPr>
            </w:pPr>
            <w:r>
              <w:rPr>
                <w:rFonts w:hint="eastAsia" w:ascii="宋体" w:hAnsi="宋体"/>
                <w:color w:val="000000"/>
                <w:lang w:bidi="ar"/>
              </w:rPr>
              <w:t>发出商品</w:t>
            </w:r>
          </w:p>
        </w:tc>
        <w:tc>
          <w:tcPr>
            <w:tcW w:w="760" w:type="pct"/>
            <w:tcBorders>
              <w:top w:val="single" w:color="auto" w:sz="4" w:space="0"/>
              <w:left w:val="single" w:color="auto" w:sz="4" w:space="0"/>
              <w:bottom w:val="single" w:color="auto" w:sz="4" w:space="0"/>
              <w:right w:val="single" w:color="auto" w:sz="4" w:space="0"/>
            </w:tcBorders>
            <w:vAlign w:val="center"/>
          </w:tcPr>
          <w:p w14:paraId="064F36F5">
            <w:pPr>
              <w:jc w:val="right"/>
              <w:textAlignment w:val="center"/>
              <w:rPr>
                <w:rFonts w:cs="Times New Roman"/>
                <w:sz w:val="18"/>
                <w:szCs w:val="18"/>
              </w:rPr>
            </w:pPr>
            <w:r>
              <w:rPr>
                <w:rFonts w:eastAsia="Arial Narrow" w:cs="Times New Roman"/>
                <w:color w:val="000000"/>
                <w:sz w:val="18"/>
                <w:szCs w:val="18"/>
                <w:lang w:bidi="ar"/>
              </w:rPr>
              <w:t>55,355,789.28</w:t>
            </w:r>
          </w:p>
        </w:tc>
        <w:tc>
          <w:tcPr>
            <w:tcW w:w="681" w:type="pct"/>
            <w:tcBorders>
              <w:top w:val="single" w:color="auto" w:sz="4" w:space="0"/>
              <w:left w:val="single" w:color="auto" w:sz="4" w:space="0"/>
              <w:bottom w:val="single" w:color="auto" w:sz="4" w:space="0"/>
              <w:right w:val="single" w:color="auto" w:sz="4" w:space="0"/>
            </w:tcBorders>
            <w:vAlign w:val="center"/>
          </w:tcPr>
          <w:p w14:paraId="71312DE8">
            <w:pPr>
              <w:jc w:val="right"/>
              <w:rPr>
                <w:rFonts w:cs="Times New Roman"/>
                <w:sz w:val="18"/>
                <w:szCs w:val="18"/>
              </w:rPr>
            </w:pPr>
          </w:p>
        </w:tc>
        <w:tc>
          <w:tcPr>
            <w:tcW w:w="551" w:type="pct"/>
            <w:tcBorders>
              <w:top w:val="single" w:color="auto" w:sz="4" w:space="0"/>
              <w:left w:val="single" w:color="auto" w:sz="4" w:space="0"/>
              <w:bottom w:val="single" w:color="auto" w:sz="4" w:space="0"/>
              <w:right w:val="single" w:color="auto" w:sz="4" w:space="0"/>
            </w:tcBorders>
            <w:vAlign w:val="center"/>
          </w:tcPr>
          <w:p w14:paraId="3004A23C">
            <w:pPr>
              <w:jc w:val="right"/>
              <w:rPr>
                <w:rFonts w:cs="Times New Roman"/>
                <w:sz w:val="18"/>
                <w:szCs w:val="18"/>
              </w:rPr>
            </w:pPr>
          </w:p>
        </w:tc>
        <w:tc>
          <w:tcPr>
            <w:tcW w:w="801" w:type="pct"/>
            <w:tcBorders>
              <w:top w:val="single" w:color="auto" w:sz="4" w:space="0"/>
              <w:left w:val="single" w:color="auto" w:sz="4" w:space="0"/>
              <w:bottom w:val="single" w:color="auto" w:sz="4" w:space="0"/>
              <w:right w:val="single" w:color="auto" w:sz="4" w:space="0"/>
            </w:tcBorders>
            <w:vAlign w:val="center"/>
          </w:tcPr>
          <w:p w14:paraId="61C82207">
            <w:pPr>
              <w:jc w:val="right"/>
              <w:rPr>
                <w:rFonts w:cs="Times New Roman"/>
                <w:sz w:val="18"/>
                <w:szCs w:val="18"/>
              </w:rPr>
            </w:pPr>
          </w:p>
        </w:tc>
        <w:tc>
          <w:tcPr>
            <w:tcW w:w="747" w:type="pct"/>
            <w:tcBorders>
              <w:left w:val="single" w:color="auto" w:sz="4" w:space="0"/>
              <w:right w:val="single" w:color="auto" w:sz="4" w:space="0"/>
            </w:tcBorders>
            <w:vAlign w:val="center"/>
          </w:tcPr>
          <w:p w14:paraId="1F917BA0">
            <w:pPr>
              <w:jc w:val="right"/>
              <w:rPr>
                <w:rFonts w:cs="Times New Roman"/>
                <w:sz w:val="18"/>
                <w:szCs w:val="18"/>
              </w:rPr>
            </w:pPr>
          </w:p>
        </w:tc>
        <w:tc>
          <w:tcPr>
            <w:tcW w:w="801" w:type="pct"/>
            <w:tcBorders>
              <w:top w:val="single" w:color="auto" w:sz="4" w:space="0"/>
              <w:left w:val="single" w:color="auto" w:sz="4" w:space="0"/>
              <w:bottom w:val="single" w:color="auto" w:sz="4" w:space="0"/>
              <w:right w:val="single" w:color="auto" w:sz="4" w:space="0"/>
            </w:tcBorders>
            <w:vAlign w:val="center"/>
          </w:tcPr>
          <w:p w14:paraId="143FEE11">
            <w:pPr>
              <w:jc w:val="right"/>
              <w:textAlignment w:val="center"/>
              <w:rPr>
                <w:rFonts w:cs="Times New Roman"/>
                <w:sz w:val="18"/>
                <w:szCs w:val="18"/>
              </w:rPr>
            </w:pPr>
            <w:r>
              <w:rPr>
                <w:rFonts w:eastAsia="Arial Narrow" w:cs="Times New Roman"/>
                <w:color w:val="000000"/>
                <w:sz w:val="18"/>
                <w:szCs w:val="18"/>
                <w:lang w:bidi="ar"/>
              </w:rPr>
              <w:t>55,355,789.28</w:t>
            </w:r>
          </w:p>
        </w:tc>
      </w:tr>
      <w:tr w14:paraId="2DE9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pct"/>
            <w:tcBorders>
              <w:top w:val="single" w:color="auto" w:sz="4" w:space="0"/>
              <w:left w:val="single" w:color="auto" w:sz="4" w:space="0"/>
              <w:bottom w:val="single" w:color="auto" w:sz="4" w:space="0"/>
              <w:right w:val="single" w:color="auto" w:sz="4" w:space="0"/>
            </w:tcBorders>
          </w:tcPr>
          <w:p w14:paraId="23CB6770">
            <w:pPr>
              <w:textAlignment w:val="top"/>
              <w:rPr>
                <w:color w:val="000000" w:themeColor="text1"/>
                <w14:textFill>
                  <w14:solidFill>
                    <w14:schemeClr w14:val="tx1"/>
                  </w14:solidFill>
                </w14:textFill>
              </w:rPr>
            </w:pPr>
            <w:r>
              <w:rPr>
                <w:rFonts w:hint="eastAsia" w:ascii="宋体" w:hAnsi="宋体"/>
                <w:color w:val="000000"/>
                <w:lang w:bidi="ar"/>
              </w:rPr>
              <w:t>委托加工物资</w:t>
            </w:r>
          </w:p>
        </w:tc>
        <w:tc>
          <w:tcPr>
            <w:tcW w:w="760" w:type="pct"/>
            <w:tcBorders>
              <w:top w:val="single" w:color="auto" w:sz="4" w:space="0"/>
              <w:left w:val="single" w:color="auto" w:sz="4" w:space="0"/>
              <w:bottom w:val="single" w:color="auto" w:sz="4" w:space="0"/>
              <w:right w:val="single" w:color="auto" w:sz="4" w:space="0"/>
            </w:tcBorders>
            <w:vAlign w:val="center"/>
          </w:tcPr>
          <w:p w14:paraId="040F7F19">
            <w:pPr>
              <w:jc w:val="right"/>
              <w:textAlignment w:val="center"/>
              <w:rPr>
                <w:rFonts w:cs="Times New Roman"/>
                <w:sz w:val="18"/>
                <w:szCs w:val="18"/>
              </w:rPr>
            </w:pPr>
            <w:r>
              <w:rPr>
                <w:rFonts w:eastAsia="Arial Narrow" w:cs="Times New Roman"/>
                <w:color w:val="000000"/>
                <w:sz w:val="18"/>
                <w:szCs w:val="18"/>
                <w:lang w:bidi="ar"/>
              </w:rPr>
              <w:t>10,515,209.15</w:t>
            </w:r>
          </w:p>
        </w:tc>
        <w:tc>
          <w:tcPr>
            <w:tcW w:w="681" w:type="pct"/>
            <w:tcBorders>
              <w:top w:val="single" w:color="auto" w:sz="4" w:space="0"/>
              <w:left w:val="single" w:color="auto" w:sz="4" w:space="0"/>
              <w:bottom w:val="single" w:color="auto" w:sz="4" w:space="0"/>
              <w:right w:val="single" w:color="auto" w:sz="4" w:space="0"/>
            </w:tcBorders>
            <w:vAlign w:val="center"/>
          </w:tcPr>
          <w:p w14:paraId="4E020E4B">
            <w:pPr>
              <w:jc w:val="right"/>
              <w:rPr>
                <w:rFonts w:cs="Times New Roman"/>
                <w:sz w:val="18"/>
                <w:szCs w:val="18"/>
              </w:rPr>
            </w:pPr>
          </w:p>
        </w:tc>
        <w:tc>
          <w:tcPr>
            <w:tcW w:w="551" w:type="pct"/>
            <w:tcBorders>
              <w:top w:val="single" w:color="auto" w:sz="4" w:space="0"/>
              <w:left w:val="single" w:color="auto" w:sz="4" w:space="0"/>
              <w:bottom w:val="single" w:color="auto" w:sz="4" w:space="0"/>
              <w:right w:val="single" w:color="auto" w:sz="4" w:space="0"/>
            </w:tcBorders>
            <w:vAlign w:val="center"/>
          </w:tcPr>
          <w:p w14:paraId="33C801AA">
            <w:pPr>
              <w:jc w:val="right"/>
              <w:rPr>
                <w:rFonts w:cs="Times New Roman"/>
                <w:sz w:val="18"/>
                <w:szCs w:val="18"/>
              </w:rPr>
            </w:pPr>
          </w:p>
        </w:tc>
        <w:tc>
          <w:tcPr>
            <w:tcW w:w="801" w:type="pct"/>
            <w:tcBorders>
              <w:top w:val="single" w:color="auto" w:sz="4" w:space="0"/>
              <w:left w:val="single" w:color="auto" w:sz="4" w:space="0"/>
              <w:bottom w:val="single" w:color="auto" w:sz="4" w:space="0"/>
              <w:right w:val="single" w:color="auto" w:sz="4" w:space="0"/>
            </w:tcBorders>
            <w:vAlign w:val="center"/>
          </w:tcPr>
          <w:p w14:paraId="28CC0436">
            <w:pPr>
              <w:jc w:val="right"/>
              <w:rPr>
                <w:rFonts w:cs="Times New Roman"/>
                <w:sz w:val="18"/>
                <w:szCs w:val="18"/>
              </w:rPr>
            </w:pPr>
          </w:p>
        </w:tc>
        <w:tc>
          <w:tcPr>
            <w:tcW w:w="747" w:type="pct"/>
            <w:tcBorders>
              <w:left w:val="single" w:color="auto" w:sz="4" w:space="0"/>
              <w:right w:val="single" w:color="auto" w:sz="4" w:space="0"/>
            </w:tcBorders>
            <w:vAlign w:val="center"/>
          </w:tcPr>
          <w:p w14:paraId="4D80A7C2">
            <w:pPr>
              <w:jc w:val="right"/>
              <w:rPr>
                <w:rFonts w:cs="Times New Roman"/>
                <w:sz w:val="18"/>
                <w:szCs w:val="18"/>
              </w:rPr>
            </w:pPr>
          </w:p>
        </w:tc>
        <w:tc>
          <w:tcPr>
            <w:tcW w:w="801" w:type="pct"/>
            <w:tcBorders>
              <w:top w:val="single" w:color="auto" w:sz="4" w:space="0"/>
              <w:left w:val="single" w:color="auto" w:sz="4" w:space="0"/>
              <w:bottom w:val="single" w:color="auto" w:sz="4" w:space="0"/>
              <w:right w:val="single" w:color="auto" w:sz="4" w:space="0"/>
            </w:tcBorders>
            <w:vAlign w:val="center"/>
          </w:tcPr>
          <w:p w14:paraId="2C3DC145">
            <w:pPr>
              <w:jc w:val="right"/>
              <w:textAlignment w:val="center"/>
              <w:rPr>
                <w:rFonts w:cs="Times New Roman"/>
                <w:sz w:val="18"/>
                <w:szCs w:val="18"/>
              </w:rPr>
            </w:pPr>
            <w:r>
              <w:rPr>
                <w:rFonts w:eastAsia="Arial Narrow" w:cs="Times New Roman"/>
                <w:color w:val="000000"/>
                <w:sz w:val="18"/>
                <w:szCs w:val="18"/>
                <w:lang w:bidi="ar"/>
              </w:rPr>
              <w:t>10,515,209.15</w:t>
            </w:r>
          </w:p>
        </w:tc>
      </w:tr>
      <w:tr w14:paraId="5CC1A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pct"/>
            <w:tcBorders>
              <w:top w:val="single" w:color="auto" w:sz="4" w:space="0"/>
              <w:left w:val="single" w:color="auto" w:sz="4" w:space="0"/>
              <w:bottom w:val="single" w:color="auto" w:sz="4" w:space="0"/>
              <w:right w:val="single" w:color="auto" w:sz="4" w:space="0"/>
            </w:tcBorders>
          </w:tcPr>
          <w:p w14:paraId="70575FA2">
            <w:pPr>
              <w:textAlignment w:val="top"/>
            </w:pPr>
            <w:r>
              <w:rPr>
                <w:rFonts w:hint="eastAsia" w:ascii="宋体" w:hAnsi="宋体"/>
                <w:color w:val="000000"/>
                <w:lang w:bidi="ar"/>
              </w:rPr>
              <w:t>自制半成品</w:t>
            </w:r>
          </w:p>
        </w:tc>
        <w:tc>
          <w:tcPr>
            <w:tcW w:w="760" w:type="pct"/>
            <w:tcBorders>
              <w:top w:val="single" w:color="auto" w:sz="4" w:space="0"/>
              <w:left w:val="single" w:color="auto" w:sz="4" w:space="0"/>
              <w:bottom w:val="single" w:color="auto" w:sz="4" w:space="0"/>
              <w:right w:val="single" w:color="auto" w:sz="4" w:space="0"/>
            </w:tcBorders>
            <w:vAlign w:val="center"/>
          </w:tcPr>
          <w:p w14:paraId="4345F9E6">
            <w:pPr>
              <w:jc w:val="right"/>
              <w:textAlignment w:val="center"/>
              <w:rPr>
                <w:rFonts w:cs="Times New Roman"/>
                <w:sz w:val="18"/>
                <w:szCs w:val="18"/>
              </w:rPr>
            </w:pPr>
            <w:r>
              <w:rPr>
                <w:rFonts w:eastAsia="Arial Narrow" w:cs="Times New Roman"/>
                <w:color w:val="000000"/>
                <w:sz w:val="18"/>
                <w:szCs w:val="18"/>
                <w:lang w:bidi="ar"/>
              </w:rPr>
              <w:t>25,396,190.19</w:t>
            </w:r>
          </w:p>
        </w:tc>
        <w:tc>
          <w:tcPr>
            <w:tcW w:w="681" w:type="pct"/>
            <w:tcBorders>
              <w:top w:val="single" w:color="auto" w:sz="4" w:space="0"/>
              <w:left w:val="single" w:color="auto" w:sz="4" w:space="0"/>
              <w:bottom w:val="single" w:color="auto" w:sz="4" w:space="0"/>
              <w:right w:val="single" w:color="auto" w:sz="4" w:space="0"/>
            </w:tcBorders>
            <w:vAlign w:val="center"/>
          </w:tcPr>
          <w:p w14:paraId="5015D64F">
            <w:pPr>
              <w:jc w:val="right"/>
              <w:rPr>
                <w:rFonts w:cs="Times New Roman"/>
                <w:sz w:val="18"/>
                <w:szCs w:val="18"/>
              </w:rPr>
            </w:pPr>
          </w:p>
        </w:tc>
        <w:tc>
          <w:tcPr>
            <w:tcW w:w="551" w:type="pct"/>
            <w:tcBorders>
              <w:top w:val="single" w:color="auto" w:sz="4" w:space="0"/>
              <w:left w:val="single" w:color="auto" w:sz="4" w:space="0"/>
              <w:bottom w:val="single" w:color="auto" w:sz="4" w:space="0"/>
              <w:right w:val="single" w:color="auto" w:sz="4" w:space="0"/>
            </w:tcBorders>
            <w:vAlign w:val="center"/>
          </w:tcPr>
          <w:p w14:paraId="2E3210D8">
            <w:pPr>
              <w:jc w:val="right"/>
              <w:rPr>
                <w:rFonts w:cs="Times New Roman"/>
                <w:sz w:val="18"/>
                <w:szCs w:val="18"/>
              </w:rPr>
            </w:pPr>
          </w:p>
        </w:tc>
        <w:tc>
          <w:tcPr>
            <w:tcW w:w="801" w:type="pct"/>
            <w:tcBorders>
              <w:top w:val="single" w:color="auto" w:sz="4" w:space="0"/>
              <w:left w:val="single" w:color="auto" w:sz="4" w:space="0"/>
              <w:bottom w:val="single" w:color="auto" w:sz="4" w:space="0"/>
              <w:right w:val="single" w:color="auto" w:sz="4" w:space="0"/>
            </w:tcBorders>
            <w:vAlign w:val="center"/>
          </w:tcPr>
          <w:p w14:paraId="477C3E01">
            <w:pPr>
              <w:jc w:val="right"/>
              <w:textAlignment w:val="center"/>
              <w:rPr>
                <w:rFonts w:cs="Times New Roman"/>
                <w:sz w:val="18"/>
                <w:szCs w:val="18"/>
              </w:rPr>
            </w:pPr>
            <w:r>
              <w:rPr>
                <w:rFonts w:eastAsia="Arial Narrow" w:cs="Times New Roman"/>
                <w:color w:val="000000"/>
                <w:sz w:val="18"/>
                <w:szCs w:val="18"/>
                <w:lang w:bidi="ar"/>
              </w:rPr>
              <w:t>18,155,746.52</w:t>
            </w:r>
          </w:p>
        </w:tc>
        <w:tc>
          <w:tcPr>
            <w:tcW w:w="747" w:type="pct"/>
            <w:tcBorders>
              <w:left w:val="single" w:color="auto" w:sz="4" w:space="0"/>
              <w:right w:val="single" w:color="auto" w:sz="4" w:space="0"/>
            </w:tcBorders>
            <w:vAlign w:val="center"/>
          </w:tcPr>
          <w:p w14:paraId="17DF81FB">
            <w:pPr>
              <w:jc w:val="right"/>
              <w:rPr>
                <w:rFonts w:cs="Times New Roman"/>
                <w:sz w:val="18"/>
                <w:szCs w:val="18"/>
              </w:rPr>
            </w:pPr>
          </w:p>
        </w:tc>
        <w:tc>
          <w:tcPr>
            <w:tcW w:w="801" w:type="pct"/>
            <w:tcBorders>
              <w:top w:val="single" w:color="auto" w:sz="4" w:space="0"/>
              <w:left w:val="single" w:color="auto" w:sz="4" w:space="0"/>
              <w:bottom w:val="single" w:color="auto" w:sz="4" w:space="0"/>
              <w:right w:val="single" w:color="auto" w:sz="4" w:space="0"/>
            </w:tcBorders>
            <w:vAlign w:val="center"/>
          </w:tcPr>
          <w:p w14:paraId="727C89EB">
            <w:pPr>
              <w:jc w:val="right"/>
              <w:textAlignment w:val="center"/>
              <w:rPr>
                <w:rFonts w:cs="Times New Roman"/>
                <w:sz w:val="18"/>
                <w:szCs w:val="18"/>
              </w:rPr>
            </w:pPr>
            <w:r>
              <w:rPr>
                <w:rFonts w:eastAsia="Arial Narrow" w:cs="Times New Roman"/>
                <w:color w:val="000000"/>
                <w:sz w:val="18"/>
                <w:szCs w:val="18"/>
                <w:lang w:bidi="ar"/>
              </w:rPr>
              <w:t>7,240,443.67</w:t>
            </w:r>
          </w:p>
        </w:tc>
      </w:tr>
      <w:tr w14:paraId="54595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pct"/>
            <w:tcBorders>
              <w:top w:val="single" w:color="auto" w:sz="4" w:space="0"/>
              <w:left w:val="single" w:color="auto" w:sz="4" w:space="0"/>
              <w:bottom w:val="single" w:color="auto" w:sz="4" w:space="0"/>
              <w:right w:val="single" w:color="auto" w:sz="4" w:space="0"/>
            </w:tcBorders>
          </w:tcPr>
          <w:p w14:paraId="0C59E737">
            <w:pPr>
              <w:textAlignment w:val="top"/>
            </w:pPr>
            <w:r>
              <w:rPr>
                <w:rFonts w:cs="Times New Roman"/>
                <w:color w:val="000000"/>
                <w:lang w:bidi="ar"/>
              </w:rPr>
              <w:t>开发成本</w:t>
            </w:r>
          </w:p>
        </w:tc>
        <w:tc>
          <w:tcPr>
            <w:tcW w:w="760" w:type="pct"/>
            <w:tcBorders>
              <w:top w:val="single" w:color="auto" w:sz="4" w:space="0"/>
              <w:left w:val="single" w:color="auto" w:sz="4" w:space="0"/>
              <w:bottom w:val="single" w:color="auto" w:sz="4" w:space="0"/>
              <w:right w:val="single" w:color="auto" w:sz="4" w:space="0"/>
            </w:tcBorders>
            <w:vAlign w:val="center"/>
          </w:tcPr>
          <w:p w14:paraId="10126C27">
            <w:pPr>
              <w:jc w:val="right"/>
              <w:rPr>
                <w:rFonts w:cs="Times New Roman"/>
                <w:sz w:val="18"/>
                <w:szCs w:val="18"/>
              </w:rPr>
            </w:pPr>
          </w:p>
        </w:tc>
        <w:tc>
          <w:tcPr>
            <w:tcW w:w="681" w:type="pct"/>
            <w:tcBorders>
              <w:top w:val="single" w:color="auto" w:sz="4" w:space="0"/>
              <w:left w:val="single" w:color="auto" w:sz="4" w:space="0"/>
              <w:bottom w:val="single" w:color="auto" w:sz="4" w:space="0"/>
              <w:right w:val="single" w:color="auto" w:sz="4" w:space="0"/>
            </w:tcBorders>
            <w:vAlign w:val="center"/>
          </w:tcPr>
          <w:p w14:paraId="49A933EA">
            <w:pPr>
              <w:jc w:val="right"/>
              <w:rPr>
                <w:rFonts w:cs="Times New Roman"/>
                <w:sz w:val="18"/>
                <w:szCs w:val="18"/>
              </w:rPr>
            </w:pPr>
          </w:p>
        </w:tc>
        <w:tc>
          <w:tcPr>
            <w:tcW w:w="551" w:type="pct"/>
            <w:tcBorders>
              <w:top w:val="single" w:color="auto" w:sz="4" w:space="0"/>
              <w:left w:val="single" w:color="auto" w:sz="4" w:space="0"/>
              <w:bottom w:val="single" w:color="auto" w:sz="4" w:space="0"/>
              <w:right w:val="single" w:color="auto" w:sz="4" w:space="0"/>
            </w:tcBorders>
            <w:vAlign w:val="center"/>
          </w:tcPr>
          <w:p w14:paraId="7A00A728">
            <w:pPr>
              <w:jc w:val="right"/>
              <w:rPr>
                <w:rFonts w:cs="Times New Roman"/>
                <w:sz w:val="18"/>
                <w:szCs w:val="18"/>
              </w:rPr>
            </w:pPr>
          </w:p>
        </w:tc>
        <w:tc>
          <w:tcPr>
            <w:tcW w:w="801" w:type="pct"/>
            <w:tcBorders>
              <w:top w:val="single" w:color="auto" w:sz="4" w:space="0"/>
              <w:left w:val="single" w:color="auto" w:sz="4" w:space="0"/>
              <w:bottom w:val="single" w:color="auto" w:sz="4" w:space="0"/>
              <w:right w:val="single" w:color="auto" w:sz="4" w:space="0"/>
            </w:tcBorders>
            <w:vAlign w:val="center"/>
          </w:tcPr>
          <w:p w14:paraId="5334A5B1">
            <w:pPr>
              <w:jc w:val="right"/>
              <w:rPr>
                <w:rFonts w:cs="Times New Roman"/>
                <w:sz w:val="18"/>
                <w:szCs w:val="18"/>
              </w:rPr>
            </w:pPr>
          </w:p>
        </w:tc>
        <w:tc>
          <w:tcPr>
            <w:tcW w:w="747" w:type="pct"/>
            <w:tcBorders>
              <w:left w:val="single" w:color="auto" w:sz="4" w:space="0"/>
              <w:right w:val="single" w:color="auto" w:sz="4" w:space="0"/>
            </w:tcBorders>
            <w:vAlign w:val="center"/>
          </w:tcPr>
          <w:p w14:paraId="5E153BBE">
            <w:pPr>
              <w:jc w:val="right"/>
              <w:rPr>
                <w:rFonts w:cs="Times New Roman"/>
                <w:sz w:val="18"/>
                <w:szCs w:val="18"/>
              </w:rPr>
            </w:pPr>
          </w:p>
        </w:tc>
        <w:tc>
          <w:tcPr>
            <w:tcW w:w="801" w:type="pct"/>
            <w:tcBorders>
              <w:top w:val="single" w:color="auto" w:sz="4" w:space="0"/>
              <w:left w:val="single" w:color="auto" w:sz="4" w:space="0"/>
              <w:bottom w:val="single" w:color="auto" w:sz="4" w:space="0"/>
              <w:right w:val="single" w:color="auto" w:sz="4" w:space="0"/>
            </w:tcBorders>
            <w:vAlign w:val="center"/>
          </w:tcPr>
          <w:p w14:paraId="3624F1D0">
            <w:pPr>
              <w:jc w:val="right"/>
              <w:rPr>
                <w:rFonts w:cs="Times New Roman"/>
                <w:sz w:val="18"/>
                <w:szCs w:val="18"/>
              </w:rPr>
            </w:pPr>
          </w:p>
        </w:tc>
      </w:tr>
      <w:tr w14:paraId="70BC4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pct"/>
            <w:tcBorders>
              <w:top w:val="single" w:color="auto" w:sz="4" w:space="0"/>
              <w:left w:val="single" w:color="auto" w:sz="4" w:space="0"/>
              <w:bottom w:val="single" w:color="auto" w:sz="4" w:space="0"/>
              <w:right w:val="single" w:color="auto" w:sz="4" w:space="0"/>
            </w:tcBorders>
          </w:tcPr>
          <w:p w14:paraId="557F9CB4">
            <w:pPr>
              <w:textAlignment w:val="top"/>
            </w:pPr>
            <w:r>
              <w:rPr>
                <w:rFonts w:cs="Times New Roman"/>
                <w:color w:val="000000"/>
                <w:lang w:bidi="ar"/>
              </w:rPr>
              <w:t>开发产品</w:t>
            </w:r>
          </w:p>
        </w:tc>
        <w:tc>
          <w:tcPr>
            <w:tcW w:w="760" w:type="pct"/>
            <w:tcBorders>
              <w:top w:val="single" w:color="auto" w:sz="4" w:space="0"/>
              <w:left w:val="single" w:color="auto" w:sz="4" w:space="0"/>
              <w:bottom w:val="single" w:color="auto" w:sz="4" w:space="0"/>
              <w:right w:val="single" w:color="auto" w:sz="4" w:space="0"/>
            </w:tcBorders>
            <w:vAlign w:val="center"/>
          </w:tcPr>
          <w:p w14:paraId="1EDE2D35">
            <w:pPr>
              <w:jc w:val="right"/>
              <w:rPr>
                <w:rFonts w:cs="Times New Roman"/>
                <w:sz w:val="18"/>
                <w:szCs w:val="18"/>
              </w:rPr>
            </w:pPr>
          </w:p>
        </w:tc>
        <w:tc>
          <w:tcPr>
            <w:tcW w:w="681" w:type="pct"/>
            <w:tcBorders>
              <w:top w:val="single" w:color="auto" w:sz="4" w:space="0"/>
              <w:left w:val="single" w:color="auto" w:sz="4" w:space="0"/>
              <w:bottom w:val="single" w:color="auto" w:sz="4" w:space="0"/>
              <w:right w:val="single" w:color="auto" w:sz="4" w:space="0"/>
            </w:tcBorders>
            <w:vAlign w:val="center"/>
          </w:tcPr>
          <w:p w14:paraId="487C3DD3">
            <w:pPr>
              <w:jc w:val="right"/>
              <w:rPr>
                <w:rFonts w:cs="Times New Roman"/>
                <w:sz w:val="18"/>
                <w:szCs w:val="18"/>
              </w:rPr>
            </w:pPr>
          </w:p>
        </w:tc>
        <w:tc>
          <w:tcPr>
            <w:tcW w:w="551" w:type="pct"/>
            <w:tcBorders>
              <w:top w:val="single" w:color="auto" w:sz="4" w:space="0"/>
              <w:left w:val="single" w:color="auto" w:sz="4" w:space="0"/>
              <w:bottom w:val="single" w:color="auto" w:sz="4" w:space="0"/>
              <w:right w:val="single" w:color="auto" w:sz="4" w:space="0"/>
            </w:tcBorders>
            <w:vAlign w:val="center"/>
          </w:tcPr>
          <w:p w14:paraId="0FD03DD3">
            <w:pPr>
              <w:jc w:val="right"/>
              <w:rPr>
                <w:rFonts w:cs="Times New Roman"/>
                <w:sz w:val="18"/>
                <w:szCs w:val="18"/>
              </w:rPr>
            </w:pPr>
          </w:p>
        </w:tc>
        <w:tc>
          <w:tcPr>
            <w:tcW w:w="801" w:type="pct"/>
            <w:tcBorders>
              <w:top w:val="single" w:color="auto" w:sz="4" w:space="0"/>
              <w:left w:val="single" w:color="auto" w:sz="4" w:space="0"/>
              <w:bottom w:val="single" w:color="auto" w:sz="4" w:space="0"/>
              <w:right w:val="single" w:color="auto" w:sz="4" w:space="0"/>
            </w:tcBorders>
            <w:vAlign w:val="center"/>
          </w:tcPr>
          <w:p w14:paraId="11A09E7C">
            <w:pPr>
              <w:jc w:val="right"/>
              <w:rPr>
                <w:rFonts w:cs="Times New Roman"/>
                <w:sz w:val="18"/>
                <w:szCs w:val="18"/>
              </w:rPr>
            </w:pPr>
          </w:p>
        </w:tc>
        <w:tc>
          <w:tcPr>
            <w:tcW w:w="747" w:type="pct"/>
            <w:tcBorders>
              <w:left w:val="single" w:color="auto" w:sz="4" w:space="0"/>
              <w:right w:val="single" w:color="auto" w:sz="4" w:space="0"/>
            </w:tcBorders>
            <w:vAlign w:val="center"/>
          </w:tcPr>
          <w:p w14:paraId="5111BD45">
            <w:pPr>
              <w:jc w:val="right"/>
              <w:rPr>
                <w:rFonts w:cs="Times New Roman"/>
                <w:sz w:val="18"/>
                <w:szCs w:val="18"/>
              </w:rPr>
            </w:pPr>
          </w:p>
        </w:tc>
        <w:tc>
          <w:tcPr>
            <w:tcW w:w="801" w:type="pct"/>
            <w:tcBorders>
              <w:top w:val="single" w:color="auto" w:sz="4" w:space="0"/>
              <w:left w:val="single" w:color="auto" w:sz="4" w:space="0"/>
              <w:bottom w:val="single" w:color="auto" w:sz="4" w:space="0"/>
              <w:right w:val="single" w:color="auto" w:sz="4" w:space="0"/>
            </w:tcBorders>
            <w:vAlign w:val="center"/>
          </w:tcPr>
          <w:p w14:paraId="171299E7">
            <w:pPr>
              <w:jc w:val="right"/>
              <w:rPr>
                <w:rFonts w:cs="Times New Roman"/>
                <w:sz w:val="18"/>
                <w:szCs w:val="18"/>
              </w:rPr>
            </w:pPr>
          </w:p>
        </w:tc>
      </w:tr>
      <w:tr w14:paraId="1C4CD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pct"/>
            <w:tcBorders>
              <w:top w:val="single" w:color="auto" w:sz="4" w:space="0"/>
              <w:left w:val="single" w:color="auto" w:sz="4" w:space="0"/>
              <w:bottom w:val="single" w:color="auto" w:sz="4" w:space="0"/>
              <w:right w:val="single" w:color="auto" w:sz="4" w:space="0"/>
            </w:tcBorders>
          </w:tcPr>
          <w:p w14:paraId="259805E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760" w:type="pct"/>
            <w:tcBorders>
              <w:top w:val="single" w:color="auto" w:sz="4" w:space="0"/>
              <w:left w:val="single" w:color="auto" w:sz="4" w:space="0"/>
              <w:bottom w:val="single" w:color="auto" w:sz="4" w:space="0"/>
              <w:right w:val="single" w:color="auto" w:sz="4" w:space="0"/>
            </w:tcBorders>
            <w:vAlign w:val="center"/>
          </w:tcPr>
          <w:p w14:paraId="068DE212">
            <w:pPr>
              <w:jc w:val="right"/>
              <w:textAlignment w:val="center"/>
              <w:rPr>
                <w:rFonts w:cs="Times New Roman"/>
                <w:sz w:val="18"/>
                <w:szCs w:val="18"/>
              </w:rPr>
            </w:pPr>
            <w:r>
              <w:rPr>
                <w:rFonts w:eastAsia="Arial Narrow" w:cs="Times New Roman"/>
                <w:color w:val="000000"/>
                <w:sz w:val="18"/>
                <w:szCs w:val="18"/>
                <w:lang w:bidi="ar"/>
              </w:rPr>
              <w:t>810,587,419.94</w:t>
            </w:r>
          </w:p>
        </w:tc>
        <w:tc>
          <w:tcPr>
            <w:tcW w:w="681" w:type="pct"/>
            <w:tcBorders>
              <w:top w:val="single" w:color="auto" w:sz="4" w:space="0"/>
              <w:left w:val="single" w:color="auto" w:sz="4" w:space="0"/>
              <w:bottom w:val="single" w:color="auto" w:sz="4" w:space="0"/>
              <w:right w:val="single" w:color="auto" w:sz="4" w:space="0"/>
            </w:tcBorders>
            <w:vAlign w:val="center"/>
          </w:tcPr>
          <w:p w14:paraId="210EF319">
            <w:pPr>
              <w:jc w:val="right"/>
              <w:textAlignment w:val="center"/>
              <w:rPr>
                <w:rFonts w:cs="Times New Roman"/>
                <w:sz w:val="18"/>
                <w:szCs w:val="18"/>
              </w:rPr>
            </w:pPr>
            <w:r>
              <w:rPr>
                <w:rFonts w:eastAsia="Arial Narrow" w:cs="Times New Roman"/>
                <w:color w:val="000000"/>
                <w:sz w:val="18"/>
                <w:szCs w:val="18"/>
                <w:lang w:bidi="ar"/>
              </w:rPr>
              <w:t>17,510,642.11</w:t>
            </w:r>
          </w:p>
        </w:tc>
        <w:tc>
          <w:tcPr>
            <w:tcW w:w="551" w:type="pct"/>
            <w:tcBorders>
              <w:top w:val="single" w:color="auto" w:sz="4" w:space="0"/>
              <w:left w:val="single" w:color="auto" w:sz="4" w:space="0"/>
              <w:bottom w:val="single" w:color="auto" w:sz="4" w:space="0"/>
              <w:right w:val="single" w:color="auto" w:sz="4" w:space="0"/>
            </w:tcBorders>
            <w:vAlign w:val="center"/>
          </w:tcPr>
          <w:p w14:paraId="5E98CA39">
            <w:pPr>
              <w:jc w:val="right"/>
              <w:rPr>
                <w:rFonts w:cs="Times New Roman"/>
                <w:sz w:val="18"/>
                <w:szCs w:val="18"/>
              </w:rPr>
            </w:pPr>
          </w:p>
        </w:tc>
        <w:tc>
          <w:tcPr>
            <w:tcW w:w="801" w:type="pct"/>
            <w:tcBorders>
              <w:top w:val="single" w:color="auto" w:sz="4" w:space="0"/>
              <w:left w:val="single" w:color="auto" w:sz="4" w:space="0"/>
              <w:bottom w:val="single" w:color="auto" w:sz="4" w:space="0"/>
              <w:right w:val="single" w:color="auto" w:sz="4" w:space="0"/>
            </w:tcBorders>
            <w:vAlign w:val="center"/>
          </w:tcPr>
          <w:p w14:paraId="3AADAA7D">
            <w:pPr>
              <w:jc w:val="right"/>
              <w:textAlignment w:val="center"/>
              <w:rPr>
                <w:rFonts w:cs="Times New Roman"/>
                <w:sz w:val="18"/>
                <w:szCs w:val="18"/>
              </w:rPr>
            </w:pPr>
            <w:r>
              <w:rPr>
                <w:rFonts w:eastAsia="Arial Narrow" w:cs="Times New Roman"/>
                <w:color w:val="000000"/>
                <w:sz w:val="18"/>
                <w:szCs w:val="18"/>
                <w:lang w:bidi="ar"/>
              </w:rPr>
              <w:t>117,436,321.87</w:t>
            </w:r>
          </w:p>
        </w:tc>
        <w:tc>
          <w:tcPr>
            <w:tcW w:w="747" w:type="pct"/>
            <w:tcBorders>
              <w:left w:val="single" w:color="auto" w:sz="4" w:space="0"/>
              <w:bottom w:val="single" w:color="auto" w:sz="4" w:space="0"/>
              <w:right w:val="single" w:color="auto" w:sz="4" w:space="0"/>
            </w:tcBorders>
            <w:vAlign w:val="center"/>
          </w:tcPr>
          <w:p w14:paraId="365F21B6">
            <w:pPr>
              <w:jc w:val="right"/>
              <w:textAlignment w:val="center"/>
              <w:rPr>
                <w:rFonts w:cs="Times New Roman"/>
                <w:sz w:val="18"/>
                <w:szCs w:val="18"/>
              </w:rPr>
            </w:pPr>
            <w:r>
              <w:rPr>
                <w:rFonts w:eastAsia="Arial Narrow" w:cs="Times New Roman"/>
                <w:color w:val="000000"/>
                <w:sz w:val="18"/>
                <w:szCs w:val="18"/>
                <w:lang w:bidi="ar"/>
              </w:rPr>
              <w:t>73,626,023.04</w:t>
            </w:r>
          </w:p>
        </w:tc>
        <w:tc>
          <w:tcPr>
            <w:tcW w:w="801" w:type="pct"/>
            <w:tcBorders>
              <w:top w:val="single" w:color="auto" w:sz="4" w:space="0"/>
              <w:left w:val="single" w:color="auto" w:sz="4" w:space="0"/>
              <w:bottom w:val="single" w:color="auto" w:sz="4" w:space="0"/>
              <w:right w:val="single" w:color="auto" w:sz="4" w:space="0"/>
            </w:tcBorders>
            <w:vAlign w:val="center"/>
          </w:tcPr>
          <w:p w14:paraId="67382ECC">
            <w:pPr>
              <w:jc w:val="right"/>
              <w:textAlignment w:val="center"/>
              <w:rPr>
                <w:rFonts w:cs="Times New Roman"/>
                <w:sz w:val="18"/>
                <w:szCs w:val="18"/>
              </w:rPr>
            </w:pPr>
            <w:r>
              <w:rPr>
                <w:rFonts w:eastAsia="Arial Narrow" w:cs="Times New Roman"/>
                <w:color w:val="000000"/>
                <w:sz w:val="18"/>
                <w:szCs w:val="18"/>
                <w:lang w:bidi="ar"/>
              </w:rPr>
              <w:t>637,035,717.14</w:t>
            </w:r>
          </w:p>
        </w:tc>
      </w:tr>
    </w:tbl>
    <w:p w14:paraId="3EE23C63">
      <w:pPr>
        <w:rPr>
          <w:color w:val="000000" w:themeColor="text1"/>
          <w14:textFill>
            <w14:solidFill>
              <w14:schemeClr w14:val="tx1"/>
            </w14:solidFill>
          </w14:textFill>
        </w:rPr>
      </w:pPr>
    </w:p>
    <w:bookmarkEnd w:id="258"/>
    <w:p w14:paraId="34022955">
      <w:pPr>
        <w:rPr>
          <w:color w:val="000000" w:themeColor="text1"/>
          <w14:textFill>
            <w14:solidFill>
              <w14:schemeClr w14:val="tx1"/>
            </w14:solidFill>
          </w14:textFill>
        </w:rPr>
      </w:pPr>
      <w:bookmarkStart w:id="259" w:name="_Hlk167891635"/>
      <w:r>
        <w:rPr>
          <w:color w:val="000000" w:themeColor="text1"/>
          <w14:textFill>
            <w14:solidFill>
              <w14:schemeClr w14:val="tx1"/>
            </w14:solidFill>
          </w14:textFill>
        </w:rPr>
        <w:t>本期转回或转销存货跌价准备的原因</w:t>
      </w:r>
    </w:p>
    <w:sdt>
      <w:sdtPr>
        <w:rPr>
          <w:color w:val="000000" w:themeColor="text1"/>
          <w14:textFill>
            <w14:solidFill>
              <w14:schemeClr w14:val="tx1"/>
            </w14:solidFill>
          </w14:textFill>
        </w:rPr>
        <w:alias w:val="是否适用：本期转回或转销存货跌价准备的原因[双击切换]"/>
        <w:tag w:val="_GBC_e27c6ef344f148c18ae56422278eafd6"/>
        <w:id w:val="147468365"/>
        <w:placeholder>
          <w:docPart w:val="GBC22222222222222222222222222222"/>
        </w:placeholder>
      </w:sdtPr>
      <w:sdtEndPr>
        <w:rPr>
          <w:color w:val="000000" w:themeColor="text1"/>
          <w14:textFill>
            <w14:solidFill>
              <w14:schemeClr w14:val="tx1"/>
            </w14:solidFill>
          </w14:textFill>
        </w:rPr>
      </w:sdtEndPr>
      <w:sdtContent>
        <w:p w14:paraId="35E54B0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本期转回或转销存货跌价准备的原因"/>
        <w:tag w:val="_GBC_b6115b54c210477298ccbc4d1a5a3bfc"/>
        <w:id w:val="147478016"/>
        <w:placeholder>
          <w:docPart w:val="GBC22222222222222222222222222222"/>
        </w:placeholder>
      </w:sdtPr>
      <w:sdtEndPr>
        <w:rPr>
          <w:color w:val="000000" w:themeColor="text1"/>
          <w14:textFill>
            <w14:solidFill>
              <w14:schemeClr w14:val="tx1"/>
            </w14:solidFill>
          </w14:textFill>
        </w:rPr>
      </w:sdtEndPr>
      <w:sdtContent>
        <w:p w14:paraId="13DFD70F">
          <w:pPr>
            <w:rPr>
              <w:color w:val="000000" w:themeColor="text1"/>
              <w14:textFill>
                <w14:solidFill>
                  <w14:schemeClr w14:val="tx1"/>
                </w14:solidFill>
              </w14:textFill>
            </w:rPr>
          </w:pPr>
          <w:r>
            <w:rPr>
              <w:rFonts w:hint="eastAsia"/>
              <w:color w:val="000000" w:themeColor="text1"/>
              <w14:textFill>
                <w14:solidFill>
                  <w14:schemeClr w14:val="tx1"/>
                </w14:solidFill>
              </w14:textFill>
            </w:rPr>
            <w:t>本期将已计提存货跌价准备的存货耗用、售出。</w:t>
          </w:r>
        </w:p>
      </w:sdtContent>
    </w:sdt>
    <w:p w14:paraId="171B54C7">
      <w:pPr>
        <w:rPr>
          <w:color w:val="000000" w:themeColor="text1"/>
          <w14:textFill>
            <w14:solidFill>
              <w14:schemeClr w14:val="tx1"/>
            </w14:solidFill>
          </w14:textFill>
        </w:rPr>
      </w:pPr>
    </w:p>
    <w:p w14:paraId="7052E425">
      <w:pPr>
        <w:rPr>
          <w:color w:val="000000" w:themeColor="text1"/>
          <w14:textFill>
            <w14:solidFill>
              <w14:schemeClr w14:val="tx1"/>
            </w14:solidFill>
          </w14:textFill>
        </w:rPr>
      </w:pPr>
      <w:r>
        <w:rPr>
          <w:rFonts w:hint="eastAsia"/>
          <w:color w:val="000000" w:themeColor="text1"/>
          <w14:textFill>
            <w14:solidFill>
              <w14:schemeClr w14:val="tx1"/>
            </w14:solidFill>
          </w14:textFill>
        </w:rPr>
        <w:t>按组合计提存货跌价准备</w:t>
      </w:r>
    </w:p>
    <w:sdt>
      <w:sdtPr>
        <w:rPr>
          <w:color w:val="000000" w:themeColor="text1"/>
          <w14:textFill>
            <w14:solidFill>
              <w14:schemeClr w14:val="tx1"/>
            </w14:solidFill>
          </w14:textFill>
        </w:rPr>
        <w:alias w:val="是否适用：按组合计提存货跌价准备[双击切换]"/>
        <w:tag w:val="_GBC_f0fab92eec8647d68c06a12b3bc75549"/>
        <w:id w:val="147483548"/>
        <w:placeholder>
          <w:docPart w:val="GBC22222222222222222222222222222"/>
        </w:placeholder>
      </w:sdtPr>
      <w:sdtEndPr>
        <w:rPr>
          <w:color w:val="000000" w:themeColor="text1"/>
          <w14:textFill>
            <w14:solidFill>
              <w14:schemeClr w14:val="tx1"/>
            </w14:solidFill>
          </w14:textFill>
        </w:rPr>
      </w:sdtEndPr>
      <w:sdtContent>
        <w:p w14:paraId="6F97B26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CCA1697">
      <w:pPr>
        <w:rPr>
          <w:color w:val="000000" w:themeColor="text1"/>
          <w14:textFill>
            <w14:solidFill>
              <w14:schemeClr w14:val="tx1"/>
            </w14:solidFill>
          </w14:textFill>
        </w:rPr>
      </w:pPr>
    </w:p>
    <w:p w14:paraId="2CAEF52E">
      <w:pPr>
        <w:rPr>
          <w:color w:val="000000" w:themeColor="text1"/>
          <w14:textFill>
            <w14:solidFill>
              <w14:schemeClr w14:val="tx1"/>
            </w14:solidFill>
          </w14:textFill>
        </w:rPr>
      </w:pPr>
      <w:r>
        <w:rPr>
          <w:rFonts w:hint="eastAsia"/>
          <w:color w:val="000000" w:themeColor="text1"/>
          <w14:textFill>
            <w14:solidFill>
              <w14:schemeClr w14:val="tx1"/>
            </w14:solidFill>
          </w14:textFill>
        </w:rPr>
        <w:t>按组合计提存货跌价准备的计提标准</w:t>
      </w:r>
    </w:p>
    <w:sdt>
      <w:sdtPr>
        <w:rPr>
          <w:color w:val="000000" w:themeColor="text1"/>
          <w14:textFill>
            <w14:solidFill>
              <w14:schemeClr w14:val="tx1"/>
            </w14:solidFill>
          </w14:textFill>
        </w:rPr>
        <w:alias w:val="是否适用：按组合计提存货跌价准备的计提标准[双击切换]"/>
        <w:tag w:val="_GBC_d204ec862c304c1f8d4ec4644591e14e"/>
        <w:id w:val="147482299"/>
        <w:placeholder>
          <w:docPart w:val="GBC22222222222222222222222222222"/>
        </w:placeholder>
      </w:sdtPr>
      <w:sdtEndPr>
        <w:rPr>
          <w:color w:val="000000" w:themeColor="text1"/>
          <w14:textFill>
            <w14:solidFill>
              <w14:schemeClr w14:val="tx1"/>
            </w14:solidFill>
          </w14:textFill>
        </w:rPr>
      </w:sdtEndPr>
      <w:sdtContent>
        <w:p w14:paraId="79D339B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17C6FCD">
      <w:pPr>
        <w:rPr>
          <w:color w:val="000000" w:themeColor="text1"/>
          <w14:textFill>
            <w14:solidFill>
              <w14:schemeClr w14:val="tx1"/>
            </w14:solidFill>
          </w14:textFill>
        </w:rPr>
      </w:pPr>
    </w:p>
    <w:bookmarkEnd w:id="259"/>
    <w:p w14:paraId="343E952C">
      <w:pPr>
        <w:pStyle w:val="58"/>
        <w:numPr>
          <w:ilvl w:val="0"/>
          <w:numId w:val="63"/>
        </w:numPr>
        <w:tabs>
          <w:tab w:val="left" w:pos="630"/>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存货期末余额含有的借款费用资本化金额及其计算标准和依据</w:t>
      </w:r>
    </w:p>
    <w:sdt>
      <w:sdtPr>
        <w:rPr>
          <w:rFonts w:hint="eastAsia"/>
          <w:color w:val="000000" w:themeColor="text1"/>
          <w14:textFill>
            <w14:solidFill>
              <w14:schemeClr w14:val="tx1"/>
            </w14:solidFill>
          </w14:textFill>
        </w:rPr>
        <w:alias w:val="是否适用：存货期末余额含有借款费用资本化金额的说明[双击切换]"/>
        <w:tag w:val="_GBC_c4216db560c643b38b29d44401d464c9"/>
        <w:id w:val="147460442"/>
        <w:placeholder>
          <w:docPart w:val="GBC22222222222222222222222222222"/>
        </w:placeholder>
      </w:sdtPr>
      <w:sdtEndPr>
        <w:rPr>
          <w:rFonts w:hint="eastAsia"/>
          <w:color w:val="000000" w:themeColor="text1"/>
          <w14:textFill>
            <w14:solidFill>
              <w14:schemeClr w14:val="tx1"/>
            </w14:solidFill>
          </w14:textFill>
        </w:rPr>
      </w:sdtEndPr>
      <w:sdtContent>
        <w:p w14:paraId="165B0F58">
          <w:pPr>
            <w:ind w:firstLine="420" w:firstLineChars="20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C8E27F8">
      <w:pPr>
        <w:rPr>
          <w:color w:val="000000" w:themeColor="text1"/>
          <w14:textFill>
            <w14:solidFill>
              <w14:schemeClr w14:val="tx1"/>
            </w14:solidFill>
          </w14:textFill>
        </w:rPr>
      </w:pPr>
    </w:p>
    <w:p w14:paraId="63313DE2">
      <w:pPr>
        <w:pStyle w:val="58"/>
        <w:numPr>
          <w:ilvl w:val="0"/>
          <w:numId w:val="63"/>
        </w:numPr>
        <w:tabs>
          <w:tab w:val="left" w:pos="630"/>
        </w:tabs>
        <w:rPr>
          <w:rFonts w:ascii="宋体" w:hAnsi="宋体"/>
          <w:color w:val="000000" w:themeColor="text1"/>
          <w14:textFill>
            <w14:solidFill>
              <w14:schemeClr w14:val="tx1"/>
            </w14:solidFill>
          </w14:textFill>
        </w:rPr>
      </w:pPr>
      <w:bookmarkStart w:id="260" w:name="_Hlk10470641"/>
      <w:r>
        <w:rPr>
          <w:rFonts w:hint="eastAsia" w:ascii="宋体" w:hAnsi="宋体"/>
          <w:color w:val="000000" w:themeColor="text1"/>
          <w14:textFill>
            <w14:solidFill>
              <w14:schemeClr w14:val="tx1"/>
            </w14:solidFill>
          </w14:textFill>
        </w:rPr>
        <w:t>合同履约成本本期摊销金额的说明</w:t>
      </w:r>
    </w:p>
    <w:sdt>
      <w:sdtPr>
        <w:rPr>
          <w:color w:val="000000" w:themeColor="text1"/>
          <w14:textFill>
            <w14:solidFill>
              <w14:schemeClr w14:val="tx1"/>
            </w14:solidFill>
          </w14:textFill>
        </w:rPr>
        <w:alias w:val="是否适用：合同履约成本本期摊销金额的说明[双击切换]"/>
        <w:tag w:val="_GBC_cd3513a7790e48d4a2a156e8ad6a629a"/>
        <w:id w:val="147451981"/>
        <w:placeholder>
          <w:docPart w:val="GBC22222222222222222222222222222"/>
        </w:placeholder>
      </w:sdtPr>
      <w:sdtEndPr>
        <w:rPr>
          <w:color w:val="000000" w:themeColor="text1"/>
          <w14:textFill>
            <w14:solidFill>
              <w14:schemeClr w14:val="tx1"/>
            </w14:solidFill>
          </w14:textFill>
        </w:rPr>
      </w:sdtEndPr>
      <w:sdtContent>
        <w:p w14:paraId="44E2D37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260"/>
    <w:p w14:paraId="09C739CB">
      <w:pPr>
        <w:rPr>
          <w:color w:val="000000" w:themeColor="text1"/>
          <w14:textFill>
            <w14:solidFill>
              <w14:schemeClr w14:val="tx1"/>
            </w14:solidFill>
          </w14:textFill>
        </w:rPr>
      </w:pPr>
    </w:p>
    <w:p w14:paraId="0B7EC545">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存货的其他说明[双击切换]"/>
        <w:tag w:val="_GBC_bd31680428a448ecb64fdd4cbab90a42"/>
        <w:id w:val="147461487"/>
        <w:placeholder>
          <w:docPart w:val="GBC22222222222222222222222222222"/>
        </w:placeholder>
      </w:sdtPr>
      <w:sdtEndPr>
        <w:rPr>
          <w:color w:val="000000" w:themeColor="text1"/>
          <w14:textFill>
            <w14:solidFill>
              <w14:schemeClr w14:val="tx1"/>
            </w14:solidFill>
          </w14:textFill>
        </w:rPr>
      </w:sdtEndPr>
      <w:sdtContent>
        <w:p w14:paraId="3410A4E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存货的说明"/>
        <w:tag w:val="_GBC_ad879cdee72f496fb83dd2f40a910e28"/>
        <w:id w:val="147462425"/>
        <w:placeholder>
          <w:docPart w:val="{503833e8-437e-4ecf-9419-794de4febf9c}"/>
        </w:placeholder>
      </w:sdtPr>
      <w:sdtEndPr>
        <w:rPr>
          <w:color w:val="000000" w:themeColor="text1"/>
          <w14:textFill>
            <w14:solidFill>
              <w14:schemeClr w14:val="tx1"/>
            </w14:solidFill>
          </w14:textFill>
        </w:rPr>
      </w:sdtEndPr>
      <w:sdtContent>
        <w:p w14:paraId="2491CDD4">
          <w:pPr>
            <w:rPr>
              <w:color w:val="000000" w:themeColor="text1"/>
              <w14:textFill>
                <w14:solidFill>
                  <w14:schemeClr w14:val="tx1"/>
                </w14:solidFill>
              </w14:textFill>
            </w:rPr>
          </w:pPr>
          <w:r>
            <w:rPr>
              <w:rFonts w:hint="eastAsia"/>
              <w:color w:val="000000" w:themeColor="text1"/>
              <w14:textFill>
                <w14:solidFill>
                  <w14:schemeClr w14:val="tx1"/>
                </w14:solidFill>
              </w14:textFill>
            </w:rPr>
            <w:t>开发成本</w:t>
          </w:r>
        </w:p>
        <w:p w14:paraId="7B180239">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存货跌价准备"/>
              <w:tag w:val="_GBC_42225a9505da4f598594afea08f9738b"/>
              <w:id w:val="147456939"/>
              <w:placeholder>
                <w:docPart w:val="{beeb64fa-c02e-4f99-87dc-bf4e389d90c6}"/>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万元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存货跌价准备"/>
              <w:tag w:val="_GBC_4de434e29d00482b8b3175d1e7874ff2"/>
              <w:id w:val="147463585"/>
              <w:placeholder>
                <w:docPart w:val="{beeb64fa-c02e-4f99-87dc-bf4e389d90c6}"/>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1"/>
            <w:gridCol w:w="1398"/>
            <w:gridCol w:w="1494"/>
            <w:gridCol w:w="1759"/>
            <w:gridCol w:w="1759"/>
            <w:gridCol w:w="1759"/>
            <w:gridCol w:w="1759"/>
            <w:gridCol w:w="1770"/>
          </w:tblGrid>
          <w:tr w14:paraId="702F4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tcPr>
              <w:p w14:paraId="41D3F2C1">
                <w:pPr>
                  <w:widowControl/>
                  <w:jc w:val="center"/>
                  <w:textAlignment w:val="top"/>
                  <w:rPr>
                    <w:color w:val="000000" w:themeColor="text1"/>
                    <w14:textFill>
                      <w14:solidFill>
                        <w14:schemeClr w14:val="tx1"/>
                      </w14:solidFill>
                    </w14:textFill>
                  </w:rPr>
                </w:pPr>
                <w:r>
                  <w:rPr>
                    <w:rFonts w:hint="eastAsia" w:ascii="宋体" w:hAnsi="宋体"/>
                    <w:color w:val="000000"/>
                    <w:lang w:bidi="ar"/>
                  </w:rPr>
                  <w:t>项目名称</w:t>
                </w:r>
              </w:p>
            </w:tc>
            <w:tc>
              <w:tcPr>
                <w:tcW w:w="496" w:type="pct"/>
              </w:tcPr>
              <w:p w14:paraId="517044A3">
                <w:pPr>
                  <w:widowControl/>
                  <w:jc w:val="center"/>
                  <w:textAlignment w:val="top"/>
                  <w:rPr>
                    <w:color w:val="000000" w:themeColor="text1"/>
                    <w14:textFill>
                      <w14:solidFill>
                        <w14:schemeClr w14:val="tx1"/>
                      </w14:solidFill>
                    </w14:textFill>
                  </w:rPr>
                </w:pPr>
                <w:r>
                  <w:rPr>
                    <w:rFonts w:hint="eastAsia" w:ascii="宋体" w:hAnsi="宋体"/>
                    <w:color w:val="000000"/>
                    <w:lang w:bidi="ar"/>
                  </w:rPr>
                  <w:t>开工时间</w:t>
                </w:r>
              </w:p>
            </w:tc>
            <w:tc>
              <w:tcPr>
                <w:tcW w:w="530" w:type="pct"/>
              </w:tcPr>
              <w:p w14:paraId="3F5D230E">
                <w:pPr>
                  <w:widowControl/>
                  <w:jc w:val="center"/>
                  <w:textAlignment w:val="top"/>
                  <w:rPr>
                    <w:color w:val="000000" w:themeColor="text1"/>
                    <w14:textFill>
                      <w14:solidFill>
                        <w14:schemeClr w14:val="tx1"/>
                      </w14:solidFill>
                    </w14:textFill>
                  </w:rPr>
                </w:pPr>
                <w:r>
                  <w:rPr>
                    <w:rFonts w:hint="eastAsia" w:ascii="宋体" w:hAnsi="宋体"/>
                    <w:color w:val="000000"/>
                    <w:lang w:bidi="ar"/>
                  </w:rPr>
                  <w:t>预计竣工时间</w:t>
                </w:r>
              </w:p>
            </w:tc>
            <w:tc>
              <w:tcPr>
                <w:tcW w:w="624" w:type="pct"/>
              </w:tcPr>
              <w:p w14:paraId="6F73076A">
                <w:pPr>
                  <w:widowControl/>
                  <w:jc w:val="center"/>
                  <w:textAlignment w:val="top"/>
                  <w:rPr>
                    <w:color w:val="000000" w:themeColor="text1"/>
                    <w14:textFill>
                      <w14:solidFill>
                        <w14:schemeClr w14:val="tx1"/>
                      </w14:solidFill>
                    </w14:textFill>
                  </w:rPr>
                </w:pPr>
                <w:r>
                  <w:rPr>
                    <w:rFonts w:hint="eastAsia" w:ascii="宋体" w:hAnsi="宋体"/>
                    <w:color w:val="000000"/>
                    <w:lang w:bidi="ar"/>
                  </w:rPr>
                  <w:t>预计投资总额</w:t>
                </w:r>
              </w:p>
            </w:tc>
            <w:tc>
              <w:tcPr>
                <w:tcW w:w="624" w:type="pct"/>
              </w:tcPr>
              <w:p w14:paraId="040C9EB7">
                <w:pPr>
                  <w:widowControl/>
                  <w:jc w:val="center"/>
                  <w:textAlignment w:val="top"/>
                  <w:rPr>
                    <w:color w:val="000000" w:themeColor="text1"/>
                    <w14:textFill>
                      <w14:solidFill>
                        <w14:schemeClr w14:val="tx1"/>
                      </w14:solidFill>
                    </w14:textFill>
                  </w:rPr>
                </w:pPr>
                <w:r>
                  <w:rPr>
                    <w:rFonts w:hint="eastAsia" w:ascii="宋体" w:hAnsi="宋体"/>
                    <w:color w:val="000000"/>
                    <w:lang w:bidi="ar"/>
                  </w:rPr>
                  <w:t>期初余额</w:t>
                </w:r>
              </w:p>
            </w:tc>
            <w:tc>
              <w:tcPr>
                <w:tcW w:w="624" w:type="pct"/>
              </w:tcPr>
              <w:p w14:paraId="669F8BC0">
                <w:pPr>
                  <w:widowControl/>
                  <w:jc w:val="center"/>
                  <w:textAlignment w:val="top"/>
                  <w:rPr>
                    <w:color w:val="000000" w:themeColor="text1"/>
                    <w14:textFill>
                      <w14:solidFill>
                        <w14:schemeClr w14:val="tx1"/>
                      </w14:solidFill>
                    </w14:textFill>
                  </w:rPr>
                </w:pPr>
                <w:r>
                  <w:rPr>
                    <w:rFonts w:hint="eastAsia" w:ascii="宋体" w:hAnsi="宋体"/>
                    <w:color w:val="000000"/>
                    <w:lang w:bidi="ar"/>
                  </w:rPr>
                  <w:t>本期增加</w:t>
                </w:r>
              </w:p>
            </w:tc>
            <w:tc>
              <w:tcPr>
                <w:tcW w:w="624" w:type="pct"/>
              </w:tcPr>
              <w:p w14:paraId="1F9AE943">
                <w:pPr>
                  <w:widowControl/>
                  <w:jc w:val="center"/>
                  <w:textAlignment w:val="top"/>
                  <w:rPr>
                    <w:color w:val="000000" w:themeColor="text1"/>
                    <w14:textFill>
                      <w14:solidFill>
                        <w14:schemeClr w14:val="tx1"/>
                      </w14:solidFill>
                    </w14:textFill>
                  </w:rPr>
                </w:pPr>
                <w:r>
                  <w:rPr>
                    <w:rFonts w:hint="eastAsia" w:ascii="宋体" w:hAnsi="宋体"/>
                    <w:color w:val="000000"/>
                    <w:lang w:bidi="ar"/>
                  </w:rPr>
                  <w:t>期末余额</w:t>
                </w:r>
              </w:p>
            </w:tc>
            <w:tc>
              <w:tcPr>
                <w:tcW w:w="628" w:type="pct"/>
              </w:tcPr>
              <w:p w14:paraId="5618618A">
                <w:pPr>
                  <w:widowControl/>
                  <w:jc w:val="center"/>
                  <w:textAlignment w:val="top"/>
                  <w:rPr>
                    <w:color w:val="000000" w:themeColor="text1"/>
                    <w14:textFill>
                      <w14:solidFill>
                        <w14:schemeClr w14:val="tx1"/>
                      </w14:solidFill>
                    </w14:textFill>
                  </w:rPr>
                </w:pPr>
                <w:r>
                  <w:rPr>
                    <w:rFonts w:hint="eastAsia" w:ascii="宋体" w:hAnsi="宋体"/>
                    <w:color w:val="000000"/>
                    <w:lang w:bidi="ar"/>
                  </w:rPr>
                  <w:t>资金来源</w:t>
                </w:r>
              </w:p>
            </w:tc>
          </w:tr>
          <w:tr w14:paraId="43821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tcPr>
              <w:p w14:paraId="639C2672">
                <w:pPr>
                  <w:widowControl/>
                  <w:jc w:val="both"/>
                  <w:textAlignment w:val="top"/>
                  <w:rPr>
                    <w:rFonts w:cs="Times New Roman"/>
                    <w:color w:val="000000" w:themeColor="text1"/>
                    <w14:textFill>
                      <w14:solidFill>
                        <w14:schemeClr w14:val="tx1"/>
                      </w14:solidFill>
                    </w14:textFill>
                  </w:rPr>
                </w:pPr>
                <w:r>
                  <w:rPr>
                    <w:rFonts w:cs="Times New Roman"/>
                    <w:color w:val="000000"/>
                    <w:lang w:bidi="ar"/>
                  </w:rPr>
                  <w:t>三五三六际华云端项目</w:t>
                </w:r>
              </w:p>
            </w:tc>
            <w:tc>
              <w:tcPr>
                <w:tcW w:w="496" w:type="pct"/>
                <w:vAlign w:val="bottom"/>
              </w:tcPr>
              <w:p w14:paraId="6660CAB6">
                <w:pPr>
                  <w:widowControl/>
                  <w:jc w:val="center"/>
                  <w:textAlignment w:val="bottom"/>
                  <w:rPr>
                    <w:rFonts w:cs="Times New Roman"/>
                    <w:color w:val="000000" w:themeColor="text1"/>
                    <w14:textFill>
                      <w14:solidFill>
                        <w14:schemeClr w14:val="tx1"/>
                      </w14:solidFill>
                    </w14:textFill>
                  </w:rPr>
                </w:pPr>
                <w:r>
                  <w:rPr>
                    <w:rFonts w:eastAsia="Arial Narrow" w:cs="Times New Roman"/>
                    <w:color w:val="000000"/>
                    <w:lang w:bidi="ar"/>
                  </w:rPr>
                  <w:t>2018</w:t>
                </w:r>
                <w:r>
                  <w:rPr>
                    <w:rFonts w:cs="Times New Roman"/>
                    <w:color w:val="000000"/>
                    <w:lang w:bidi="ar"/>
                  </w:rPr>
                  <w:t>年</w:t>
                </w:r>
                <w:r>
                  <w:rPr>
                    <w:rFonts w:eastAsia="Arial Narrow" w:cs="Times New Roman"/>
                    <w:color w:val="000000"/>
                    <w:lang w:bidi="ar"/>
                  </w:rPr>
                  <w:t>1</w:t>
                </w:r>
                <w:r>
                  <w:rPr>
                    <w:rFonts w:cs="Times New Roman"/>
                    <w:color w:val="000000"/>
                    <w:lang w:bidi="ar"/>
                  </w:rPr>
                  <w:t>月</w:t>
                </w:r>
              </w:p>
            </w:tc>
            <w:tc>
              <w:tcPr>
                <w:tcW w:w="530" w:type="pct"/>
                <w:vAlign w:val="bottom"/>
              </w:tcPr>
              <w:p w14:paraId="4164725D">
                <w:pPr>
                  <w:widowControl/>
                  <w:jc w:val="center"/>
                  <w:textAlignment w:val="bottom"/>
                  <w:rPr>
                    <w:rFonts w:cs="Times New Roman"/>
                    <w:color w:val="000000" w:themeColor="text1"/>
                    <w14:textFill>
                      <w14:solidFill>
                        <w14:schemeClr w14:val="tx1"/>
                      </w14:solidFill>
                    </w14:textFill>
                  </w:rPr>
                </w:pPr>
                <w:r>
                  <w:rPr>
                    <w:rFonts w:eastAsia="Arial Narrow" w:cs="Times New Roman"/>
                    <w:color w:val="000000"/>
                    <w:lang w:bidi="ar"/>
                  </w:rPr>
                  <w:t>2025</w:t>
                </w:r>
                <w:r>
                  <w:rPr>
                    <w:rFonts w:cs="Times New Roman"/>
                    <w:color w:val="000000"/>
                    <w:lang w:bidi="ar"/>
                  </w:rPr>
                  <w:t>年</w:t>
                </w:r>
                <w:r>
                  <w:rPr>
                    <w:rFonts w:eastAsia="Arial Narrow" w:cs="Times New Roman"/>
                    <w:color w:val="000000"/>
                    <w:lang w:bidi="ar"/>
                  </w:rPr>
                  <w:t>12</w:t>
                </w:r>
                <w:r>
                  <w:rPr>
                    <w:rFonts w:cs="Times New Roman"/>
                    <w:color w:val="000000"/>
                    <w:lang w:bidi="ar"/>
                  </w:rPr>
                  <w:t>月</w:t>
                </w:r>
              </w:p>
            </w:tc>
            <w:tc>
              <w:tcPr>
                <w:tcW w:w="624" w:type="pct"/>
                <w:vAlign w:val="center"/>
              </w:tcPr>
              <w:p w14:paraId="52995129">
                <w:pPr>
                  <w:widowControl/>
                  <w:jc w:val="right"/>
                  <w:textAlignment w:val="center"/>
                  <w:rPr>
                    <w:rFonts w:cs="Times New Roman"/>
                    <w:color w:val="000000" w:themeColor="text1"/>
                    <w14:textFill>
                      <w14:solidFill>
                        <w14:schemeClr w14:val="tx1"/>
                      </w14:solidFill>
                    </w14:textFill>
                  </w:rPr>
                </w:pPr>
                <w:r>
                  <w:rPr>
                    <w:rFonts w:cs="Times New Roman"/>
                    <w:color w:val="000000"/>
                  </w:rPr>
                  <w:t>46,000.00</w:t>
                </w:r>
              </w:p>
            </w:tc>
            <w:tc>
              <w:tcPr>
                <w:tcW w:w="624" w:type="pct"/>
                <w:vAlign w:val="center"/>
              </w:tcPr>
              <w:p w14:paraId="279DB43A">
                <w:pPr>
                  <w:widowControl/>
                  <w:jc w:val="right"/>
                  <w:textAlignment w:val="center"/>
                  <w:rPr>
                    <w:rFonts w:cs="Times New Roman"/>
                    <w:color w:val="000000" w:themeColor="text1"/>
                    <w14:textFill>
                      <w14:solidFill>
                        <w14:schemeClr w14:val="tx1"/>
                      </w14:solidFill>
                    </w14:textFill>
                  </w:rPr>
                </w:pPr>
                <w:r>
                  <w:rPr>
                    <w:rFonts w:cs="Times New Roman"/>
                    <w:color w:val="000000"/>
                  </w:rPr>
                  <w:t>34,369.94</w:t>
                </w:r>
              </w:p>
            </w:tc>
            <w:tc>
              <w:tcPr>
                <w:tcW w:w="624" w:type="pct"/>
                <w:vAlign w:val="center"/>
              </w:tcPr>
              <w:p w14:paraId="044EB0CD">
                <w:pPr>
                  <w:widowControl/>
                  <w:jc w:val="right"/>
                  <w:textAlignment w:val="center"/>
                  <w:rPr>
                    <w:rFonts w:cs="Times New Roman"/>
                    <w:color w:val="000000" w:themeColor="text1"/>
                    <w14:textFill>
                      <w14:solidFill>
                        <w14:schemeClr w14:val="tx1"/>
                      </w14:solidFill>
                    </w14:textFill>
                  </w:rPr>
                </w:pPr>
                <w:r>
                  <w:rPr>
                    <w:rFonts w:cs="Times New Roman"/>
                    <w:color w:val="000000"/>
                  </w:rPr>
                  <w:t>8,222.85</w:t>
                </w:r>
              </w:p>
            </w:tc>
            <w:tc>
              <w:tcPr>
                <w:tcW w:w="624" w:type="pct"/>
                <w:vAlign w:val="center"/>
              </w:tcPr>
              <w:p w14:paraId="53712330">
                <w:pPr>
                  <w:widowControl/>
                  <w:jc w:val="right"/>
                  <w:textAlignment w:val="center"/>
                  <w:rPr>
                    <w:rFonts w:cs="Times New Roman"/>
                    <w:color w:val="000000" w:themeColor="text1"/>
                    <w14:textFill>
                      <w14:solidFill>
                        <w14:schemeClr w14:val="tx1"/>
                      </w14:solidFill>
                    </w14:textFill>
                  </w:rPr>
                </w:pPr>
                <w:r>
                  <w:rPr>
                    <w:rFonts w:cs="Times New Roman"/>
                    <w:color w:val="000000"/>
                  </w:rPr>
                  <w:t>42,592.79</w:t>
                </w:r>
              </w:p>
            </w:tc>
            <w:tc>
              <w:tcPr>
                <w:tcW w:w="628" w:type="pct"/>
                <w:vAlign w:val="bottom"/>
              </w:tcPr>
              <w:p w14:paraId="445A463A">
                <w:pPr>
                  <w:widowControl/>
                  <w:jc w:val="both"/>
                  <w:textAlignment w:val="bottom"/>
                  <w:rPr>
                    <w:rFonts w:cs="Times New Roman"/>
                    <w:color w:val="000000" w:themeColor="text1"/>
                    <w14:textFill>
                      <w14:solidFill>
                        <w14:schemeClr w14:val="tx1"/>
                      </w14:solidFill>
                    </w14:textFill>
                  </w:rPr>
                </w:pPr>
                <w:r>
                  <w:rPr>
                    <w:rFonts w:cs="Times New Roman"/>
                    <w:color w:val="000000"/>
                    <w:lang w:bidi="ar"/>
                  </w:rPr>
                  <w:t>借款、自筹</w:t>
                </w:r>
              </w:p>
            </w:tc>
          </w:tr>
          <w:tr w14:paraId="6FB6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tcPr>
              <w:p w14:paraId="49DB2D10">
                <w:pPr>
                  <w:widowControl/>
                  <w:jc w:val="both"/>
                  <w:textAlignment w:val="top"/>
                  <w:rPr>
                    <w:rFonts w:cs="Times New Roman"/>
                    <w:color w:val="000000" w:themeColor="text1"/>
                    <w14:textFill>
                      <w14:solidFill>
                        <w14:schemeClr w14:val="tx1"/>
                      </w14:solidFill>
                    </w14:textFill>
                  </w:rPr>
                </w:pPr>
                <w:r>
                  <w:rPr>
                    <w:rFonts w:cs="Times New Roman"/>
                    <w:color w:val="000000"/>
                    <w:lang w:bidi="ar"/>
                  </w:rPr>
                  <w:t>三五三四二期工程</w:t>
                </w:r>
              </w:p>
            </w:tc>
            <w:tc>
              <w:tcPr>
                <w:tcW w:w="496" w:type="pct"/>
                <w:vAlign w:val="bottom"/>
              </w:tcPr>
              <w:p w14:paraId="22CA41F9">
                <w:pPr>
                  <w:widowControl/>
                  <w:jc w:val="center"/>
                  <w:textAlignment w:val="bottom"/>
                  <w:rPr>
                    <w:rFonts w:cs="Times New Roman"/>
                    <w:color w:val="000000" w:themeColor="text1"/>
                    <w14:textFill>
                      <w14:solidFill>
                        <w14:schemeClr w14:val="tx1"/>
                      </w14:solidFill>
                    </w14:textFill>
                  </w:rPr>
                </w:pPr>
                <w:r>
                  <w:rPr>
                    <w:rFonts w:eastAsia="Arial Narrow" w:cs="Times New Roman"/>
                    <w:color w:val="000000"/>
                    <w:lang w:bidi="ar"/>
                  </w:rPr>
                  <w:t>2013</w:t>
                </w:r>
                <w:r>
                  <w:rPr>
                    <w:rFonts w:cs="Times New Roman"/>
                    <w:color w:val="000000"/>
                    <w:lang w:bidi="ar"/>
                  </w:rPr>
                  <w:t>年</w:t>
                </w:r>
                <w:r>
                  <w:rPr>
                    <w:rFonts w:eastAsia="Arial Narrow" w:cs="Times New Roman"/>
                    <w:color w:val="000000"/>
                    <w:lang w:bidi="ar"/>
                  </w:rPr>
                  <w:t>9</w:t>
                </w:r>
                <w:r>
                  <w:rPr>
                    <w:rFonts w:cs="Times New Roman"/>
                    <w:color w:val="000000"/>
                    <w:lang w:bidi="ar"/>
                  </w:rPr>
                  <w:t>月</w:t>
                </w:r>
              </w:p>
            </w:tc>
            <w:tc>
              <w:tcPr>
                <w:tcW w:w="530" w:type="pct"/>
                <w:vAlign w:val="bottom"/>
              </w:tcPr>
              <w:p w14:paraId="416C237A">
                <w:pPr>
                  <w:widowControl/>
                  <w:jc w:val="center"/>
                  <w:textAlignment w:val="bottom"/>
                  <w:rPr>
                    <w:rFonts w:cs="Times New Roman"/>
                    <w:color w:val="000000" w:themeColor="text1"/>
                    <w14:textFill>
                      <w14:solidFill>
                        <w14:schemeClr w14:val="tx1"/>
                      </w14:solidFill>
                    </w14:textFill>
                  </w:rPr>
                </w:pPr>
                <w:r>
                  <w:rPr>
                    <w:rFonts w:eastAsia="Arial Narrow" w:cs="Times New Roman"/>
                    <w:color w:val="000000"/>
                    <w:lang w:bidi="ar"/>
                  </w:rPr>
                  <w:t>2025</w:t>
                </w:r>
                <w:r>
                  <w:rPr>
                    <w:rFonts w:cs="Times New Roman"/>
                    <w:color w:val="000000"/>
                    <w:lang w:bidi="ar"/>
                  </w:rPr>
                  <w:t>年</w:t>
                </w:r>
                <w:r>
                  <w:rPr>
                    <w:rFonts w:eastAsia="Arial Narrow" w:cs="Times New Roman"/>
                    <w:color w:val="000000"/>
                    <w:lang w:bidi="ar"/>
                  </w:rPr>
                  <w:t>12</w:t>
                </w:r>
                <w:r>
                  <w:rPr>
                    <w:rFonts w:cs="Times New Roman"/>
                    <w:color w:val="000000"/>
                    <w:lang w:bidi="ar"/>
                  </w:rPr>
                  <w:t>月</w:t>
                </w:r>
              </w:p>
            </w:tc>
            <w:tc>
              <w:tcPr>
                <w:tcW w:w="624" w:type="pct"/>
                <w:vAlign w:val="center"/>
              </w:tcPr>
              <w:p w14:paraId="6D8B981B">
                <w:pPr>
                  <w:widowControl/>
                  <w:jc w:val="right"/>
                  <w:textAlignment w:val="center"/>
                  <w:rPr>
                    <w:rFonts w:cs="Times New Roman"/>
                    <w:color w:val="000000" w:themeColor="text1"/>
                    <w14:textFill>
                      <w14:solidFill>
                        <w14:schemeClr w14:val="tx1"/>
                      </w14:solidFill>
                    </w14:textFill>
                  </w:rPr>
                </w:pPr>
                <w:r>
                  <w:rPr>
                    <w:rFonts w:cs="Times New Roman"/>
                    <w:color w:val="000000"/>
                  </w:rPr>
                  <w:t>13,825.00</w:t>
                </w:r>
              </w:p>
            </w:tc>
            <w:tc>
              <w:tcPr>
                <w:tcW w:w="624" w:type="pct"/>
                <w:vAlign w:val="center"/>
              </w:tcPr>
              <w:p w14:paraId="18A1B114">
                <w:pPr>
                  <w:widowControl/>
                  <w:jc w:val="right"/>
                  <w:textAlignment w:val="center"/>
                  <w:rPr>
                    <w:rFonts w:cs="Times New Roman"/>
                    <w:color w:val="000000" w:themeColor="text1"/>
                    <w14:textFill>
                      <w14:solidFill>
                        <w14:schemeClr w14:val="tx1"/>
                      </w14:solidFill>
                    </w14:textFill>
                  </w:rPr>
                </w:pPr>
                <w:r>
                  <w:rPr>
                    <w:rFonts w:cs="Times New Roman"/>
                    <w:color w:val="000000"/>
                  </w:rPr>
                  <w:t>1,985.33</w:t>
                </w:r>
              </w:p>
            </w:tc>
            <w:tc>
              <w:tcPr>
                <w:tcW w:w="624" w:type="pct"/>
                <w:vAlign w:val="center"/>
              </w:tcPr>
              <w:p w14:paraId="00DE1C62">
                <w:pPr>
                  <w:widowControl w:val="0"/>
                  <w:jc w:val="right"/>
                  <w:rPr>
                    <w:rFonts w:cs="Times New Roman"/>
                    <w:color w:val="000000" w:themeColor="text1"/>
                    <w14:textFill>
                      <w14:solidFill>
                        <w14:schemeClr w14:val="tx1"/>
                      </w14:solidFill>
                    </w14:textFill>
                  </w:rPr>
                </w:pPr>
              </w:p>
            </w:tc>
            <w:tc>
              <w:tcPr>
                <w:tcW w:w="624" w:type="pct"/>
                <w:vAlign w:val="center"/>
              </w:tcPr>
              <w:p w14:paraId="08D42418">
                <w:pPr>
                  <w:widowControl/>
                  <w:jc w:val="right"/>
                  <w:textAlignment w:val="center"/>
                  <w:rPr>
                    <w:rFonts w:cs="Times New Roman"/>
                    <w:color w:val="000000" w:themeColor="text1"/>
                    <w14:textFill>
                      <w14:solidFill>
                        <w14:schemeClr w14:val="tx1"/>
                      </w14:solidFill>
                    </w14:textFill>
                  </w:rPr>
                </w:pPr>
                <w:r>
                  <w:rPr>
                    <w:rFonts w:cs="Times New Roman"/>
                    <w:color w:val="000000"/>
                  </w:rPr>
                  <w:t>1,985.33</w:t>
                </w:r>
              </w:p>
            </w:tc>
            <w:tc>
              <w:tcPr>
                <w:tcW w:w="628" w:type="pct"/>
                <w:vAlign w:val="bottom"/>
              </w:tcPr>
              <w:p w14:paraId="2CB0F1FB">
                <w:pPr>
                  <w:widowControl/>
                  <w:jc w:val="both"/>
                  <w:textAlignment w:val="bottom"/>
                  <w:rPr>
                    <w:rFonts w:cs="Times New Roman"/>
                    <w:color w:val="000000" w:themeColor="text1"/>
                    <w14:textFill>
                      <w14:solidFill>
                        <w14:schemeClr w14:val="tx1"/>
                      </w14:solidFill>
                    </w14:textFill>
                  </w:rPr>
                </w:pPr>
                <w:r>
                  <w:rPr>
                    <w:rFonts w:cs="Times New Roman"/>
                    <w:color w:val="000000"/>
                    <w:lang w:bidi="ar"/>
                  </w:rPr>
                  <w:t>自筹</w:t>
                </w:r>
              </w:p>
            </w:tc>
          </w:tr>
          <w:tr w14:paraId="6F02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tcPr>
              <w:p w14:paraId="649664B8">
                <w:pPr>
                  <w:widowControl/>
                  <w:jc w:val="both"/>
                  <w:textAlignment w:val="top"/>
                  <w:rPr>
                    <w:rFonts w:cs="Times New Roman"/>
                    <w:color w:val="000000" w:themeColor="text1"/>
                    <w14:textFill>
                      <w14:solidFill>
                        <w14:schemeClr w14:val="tx1"/>
                      </w14:solidFill>
                    </w14:textFill>
                  </w:rPr>
                </w:pPr>
                <w:r>
                  <w:rPr>
                    <w:rFonts w:cs="Times New Roman"/>
                    <w:color w:val="000000"/>
                    <w:lang w:bidi="ar"/>
                  </w:rPr>
                  <w:t>合计</w:t>
                </w:r>
              </w:p>
            </w:tc>
            <w:tc>
              <w:tcPr>
                <w:tcW w:w="496" w:type="pct"/>
                <w:vAlign w:val="bottom"/>
              </w:tcPr>
              <w:p w14:paraId="33CB0590">
                <w:pPr>
                  <w:widowControl w:val="0"/>
                  <w:jc w:val="both"/>
                  <w:rPr>
                    <w:rFonts w:cs="Times New Roman"/>
                    <w:color w:val="000000" w:themeColor="text1"/>
                    <w14:textFill>
                      <w14:solidFill>
                        <w14:schemeClr w14:val="tx1"/>
                      </w14:solidFill>
                    </w14:textFill>
                  </w:rPr>
                </w:pPr>
              </w:p>
            </w:tc>
            <w:tc>
              <w:tcPr>
                <w:tcW w:w="530" w:type="pct"/>
                <w:vAlign w:val="bottom"/>
              </w:tcPr>
              <w:p w14:paraId="14F1DA82">
                <w:pPr>
                  <w:widowControl w:val="0"/>
                  <w:jc w:val="both"/>
                  <w:rPr>
                    <w:rFonts w:cs="Times New Roman"/>
                    <w:color w:val="000000" w:themeColor="text1"/>
                    <w14:textFill>
                      <w14:solidFill>
                        <w14:schemeClr w14:val="tx1"/>
                      </w14:solidFill>
                    </w14:textFill>
                  </w:rPr>
                </w:pPr>
              </w:p>
            </w:tc>
            <w:tc>
              <w:tcPr>
                <w:tcW w:w="624" w:type="pct"/>
                <w:vAlign w:val="center"/>
              </w:tcPr>
              <w:p w14:paraId="6AB26AD7">
                <w:pPr>
                  <w:widowControl/>
                  <w:jc w:val="right"/>
                  <w:textAlignment w:val="center"/>
                  <w:rPr>
                    <w:rFonts w:cs="Times New Roman"/>
                    <w:color w:val="000000" w:themeColor="text1"/>
                    <w14:textFill>
                      <w14:solidFill>
                        <w14:schemeClr w14:val="tx1"/>
                      </w14:solidFill>
                    </w14:textFill>
                  </w:rPr>
                </w:pPr>
                <w:r>
                  <w:rPr>
                    <w:rFonts w:cs="Times New Roman"/>
                    <w:color w:val="000000"/>
                  </w:rPr>
                  <w:t>59,825.00</w:t>
                </w:r>
              </w:p>
            </w:tc>
            <w:tc>
              <w:tcPr>
                <w:tcW w:w="624" w:type="pct"/>
                <w:vAlign w:val="center"/>
              </w:tcPr>
              <w:p w14:paraId="521E0550">
                <w:pPr>
                  <w:widowControl/>
                  <w:jc w:val="right"/>
                  <w:textAlignment w:val="center"/>
                  <w:rPr>
                    <w:rFonts w:cs="Times New Roman"/>
                    <w:color w:val="000000" w:themeColor="text1"/>
                    <w14:textFill>
                      <w14:solidFill>
                        <w14:schemeClr w14:val="tx1"/>
                      </w14:solidFill>
                    </w14:textFill>
                  </w:rPr>
                </w:pPr>
                <w:r>
                  <w:rPr>
                    <w:rFonts w:cs="Times New Roman"/>
                    <w:color w:val="000000"/>
                  </w:rPr>
                  <w:t>36,355.27</w:t>
                </w:r>
              </w:p>
            </w:tc>
            <w:tc>
              <w:tcPr>
                <w:tcW w:w="624" w:type="pct"/>
                <w:vAlign w:val="center"/>
              </w:tcPr>
              <w:p w14:paraId="26AB006C">
                <w:pPr>
                  <w:widowControl/>
                  <w:jc w:val="right"/>
                  <w:textAlignment w:val="center"/>
                  <w:rPr>
                    <w:rFonts w:cs="Times New Roman"/>
                    <w:color w:val="000000" w:themeColor="text1"/>
                    <w14:textFill>
                      <w14:solidFill>
                        <w14:schemeClr w14:val="tx1"/>
                      </w14:solidFill>
                    </w14:textFill>
                  </w:rPr>
                </w:pPr>
                <w:r>
                  <w:rPr>
                    <w:rFonts w:cs="Times New Roman"/>
                    <w:color w:val="000000"/>
                  </w:rPr>
                  <w:t>8,222.85</w:t>
                </w:r>
              </w:p>
            </w:tc>
            <w:tc>
              <w:tcPr>
                <w:tcW w:w="624" w:type="pct"/>
                <w:vAlign w:val="center"/>
              </w:tcPr>
              <w:p w14:paraId="51BFF9BF">
                <w:pPr>
                  <w:widowControl/>
                  <w:jc w:val="right"/>
                  <w:textAlignment w:val="center"/>
                  <w:rPr>
                    <w:rFonts w:cs="Times New Roman"/>
                    <w:color w:val="000000" w:themeColor="text1"/>
                    <w14:textFill>
                      <w14:solidFill>
                        <w14:schemeClr w14:val="tx1"/>
                      </w14:solidFill>
                    </w14:textFill>
                  </w:rPr>
                </w:pPr>
                <w:r>
                  <w:rPr>
                    <w:rFonts w:cs="Times New Roman"/>
                    <w:color w:val="000000"/>
                  </w:rPr>
                  <w:t>44,578.12</w:t>
                </w:r>
              </w:p>
            </w:tc>
            <w:tc>
              <w:tcPr>
                <w:tcW w:w="628" w:type="pct"/>
                <w:vAlign w:val="bottom"/>
              </w:tcPr>
              <w:p w14:paraId="2CED7C60">
                <w:pPr>
                  <w:widowControl w:val="0"/>
                  <w:jc w:val="both"/>
                  <w:rPr>
                    <w:rFonts w:cs="Times New Roman"/>
                    <w:color w:val="000000" w:themeColor="text1"/>
                    <w14:textFill>
                      <w14:solidFill>
                        <w14:schemeClr w14:val="tx1"/>
                      </w14:solidFill>
                    </w14:textFill>
                  </w:rPr>
                </w:pPr>
              </w:p>
            </w:tc>
          </w:tr>
        </w:tbl>
        <w:p w14:paraId="46473D58">
          <w:pPr>
            <w:rPr>
              <w:rFonts w:cs="Times New Roman"/>
              <w:color w:val="000000" w:themeColor="text1"/>
              <w14:textFill>
                <w14:solidFill>
                  <w14:schemeClr w14:val="tx1"/>
                </w14:solidFill>
              </w14:textFill>
            </w:rPr>
          </w:pPr>
        </w:p>
        <w:p w14:paraId="77AC9520">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开发产品</w:t>
          </w:r>
        </w:p>
        <w:p w14:paraId="4DE02B65">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单位：</w:t>
          </w:r>
          <w:sdt>
            <w:sdtPr>
              <w:rPr>
                <w:rFonts w:cs="Times New Roman"/>
                <w:color w:val="000000" w:themeColor="text1"/>
                <w14:textFill>
                  <w14:solidFill>
                    <w14:schemeClr w14:val="tx1"/>
                  </w14:solidFill>
                </w14:textFill>
              </w:rPr>
              <w:alias w:val="单位：存货跌价准备"/>
              <w:tag w:val="_GBC_42225a9505da4f598594afea08f9738b"/>
              <w:id w:val="147482898"/>
              <w:placeholder>
                <w:docPart w:val="{cd80f4b4-a2bf-43c4-b169-4fd9cf19172a}"/>
              </w:placeholder>
              <w:comboBox>
                <w:listItem w:displayText="元" w:value="1"/>
                <w:listItem w:displayText="千元" w:value="1000"/>
                <w:listItem w:displayText="万元" w:value="10000"/>
                <w:listItem w:displayText="百万元" w:value="1000000"/>
                <w:listItem w:displayText="亿元" w:value="100000000"/>
              </w:comboBox>
            </w:sdtPr>
            <w:sdtEndPr>
              <w:rPr>
                <w:rFonts w:cs="Times New Roman"/>
                <w:color w:val="000000" w:themeColor="text1"/>
                <w14:textFill>
                  <w14:solidFill>
                    <w14:schemeClr w14:val="tx1"/>
                  </w14:solidFill>
                </w14:textFill>
              </w:rPr>
            </w:sdtEndPr>
            <w:sdtContent>
              <w:r>
                <w:rPr>
                  <w:rFonts w:cs="Times New Roman"/>
                  <w:color w:val="000000" w:themeColor="text1"/>
                  <w14:textFill>
                    <w14:solidFill>
                      <w14:schemeClr w14:val="tx1"/>
                    </w14:solidFill>
                  </w14:textFill>
                </w:rPr>
                <w:t>万元</w:t>
              </w:r>
            </w:sdtContent>
          </w:sdt>
          <w:r>
            <w:rPr>
              <w:rFonts w:cs="Times New Roman"/>
              <w:color w:val="000000" w:themeColor="text1"/>
              <w14:textFill>
                <w14:solidFill>
                  <w14:schemeClr w14:val="tx1"/>
                </w14:solidFill>
              </w14:textFill>
            </w:rPr>
            <w:t xml:space="preserve">  币种：</w:t>
          </w:r>
          <w:sdt>
            <w:sdtPr>
              <w:rPr>
                <w:rFonts w:cs="Times New Roman"/>
                <w:color w:val="000000" w:themeColor="text1"/>
                <w14:textFill>
                  <w14:solidFill>
                    <w14:schemeClr w14:val="tx1"/>
                  </w14:solidFill>
                </w14:textFill>
              </w:rPr>
              <w:alias w:val="币种：存货跌价准备"/>
              <w:tag w:val="_GBC_4de434e29d00482b8b3175d1e7874ff2"/>
              <w:id w:val="147465429"/>
              <w:placeholder>
                <w:docPart w:val="{cd80f4b4-a2bf-43c4-b169-4fd9cf19172a}"/>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cs="Times New Roman"/>
                <w:color w:val="000000" w:themeColor="text1"/>
                <w14:textFill>
                  <w14:solidFill>
                    <w14:schemeClr w14:val="tx1"/>
                  </w14:solidFill>
                </w14:textFill>
              </w:rPr>
            </w:sdtEndPr>
            <w:sdtContent>
              <w:r>
                <w:rPr>
                  <w:rFonts w:cs="Times New Roman"/>
                  <w:color w:val="000000" w:themeColor="text1"/>
                  <w14:textFill>
                    <w14:solidFill>
                      <w14:schemeClr w14:val="tx1"/>
                    </w14:solidFill>
                  </w14:textFill>
                </w:rPr>
                <w:t>人民币</w:t>
              </w:r>
            </w:sdtContent>
          </w:sdt>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7"/>
            <w:gridCol w:w="2347"/>
            <w:gridCol w:w="2347"/>
            <w:gridCol w:w="2347"/>
            <w:gridCol w:w="2347"/>
            <w:gridCol w:w="2348"/>
          </w:tblGrid>
          <w:tr w14:paraId="331A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bottom"/>
              </w:tcPr>
              <w:p w14:paraId="1FDA09D3">
                <w:pPr>
                  <w:widowControl/>
                  <w:jc w:val="center"/>
                  <w:textAlignment w:val="bottom"/>
                  <w:rPr>
                    <w:rFonts w:cs="Times New Roman"/>
                    <w:color w:val="000000" w:themeColor="text1"/>
                    <w14:textFill>
                      <w14:solidFill>
                        <w14:schemeClr w14:val="tx1"/>
                      </w14:solidFill>
                    </w14:textFill>
                  </w:rPr>
                </w:pPr>
                <w:r>
                  <w:rPr>
                    <w:rFonts w:cs="Times New Roman"/>
                    <w:color w:val="000000"/>
                    <w:lang w:bidi="ar"/>
                  </w:rPr>
                  <w:t>项目名称</w:t>
                </w:r>
              </w:p>
            </w:tc>
            <w:tc>
              <w:tcPr>
                <w:tcW w:w="833" w:type="pct"/>
                <w:vAlign w:val="bottom"/>
              </w:tcPr>
              <w:p w14:paraId="6B7F668E">
                <w:pPr>
                  <w:widowControl/>
                  <w:jc w:val="center"/>
                  <w:textAlignment w:val="bottom"/>
                  <w:rPr>
                    <w:rFonts w:cs="Times New Roman"/>
                    <w:color w:val="000000" w:themeColor="text1"/>
                    <w14:textFill>
                      <w14:solidFill>
                        <w14:schemeClr w14:val="tx1"/>
                      </w14:solidFill>
                    </w14:textFill>
                  </w:rPr>
                </w:pPr>
                <w:r>
                  <w:rPr>
                    <w:rFonts w:cs="Times New Roman"/>
                    <w:color w:val="000000"/>
                    <w:lang w:bidi="ar"/>
                  </w:rPr>
                  <w:t>竣工时间</w:t>
                </w:r>
              </w:p>
            </w:tc>
            <w:tc>
              <w:tcPr>
                <w:tcW w:w="833" w:type="pct"/>
                <w:vAlign w:val="bottom"/>
              </w:tcPr>
              <w:p w14:paraId="05DD800E">
                <w:pPr>
                  <w:widowControl/>
                  <w:jc w:val="center"/>
                  <w:textAlignment w:val="bottom"/>
                  <w:rPr>
                    <w:rFonts w:cs="Times New Roman"/>
                    <w:color w:val="000000" w:themeColor="text1"/>
                    <w14:textFill>
                      <w14:solidFill>
                        <w14:schemeClr w14:val="tx1"/>
                      </w14:solidFill>
                    </w14:textFill>
                  </w:rPr>
                </w:pPr>
                <w:r>
                  <w:rPr>
                    <w:rFonts w:cs="Times New Roman"/>
                    <w:color w:val="000000"/>
                    <w:lang w:bidi="ar"/>
                  </w:rPr>
                  <w:t>期初余额</w:t>
                </w:r>
              </w:p>
            </w:tc>
            <w:tc>
              <w:tcPr>
                <w:tcW w:w="833" w:type="pct"/>
                <w:vAlign w:val="bottom"/>
              </w:tcPr>
              <w:p w14:paraId="5FD1E1A3">
                <w:pPr>
                  <w:widowControl/>
                  <w:jc w:val="center"/>
                  <w:textAlignment w:val="bottom"/>
                  <w:rPr>
                    <w:rFonts w:cs="Times New Roman"/>
                    <w:color w:val="000000" w:themeColor="text1"/>
                    <w14:textFill>
                      <w14:solidFill>
                        <w14:schemeClr w14:val="tx1"/>
                      </w14:solidFill>
                    </w14:textFill>
                  </w:rPr>
                </w:pPr>
                <w:r>
                  <w:rPr>
                    <w:rFonts w:cs="Times New Roman"/>
                    <w:color w:val="000000"/>
                    <w:lang w:bidi="ar"/>
                  </w:rPr>
                  <w:t>本期增加</w:t>
                </w:r>
              </w:p>
            </w:tc>
            <w:tc>
              <w:tcPr>
                <w:tcW w:w="833" w:type="pct"/>
                <w:vAlign w:val="bottom"/>
              </w:tcPr>
              <w:p w14:paraId="2B95FE4F">
                <w:pPr>
                  <w:widowControl/>
                  <w:jc w:val="center"/>
                  <w:textAlignment w:val="bottom"/>
                  <w:rPr>
                    <w:rFonts w:cs="Times New Roman"/>
                    <w:color w:val="000000" w:themeColor="text1"/>
                    <w14:textFill>
                      <w14:solidFill>
                        <w14:schemeClr w14:val="tx1"/>
                      </w14:solidFill>
                    </w14:textFill>
                  </w:rPr>
                </w:pPr>
                <w:r>
                  <w:rPr>
                    <w:rFonts w:cs="Times New Roman"/>
                    <w:color w:val="000000"/>
                    <w:lang w:bidi="ar"/>
                  </w:rPr>
                  <w:t>本期减少</w:t>
                </w:r>
              </w:p>
            </w:tc>
            <w:tc>
              <w:tcPr>
                <w:tcW w:w="833" w:type="pct"/>
                <w:vAlign w:val="bottom"/>
              </w:tcPr>
              <w:p w14:paraId="7450B432">
                <w:pPr>
                  <w:widowControl/>
                  <w:jc w:val="center"/>
                  <w:textAlignment w:val="bottom"/>
                  <w:rPr>
                    <w:rFonts w:cs="Times New Roman"/>
                    <w:color w:val="000000" w:themeColor="text1"/>
                    <w14:textFill>
                      <w14:solidFill>
                        <w14:schemeClr w14:val="tx1"/>
                      </w14:solidFill>
                    </w14:textFill>
                  </w:rPr>
                </w:pPr>
                <w:r>
                  <w:rPr>
                    <w:rFonts w:cs="Times New Roman"/>
                    <w:color w:val="000000"/>
                    <w:lang w:bidi="ar"/>
                  </w:rPr>
                  <w:t>期末余额</w:t>
                </w:r>
              </w:p>
            </w:tc>
          </w:tr>
          <w:tr w14:paraId="43130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631DF59F">
                <w:pPr>
                  <w:widowControl/>
                  <w:jc w:val="both"/>
                  <w:textAlignment w:val="top"/>
                  <w:rPr>
                    <w:rFonts w:cs="Times New Roman"/>
                    <w:color w:val="000000" w:themeColor="text1"/>
                    <w14:textFill>
                      <w14:solidFill>
                        <w14:schemeClr w14:val="tx1"/>
                      </w14:solidFill>
                    </w14:textFill>
                  </w:rPr>
                </w:pPr>
                <w:r>
                  <w:rPr>
                    <w:rFonts w:cs="Times New Roman"/>
                    <w:color w:val="000000"/>
                    <w:lang w:bidi="ar"/>
                  </w:rPr>
                  <w:t>三五三四一期工程</w:t>
                </w:r>
              </w:p>
            </w:tc>
            <w:tc>
              <w:tcPr>
                <w:tcW w:w="833" w:type="pct"/>
                <w:vAlign w:val="bottom"/>
              </w:tcPr>
              <w:p w14:paraId="73BFB426">
                <w:pPr>
                  <w:widowControl/>
                  <w:jc w:val="center"/>
                  <w:textAlignment w:val="bottom"/>
                  <w:rPr>
                    <w:rFonts w:cs="Times New Roman"/>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2022年6月</w:t>
                </w:r>
              </w:p>
            </w:tc>
            <w:tc>
              <w:tcPr>
                <w:tcW w:w="833" w:type="pct"/>
                <w:vAlign w:val="center"/>
              </w:tcPr>
              <w:p w14:paraId="6A613B65">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1,562.32</w:t>
                </w:r>
              </w:p>
            </w:tc>
            <w:tc>
              <w:tcPr>
                <w:tcW w:w="833" w:type="pct"/>
                <w:vAlign w:val="center"/>
              </w:tcPr>
              <w:p w14:paraId="085F1940">
                <w:pPr>
                  <w:widowControl w:val="0"/>
                  <w:jc w:val="right"/>
                  <w:rPr>
                    <w:rFonts w:cs="Times New Roman"/>
                    <w:color w:val="000000" w:themeColor="text1"/>
                    <w14:textFill>
                      <w14:solidFill>
                        <w14:schemeClr w14:val="tx1"/>
                      </w14:solidFill>
                    </w14:textFill>
                  </w:rPr>
                </w:pPr>
              </w:p>
            </w:tc>
            <w:tc>
              <w:tcPr>
                <w:tcW w:w="833" w:type="pct"/>
                <w:vAlign w:val="center"/>
              </w:tcPr>
              <w:p w14:paraId="0F5EC20D">
                <w:pPr>
                  <w:widowControl w:val="0"/>
                  <w:jc w:val="right"/>
                  <w:rPr>
                    <w:rFonts w:cs="Times New Roman"/>
                    <w:color w:val="000000" w:themeColor="text1"/>
                    <w14:textFill>
                      <w14:solidFill>
                        <w14:schemeClr w14:val="tx1"/>
                      </w14:solidFill>
                    </w14:textFill>
                  </w:rPr>
                </w:pPr>
              </w:p>
            </w:tc>
            <w:tc>
              <w:tcPr>
                <w:tcW w:w="833" w:type="pct"/>
                <w:vAlign w:val="center"/>
              </w:tcPr>
              <w:p w14:paraId="67B2F221">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1,562.32</w:t>
                </w:r>
              </w:p>
            </w:tc>
          </w:tr>
        </w:tbl>
        <w:p w14:paraId="45D0C018">
          <w:pPr>
            <w:rPr>
              <w:color w:val="000000" w:themeColor="text1"/>
              <w14:textFill>
                <w14:solidFill>
                  <w14:schemeClr w14:val="tx1"/>
                </w14:solidFill>
              </w14:textFill>
            </w:rPr>
          </w:pPr>
        </w:p>
        <w:p w14:paraId="16B521F6">
          <w:pPr>
            <w:rPr>
              <w:color w:val="000000" w:themeColor="text1"/>
              <w14:textFill>
                <w14:solidFill>
                  <w14:schemeClr w14:val="tx1"/>
                </w14:solidFill>
              </w14:textFill>
            </w:rPr>
          </w:pPr>
        </w:p>
        <w:p w14:paraId="28E6CBBC">
          <w:pPr>
            <w:rPr>
              <w:color w:val="000000" w:themeColor="text1"/>
              <w14:textFill>
                <w14:solidFill>
                  <w14:schemeClr w14:val="tx1"/>
                </w14:solidFill>
              </w14:textFill>
            </w:rPr>
          </w:pPr>
        </w:p>
        <w:p w14:paraId="7318666B"/>
      </w:sdtContent>
    </w:sdt>
    <w:p w14:paraId="660981B7">
      <w:pPr>
        <w:rPr>
          <w:color w:val="000000" w:themeColor="text1"/>
          <w14:textFill>
            <w14:solidFill>
              <w14:schemeClr w14:val="tx1"/>
            </w14:solidFill>
          </w14:textFill>
        </w:rPr>
        <w:sectPr>
          <w:pgSz w:w="16838" w:h="11906" w:orient="landscape"/>
          <w:pgMar w:top="1797" w:right="1525" w:bottom="1276" w:left="1440" w:header="856" w:footer="992" w:gutter="0"/>
          <w:cols w:space="425" w:num="1"/>
          <w:docGrid w:linePitch="312" w:charSpace="0"/>
        </w:sectPr>
      </w:pPr>
    </w:p>
    <w:p w14:paraId="070FCE02">
      <w:pPr>
        <w:rPr>
          <w:color w:val="000000" w:themeColor="text1"/>
          <w14:textFill>
            <w14:solidFill>
              <w14:schemeClr w14:val="tx1"/>
            </w14:solidFill>
          </w14:textFill>
        </w:rPr>
      </w:pPr>
    </w:p>
    <w:p w14:paraId="7A12BFDA">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持有待售资产</w:t>
      </w:r>
    </w:p>
    <w:sdt>
      <w:sdtPr>
        <w:rPr>
          <w:color w:val="000000" w:themeColor="text1"/>
          <w14:textFill>
            <w14:solidFill>
              <w14:schemeClr w14:val="tx1"/>
            </w14:solidFill>
          </w14:textFill>
        </w:rPr>
        <w:alias w:val="是否适用：划分为持有待售的资产[双击切换]"/>
        <w:tag w:val="_GBC_a6517e0f93e04b1caa2e45201c8133b1"/>
        <w:id w:val="147456053"/>
        <w:placeholder>
          <w:docPart w:val="GBC22222222222222222222222222222"/>
        </w:placeholder>
      </w:sdtPr>
      <w:sdtEndPr>
        <w:rPr>
          <w:color w:val="000000" w:themeColor="text1"/>
          <w14:textFill>
            <w14:solidFill>
              <w14:schemeClr w14:val="tx1"/>
            </w14:solidFill>
          </w14:textFill>
        </w:rPr>
      </w:sdtEndPr>
      <w:sdtContent>
        <w:p w14:paraId="0CE303F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428DB6E">
      <w:pPr>
        <w:ind w:right="210"/>
        <w:rPr>
          <w:color w:val="000000" w:themeColor="text1"/>
          <w14:textFill>
            <w14:solidFill>
              <w14:schemeClr w14:val="tx1"/>
            </w14:solidFill>
          </w14:textFill>
        </w:rPr>
      </w:pPr>
    </w:p>
    <w:p w14:paraId="1B491146">
      <w:pPr>
        <w:pStyle w:val="57"/>
        <w:numPr>
          <w:ilvl w:val="0"/>
          <w:numId w:val="54"/>
        </w:numPr>
        <w:rPr>
          <w:color w:val="000000" w:themeColor="text1"/>
          <w:szCs w:val="21"/>
          <w14:textFill>
            <w14:solidFill>
              <w14:schemeClr w14:val="tx1"/>
            </w14:solidFill>
          </w14:textFill>
        </w:rPr>
      </w:pPr>
      <w:bookmarkStart w:id="261" w:name="_Hlk167891796"/>
      <w:bookmarkStart w:id="262" w:name="_Hlk10471081"/>
      <w:r>
        <w:rPr>
          <w:color w:val="000000" w:themeColor="text1"/>
          <w:szCs w:val="21"/>
          <w14:textFill>
            <w14:solidFill>
              <w14:schemeClr w14:val="tx1"/>
            </w14:solidFill>
          </w14:textFill>
        </w:rPr>
        <w:t>一年内到期的非流动资产</w:t>
      </w:r>
    </w:p>
    <w:sdt>
      <w:sdtPr>
        <w:rPr>
          <w:color w:val="000000" w:themeColor="text1"/>
          <w14:textFill>
            <w14:solidFill>
              <w14:schemeClr w14:val="tx1"/>
            </w14:solidFill>
          </w14:textFill>
        </w:rPr>
        <w:alias w:val="是否适用：一年内到期的非流动资产[双击切换]"/>
        <w:tag w:val="_GBC_3c3df002388d4bbe8dd8d4df7fe26ebc"/>
        <w:id w:val="147459962"/>
        <w:placeholder>
          <w:docPart w:val="GBC22222222222222222222222222222"/>
        </w:placeholder>
      </w:sdtPr>
      <w:sdtEndPr>
        <w:rPr>
          <w:color w:val="000000" w:themeColor="text1"/>
          <w14:textFill>
            <w14:solidFill>
              <w14:schemeClr w14:val="tx1"/>
            </w14:solidFill>
          </w14:textFill>
        </w:rPr>
      </w:sdtEndPr>
      <w:sdtContent>
        <w:p w14:paraId="14C9BCE6">
          <w:pPr>
            <w:ind w:right="21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019B772">
      <w:pPr>
        <w:ind w:right="210"/>
        <w:rPr>
          <w:color w:val="000000" w:themeColor="text1"/>
          <w14:textFill>
            <w14:solidFill>
              <w14:schemeClr w14:val="tx1"/>
            </w14:solidFill>
          </w14:textFill>
        </w:rPr>
      </w:pPr>
    </w:p>
    <w:bookmarkEnd w:id="261"/>
    <w:p w14:paraId="28C95EFB">
      <w:pPr>
        <w:pStyle w:val="58"/>
        <w:rPr>
          <w:color w:val="000000" w:themeColor="text1"/>
          <w14:textFill>
            <w14:solidFill>
              <w14:schemeClr w14:val="tx1"/>
            </w14:solidFill>
          </w14:textFill>
        </w:rPr>
      </w:pPr>
      <w:bookmarkStart w:id="263" w:name="_Hlk167891921"/>
      <w:r>
        <w:rPr>
          <w:rFonts w:hint="eastAsia"/>
          <w:color w:val="000000" w:themeColor="text1"/>
          <w14:textFill>
            <w14:solidFill>
              <w14:schemeClr w14:val="tx1"/>
            </w14:solidFill>
          </w14:textFill>
        </w:rPr>
        <w:t>一年内到期的债权投资</w:t>
      </w:r>
    </w:p>
    <w:sdt>
      <w:sdtPr>
        <w:rPr>
          <w:color w:val="000000" w:themeColor="text1"/>
          <w14:textFill>
            <w14:solidFill>
              <w14:schemeClr w14:val="tx1"/>
            </w14:solidFill>
          </w14:textFill>
        </w:rPr>
        <w:alias w:val="是否适用：一年内到期的债权投资[双击切换]"/>
        <w:tag w:val="_GBC_ed748eccf06845059b7b75fbb321c08e"/>
        <w:id w:val="147464944"/>
        <w:placeholder>
          <w:docPart w:val="GBC22222222222222222222222222222"/>
        </w:placeholder>
      </w:sdtPr>
      <w:sdtEndPr>
        <w:rPr>
          <w:color w:val="000000" w:themeColor="text1"/>
          <w14:textFill>
            <w14:solidFill>
              <w14:schemeClr w14:val="tx1"/>
            </w14:solidFill>
          </w14:textFill>
        </w:rPr>
      </w:sdtEndPr>
      <w:sdtContent>
        <w:p w14:paraId="30975B27">
          <w:pPr>
            <w:ind w:right="21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3822F46">
      <w:pPr>
        <w:ind w:right="210"/>
        <w:rPr>
          <w:color w:val="000000" w:themeColor="text1"/>
          <w14:textFill>
            <w14:solidFill>
              <w14:schemeClr w14:val="tx1"/>
            </w14:solidFill>
          </w14:textFill>
        </w:rPr>
      </w:pPr>
    </w:p>
    <w:p w14:paraId="38D3F56A">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一年内到期的其他债权投资</w:t>
      </w:r>
    </w:p>
    <w:sdt>
      <w:sdtPr>
        <w:rPr>
          <w:color w:val="000000" w:themeColor="text1"/>
          <w14:textFill>
            <w14:solidFill>
              <w14:schemeClr w14:val="tx1"/>
            </w14:solidFill>
          </w14:textFill>
        </w:rPr>
        <w:alias w:val="是否适用：一年内到期的其他债权投资[双击切换]"/>
        <w:tag w:val="_GBC_4fffef07e644478cae129eff5661f608"/>
        <w:id w:val="147470220"/>
        <w:placeholder>
          <w:docPart w:val="GBC22222222222222222222222222222"/>
        </w:placeholder>
      </w:sdtPr>
      <w:sdtEndPr>
        <w:rPr>
          <w:color w:val="000000" w:themeColor="text1"/>
          <w14:textFill>
            <w14:solidFill>
              <w14:schemeClr w14:val="tx1"/>
            </w14:solidFill>
          </w14:textFill>
        </w:rPr>
      </w:sdtEndPr>
      <w:sdtContent>
        <w:p w14:paraId="539CC90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3FAC315">
      <w:pPr>
        <w:ind w:right="210"/>
        <w:rPr>
          <w:color w:val="000000" w:themeColor="text1"/>
          <w14:textFill>
            <w14:solidFill>
              <w14:schemeClr w14:val="tx1"/>
            </w14:solidFill>
          </w14:textFill>
        </w:rPr>
      </w:pPr>
    </w:p>
    <w:p w14:paraId="13A7FF6A">
      <w:pPr>
        <w:ind w:right="210"/>
        <w:rPr>
          <w:color w:val="000000" w:themeColor="text1"/>
          <w14:textFill>
            <w14:solidFill>
              <w14:schemeClr w14:val="tx1"/>
            </w14:solidFill>
          </w14:textFill>
        </w:rPr>
      </w:pPr>
      <w:r>
        <w:rPr>
          <w:rFonts w:hint="eastAsia"/>
          <w:color w:val="000000" w:themeColor="text1"/>
          <w14:textFill>
            <w14:solidFill>
              <w14:schemeClr w14:val="tx1"/>
            </w14:solidFill>
          </w14:textFill>
        </w:rPr>
        <w:t>一年内到期的非流动资产的其他说明</w:t>
      </w:r>
    </w:p>
    <w:sdt>
      <w:sdtPr>
        <w:rPr>
          <w:color w:val="000000" w:themeColor="text1"/>
          <w14:textFill>
            <w14:solidFill>
              <w14:schemeClr w14:val="tx1"/>
            </w14:solidFill>
          </w14:textFill>
        </w:rPr>
        <w:alias w:val="一年内到期的非流动资产其他说明"/>
        <w:tag w:val="_GBC_218c0d81bbcc4458a19aa7e5806bac06"/>
        <w:id w:val="147467847"/>
        <w:placeholder>
          <w:docPart w:val="GBC22222222222222222222222222222"/>
        </w:placeholder>
      </w:sdtPr>
      <w:sdtEndPr>
        <w:rPr>
          <w:color w:val="000000" w:themeColor="text1"/>
          <w14:textFill>
            <w14:solidFill>
              <w14:schemeClr w14:val="tx1"/>
            </w14:solidFill>
          </w14:textFill>
        </w:rPr>
      </w:sdtEndPr>
      <w:sdtContent>
        <w:p w14:paraId="095F9917">
          <w:pPr>
            <w:ind w:right="21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44EF5304">
      <w:pPr>
        <w:ind w:right="210"/>
        <w:rPr>
          <w:color w:val="000000" w:themeColor="text1"/>
          <w14:textFill>
            <w14:solidFill>
              <w14:schemeClr w14:val="tx1"/>
            </w14:solidFill>
          </w14:textFill>
        </w:rPr>
      </w:pPr>
    </w:p>
    <w:bookmarkEnd w:id="263"/>
    <w:p w14:paraId="185206CE">
      <w:pPr>
        <w:ind w:right="210"/>
        <w:rPr>
          <w:color w:val="000000" w:themeColor="text1"/>
          <w14:textFill>
            <w14:solidFill>
              <w14:schemeClr w14:val="tx1"/>
            </w14:solidFill>
          </w14:textFill>
        </w:rPr>
      </w:pPr>
    </w:p>
    <w:bookmarkEnd w:id="262"/>
    <w:p w14:paraId="1BCD59AD">
      <w:pPr>
        <w:pStyle w:val="57"/>
        <w:numPr>
          <w:ilvl w:val="0"/>
          <w:numId w:val="54"/>
        </w:numPr>
        <w:rPr>
          <w:color w:val="000000" w:themeColor="text1"/>
          <w:szCs w:val="21"/>
          <w14:textFill>
            <w14:solidFill>
              <w14:schemeClr w14:val="tx1"/>
            </w14:solidFill>
          </w14:textFill>
        </w:rPr>
      </w:pPr>
      <w:bookmarkStart w:id="264" w:name="_Hlk10471163"/>
      <w:r>
        <w:rPr>
          <w:color w:val="000000" w:themeColor="text1"/>
          <w:szCs w:val="21"/>
          <w14:textFill>
            <w14:solidFill>
              <w14:schemeClr w14:val="tx1"/>
            </w14:solidFill>
          </w14:textFill>
        </w:rPr>
        <w:t>其他流动资产</w:t>
      </w:r>
    </w:p>
    <w:sdt>
      <w:sdtPr>
        <w:rPr>
          <w:color w:val="000000" w:themeColor="text1"/>
          <w14:textFill>
            <w14:solidFill>
              <w14:schemeClr w14:val="tx1"/>
            </w14:solidFill>
          </w14:textFill>
        </w:rPr>
        <w:alias w:val="是否适用：其他流动资产[双击切换]"/>
        <w:tag w:val="_GBC_7733d50365e24328b41020152f88028d"/>
        <w:id w:val="147453154"/>
        <w:placeholder>
          <w:docPart w:val="GBC22222222222222222222222222222"/>
        </w:placeholder>
      </w:sdtPr>
      <w:sdtEndPr>
        <w:rPr>
          <w:color w:val="000000" w:themeColor="text1"/>
          <w14:textFill>
            <w14:solidFill>
              <w14:schemeClr w14:val="tx1"/>
            </w14:solidFill>
          </w14:textFill>
        </w:rPr>
      </w:sdtEndPr>
      <w:sdtContent>
        <w:p w14:paraId="30A99AD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D6B269C">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其他流动资产"/>
          <w:tag w:val="_GBC_d0c62fc75d164678ad203d9ddb106538"/>
          <w:id w:val="1474586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其他流动资产"/>
          <w:tag w:val="_GBC_9196143d56d24a9ea7f7e31ce8a09024"/>
          <w:id w:val="1474617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7"/>
        <w:gridCol w:w="2917"/>
        <w:gridCol w:w="2845"/>
      </w:tblGrid>
      <w:tr w14:paraId="4D376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5bbfc7d41df4300abcae2e424cc6572"/>
            <w:id w:val="147481227"/>
          </w:sdtPr>
          <w:sdtContent>
            <w:tc>
              <w:tcPr>
                <w:tcW w:w="1816" w:type="pct"/>
                <w:vAlign w:val="center"/>
              </w:tcPr>
              <w:p w14:paraId="38C909FF">
                <w:pPr>
                  <w:jc w:val="center"/>
                  <w:rPr>
                    <w:color w:val="000000" w:themeColor="text1"/>
                    <w14:textFill>
                      <w14:solidFill>
                        <w14:schemeClr w14:val="tx1"/>
                      </w14:solidFill>
                    </w14:textFill>
                  </w:rPr>
                </w:pPr>
                <w:bookmarkStart w:id="265" w:name="_Hlk533421736"/>
                <w:r>
                  <w:rPr>
                    <w:rFonts w:hint="eastAsia"/>
                    <w:color w:val="000000" w:themeColor="text1"/>
                    <w14:textFill>
                      <w14:solidFill>
                        <w14:schemeClr w14:val="tx1"/>
                      </w14:solidFill>
                    </w14:textFill>
                  </w:rPr>
                  <w:t>项目</w:t>
                </w:r>
              </w:p>
            </w:tc>
          </w:sdtContent>
        </w:sdt>
        <w:sdt>
          <w:sdtPr>
            <w:tag w:val="_PLD_d2a222194eae4e958db2401139170ea2"/>
            <w:id w:val="147483201"/>
          </w:sdtPr>
          <w:sdtContent>
            <w:tc>
              <w:tcPr>
                <w:tcW w:w="1612" w:type="pct"/>
                <w:vAlign w:val="center"/>
              </w:tcPr>
              <w:p w14:paraId="03C1993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0f3815799e9d4216b9506517d8e9b90c"/>
            <w:id w:val="147462285"/>
          </w:sdtPr>
          <w:sdtContent>
            <w:tc>
              <w:tcPr>
                <w:tcW w:w="1572" w:type="pct"/>
                <w:vAlign w:val="center"/>
              </w:tcPr>
              <w:p w14:paraId="7C969C9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6CADF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vAlign w:val="center"/>
          </w:tcPr>
          <w:p w14:paraId="5BD93E1D">
            <w:pPr>
              <w:textAlignment w:val="center"/>
              <w:rPr>
                <w:color w:val="000000" w:themeColor="text1"/>
                <w14:textFill>
                  <w14:solidFill>
                    <w14:schemeClr w14:val="tx1"/>
                  </w14:solidFill>
                </w14:textFill>
              </w:rPr>
            </w:pPr>
            <w:r>
              <w:rPr>
                <w:rFonts w:hint="eastAsia" w:ascii="宋体" w:hAnsi="宋体"/>
                <w:color w:val="000000"/>
                <w:lang w:bidi="ar"/>
              </w:rPr>
              <w:t>增值税留抵税额</w:t>
            </w:r>
          </w:p>
        </w:tc>
        <w:tc>
          <w:tcPr>
            <w:tcW w:w="1612" w:type="pct"/>
            <w:vAlign w:val="center"/>
          </w:tcPr>
          <w:p w14:paraId="0DDAB322">
            <w:pPr>
              <w:jc w:val="right"/>
              <w:textAlignment w:val="center"/>
              <w:rPr>
                <w:rFonts w:cs="Times New Roman"/>
              </w:rPr>
            </w:pPr>
            <w:r>
              <w:rPr>
                <w:rFonts w:cs="Times New Roman"/>
                <w:color w:val="000000"/>
              </w:rPr>
              <w:t>272,857,689.28</w:t>
            </w:r>
          </w:p>
        </w:tc>
        <w:tc>
          <w:tcPr>
            <w:tcW w:w="1572" w:type="pct"/>
            <w:vAlign w:val="center"/>
          </w:tcPr>
          <w:p w14:paraId="093E9F5C">
            <w:pPr>
              <w:jc w:val="right"/>
              <w:textAlignment w:val="center"/>
              <w:rPr>
                <w:rFonts w:cs="Times New Roman"/>
              </w:rPr>
            </w:pPr>
            <w:r>
              <w:rPr>
                <w:rFonts w:cs="Times New Roman"/>
                <w:color w:val="000000"/>
              </w:rPr>
              <w:t>262,557,606.25</w:t>
            </w:r>
          </w:p>
        </w:tc>
      </w:tr>
      <w:tr w14:paraId="3DA6A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vAlign w:val="center"/>
          </w:tcPr>
          <w:p w14:paraId="54355925">
            <w:pPr>
              <w:textAlignment w:val="center"/>
              <w:rPr>
                <w:color w:val="000000" w:themeColor="text1"/>
                <w14:textFill>
                  <w14:solidFill>
                    <w14:schemeClr w14:val="tx1"/>
                  </w14:solidFill>
                </w14:textFill>
              </w:rPr>
            </w:pPr>
            <w:r>
              <w:rPr>
                <w:rFonts w:hint="eastAsia" w:ascii="宋体" w:hAnsi="宋体"/>
                <w:color w:val="000000"/>
                <w:lang w:bidi="ar"/>
              </w:rPr>
              <w:t>预缴税金</w:t>
            </w:r>
          </w:p>
        </w:tc>
        <w:tc>
          <w:tcPr>
            <w:tcW w:w="1612" w:type="pct"/>
            <w:vAlign w:val="center"/>
          </w:tcPr>
          <w:p w14:paraId="12E03CEC">
            <w:pPr>
              <w:jc w:val="right"/>
              <w:textAlignment w:val="center"/>
              <w:rPr>
                <w:rFonts w:cs="Times New Roman"/>
              </w:rPr>
            </w:pPr>
            <w:r>
              <w:rPr>
                <w:rFonts w:cs="Times New Roman"/>
                <w:color w:val="000000"/>
              </w:rPr>
              <w:t>44,022,398.91</w:t>
            </w:r>
          </w:p>
        </w:tc>
        <w:tc>
          <w:tcPr>
            <w:tcW w:w="1572" w:type="pct"/>
            <w:vAlign w:val="center"/>
          </w:tcPr>
          <w:p w14:paraId="34F95AD5">
            <w:pPr>
              <w:jc w:val="right"/>
              <w:textAlignment w:val="center"/>
              <w:rPr>
                <w:rFonts w:cs="Times New Roman"/>
              </w:rPr>
            </w:pPr>
            <w:r>
              <w:rPr>
                <w:rFonts w:cs="Times New Roman"/>
                <w:color w:val="000000"/>
              </w:rPr>
              <w:t>32,277,940.16</w:t>
            </w:r>
          </w:p>
        </w:tc>
      </w:tr>
      <w:tr w14:paraId="032D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vAlign w:val="center"/>
          </w:tcPr>
          <w:p w14:paraId="3CDF9296">
            <w:pPr>
              <w:snapToGrid w:val="0"/>
              <w:ind w:left="-107" w:leftChars="-5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612" w:type="pct"/>
            <w:vAlign w:val="center"/>
          </w:tcPr>
          <w:p w14:paraId="2696FAA9">
            <w:pPr>
              <w:jc w:val="right"/>
              <w:textAlignment w:val="center"/>
              <w:rPr>
                <w:rFonts w:cs="Times New Roman"/>
              </w:rPr>
            </w:pPr>
            <w:r>
              <w:rPr>
                <w:rFonts w:cs="Times New Roman"/>
                <w:color w:val="000000"/>
              </w:rPr>
              <w:t>316,880,088.19</w:t>
            </w:r>
          </w:p>
        </w:tc>
        <w:tc>
          <w:tcPr>
            <w:tcW w:w="1572" w:type="pct"/>
            <w:vAlign w:val="center"/>
          </w:tcPr>
          <w:p w14:paraId="37990E35">
            <w:pPr>
              <w:jc w:val="right"/>
              <w:textAlignment w:val="center"/>
              <w:rPr>
                <w:rFonts w:cs="Times New Roman"/>
              </w:rPr>
            </w:pPr>
            <w:r>
              <w:rPr>
                <w:rFonts w:cs="Times New Roman"/>
                <w:color w:val="000000"/>
              </w:rPr>
              <w:t>294,835,546.41</w:t>
            </w:r>
          </w:p>
        </w:tc>
      </w:tr>
      <w:bookmarkEnd w:id="265"/>
    </w:tbl>
    <w:p w14:paraId="7EA6C86F">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rFonts w:hint="eastAsia"/>
          <w:color w:val="000000" w:themeColor="text1"/>
          <w14:textFill>
            <w14:solidFill>
              <w14:schemeClr w14:val="tx1"/>
            </w14:solidFill>
          </w14:textFill>
        </w:rPr>
        <w:alias w:val="其他流动资产说明"/>
        <w:tag w:val="_GBC_7955e529151148f394eed0e26977270b"/>
        <w:id w:val="147481333"/>
        <w:placeholder>
          <w:docPart w:val="GBC22222222222222222222222222222"/>
        </w:placeholder>
      </w:sdtPr>
      <w:sdtEndPr>
        <w:rPr>
          <w:rFonts w:hint="eastAsia"/>
          <w:color w:val="000000" w:themeColor="text1"/>
          <w14:textFill>
            <w14:solidFill>
              <w14:schemeClr w14:val="tx1"/>
            </w14:solidFill>
          </w14:textFill>
        </w:rPr>
      </w:sdtEndPr>
      <w:sdtContent>
        <w:p w14:paraId="7621F674">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bookmarkEnd w:id="264"/>
    <w:p w14:paraId="3304499F">
      <w:pPr>
        <w:ind w:right="210"/>
        <w:rPr>
          <w:color w:val="000000" w:themeColor="text1"/>
          <w14:textFill>
            <w14:solidFill>
              <w14:schemeClr w14:val="tx1"/>
            </w14:solidFill>
          </w14:textFill>
        </w:rPr>
      </w:pPr>
    </w:p>
    <w:p w14:paraId="419FA345">
      <w:pPr>
        <w:pStyle w:val="57"/>
        <w:numPr>
          <w:ilvl w:val="0"/>
          <w:numId w:val="54"/>
        </w:numPr>
        <w:rPr>
          <w:color w:val="000000" w:themeColor="text1"/>
          <w:szCs w:val="21"/>
          <w14:textFill>
            <w14:solidFill>
              <w14:schemeClr w14:val="tx1"/>
            </w14:solidFill>
          </w14:textFill>
        </w:rPr>
      </w:pPr>
      <w:bookmarkStart w:id="266" w:name="_Hlk10471390"/>
      <w:r>
        <w:rPr>
          <w:color w:val="000000" w:themeColor="text1"/>
          <w:szCs w:val="21"/>
          <w14:textFill>
            <w14:solidFill>
              <w14:schemeClr w14:val="tx1"/>
            </w14:solidFill>
          </w14:textFill>
        </w:rPr>
        <w:t>债权投资</w:t>
      </w:r>
    </w:p>
    <w:p w14:paraId="7538F009">
      <w:pPr>
        <w:pStyle w:val="58"/>
        <w:numPr>
          <w:ilvl w:val="3"/>
          <w:numId w:val="64"/>
        </w:numPr>
        <w:ind w:left="426" w:hanging="42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债权投资情况</w:t>
      </w:r>
    </w:p>
    <w:sdt>
      <w:sdtPr>
        <w:rPr>
          <w:color w:val="000000" w:themeColor="text1"/>
          <w14:textFill>
            <w14:solidFill>
              <w14:schemeClr w14:val="tx1"/>
            </w14:solidFill>
          </w14:textFill>
        </w:rPr>
        <w:alias w:val="是否适用：以摊余成本计量的长期债权投资[双击切换]"/>
        <w:tag w:val="_GBC_22cb0188d98c4d37a97e0c6a9e34e10d"/>
        <w:id w:val="147465138"/>
        <w:placeholder>
          <w:docPart w:val="GBC22222222222222222222222222222"/>
        </w:placeholder>
      </w:sdtPr>
      <w:sdtEndPr>
        <w:rPr>
          <w:color w:val="000000" w:themeColor="text1"/>
          <w14:textFill>
            <w14:solidFill>
              <w14:schemeClr w14:val="tx1"/>
            </w14:solidFill>
          </w14:textFill>
        </w:rPr>
      </w:sdtEndPr>
      <w:sdtContent>
        <w:p w14:paraId="500F5BFE">
          <w:pPr>
            <w:ind w:right="21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6253D4F">
      <w:pPr>
        <w:ind w:right="210"/>
        <w:rPr>
          <w:color w:val="000000" w:themeColor="text1"/>
          <w14:textFill>
            <w14:solidFill>
              <w14:schemeClr w14:val="tx1"/>
            </w14:solidFill>
          </w14:textFill>
        </w:rPr>
      </w:pPr>
    </w:p>
    <w:bookmarkEnd w:id="266"/>
    <w:p w14:paraId="51A15745">
      <w:pPr>
        <w:rPr>
          <w:color w:val="000000" w:themeColor="text1"/>
          <w14:textFill>
            <w14:solidFill>
              <w14:schemeClr w14:val="tx1"/>
            </w14:solidFill>
          </w14:textFill>
        </w:rPr>
      </w:pPr>
      <w:bookmarkStart w:id="267" w:name="_Hlk153455457"/>
      <w:bookmarkStart w:id="268" w:name="_Hlk167892259"/>
      <w:r>
        <w:rPr>
          <w:rFonts w:hint="eastAsia"/>
          <w:color w:val="000000" w:themeColor="text1"/>
          <w14:textFill>
            <w14:solidFill>
              <w14:schemeClr w14:val="tx1"/>
            </w14:solidFill>
          </w14:textFill>
        </w:rPr>
        <w:t>债权投资减值准备本期变动情况</w:t>
      </w:r>
    </w:p>
    <w:sdt>
      <w:sdtPr>
        <w:rPr>
          <w:color w:val="000000" w:themeColor="text1"/>
          <w14:textFill>
            <w14:solidFill>
              <w14:schemeClr w14:val="tx1"/>
            </w14:solidFill>
          </w14:textFill>
        </w:rPr>
        <w:alias w:val="是否适用：减值准备本期变动情况[双击切换]"/>
        <w:tag w:val="_GBC_50b72791ac8a452f88456ab4da535bab"/>
        <w:id w:val="147463471"/>
        <w:placeholder>
          <w:docPart w:val="GBC22222222222222222222222222222"/>
        </w:placeholder>
      </w:sdtPr>
      <w:sdtEndPr>
        <w:rPr>
          <w:color w:val="000000" w:themeColor="text1"/>
          <w14:textFill>
            <w14:solidFill>
              <w14:schemeClr w14:val="tx1"/>
            </w14:solidFill>
          </w14:textFill>
        </w:rPr>
      </w:sdtEndPr>
      <w:sdtContent>
        <w:p w14:paraId="609B01C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FA01900">
      <w:pPr>
        <w:rPr>
          <w:color w:val="000000" w:themeColor="text1"/>
          <w14:textFill>
            <w14:solidFill>
              <w14:schemeClr w14:val="tx1"/>
            </w14:solidFill>
          </w14:textFill>
        </w:rPr>
      </w:pPr>
    </w:p>
    <w:bookmarkEnd w:id="267"/>
    <w:bookmarkEnd w:id="268"/>
    <w:p w14:paraId="5C9FB83F">
      <w:pPr>
        <w:pStyle w:val="58"/>
        <w:numPr>
          <w:ilvl w:val="3"/>
          <w:numId w:val="64"/>
        </w:numPr>
        <w:ind w:left="426" w:hanging="426"/>
        <w:rPr>
          <w:rFonts w:ascii="宋体" w:hAnsi="宋体"/>
          <w:color w:val="000000" w:themeColor="text1"/>
          <w14:textFill>
            <w14:solidFill>
              <w14:schemeClr w14:val="tx1"/>
            </w14:solidFill>
          </w14:textFill>
        </w:rPr>
      </w:pPr>
      <w:bookmarkStart w:id="269" w:name="_Hlk532994191"/>
      <w:bookmarkStart w:id="270" w:name="_Hlk167892342"/>
      <w:r>
        <w:rPr>
          <w:rFonts w:hint="eastAsia" w:ascii="宋体" w:hAnsi="宋体"/>
          <w:color w:val="000000" w:themeColor="text1"/>
          <w14:textFill>
            <w14:solidFill>
              <w14:schemeClr w14:val="tx1"/>
            </w14:solidFill>
          </w14:textFill>
        </w:rPr>
        <w:t>期末重要的债权投资</w:t>
      </w:r>
    </w:p>
    <w:sdt>
      <w:sdtPr>
        <w:rPr>
          <w:color w:val="000000" w:themeColor="text1"/>
          <w14:textFill>
            <w14:solidFill>
              <w14:schemeClr w14:val="tx1"/>
            </w14:solidFill>
          </w14:textFill>
        </w:rPr>
        <w:alias w:val="是否适用：重要的债权投资[双击切换]"/>
        <w:tag w:val="_GBC_dfd6ab7a86864614a29dc0fb3c650c26"/>
        <w:id w:val="147466225"/>
        <w:placeholder>
          <w:docPart w:val="GBC22222222222222222222222222222"/>
        </w:placeholder>
      </w:sdtPr>
      <w:sdtEndPr>
        <w:rPr>
          <w:color w:val="000000" w:themeColor="text1"/>
          <w14:textFill>
            <w14:solidFill>
              <w14:schemeClr w14:val="tx1"/>
            </w14:solidFill>
          </w14:textFill>
        </w:rPr>
      </w:sdtEndPr>
      <w:sdtContent>
        <w:p w14:paraId="51BAAB2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273FC95">
      <w:pPr>
        <w:rPr>
          <w:color w:val="000000" w:themeColor="text1"/>
          <w14:textFill>
            <w14:solidFill>
              <w14:schemeClr w14:val="tx1"/>
            </w14:solidFill>
          </w14:textFill>
        </w:rPr>
      </w:pPr>
    </w:p>
    <w:bookmarkEnd w:id="269"/>
    <w:bookmarkEnd w:id="270"/>
    <w:p w14:paraId="4A863B3D">
      <w:pPr>
        <w:pStyle w:val="58"/>
        <w:numPr>
          <w:ilvl w:val="3"/>
          <w:numId w:val="64"/>
        </w:numPr>
        <w:ind w:left="426" w:hanging="426"/>
        <w:rPr>
          <w:rFonts w:ascii="宋体" w:hAnsi="宋体"/>
          <w:color w:val="000000" w:themeColor="text1"/>
          <w14:textFill>
            <w14:solidFill>
              <w14:schemeClr w14:val="tx1"/>
            </w14:solidFill>
          </w14:textFill>
        </w:rPr>
      </w:pPr>
      <w:bookmarkStart w:id="271" w:name="_Hlk10471472"/>
      <w:bookmarkStart w:id="272" w:name="_Hlk10471485"/>
      <w:r>
        <w:rPr>
          <w:rFonts w:hint="eastAsia" w:ascii="宋体" w:hAnsi="宋体"/>
          <w:color w:val="000000" w:themeColor="text1"/>
          <w14:textFill>
            <w14:solidFill>
              <w14:schemeClr w14:val="tx1"/>
            </w14:solidFill>
          </w14:textFill>
        </w:rPr>
        <w:t>减值准备计提情况</w:t>
      </w:r>
      <w:bookmarkEnd w:id="271"/>
    </w:p>
    <w:sdt>
      <w:sdtPr>
        <w:rPr>
          <w:color w:val="000000" w:themeColor="text1"/>
          <w14:textFill>
            <w14:solidFill>
              <w14:schemeClr w14:val="tx1"/>
            </w14:solidFill>
          </w14:textFill>
        </w:rPr>
        <w:alias w:val="是否适用：债权投资减值准备调节表[双击切换]"/>
        <w:tag w:val="_GBC_415a5cd43ad14136b13ac09b150da06f"/>
        <w:id w:val="147460237"/>
        <w:placeholder>
          <w:docPart w:val="GBC22222222222222222222222222222"/>
        </w:placeholder>
      </w:sdtPr>
      <w:sdtEndPr>
        <w:rPr>
          <w:color w:val="000000" w:themeColor="text1"/>
          <w14:textFill>
            <w14:solidFill>
              <w14:schemeClr w14:val="tx1"/>
            </w14:solidFill>
          </w14:textFill>
        </w:rPr>
      </w:sdtEndPr>
      <w:sdtContent>
        <w:p w14:paraId="0C056C9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B38B5FA">
      <w:pPr>
        <w:rPr>
          <w:color w:val="000000" w:themeColor="text1"/>
          <w14:textFill>
            <w14:solidFill>
              <w14:schemeClr w14:val="tx1"/>
            </w14:solidFill>
          </w14:textFill>
        </w:rPr>
      </w:pPr>
    </w:p>
    <w:p w14:paraId="2FB1EFD0">
      <w:pPr>
        <w:rPr>
          <w:color w:val="000000" w:themeColor="text1"/>
          <w14:textFill>
            <w14:solidFill>
              <w14:schemeClr w14:val="tx1"/>
            </w14:solidFill>
          </w14:textFill>
        </w:rPr>
      </w:pPr>
      <w:r>
        <w:rPr>
          <w:rFonts w:hint="eastAsia"/>
          <w:color w:val="000000" w:themeColor="text1"/>
          <w14:textFill>
            <w14:solidFill>
              <w14:schemeClr w14:val="tx1"/>
            </w14:solidFill>
          </w14:textFill>
        </w:rPr>
        <w:t>各阶段划分依据和减值准备计提比例：</w:t>
      </w:r>
    </w:p>
    <w:sdt>
      <w:sdtPr>
        <w:rPr>
          <w:color w:val="000000" w:themeColor="text1"/>
          <w14:textFill>
            <w14:solidFill>
              <w14:schemeClr w14:val="tx1"/>
            </w14:solidFill>
          </w14:textFill>
        </w:rPr>
        <w:alias w:val="债权投资各阶段划分依据和减值准备计提比例"/>
        <w:tag w:val="_GBC_251143413a6c4bb19036ef59ee403126"/>
        <w:id w:val="147456149"/>
        <w:placeholder>
          <w:docPart w:val="GBC22222222222222222222222222222"/>
        </w:placeholder>
      </w:sdtPr>
      <w:sdtEndPr>
        <w:rPr>
          <w:color w:val="000000" w:themeColor="text1"/>
          <w14:textFill>
            <w14:solidFill>
              <w14:schemeClr w14:val="tx1"/>
            </w14:solidFill>
          </w14:textFill>
        </w:rPr>
      </w:sdtEndPr>
      <w:sdtContent>
        <w:p w14:paraId="52CCEB23">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0E185C19">
      <w:pPr>
        <w:rPr>
          <w:color w:val="000000" w:themeColor="text1"/>
          <w14:textFill>
            <w14:solidFill>
              <w14:schemeClr w14:val="tx1"/>
            </w14:solidFill>
          </w14:textFill>
        </w:rPr>
      </w:pPr>
    </w:p>
    <w:p w14:paraId="63488F3F">
      <w:pPr>
        <w:rPr>
          <w:color w:val="000000" w:themeColor="text1"/>
          <w14:textFill>
            <w14:solidFill>
              <w14:schemeClr w14:val="tx1"/>
            </w14:solidFill>
          </w14:textFill>
        </w:rPr>
      </w:pPr>
    </w:p>
    <w:p w14:paraId="301476F5">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对本期发生损失准备变动的债权投资账面余额显著变动的情况说明：</w:t>
      </w:r>
    </w:p>
    <w:sdt>
      <w:sdtPr>
        <w:rPr>
          <w:color w:val="000000" w:themeColor="text1"/>
          <w14:textFill>
            <w14:solidFill>
              <w14:schemeClr w14:val="tx1"/>
            </w14:solidFill>
          </w14:textFill>
        </w:rPr>
        <w:alias w:val="是否适用：债权投资本期发生损失准备变动且账面余额显著变动的情况说明[双击切换]"/>
        <w:tag w:val="_GBC_c6e31a7a389c493bad1d2f0f97023edf"/>
        <w:id w:val="147480311"/>
        <w:placeholder>
          <w:docPart w:val="GBC22222222222222222222222222222"/>
        </w:placeholder>
      </w:sdtPr>
      <w:sdtEndPr>
        <w:rPr>
          <w:color w:val="000000" w:themeColor="text1"/>
          <w14:textFill>
            <w14:solidFill>
              <w14:schemeClr w14:val="tx1"/>
            </w14:solidFill>
          </w14:textFill>
        </w:rPr>
      </w:sdtEndPr>
      <w:sdtContent>
        <w:p w14:paraId="1E9C3553">
          <w:pPr>
            <w:autoSpaceDE w:val="0"/>
            <w:autoSpaceDN w:val="0"/>
            <w:adjustRightInd w:val="0"/>
            <w:ind w:right="105" w:rightChars="5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B9E3A47">
      <w:pPr>
        <w:ind w:right="210"/>
        <w:rPr>
          <w:color w:val="000000" w:themeColor="text1"/>
          <w14:textFill>
            <w14:solidFill>
              <w14:schemeClr w14:val="tx1"/>
            </w14:solidFill>
          </w14:textFill>
        </w:rPr>
      </w:pPr>
    </w:p>
    <w:p w14:paraId="46459793">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本</w:t>
      </w:r>
      <w:r>
        <w:rPr>
          <w:color w:val="000000" w:themeColor="text1"/>
          <w14:textFill>
            <w14:solidFill>
              <w14:schemeClr w14:val="tx1"/>
            </w14:solidFill>
          </w14:textFill>
        </w:rPr>
        <w:t>期减</w:t>
      </w:r>
      <w:r>
        <w:rPr>
          <w:rFonts w:hint="eastAsia"/>
          <w:color w:val="000000" w:themeColor="text1"/>
          <w14:textFill>
            <w14:solidFill>
              <w14:schemeClr w14:val="tx1"/>
            </w14:solidFill>
          </w14:textFill>
        </w:rPr>
        <w:t>值</w:t>
      </w:r>
      <w:r>
        <w:rPr>
          <w:color w:val="000000" w:themeColor="text1"/>
          <w14:textFill>
            <w14:solidFill>
              <w14:schemeClr w14:val="tx1"/>
            </w14:solidFill>
          </w14:textFill>
        </w:rPr>
        <w:t>准备计提金额以及评估金融工具的</w:t>
      </w:r>
      <w:r>
        <w:rPr>
          <w:rFonts w:hint="eastAsia"/>
          <w:color w:val="000000" w:themeColor="text1"/>
          <w14:textFill>
            <w14:solidFill>
              <w14:schemeClr w14:val="tx1"/>
            </w14:solidFill>
          </w14:textFill>
        </w:rPr>
        <w:t>信用风险是否显著增加的采用依据：</w:t>
      </w:r>
    </w:p>
    <w:sdt>
      <w:sdtPr>
        <w:rPr>
          <w:color w:val="000000" w:themeColor="text1"/>
          <w14:textFill>
            <w14:solidFill>
              <w14:schemeClr w14:val="tx1"/>
            </w14:solidFill>
          </w14:textFill>
        </w:rPr>
        <w:alias w:val="是否适用：债权投资减值准备计提金额以及评估金融工具的信用风险显著增加的采用依据[双击切换]"/>
        <w:tag w:val="_GBC_9f2bcc7ec6104c84a1b0f948b57b7e7a"/>
        <w:id w:val="147452972"/>
        <w:placeholder>
          <w:docPart w:val="GBC22222222222222222222222222222"/>
        </w:placeholder>
      </w:sdtPr>
      <w:sdtEndPr>
        <w:rPr>
          <w:color w:val="000000" w:themeColor="text1"/>
          <w14:textFill>
            <w14:solidFill>
              <w14:schemeClr w14:val="tx1"/>
            </w14:solidFill>
          </w14:textFill>
        </w:rPr>
      </w:sdtEndPr>
      <w:sdtContent>
        <w:p w14:paraId="540544C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5786C85">
      <w:pPr>
        <w:ind w:right="210"/>
        <w:rPr>
          <w:color w:val="000000" w:themeColor="text1"/>
          <w14:textFill>
            <w14:solidFill>
              <w14:schemeClr w14:val="tx1"/>
            </w14:solidFill>
          </w14:textFill>
        </w:rPr>
      </w:pPr>
    </w:p>
    <w:bookmarkEnd w:id="272"/>
    <w:p w14:paraId="28FA90D7">
      <w:pPr>
        <w:pStyle w:val="58"/>
        <w:numPr>
          <w:ilvl w:val="3"/>
          <w:numId w:val="64"/>
        </w:numPr>
        <w:ind w:left="426" w:hanging="426"/>
        <w:rPr>
          <w:rFonts w:ascii="宋体" w:hAnsi="宋体"/>
          <w:color w:val="000000" w:themeColor="text1"/>
          <w14:textFill>
            <w14:solidFill>
              <w14:schemeClr w14:val="tx1"/>
            </w14:solidFill>
          </w14:textFill>
        </w:rPr>
      </w:pPr>
      <w:bookmarkStart w:id="273" w:name="_Hlk167892558"/>
      <w:bookmarkStart w:id="274" w:name="_Hlk153455555"/>
      <w:r>
        <w:rPr>
          <w:rFonts w:hint="eastAsia" w:ascii="宋体" w:hAnsi="宋体"/>
          <w:color w:val="000000" w:themeColor="text1"/>
          <w14:textFill>
            <w14:solidFill>
              <w14:schemeClr w14:val="tx1"/>
            </w14:solidFill>
          </w14:textFill>
        </w:rPr>
        <w:t>本期实际的核销债权投资情况</w:t>
      </w:r>
    </w:p>
    <w:sdt>
      <w:sdtPr>
        <w:rPr>
          <w:color w:val="000000" w:themeColor="text1"/>
          <w14:textFill>
            <w14:solidFill>
              <w14:schemeClr w14:val="tx1"/>
            </w14:solidFill>
          </w14:textFill>
        </w:rPr>
        <w:alias w:val="是否适用：实际核销的情况[双击切换]"/>
        <w:tag w:val="_GBC_3afef6300d7c49d48b6294a7214810bd"/>
        <w:id w:val="147468305"/>
        <w:placeholder>
          <w:docPart w:val="GBC22222222222222222222222222222"/>
        </w:placeholder>
      </w:sdtPr>
      <w:sdtEndPr>
        <w:rPr>
          <w:color w:val="000000" w:themeColor="text1"/>
          <w14:textFill>
            <w14:solidFill>
              <w14:schemeClr w14:val="tx1"/>
            </w14:solidFill>
          </w14:textFill>
        </w:rPr>
      </w:sdtEndPr>
      <w:sdtContent>
        <w:p w14:paraId="52B988E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CFC2DFE">
      <w:pPr>
        <w:rPr>
          <w:color w:val="000000" w:themeColor="text1"/>
          <w14:textFill>
            <w14:solidFill>
              <w14:schemeClr w14:val="tx1"/>
            </w14:solidFill>
          </w14:textFill>
        </w:rPr>
      </w:pPr>
    </w:p>
    <w:p w14:paraId="616AEF45">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其中重要的债权投资</w:t>
      </w:r>
      <w:r>
        <w:rPr>
          <w:color w:val="000000" w:themeColor="text1"/>
          <w14:textFill>
            <w14:solidFill>
              <w14:schemeClr w14:val="tx1"/>
            </w14:solidFill>
          </w14:textFill>
        </w:rPr>
        <w:t>情况</w:t>
      </w:r>
      <w:r>
        <w:rPr>
          <w:rFonts w:hint="eastAsia"/>
          <w:color w:val="000000" w:themeColor="text1"/>
          <w14:textFill>
            <w14:solidFill>
              <w14:schemeClr w14:val="tx1"/>
            </w14:solidFill>
          </w14:textFill>
        </w:rPr>
        <w:t>核销情况</w:t>
      </w:r>
    </w:p>
    <w:sdt>
      <w:sdtPr>
        <w:rPr>
          <w:rFonts w:hint="eastAsia"/>
          <w:color w:val="000000" w:themeColor="text1"/>
          <w14:textFill>
            <w14:solidFill>
              <w14:schemeClr w14:val="tx1"/>
            </w14:solidFill>
          </w14:textFill>
        </w:rPr>
        <w:alias w:val="是否适用：重要的核销情况[双击切换]"/>
        <w:tag w:val="_GBC_dc0725e00c1d479dba02255be6332ac6"/>
        <w:id w:val="147465257"/>
        <w:placeholder>
          <w:docPart w:val="GBC22222222222222222222222222222"/>
        </w:placeholder>
      </w:sdtPr>
      <w:sdtEndPr>
        <w:rPr>
          <w:rFonts w:hint="eastAsia"/>
          <w:color w:val="000000" w:themeColor="text1"/>
          <w14:textFill>
            <w14:solidFill>
              <w14:schemeClr w14:val="tx1"/>
            </w14:solidFill>
          </w14:textFill>
        </w:rPr>
      </w:sdtEndPr>
      <w:sdtContent>
        <w:p w14:paraId="7E2F03E2">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2619CA0">
      <w:pPr>
        <w:snapToGrid w:val="0"/>
        <w:spacing w:line="240" w:lineRule="atLeast"/>
        <w:rPr>
          <w:color w:val="000000" w:themeColor="text1"/>
          <w14:textFill>
            <w14:solidFill>
              <w14:schemeClr w14:val="tx1"/>
            </w14:solidFill>
          </w14:textFill>
        </w:rPr>
      </w:pPr>
    </w:p>
    <w:p w14:paraId="0A0704A2">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债权投资的核销说明：</w:t>
      </w:r>
    </w:p>
    <w:sdt>
      <w:sdtPr>
        <w:rPr>
          <w:color w:val="000000" w:themeColor="text1"/>
          <w14:textFill>
            <w14:solidFill>
              <w14:schemeClr w14:val="tx1"/>
            </w14:solidFill>
          </w14:textFill>
        </w:rPr>
        <w:alias w:val="是否适用：核销说明[双击切换]"/>
        <w:tag w:val="_GBC_de5ab370e646496a8820f55eaf66a319"/>
        <w:id w:val="147472790"/>
        <w:placeholder>
          <w:docPart w:val="GBC22222222222222222222222222222"/>
        </w:placeholder>
      </w:sdtPr>
      <w:sdtEndPr>
        <w:rPr>
          <w:color w:val="000000" w:themeColor="text1"/>
          <w14:textFill>
            <w14:solidFill>
              <w14:schemeClr w14:val="tx1"/>
            </w14:solidFill>
          </w14:textFill>
        </w:rPr>
      </w:sdtEndPr>
      <w:sdtContent>
        <w:p w14:paraId="68D41F0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890424E">
      <w:pPr>
        <w:rPr>
          <w:color w:val="000000" w:themeColor="text1"/>
          <w14:textFill>
            <w14:solidFill>
              <w14:schemeClr w14:val="tx1"/>
            </w14:solidFill>
          </w14:textFill>
        </w:rPr>
      </w:pPr>
    </w:p>
    <w:bookmarkEnd w:id="273"/>
    <w:bookmarkEnd w:id="274"/>
    <w:p w14:paraId="73372C4E">
      <w:pPr>
        <w:ind w:right="210"/>
        <w:rPr>
          <w:color w:val="000000" w:themeColor="text1"/>
          <w14:textFill>
            <w14:solidFill>
              <w14:schemeClr w14:val="tx1"/>
            </w14:solidFill>
          </w14:textFill>
        </w:rPr>
      </w:pPr>
      <w:bookmarkStart w:id="275" w:name="_Hlk167892487"/>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债权投资其他说明"/>
        <w:tag w:val="_GBC_28b21821551847bca67b7c6c2e134e89"/>
        <w:id w:val="147482880"/>
        <w:placeholder>
          <w:docPart w:val="GBC22222222222222222222222222222"/>
        </w:placeholder>
      </w:sdtPr>
      <w:sdtEndPr>
        <w:rPr>
          <w:color w:val="000000" w:themeColor="text1"/>
          <w14:textFill>
            <w14:solidFill>
              <w14:schemeClr w14:val="tx1"/>
            </w14:solidFill>
          </w14:textFill>
        </w:rPr>
      </w:sdtEndPr>
      <w:sdtContent>
        <w:p w14:paraId="7C4AEADA">
          <w:pPr>
            <w:ind w:right="21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3F27D5BD">
      <w:pPr>
        <w:ind w:right="210"/>
        <w:rPr>
          <w:color w:val="000000" w:themeColor="text1"/>
          <w14:textFill>
            <w14:solidFill>
              <w14:schemeClr w14:val="tx1"/>
            </w14:solidFill>
          </w14:textFill>
        </w:rPr>
      </w:pPr>
    </w:p>
    <w:bookmarkEnd w:id="275"/>
    <w:p w14:paraId="75FB954F">
      <w:pPr>
        <w:pStyle w:val="57"/>
        <w:numPr>
          <w:ilvl w:val="0"/>
          <w:numId w:val="54"/>
        </w:numPr>
        <w:rPr>
          <w:color w:val="000000" w:themeColor="text1"/>
          <w:szCs w:val="21"/>
          <w14:textFill>
            <w14:solidFill>
              <w14:schemeClr w14:val="tx1"/>
            </w14:solidFill>
          </w14:textFill>
        </w:rPr>
      </w:pPr>
      <w:bookmarkStart w:id="276" w:name="_Hlk167892682"/>
      <w:r>
        <w:rPr>
          <w:color w:val="000000" w:themeColor="text1"/>
          <w:szCs w:val="21"/>
          <w14:textFill>
            <w14:solidFill>
              <w14:schemeClr w14:val="tx1"/>
            </w14:solidFill>
          </w14:textFill>
        </w:rPr>
        <w:t>其他债权投资</w:t>
      </w:r>
    </w:p>
    <w:p w14:paraId="005A577E">
      <w:pPr>
        <w:pStyle w:val="58"/>
        <w:numPr>
          <w:ilvl w:val="3"/>
          <w:numId w:val="65"/>
        </w:numPr>
        <w:ind w:left="426" w:hanging="426"/>
        <w:rPr>
          <w:color w:val="000000" w:themeColor="text1"/>
          <w14:textFill>
            <w14:solidFill>
              <w14:schemeClr w14:val="tx1"/>
            </w14:solidFill>
          </w14:textFill>
        </w:rPr>
      </w:pPr>
      <w:r>
        <w:rPr>
          <w:rFonts w:hint="eastAsia"/>
          <w:color w:val="000000" w:themeColor="text1"/>
          <w14:textFill>
            <w14:solidFill>
              <w14:schemeClr w14:val="tx1"/>
            </w14:solidFill>
          </w14:textFill>
        </w:rPr>
        <w:t>其他债权投资情况</w:t>
      </w:r>
    </w:p>
    <w:sdt>
      <w:sdtPr>
        <w:rPr>
          <w:color w:val="000000" w:themeColor="text1"/>
          <w14:textFill>
            <w14:solidFill>
              <w14:schemeClr w14:val="tx1"/>
            </w14:solidFill>
          </w14:textFill>
        </w:rPr>
        <w:alias w:val="是否适用：其他债权投资情况[双击切换]"/>
        <w:tag w:val="_GBC_92529f98ed0049e0b197213d2c9b7d0a"/>
        <w:id w:val="147470381"/>
        <w:placeholder>
          <w:docPart w:val="GBC22222222222222222222222222222"/>
        </w:placeholder>
      </w:sdtPr>
      <w:sdtEndPr>
        <w:rPr>
          <w:color w:val="000000" w:themeColor="text1"/>
          <w14:textFill>
            <w14:solidFill>
              <w14:schemeClr w14:val="tx1"/>
            </w14:solidFill>
          </w14:textFill>
        </w:rPr>
      </w:sdtEndPr>
      <w:sdtContent>
        <w:p w14:paraId="6BF5E710">
          <w:pPr>
            <w:ind w:right="21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C087E9C">
      <w:pPr>
        <w:ind w:right="210"/>
        <w:rPr>
          <w:color w:val="000000" w:themeColor="text1"/>
          <w14:textFill>
            <w14:solidFill>
              <w14:schemeClr w14:val="tx1"/>
            </w14:solidFill>
          </w14:textFill>
        </w:rPr>
      </w:pPr>
    </w:p>
    <w:p w14:paraId="0ED1975D">
      <w:pPr>
        <w:rPr>
          <w:color w:val="000000" w:themeColor="text1"/>
          <w14:textFill>
            <w14:solidFill>
              <w14:schemeClr w14:val="tx1"/>
            </w14:solidFill>
          </w14:textFill>
        </w:rPr>
      </w:pPr>
      <w:bookmarkStart w:id="277" w:name="_Hlk153455695"/>
      <w:r>
        <w:rPr>
          <w:rFonts w:hint="eastAsia"/>
          <w:color w:val="000000" w:themeColor="text1"/>
          <w14:textFill>
            <w14:solidFill>
              <w14:schemeClr w14:val="tx1"/>
            </w14:solidFill>
          </w14:textFill>
        </w:rPr>
        <w:t>其他债权投资减值准备本期变动情况</w:t>
      </w:r>
    </w:p>
    <w:sdt>
      <w:sdtPr>
        <w:rPr>
          <w:color w:val="000000" w:themeColor="text1"/>
          <w14:textFill>
            <w14:solidFill>
              <w14:schemeClr w14:val="tx1"/>
            </w14:solidFill>
          </w14:textFill>
        </w:rPr>
        <w:alias w:val="是否适用：减值准备本期变动情况[双击切换]"/>
        <w:tag w:val="_GBC_b9701012584a4eb3946302a1880256f3"/>
        <w:id w:val="147470348"/>
        <w:placeholder>
          <w:docPart w:val="GBC22222222222222222222222222222"/>
        </w:placeholder>
      </w:sdtPr>
      <w:sdtEndPr>
        <w:rPr>
          <w:color w:val="000000" w:themeColor="text1"/>
          <w14:textFill>
            <w14:solidFill>
              <w14:schemeClr w14:val="tx1"/>
            </w14:solidFill>
          </w14:textFill>
        </w:rPr>
      </w:sdtEndPr>
      <w:sdtContent>
        <w:p w14:paraId="6594A4D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276"/>
    <w:bookmarkEnd w:id="277"/>
    <w:p w14:paraId="7E1EC3B7">
      <w:pPr>
        <w:rPr>
          <w:color w:val="000000" w:themeColor="text1"/>
          <w14:textFill>
            <w14:solidFill>
              <w14:schemeClr w14:val="tx1"/>
            </w14:solidFill>
          </w14:textFill>
        </w:rPr>
      </w:pPr>
    </w:p>
    <w:p w14:paraId="0463B335">
      <w:pPr>
        <w:pStyle w:val="58"/>
        <w:numPr>
          <w:ilvl w:val="3"/>
          <w:numId w:val="65"/>
        </w:numPr>
        <w:ind w:left="426" w:hanging="426"/>
        <w:rPr>
          <w:color w:val="000000" w:themeColor="text1"/>
          <w14:textFill>
            <w14:solidFill>
              <w14:schemeClr w14:val="tx1"/>
            </w14:solidFill>
          </w14:textFill>
        </w:rPr>
      </w:pPr>
      <w:bookmarkStart w:id="278" w:name="_Hlk167892795"/>
      <w:bookmarkStart w:id="279" w:name="_Hlk533848078"/>
      <w:r>
        <w:rPr>
          <w:rFonts w:hint="eastAsia"/>
          <w:color w:val="000000" w:themeColor="text1"/>
          <w14:textFill>
            <w14:solidFill>
              <w14:schemeClr w14:val="tx1"/>
            </w14:solidFill>
          </w14:textFill>
        </w:rPr>
        <w:t>期末重要的其他债权投资</w:t>
      </w:r>
    </w:p>
    <w:sdt>
      <w:sdtPr>
        <w:rPr>
          <w:color w:val="000000" w:themeColor="text1"/>
          <w14:textFill>
            <w14:solidFill>
              <w14:schemeClr w14:val="tx1"/>
            </w14:solidFill>
          </w14:textFill>
        </w:rPr>
        <w:alias w:val="是否适用：重要的其他债权投资[双击切换]"/>
        <w:tag w:val="_GBC_00805fa375c74d288e1bd8def75cea7f"/>
        <w:id w:val="147472829"/>
        <w:placeholder>
          <w:docPart w:val="GBC22222222222222222222222222222"/>
        </w:placeholder>
      </w:sdtPr>
      <w:sdtEndPr>
        <w:rPr>
          <w:color w:val="000000" w:themeColor="text1"/>
          <w14:textFill>
            <w14:solidFill>
              <w14:schemeClr w14:val="tx1"/>
            </w14:solidFill>
          </w14:textFill>
        </w:rPr>
      </w:sdtEndPr>
      <w:sdtContent>
        <w:p w14:paraId="5B380E18">
          <w:pPr>
            <w:ind w:right="21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D038C88">
      <w:pPr>
        <w:ind w:right="210"/>
        <w:rPr>
          <w:color w:val="000000" w:themeColor="text1"/>
          <w14:textFill>
            <w14:solidFill>
              <w14:schemeClr w14:val="tx1"/>
            </w14:solidFill>
          </w14:textFill>
        </w:rPr>
      </w:pPr>
    </w:p>
    <w:bookmarkEnd w:id="278"/>
    <w:bookmarkEnd w:id="279"/>
    <w:p w14:paraId="0B908ECD">
      <w:pPr>
        <w:pStyle w:val="58"/>
        <w:numPr>
          <w:ilvl w:val="3"/>
          <w:numId w:val="65"/>
        </w:numPr>
        <w:ind w:left="426" w:hanging="426"/>
        <w:rPr>
          <w:color w:val="000000" w:themeColor="text1"/>
          <w14:textFill>
            <w14:solidFill>
              <w14:schemeClr w14:val="tx1"/>
            </w14:solidFill>
          </w14:textFill>
        </w:rPr>
      </w:pPr>
      <w:bookmarkStart w:id="280" w:name="_Hlk10471703"/>
      <w:bookmarkStart w:id="281" w:name="_Hlk10471716"/>
      <w:r>
        <w:rPr>
          <w:rFonts w:hint="eastAsia"/>
          <w:color w:val="000000" w:themeColor="text1"/>
          <w14:textFill>
            <w14:solidFill>
              <w14:schemeClr w14:val="tx1"/>
            </w14:solidFill>
          </w14:textFill>
        </w:rPr>
        <w:t>减值准备计提情况</w:t>
      </w:r>
      <w:bookmarkEnd w:id="280"/>
    </w:p>
    <w:sdt>
      <w:sdtPr>
        <w:rPr>
          <w:color w:val="000000" w:themeColor="text1"/>
          <w14:textFill>
            <w14:solidFill>
              <w14:schemeClr w14:val="tx1"/>
            </w14:solidFill>
          </w14:textFill>
        </w:rPr>
        <w:alias w:val="是否适用：其他债权投资减值准备调节表[双击切换]"/>
        <w:tag w:val="_GBC_038e4a0a4815442e91a9309c128001c1"/>
        <w:id w:val="147469259"/>
        <w:placeholder>
          <w:docPart w:val="GBC22222222222222222222222222222"/>
        </w:placeholder>
      </w:sdtPr>
      <w:sdtEndPr>
        <w:rPr>
          <w:color w:val="000000" w:themeColor="text1"/>
          <w14:textFill>
            <w14:solidFill>
              <w14:schemeClr w14:val="tx1"/>
            </w14:solidFill>
          </w14:textFill>
        </w:rPr>
      </w:sdtEndPr>
      <w:sdtContent>
        <w:p w14:paraId="7919BE61">
          <w:pPr>
            <w:ind w:right="21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8897F8C">
      <w:pPr>
        <w:rPr>
          <w:color w:val="000000" w:themeColor="text1"/>
          <w14:textFill>
            <w14:solidFill>
              <w14:schemeClr w14:val="tx1"/>
            </w14:solidFill>
          </w14:textFill>
        </w:rPr>
      </w:pPr>
      <w:bookmarkStart w:id="282" w:name="_Hlk533848073"/>
    </w:p>
    <w:bookmarkEnd w:id="281"/>
    <w:bookmarkEnd w:id="282"/>
    <w:p w14:paraId="11E33069">
      <w:pPr>
        <w:pStyle w:val="58"/>
        <w:numPr>
          <w:ilvl w:val="3"/>
          <w:numId w:val="65"/>
        </w:numPr>
        <w:ind w:left="426" w:hanging="426"/>
        <w:rPr>
          <w:color w:val="000000" w:themeColor="text1"/>
          <w14:textFill>
            <w14:solidFill>
              <w14:schemeClr w14:val="tx1"/>
            </w14:solidFill>
          </w14:textFill>
        </w:rPr>
      </w:pPr>
      <w:bookmarkStart w:id="283" w:name="_Hlk167892961"/>
      <w:bookmarkStart w:id="284" w:name="_Hlk153456989"/>
      <w:r>
        <w:rPr>
          <w:rFonts w:hint="eastAsia"/>
          <w:color w:val="000000" w:themeColor="text1"/>
          <w14:textFill>
            <w14:solidFill>
              <w14:schemeClr w14:val="tx1"/>
            </w14:solidFill>
          </w14:textFill>
        </w:rPr>
        <w:t>本期实际核销的其他债权投资情况</w:t>
      </w:r>
    </w:p>
    <w:sdt>
      <w:sdtPr>
        <w:rPr>
          <w:color w:val="000000" w:themeColor="text1"/>
          <w14:textFill>
            <w14:solidFill>
              <w14:schemeClr w14:val="tx1"/>
            </w14:solidFill>
          </w14:textFill>
        </w:rPr>
        <w:alias w:val="是否适用：实际核销的情况[双击切换]"/>
        <w:tag w:val="_GBC_3f64bf41b4334743becf2e82476d4bae"/>
        <w:id w:val="147451662"/>
        <w:placeholder>
          <w:docPart w:val="GBC22222222222222222222222222222"/>
        </w:placeholder>
      </w:sdtPr>
      <w:sdtEndPr>
        <w:rPr>
          <w:color w:val="000000" w:themeColor="text1"/>
          <w14:textFill>
            <w14:solidFill>
              <w14:schemeClr w14:val="tx1"/>
            </w14:solidFill>
          </w14:textFill>
        </w:rPr>
      </w:sdtEndPr>
      <w:sdtContent>
        <w:p w14:paraId="57B02D3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8155C5F">
      <w:pPr>
        <w:rPr>
          <w:color w:val="000000" w:themeColor="text1"/>
          <w14:textFill>
            <w14:solidFill>
              <w14:schemeClr w14:val="tx1"/>
            </w14:solidFill>
          </w14:textFill>
        </w:rPr>
      </w:pPr>
    </w:p>
    <w:p w14:paraId="239CE8A7">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其中重要的其他债权投资</w:t>
      </w:r>
      <w:r>
        <w:rPr>
          <w:color w:val="000000" w:themeColor="text1"/>
          <w14:textFill>
            <w14:solidFill>
              <w14:schemeClr w14:val="tx1"/>
            </w14:solidFill>
          </w14:textFill>
        </w:rPr>
        <w:t>情况</w:t>
      </w:r>
      <w:r>
        <w:rPr>
          <w:rFonts w:hint="eastAsia"/>
          <w:color w:val="000000" w:themeColor="text1"/>
          <w14:textFill>
            <w14:solidFill>
              <w14:schemeClr w14:val="tx1"/>
            </w14:solidFill>
          </w14:textFill>
        </w:rPr>
        <w:t>核销情况</w:t>
      </w:r>
    </w:p>
    <w:sdt>
      <w:sdtPr>
        <w:rPr>
          <w:rFonts w:hint="eastAsia"/>
          <w:color w:val="000000" w:themeColor="text1"/>
          <w14:textFill>
            <w14:solidFill>
              <w14:schemeClr w14:val="tx1"/>
            </w14:solidFill>
          </w14:textFill>
        </w:rPr>
        <w:alias w:val="是否适用：重要的核销情况[双击切换]"/>
        <w:tag w:val="_GBC_c6a24c878fc2452199cbce9e12babe90"/>
        <w:id w:val="147459218"/>
        <w:placeholder>
          <w:docPart w:val="GBC22222222222222222222222222222"/>
        </w:placeholder>
      </w:sdtPr>
      <w:sdtEndPr>
        <w:rPr>
          <w:rFonts w:hint="eastAsia"/>
          <w:color w:val="000000" w:themeColor="text1"/>
          <w14:textFill>
            <w14:solidFill>
              <w14:schemeClr w14:val="tx1"/>
            </w14:solidFill>
          </w14:textFill>
        </w:rPr>
      </w:sdtEndPr>
      <w:sdtContent>
        <w:p w14:paraId="490E97D2">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49A9EBC">
      <w:pPr>
        <w:snapToGrid w:val="0"/>
        <w:spacing w:line="240" w:lineRule="atLeast"/>
        <w:rPr>
          <w:color w:val="000000" w:themeColor="text1"/>
          <w14:textFill>
            <w14:solidFill>
              <w14:schemeClr w14:val="tx1"/>
            </w14:solidFill>
          </w14:textFill>
        </w:rPr>
      </w:pPr>
    </w:p>
    <w:p w14:paraId="7F53DCC2">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其他债权投资的核销说明：</w:t>
      </w:r>
    </w:p>
    <w:sdt>
      <w:sdtPr>
        <w:rPr>
          <w:color w:val="000000" w:themeColor="text1"/>
          <w14:textFill>
            <w14:solidFill>
              <w14:schemeClr w14:val="tx1"/>
            </w14:solidFill>
          </w14:textFill>
        </w:rPr>
        <w:alias w:val="是否适用：核销说明[双击切换]"/>
        <w:tag w:val="_GBC_53efb454d66a4a18836780c1e0d7b273"/>
        <w:id w:val="147454832"/>
        <w:placeholder>
          <w:docPart w:val="GBC22222222222222222222222222222"/>
        </w:placeholder>
      </w:sdtPr>
      <w:sdtEndPr>
        <w:rPr>
          <w:color w:val="000000" w:themeColor="text1"/>
          <w14:textFill>
            <w14:solidFill>
              <w14:schemeClr w14:val="tx1"/>
            </w14:solidFill>
          </w14:textFill>
        </w:rPr>
      </w:sdtEndPr>
      <w:sdtContent>
        <w:p w14:paraId="0683267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4E74326">
      <w:pPr>
        <w:rPr>
          <w:color w:val="000000" w:themeColor="text1"/>
          <w14:textFill>
            <w14:solidFill>
              <w14:schemeClr w14:val="tx1"/>
            </w14:solidFill>
          </w14:textFill>
        </w:rPr>
      </w:pPr>
    </w:p>
    <w:bookmarkEnd w:id="283"/>
    <w:bookmarkEnd w:id="284"/>
    <w:p w14:paraId="093FA166">
      <w:pPr>
        <w:rPr>
          <w:color w:val="000000" w:themeColor="text1"/>
          <w14:textFill>
            <w14:solidFill>
              <w14:schemeClr w14:val="tx1"/>
            </w14:solidFill>
          </w14:textFill>
        </w:rPr>
      </w:pPr>
      <w:bookmarkStart w:id="285" w:name="_Hlk533848097"/>
      <w:bookmarkStart w:id="286" w:name="_Hlk10471761"/>
      <w:r>
        <w:rPr>
          <w:rFonts w:hint="eastAsia"/>
          <w:color w:val="000000" w:themeColor="text1"/>
          <w14:textFill>
            <w14:solidFill>
              <w14:schemeClr w14:val="tx1"/>
            </w14:solidFill>
          </w14:textFill>
        </w:rPr>
        <w:t>其他说明：</w:t>
      </w:r>
      <w:bookmarkEnd w:id="285"/>
    </w:p>
    <w:sdt>
      <w:sdtPr>
        <w:rPr>
          <w:color w:val="000000" w:themeColor="text1"/>
          <w14:textFill>
            <w14:solidFill>
              <w14:schemeClr w14:val="tx1"/>
            </w14:solidFill>
          </w14:textFill>
        </w:rPr>
        <w:alias w:val="是否适用：其他债权投资其他说明[双击切换]"/>
        <w:tag w:val="_GBC_e37f3e78626b4cd0ad52d68ae2fcdecb"/>
        <w:id w:val="147454124"/>
        <w:placeholder>
          <w:docPart w:val="GBC22222222222222222222222222222"/>
        </w:placeholder>
      </w:sdtPr>
      <w:sdtEndPr>
        <w:rPr>
          <w:color w:val="000000" w:themeColor="text1"/>
          <w14:textFill>
            <w14:solidFill>
              <w14:schemeClr w14:val="tx1"/>
            </w14:solidFill>
          </w14:textFill>
        </w:rPr>
      </w:sdtEndPr>
      <w:sdtContent>
        <w:p w14:paraId="4D3C3FF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286"/>
    <w:p w14:paraId="5D351192">
      <w:pPr>
        <w:rPr>
          <w:color w:val="000000" w:themeColor="text1"/>
          <w14:textFill>
            <w14:solidFill>
              <w14:schemeClr w14:val="tx1"/>
            </w14:solidFill>
          </w14:textFill>
        </w:rPr>
        <w:sectPr>
          <w:pgSz w:w="11906" w:h="16838"/>
          <w:pgMar w:top="1525" w:right="1276" w:bottom="1440" w:left="1797" w:header="856" w:footer="992" w:gutter="0"/>
          <w:cols w:space="425" w:num="1"/>
          <w:docGrid w:linePitch="312" w:charSpace="0"/>
        </w:sectPr>
      </w:pPr>
    </w:p>
    <w:p w14:paraId="55B276AD">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长期应收款</w:t>
      </w:r>
    </w:p>
    <w:p w14:paraId="68F746A2">
      <w:pPr>
        <w:pStyle w:val="58"/>
        <w:numPr>
          <w:ilvl w:val="0"/>
          <w:numId w:val="6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长期应收款情况</w:t>
      </w:r>
    </w:p>
    <w:sdt>
      <w:sdtPr>
        <w:rPr>
          <w:color w:val="000000" w:themeColor="text1"/>
          <w14:textFill>
            <w14:solidFill>
              <w14:schemeClr w14:val="tx1"/>
            </w14:solidFill>
          </w14:textFill>
        </w:rPr>
        <w:alias w:val="是否适用：长期应收款情况[双击切换]"/>
        <w:tag w:val="_GBC_03ba5a75d6d541f4a60fba2b18c9d548"/>
        <w:id w:val="289012557"/>
      </w:sdtPr>
      <w:sdtEndPr>
        <w:rPr>
          <w:color w:val="000000" w:themeColor="text1"/>
          <w14:textFill>
            <w14:solidFill>
              <w14:schemeClr w14:val="tx1"/>
            </w14:solidFill>
          </w14:textFill>
        </w:rPr>
      </w:sdtEndPr>
      <w:sdtContent>
        <w:p w14:paraId="234D2CF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6048D78B">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长期应收款"/>
          <w:tag w:val="_GBC_95baf3ea634a4a60970b09906c240d55"/>
          <w:id w:val="550888440"/>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长期应收款"/>
          <w:tag w:val="_GBC_fe21d7e81e5548d09e30637bd81155e1"/>
          <w:id w:val="40666033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1776"/>
        <w:gridCol w:w="1742"/>
        <w:gridCol w:w="1730"/>
        <w:gridCol w:w="1736"/>
        <w:gridCol w:w="1742"/>
        <w:gridCol w:w="1784"/>
      </w:tblGrid>
      <w:tr w14:paraId="78899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e80648375054a09a15bfc6f9a7fb093"/>
            <w:id w:val="508950588"/>
          </w:sdtPr>
          <w:sdtContent>
            <w:tc>
              <w:tcPr>
                <w:tcW w:w="1269" w:type="pct"/>
                <w:vMerge w:val="restart"/>
                <w:vAlign w:val="center"/>
              </w:tcPr>
              <w:p w14:paraId="6A22048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e9a93d1c2d6847be992e152b686ed22d"/>
            <w:id w:val="1917973945"/>
          </w:sdtPr>
          <w:sdtContent>
            <w:tc>
              <w:tcPr>
                <w:tcW w:w="1862" w:type="pct"/>
                <w:gridSpan w:val="3"/>
                <w:vAlign w:val="center"/>
              </w:tcPr>
              <w:p w14:paraId="28C0602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f41f953b597d46848a98bb222c5ebb8e"/>
            <w:id w:val="736442795"/>
          </w:sdtPr>
          <w:sdtContent>
            <w:tc>
              <w:tcPr>
                <w:tcW w:w="1867" w:type="pct"/>
                <w:gridSpan w:val="3"/>
                <w:vAlign w:val="center"/>
              </w:tcPr>
              <w:p w14:paraId="50EF524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20B28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1269" w:type="pct"/>
            <w:vMerge w:val="continue"/>
            <w:tcBorders>
              <w:bottom w:val="single" w:color="auto" w:sz="4" w:space="0"/>
            </w:tcBorders>
            <w:vAlign w:val="center"/>
          </w:tcPr>
          <w:p w14:paraId="6E94990B">
            <w:pPr>
              <w:jc w:val="center"/>
              <w:rPr>
                <w:color w:val="000000" w:themeColor="text1"/>
                <w14:textFill>
                  <w14:solidFill>
                    <w14:schemeClr w14:val="tx1"/>
                  </w14:solidFill>
                </w14:textFill>
              </w:rPr>
            </w:pPr>
          </w:p>
        </w:tc>
        <w:sdt>
          <w:sdtPr>
            <w:tag w:val="_PLD_93de35b749ff4ac9a6b3c5ec236ed585"/>
            <w:id w:val="-1783723595"/>
          </w:sdtPr>
          <w:sdtContent>
            <w:tc>
              <w:tcPr>
                <w:tcW w:w="630" w:type="pct"/>
                <w:tcBorders>
                  <w:bottom w:val="single" w:color="auto" w:sz="4" w:space="0"/>
                </w:tcBorders>
                <w:vAlign w:val="center"/>
              </w:tcPr>
              <w:p w14:paraId="01C2FEF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账面余额</w:t>
                </w:r>
              </w:p>
            </w:tc>
          </w:sdtContent>
        </w:sdt>
        <w:sdt>
          <w:sdtPr>
            <w:tag w:val="_PLD_eccd0387c0f24fa5a972b6cd6e1d4d30"/>
            <w:id w:val="819849046"/>
          </w:sdtPr>
          <w:sdtContent>
            <w:tc>
              <w:tcPr>
                <w:tcW w:w="618" w:type="pct"/>
                <w:tcBorders>
                  <w:bottom w:val="single" w:color="auto" w:sz="4" w:space="0"/>
                </w:tcBorders>
                <w:vAlign w:val="center"/>
              </w:tcPr>
              <w:p w14:paraId="389CAF7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坏账准备</w:t>
                </w:r>
              </w:p>
            </w:tc>
          </w:sdtContent>
        </w:sdt>
        <w:sdt>
          <w:sdtPr>
            <w:tag w:val="_PLD_9016cddeb6f34d55a584d277237a8ac1"/>
            <w:id w:val="810211957"/>
          </w:sdtPr>
          <w:sdtContent>
            <w:tc>
              <w:tcPr>
                <w:tcW w:w="613" w:type="pct"/>
                <w:tcBorders>
                  <w:bottom w:val="single" w:color="auto" w:sz="4" w:space="0"/>
                </w:tcBorders>
                <w:vAlign w:val="center"/>
              </w:tcPr>
              <w:p w14:paraId="037DBA8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账面价值</w:t>
                </w:r>
              </w:p>
            </w:tc>
          </w:sdtContent>
        </w:sdt>
        <w:sdt>
          <w:sdtPr>
            <w:tag w:val="_PLD_db7d979714524efcab7433361aaac461"/>
            <w:id w:val="838043227"/>
          </w:sdtPr>
          <w:sdtContent>
            <w:tc>
              <w:tcPr>
                <w:tcW w:w="616" w:type="pct"/>
                <w:tcBorders>
                  <w:bottom w:val="single" w:color="auto" w:sz="4" w:space="0"/>
                </w:tcBorders>
                <w:vAlign w:val="center"/>
              </w:tcPr>
              <w:p w14:paraId="3E33448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账面余额</w:t>
                </w:r>
              </w:p>
            </w:tc>
          </w:sdtContent>
        </w:sdt>
        <w:sdt>
          <w:sdtPr>
            <w:tag w:val="_PLD_395cf962072c462fb83f42db9e225402"/>
            <w:id w:val="-1445984754"/>
          </w:sdtPr>
          <w:sdtContent>
            <w:tc>
              <w:tcPr>
                <w:tcW w:w="618" w:type="pct"/>
                <w:tcBorders>
                  <w:bottom w:val="single" w:color="auto" w:sz="4" w:space="0"/>
                </w:tcBorders>
                <w:vAlign w:val="center"/>
              </w:tcPr>
              <w:p w14:paraId="46DFE89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坏账准备</w:t>
                </w:r>
              </w:p>
            </w:tc>
          </w:sdtContent>
        </w:sdt>
        <w:sdt>
          <w:sdtPr>
            <w:tag w:val="_PLD_505b96d943e341af8e22763be8ab91c7"/>
            <w:id w:val="131982133"/>
          </w:sdtPr>
          <w:sdtContent>
            <w:tc>
              <w:tcPr>
                <w:tcW w:w="633" w:type="pct"/>
                <w:tcBorders>
                  <w:bottom w:val="single" w:color="auto" w:sz="4" w:space="0"/>
                </w:tcBorders>
                <w:vAlign w:val="center"/>
              </w:tcPr>
              <w:p w14:paraId="27E770B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账面价值</w:t>
                </w:r>
              </w:p>
            </w:tc>
          </w:sdtContent>
        </w:sdt>
      </w:tr>
      <w:tr w14:paraId="2ACC9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sdt>
          <w:sdtPr>
            <w:tag w:val="_PLD_7e31ab337f9241e58c47845e66c25517"/>
            <w:id w:val="-542597064"/>
          </w:sdtPr>
          <w:sdtContent>
            <w:tc>
              <w:tcPr>
                <w:tcW w:w="1269" w:type="pct"/>
              </w:tcPr>
              <w:p w14:paraId="603BE8A9">
                <w:pPr>
                  <w:rPr>
                    <w:color w:val="000000" w:themeColor="text1"/>
                    <w14:textFill>
                      <w14:solidFill>
                        <w14:schemeClr w14:val="tx1"/>
                      </w14:solidFill>
                    </w14:textFill>
                  </w:rPr>
                </w:pPr>
                <w:r>
                  <w:rPr>
                    <w:rFonts w:hint="eastAsia"/>
                    <w:color w:val="000000" w:themeColor="text1"/>
                    <w14:textFill>
                      <w14:solidFill>
                        <w14:schemeClr w14:val="tx1"/>
                      </w14:solidFill>
                    </w14:textFill>
                  </w:rPr>
                  <w:t>分期收款销售商品</w:t>
                </w:r>
              </w:p>
            </w:tc>
          </w:sdtContent>
        </w:sdt>
        <w:tc>
          <w:tcPr>
            <w:tcW w:w="630" w:type="pct"/>
            <w:vAlign w:val="center"/>
          </w:tcPr>
          <w:p w14:paraId="4BF11AE7">
            <w:pPr>
              <w:jc w:val="right"/>
              <w:rPr>
                <w:rFonts w:cs="Times New Roman"/>
              </w:rPr>
            </w:pPr>
            <w:r>
              <w:rPr>
                <w:rFonts w:cs="Times New Roman"/>
              </w:rPr>
              <w:t>134,996,501.28</w:t>
            </w:r>
          </w:p>
        </w:tc>
        <w:tc>
          <w:tcPr>
            <w:tcW w:w="618" w:type="pct"/>
            <w:vAlign w:val="center"/>
          </w:tcPr>
          <w:p w14:paraId="7921AEE7">
            <w:pPr>
              <w:jc w:val="right"/>
              <w:rPr>
                <w:rFonts w:cs="Times New Roman"/>
              </w:rPr>
            </w:pPr>
            <w:r>
              <w:rPr>
                <w:rFonts w:cs="Times New Roman"/>
              </w:rPr>
              <w:t>80,623,665.27</w:t>
            </w:r>
          </w:p>
        </w:tc>
        <w:tc>
          <w:tcPr>
            <w:tcW w:w="613" w:type="pct"/>
            <w:vAlign w:val="center"/>
          </w:tcPr>
          <w:p w14:paraId="304E0CA5">
            <w:pPr>
              <w:jc w:val="right"/>
              <w:rPr>
                <w:rFonts w:cs="Times New Roman"/>
              </w:rPr>
            </w:pPr>
            <w:r>
              <w:rPr>
                <w:rFonts w:cs="Times New Roman"/>
              </w:rPr>
              <w:t>54,372,836.01</w:t>
            </w:r>
          </w:p>
        </w:tc>
        <w:tc>
          <w:tcPr>
            <w:tcW w:w="616" w:type="pct"/>
            <w:vAlign w:val="center"/>
          </w:tcPr>
          <w:p w14:paraId="6B8BDFF6">
            <w:pPr>
              <w:jc w:val="right"/>
              <w:rPr>
                <w:rFonts w:cs="Times New Roman"/>
              </w:rPr>
            </w:pPr>
            <w:r>
              <w:rPr>
                <w:rFonts w:cs="Times New Roman"/>
              </w:rPr>
              <w:t>149,461,734.98</w:t>
            </w:r>
          </w:p>
        </w:tc>
        <w:tc>
          <w:tcPr>
            <w:tcW w:w="618" w:type="pct"/>
            <w:vAlign w:val="center"/>
          </w:tcPr>
          <w:p w14:paraId="452CF6C8">
            <w:pPr>
              <w:jc w:val="right"/>
              <w:rPr>
                <w:rFonts w:cs="Times New Roman"/>
              </w:rPr>
            </w:pPr>
            <w:r>
              <w:rPr>
                <w:rFonts w:cs="Times New Roman"/>
              </w:rPr>
              <w:t>77,339,381.98</w:t>
            </w:r>
          </w:p>
        </w:tc>
        <w:tc>
          <w:tcPr>
            <w:tcW w:w="633" w:type="pct"/>
            <w:vAlign w:val="center"/>
          </w:tcPr>
          <w:p w14:paraId="14068B1F">
            <w:pPr>
              <w:jc w:val="right"/>
              <w:rPr>
                <w:rFonts w:cs="Times New Roman"/>
              </w:rPr>
            </w:pPr>
            <w:r>
              <w:rPr>
                <w:rFonts w:cs="Times New Roman"/>
              </w:rPr>
              <w:t>72,122,353.00</w:t>
            </w:r>
          </w:p>
        </w:tc>
      </w:tr>
      <w:sdt>
        <w:sdtPr>
          <w:rPr>
            <w:color w:val="000000" w:themeColor="text1"/>
            <w14:textFill>
              <w14:solidFill>
                <w14:schemeClr w14:val="tx1"/>
              </w14:solidFill>
            </w14:textFill>
          </w:rPr>
          <w:alias w:val="长期应收款情况明细"/>
          <w:tag w:val="_GBC_5a41f105be7341e4bda68c15cf69c9e0"/>
          <w:id w:val="-749118484"/>
          <w:placeholder>
            <w:docPart w:val="{65ebdb65-e673-4b5c-9d50-260e4db791de}"/>
          </w:placeholder>
        </w:sdtPr>
        <w:sdtEndPr>
          <w:rPr>
            <w:color w:val="000000" w:themeColor="text1"/>
            <w14:textFill>
              <w14:solidFill>
                <w14:schemeClr w14:val="tx1"/>
              </w14:solidFill>
            </w14:textFill>
          </w:rPr>
        </w:sdtEndPr>
        <w:sdtContent>
          <w:tr w14:paraId="15B58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1269" w:type="pct"/>
              </w:tcPr>
              <w:p w14:paraId="0098B474">
                <w:r>
                  <w:rPr>
                    <w:rFonts w:hint="eastAsia"/>
                  </w:rPr>
                  <w:t>天津市永信房屋拆迁有限责任公司</w:t>
                </w:r>
              </w:p>
            </w:tc>
            <w:tc>
              <w:tcPr>
                <w:tcW w:w="630" w:type="pct"/>
                <w:vAlign w:val="center"/>
              </w:tcPr>
              <w:p w14:paraId="34C2531A">
                <w:pPr>
                  <w:jc w:val="right"/>
                  <w:rPr>
                    <w:rFonts w:cs="Times New Roman"/>
                  </w:rPr>
                </w:pPr>
                <w:r>
                  <w:rPr>
                    <w:rFonts w:cs="Times New Roman"/>
                  </w:rPr>
                  <w:t>168,000,000.00</w:t>
                </w:r>
              </w:p>
            </w:tc>
            <w:tc>
              <w:tcPr>
                <w:tcW w:w="618" w:type="pct"/>
                <w:vAlign w:val="center"/>
              </w:tcPr>
              <w:p w14:paraId="3D6FF988">
                <w:pPr>
                  <w:jc w:val="right"/>
                  <w:rPr>
                    <w:rFonts w:cs="Times New Roman"/>
                  </w:rPr>
                </w:pPr>
                <w:r>
                  <w:rPr>
                    <w:rFonts w:cs="Times New Roman"/>
                  </w:rPr>
                  <w:t>26,825,584.69</w:t>
                </w:r>
              </w:p>
            </w:tc>
            <w:tc>
              <w:tcPr>
                <w:tcW w:w="613" w:type="pct"/>
                <w:vAlign w:val="center"/>
              </w:tcPr>
              <w:p w14:paraId="49AE4AE1">
                <w:pPr>
                  <w:jc w:val="right"/>
                  <w:rPr>
                    <w:rFonts w:cs="Times New Roman"/>
                  </w:rPr>
                </w:pPr>
                <w:r>
                  <w:rPr>
                    <w:rFonts w:cs="Times New Roman"/>
                  </w:rPr>
                  <w:t>141,174,415.31</w:t>
                </w:r>
              </w:p>
            </w:tc>
            <w:tc>
              <w:tcPr>
                <w:tcW w:w="616" w:type="pct"/>
                <w:vAlign w:val="center"/>
              </w:tcPr>
              <w:p w14:paraId="777659CF">
                <w:pPr>
                  <w:jc w:val="right"/>
                  <w:rPr>
                    <w:rFonts w:cs="Times New Roman"/>
                  </w:rPr>
                </w:pPr>
                <w:r>
                  <w:rPr>
                    <w:rFonts w:cs="Times New Roman"/>
                  </w:rPr>
                  <w:t>168,000,000.00</w:t>
                </w:r>
              </w:p>
            </w:tc>
            <w:tc>
              <w:tcPr>
                <w:tcW w:w="618" w:type="pct"/>
                <w:vAlign w:val="center"/>
              </w:tcPr>
              <w:p w14:paraId="14E7EA40">
                <w:pPr>
                  <w:jc w:val="right"/>
                  <w:rPr>
                    <w:rFonts w:cs="Times New Roman"/>
                  </w:rPr>
                </w:pPr>
                <w:r>
                  <w:rPr>
                    <w:rFonts w:cs="Times New Roman"/>
                  </w:rPr>
                  <w:t>26,825,584.69</w:t>
                </w:r>
              </w:p>
            </w:tc>
            <w:tc>
              <w:tcPr>
                <w:tcW w:w="633" w:type="pct"/>
                <w:vAlign w:val="center"/>
              </w:tcPr>
              <w:p w14:paraId="2F067ADC">
                <w:pPr>
                  <w:jc w:val="right"/>
                  <w:rPr>
                    <w:rFonts w:cs="Times New Roman"/>
                  </w:rPr>
                </w:pPr>
                <w:r>
                  <w:rPr>
                    <w:rFonts w:cs="Times New Roman"/>
                  </w:rPr>
                  <w:t>141,174,415.31</w:t>
                </w:r>
              </w:p>
            </w:tc>
          </w:tr>
        </w:sdtContent>
      </w:sdt>
      <w:sdt>
        <w:sdtPr>
          <w:rPr>
            <w:color w:val="000000" w:themeColor="text1"/>
            <w14:textFill>
              <w14:solidFill>
                <w14:schemeClr w14:val="tx1"/>
              </w14:solidFill>
            </w14:textFill>
          </w:rPr>
          <w:alias w:val="长期应收款情况明细"/>
          <w:tag w:val="_GBC_5a41f105be7341e4bda68c15cf69c9e0"/>
          <w:id w:val="-1122848155"/>
          <w:placeholder>
            <w:docPart w:val="{65ebdb65-e673-4b5c-9d50-260e4db791de}"/>
          </w:placeholder>
        </w:sdtPr>
        <w:sdtEndPr>
          <w:rPr>
            <w:color w:val="000000" w:themeColor="text1"/>
            <w14:textFill>
              <w14:solidFill>
                <w14:schemeClr w14:val="tx1"/>
              </w14:solidFill>
            </w14:textFill>
          </w:rPr>
        </w:sdtEndPr>
        <w:sdtContent>
          <w:tr w14:paraId="638B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1269" w:type="pct"/>
              </w:tcPr>
              <w:p w14:paraId="25B0E6F1">
                <w:r>
                  <w:rPr>
                    <w:rFonts w:hint="eastAsia"/>
                  </w:rPr>
                  <w:t>武汉星辰房地产开发有限公司</w:t>
                </w:r>
              </w:p>
            </w:tc>
            <w:tc>
              <w:tcPr>
                <w:tcW w:w="630" w:type="pct"/>
                <w:vAlign w:val="center"/>
              </w:tcPr>
              <w:p w14:paraId="4F8C657A">
                <w:pPr>
                  <w:jc w:val="right"/>
                  <w:rPr>
                    <w:rFonts w:cs="Times New Roman"/>
                  </w:rPr>
                </w:pPr>
                <w:r>
                  <w:rPr>
                    <w:rFonts w:cs="Times New Roman"/>
                  </w:rPr>
                  <w:t>206,268,393.63</w:t>
                </w:r>
              </w:p>
            </w:tc>
            <w:tc>
              <w:tcPr>
                <w:tcW w:w="618" w:type="pct"/>
              </w:tcPr>
              <w:p w14:paraId="2A4F156B">
                <w:pPr>
                  <w:jc w:val="right"/>
                  <w:rPr>
                    <w:rFonts w:cs="Times New Roman"/>
                  </w:rPr>
                </w:pPr>
              </w:p>
            </w:tc>
            <w:tc>
              <w:tcPr>
                <w:tcW w:w="613" w:type="pct"/>
                <w:vAlign w:val="center"/>
              </w:tcPr>
              <w:p w14:paraId="2D2D43E4">
                <w:pPr>
                  <w:jc w:val="right"/>
                  <w:rPr>
                    <w:rFonts w:cs="Times New Roman"/>
                  </w:rPr>
                </w:pPr>
                <w:r>
                  <w:rPr>
                    <w:rFonts w:cs="Times New Roman"/>
                  </w:rPr>
                  <w:t>206,268,393.63</w:t>
                </w:r>
              </w:p>
            </w:tc>
            <w:tc>
              <w:tcPr>
                <w:tcW w:w="616" w:type="pct"/>
                <w:vAlign w:val="center"/>
              </w:tcPr>
              <w:p w14:paraId="0A2CFC2E">
                <w:pPr>
                  <w:jc w:val="right"/>
                  <w:rPr>
                    <w:rFonts w:cs="Times New Roman"/>
                  </w:rPr>
                </w:pPr>
                <w:r>
                  <w:rPr>
                    <w:rFonts w:cs="Times New Roman"/>
                  </w:rPr>
                  <w:t>206,268,393.63</w:t>
                </w:r>
              </w:p>
            </w:tc>
            <w:tc>
              <w:tcPr>
                <w:tcW w:w="618" w:type="pct"/>
              </w:tcPr>
              <w:p w14:paraId="1EA1A534">
                <w:pPr>
                  <w:jc w:val="right"/>
                  <w:rPr>
                    <w:rFonts w:cs="Times New Roman"/>
                  </w:rPr>
                </w:pPr>
              </w:p>
            </w:tc>
            <w:tc>
              <w:tcPr>
                <w:tcW w:w="633" w:type="pct"/>
                <w:vAlign w:val="center"/>
              </w:tcPr>
              <w:p w14:paraId="33806DC8">
                <w:pPr>
                  <w:jc w:val="right"/>
                  <w:rPr>
                    <w:rFonts w:cs="Times New Roman"/>
                  </w:rPr>
                </w:pPr>
                <w:r>
                  <w:rPr>
                    <w:rFonts w:cs="Times New Roman"/>
                  </w:rPr>
                  <w:t>206,268,393.63</w:t>
                </w:r>
              </w:p>
            </w:tc>
          </w:tr>
        </w:sdtContent>
      </w:sdt>
      <w:sdt>
        <w:sdtPr>
          <w:rPr>
            <w:color w:val="000000" w:themeColor="text1"/>
            <w14:textFill>
              <w14:solidFill>
                <w14:schemeClr w14:val="tx1"/>
              </w14:solidFill>
            </w14:textFill>
          </w:rPr>
          <w:alias w:val="长期应收款情况明细"/>
          <w:tag w:val="_GBC_5a41f105be7341e4bda68c15cf69c9e0"/>
          <w:id w:val="669528638"/>
          <w:placeholder>
            <w:docPart w:val="{65ebdb65-e673-4b5c-9d50-260e4db791de}"/>
          </w:placeholder>
        </w:sdtPr>
        <w:sdtEndPr>
          <w:rPr>
            <w:color w:val="000000" w:themeColor="text1"/>
            <w14:textFill>
              <w14:solidFill>
                <w14:schemeClr w14:val="tx1"/>
              </w14:solidFill>
            </w14:textFill>
          </w:rPr>
        </w:sdtEndPr>
        <w:sdtContent>
          <w:tr w14:paraId="45445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1269" w:type="pct"/>
              </w:tcPr>
              <w:p w14:paraId="6F0779AF">
                <w:r>
                  <w:rPr>
                    <w:rFonts w:hint="eastAsia"/>
                  </w:rPr>
                  <w:t>西安长刚置业有限责任公司</w:t>
                </w:r>
              </w:p>
            </w:tc>
            <w:tc>
              <w:tcPr>
                <w:tcW w:w="630" w:type="pct"/>
                <w:vAlign w:val="center"/>
              </w:tcPr>
              <w:p w14:paraId="5248E945">
                <w:pPr>
                  <w:jc w:val="right"/>
                  <w:rPr>
                    <w:rFonts w:cs="Times New Roman"/>
                  </w:rPr>
                </w:pPr>
                <w:r>
                  <w:rPr>
                    <w:rFonts w:cs="Times New Roman"/>
                  </w:rPr>
                  <w:t>5,910,000.00</w:t>
                </w:r>
              </w:p>
            </w:tc>
            <w:tc>
              <w:tcPr>
                <w:tcW w:w="618" w:type="pct"/>
                <w:vAlign w:val="center"/>
              </w:tcPr>
              <w:p w14:paraId="656FD534">
                <w:pPr>
                  <w:jc w:val="right"/>
                  <w:rPr>
                    <w:rFonts w:cs="Times New Roman"/>
                  </w:rPr>
                </w:pPr>
                <w:r>
                  <w:rPr>
                    <w:rFonts w:cs="Times New Roman"/>
                  </w:rPr>
                  <w:t>5,910,000.00</w:t>
                </w:r>
              </w:p>
            </w:tc>
            <w:tc>
              <w:tcPr>
                <w:tcW w:w="613" w:type="pct"/>
                <w:vAlign w:val="center"/>
              </w:tcPr>
              <w:p w14:paraId="1853FFC0">
                <w:pPr>
                  <w:jc w:val="right"/>
                  <w:rPr>
                    <w:rFonts w:cs="Times New Roman"/>
                  </w:rPr>
                </w:pPr>
              </w:p>
            </w:tc>
            <w:tc>
              <w:tcPr>
                <w:tcW w:w="616" w:type="pct"/>
                <w:vAlign w:val="center"/>
              </w:tcPr>
              <w:p w14:paraId="0266B57D">
                <w:pPr>
                  <w:jc w:val="right"/>
                  <w:rPr>
                    <w:rFonts w:cs="Times New Roman"/>
                  </w:rPr>
                </w:pPr>
                <w:r>
                  <w:rPr>
                    <w:rFonts w:cs="Times New Roman"/>
                  </w:rPr>
                  <w:t>5,910,000.00</w:t>
                </w:r>
              </w:p>
            </w:tc>
            <w:tc>
              <w:tcPr>
                <w:tcW w:w="618" w:type="pct"/>
                <w:vAlign w:val="center"/>
              </w:tcPr>
              <w:p w14:paraId="2CA5F57F">
                <w:pPr>
                  <w:jc w:val="right"/>
                  <w:rPr>
                    <w:rFonts w:cs="Times New Roman"/>
                  </w:rPr>
                </w:pPr>
                <w:r>
                  <w:rPr>
                    <w:rFonts w:cs="Times New Roman"/>
                  </w:rPr>
                  <w:t>5,910,000.00</w:t>
                </w:r>
              </w:p>
            </w:tc>
            <w:tc>
              <w:tcPr>
                <w:tcW w:w="633" w:type="pct"/>
                <w:vAlign w:val="center"/>
              </w:tcPr>
              <w:p w14:paraId="7F7674D1">
                <w:pPr>
                  <w:jc w:val="right"/>
                  <w:rPr>
                    <w:rFonts w:cs="Times New Roman"/>
                  </w:rPr>
                </w:pPr>
              </w:p>
            </w:tc>
          </w:tr>
        </w:sdtContent>
      </w:sdt>
      <w:sdt>
        <w:sdtPr>
          <w:rPr>
            <w:color w:val="000000" w:themeColor="text1"/>
            <w14:textFill>
              <w14:solidFill>
                <w14:schemeClr w14:val="tx1"/>
              </w14:solidFill>
            </w14:textFill>
          </w:rPr>
          <w:alias w:val="长期应收款情况明细"/>
          <w:tag w:val="_GBC_5a41f105be7341e4bda68c15cf69c9e0"/>
          <w:id w:val="-1132706558"/>
          <w:placeholder>
            <w:docPart w:val="{65ebdb65-e673-4b5c-9d50-260e4db791de}"/>
          </w:placeholder>
        </w:sdtPr>
        <w:sdtEndPr>
          <w:rPr>
            <w:color w:val="000000" w:themeColor="text1"/>
            <w14:textFill>
              <w14:solidFill>
                <w14:schemeClr w14:val="tx1"/>
              </w14:solidFill>
            </w14:textFill>
          </w:rPr>
        </w:sdtEndPr>
        <w:sdtContent>
          <w:tr w14:paraId="75A1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1269" w:type="pct"/>
              </w:tcPr>
              <w:p w14:paraId="0B7C6AB8">
                <w:r>
                  <w:rPr>
                    <w:rFonts w:hint="eastAsia"/>
                  </w:rPr>
                  <w:t>南京江宁科学园发展有限公司</w:t>
                </w:r>
              </w:p>
            </w:tc>
            <w:tc>
              <w:tcPr>
                <w:tcW w:w="630" w:type="pct"/>
                <w:vAlign w:val="center"/>
              </w:tcPr>
              <w:p w14:paraId="0C7CF0D0">
                <w:pPr>
                  <w:jc w:val="right"/>
                  <w:rPr>
                    <w:rFonts w:cs="Times New Roman"/>
                  </w:rPr>
                </w:pPr>
                <w:r>
                  <w:rPr>
                    <w:rFonts w:cs="Times New Roman"/>
                  </w:rPr>
                  <w:t>140,000,000.00</w:t>
                </w:r>
              </w:p>
            </w:tc>
            <w:tc>
              <w:tcPr>
                <w:tcW w:w="618" w:type="pct"/>
                <w:vAlign w:val="center"/>
              </w:tcPr>
              <w:p w14:paraId="5A686899">
                <w:pPr>
                  <w:jc w:val="right"/>
                  <w:rPr>
                    <w:rFonts w:cs="Times New Roman"/>
                  </w:rPr>
                </w:pPr>
                <w:r>
                  <w:rPr>
                    <w:rFonts w:cs="Times New Roman"/>
                  </w:rPr>
                  <w:t>9,178,643.53</w:t>
                </w:r>
              </w:p>
            </w:tc>
            <w:tc>
              <w:tcPr>
                <w:tcW w:w="613" w:type="pct"/>
                <w:vAlign w:val="center"/>
              </w:tcPr>
              <w:p w14:paraId="2F0B76B4">
                <w:pPr>
                  <w:jc w:val="right"/>
                  <w:rPr>
                    <w:rFonts w:cs="Times New Roman"/>
                  </w:rPr>
                </w:pPr>
                <w:r>
                  <w:rPr>
                    <w:rFonts w:cs="Times New Roman"/>
                  </w:rPr>
                  <w:t>130,821,356.47</w:t>
                </w:r>
              </w:p>
            </w:tc>
            <w:tc>
              <w:tcPr>
                <w:tcW w:w="616" w:type="pct"/>
                <w:vAlign w:val="center"/>
              </w:tcPr>
              <w:p w14:paraId="71EEA1C4">
                <w:pPr>
                  <w:jc w:val="right"/>
                  <w:rPr>
                    <w:rFonts w:cs="Times New Roman"/>
                  </w:rPr>
                </w:pPr>
                <w:r>
                  <w:rPr>
                    <w:rFonts w:cs="Times New Roman"/>
                  </w:rPr>
                  <w:t>140,000,000.00</w:t>
                </w:r>
              </w:p>
            </w:tc>
            <w:tc>
              <w:tcPr>
                <w:tcW w:w="618" w:type="pct"/>
                <w:vAlign w:val="center"/>
              </w:tcPr>
              <w:p w14:paraId="26FD9BC7">
                <w:pPr>
                  <w:jc w:val="right"/>
                  <w:rPr>
                    <w:rFonts w:cs="Times New Roman"/>
                  </w:rPr>
                </w:pPr>
                <w:r>
                  <w:rPr>
                    <w:rFonts w:cs="Times New Roman"/>
                  </w:rPr>
                  <w:t>9,178,643.53</w:t>
                </w:r>
              </w:p>
            </w:tc>
            <w:tc>
              <w:tcPr>
                <w:tcW w:w="633" w:type="pct"/>
                <w:vAlign w:val="center"/>
              </w:tcPr>
              <w:p w14:paraId="711F8B66">
                <w:pPr>
                  <w:jc w:val="right"/>
                  <w:rPr>
                    <w:rFonts w:cs="Times New Roman"/>
                  </w:rPr>
                </w:pPr>
                <w:r>
                  <w:rPr>
                    <w:rFonts w:cs="Times New Roman"/>
                  </w:rPr>
                  <w:t>130,821,356.47</w:t>
                </w:r>
              </w:p>
            </w:tc>
          </w:tr>
        </w:sdtContent>
      </w:sdt>
      <w:sdt>
        <w:sdtPr>
          <w:rPr>
            <w:color w:val="000000" w:themeColor="text1"/>
            <w14:textFill>
              <w14:solidFill>
                <w14:schemeClr w14:val="tx1"/>
              </w14:solidFill>
            </w14:textFill>
          </w:rPr>
          <w:alias w:val="长期应收款情况明细"/>
          <w:tag w:val="_GBC_5a41f105be7341e4bda68c15cf69c9e0"/>
          <w:id w:val="-1227993487"/>
          <w:placeholder>
            <w:docPart w:val="{65ebdb65-e673-4b5c-9d50-260e4db791de}"/>
          </w:placeholder>
        </w:sdtPr>
        <w:sdtEndPr>
          <w:rPr>
            <w:color w:val="000000" w:themeColor="text1"/>
            <w14:textFill>
              <w14:solidFill>
                <w14:schemeClr w14:val="tx1"/>
              </w14:solidFill>
            </w14:textFill>
          </w:rPr>
        </w:sdtEndPr>
        <w:sdtContent>
          <w:tr w14:paraId="4FB1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1269" w:type="pct"/>
              </w:tcPr>
              <w:p w14:paraId="6ED60D2A">
                <w:r>
                  <w:rPr>
                    <w:rFonts w:hint="eastAsia"/>
                  </w:rPr>
                  <w:t>岳阳市土地储备中心</w:t>
                </w:r>
              </w:p>
            </w:tc>
            <w:tc>
              <w:tcPr>
                <w:tcW w:w="630" w:type="pct"/>
                <w:vAlign w:val="center"/>
              </w:tcPr>
              <w:p w14:paraId="21CD4477">
                <w:pPr>
                  <w:jc w:val="right"/>
                  <w:rPr>
                    <w:rFonts w:cs="Times New Roman"/>
                  </w:rPr>
                </w:pPr>
                <w:r>
                  <w:rPr>
                    <w:rFonts w:cs="Times New Roman"/>
                  </w:rPr>
                  <w:t>224,263,381.00</w:t>
                </w:r>
              </w:p>
            </w:tc>
            <w:tc>
              <w:tcPr>
                <w:tcW w:w="618" w:type="pct"/>
                <w:vAlign w:val="center"/>
              </w:tcPr>
              <w:p w14:paraId="3CD5BDD9">
                <w:pPr>
                  <w:jc w:val="right"/>
                  <w:rPr>
                    <w:rFonts w:cs="Times New Roman"/>
                  </w:rPr>
                </w:pPr>
                <w:r>
                  <w:rPr>
                    <w:rFonts w:cs="Times New Roman"/>
                  </w:rPr>
                  <w:t>35,122,458.27</w:t>
                </w:r>
              </w:p>
            </w:tc>
            <w:tc>
              <w:tcPr>
                <w:tcW w:w="613" w:type="pct"/>
                <w:vAlign w:val="center"/>
              </w:tcPr>
              <w:p w14:paraId="7BC9EB44">
                <w:pPr>
                  <w:jc w:val="right"/>
                  <w:rPr>
                    <w:rFonts w:cs="Times New Roman"/>
                  </w:rPr>
                </w:pPr>
                <w:r>
                  <w:rPr>
                    <w:rFonts w:cs="Times New Roman"/>
                  </w:rPr>
                  <w:t>189,140,922.73</w:t>
                </w:r>
              </w:p>
            </w:tc>
            <w:tc>
              <w:tcPr>
                <w:tcW w:w="616" w:type="pct"/>
                <w:vAlign w:val="center"/>
              </w:tcPr>
              <w:p w14:paraId="4EC50627">
                <w:pPr>
                  <w:jc w:val="right"/>
                  <w:rPr>
                    <w:rFonts w:cs="Times New Roman"/>
                  </w:rPr>
                </w:pPr>
                <w:r>
                  <w:rPr>
                    <w:rFonts w:cs="Times New Roman"/>
                  </w:rPr>
                  <w:t>228,745,700.00</w:t>
                </w:r>
              </w:p>
            </w:tc>
            <w:tc>
              <w:tcPr>
                <w:tcW w:w="618" w:type="pct"/>
                <w:vAlign w:val="center"/>
              </w:tcPr>
              <w:p w14:paraId="53E9A44F">
                <w:pPr>
                  <w:jc w:val="right"/>
                  <w:rPr>
                    <w:rFonts w:cs="Times New Roman"/>
                  </w:rPr>
                </w:pPr>
                <w:r>
                  <w:rPr>
                    <w:rFonts w:cs="Times New Roman"/>
                  </w:rPr>
                  <w:t>35,122,458.27</w:t>
                </w:r>
              </w:p>
            </w:tc>
            <w:tc>
              <w:tcPr>
                <w:tcW w:w="633" w:type="pct"/>
                <w:vAlign w:val="center"/>
              </w:tcPr>
              <w:p w14:paraId="15DAD23B">
                <w:pPr>
                  <w:jc w:val="right"/>
                  <w:rPr>
                    <w:rFonts w:cs="Times New Roman"/>
                  </w:rPr>
                </w:pPr>
                <w:r>
                  <w:rPr>
                    <w:rFonts w:cs="Times New Roman"/>
                  </w:rPr>
                  <w:t>193,623,241.73</w:t>
                </w:r>
              </w:p>
            </w:tc>
          </w:tr>
        </w:sdtContent>
      </w:sdt>
      <w:tr w14:paraId="7740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sdt>
          <w:sdtPr>
            <w:tag w:val="_PLD_8bf46c35ccf64076b70a8027cfc753dc"/>
            <w:id w:val="-1632712698"/>
          </w:sdtPr>
          <w:sdtContent>
            <w:tc>
              <w:tcPr>
                <w:tcW w:w="1269" w:type="pct"/>
                <w:vAlign w:val="center"/>
              </w:tcPr>
              <w:p w14:paraId="4C1C0D3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sdtContent>
        </w:sdt>
        <w:tc>
          <w:tcPr>
            <w:tcW w:w="630" w:type="pct"/>
            <w:vAlign w:val="center"/>
          </w:tcPr>
          <w:p w14:paraId="0D847E1F">
            <w:pPr>
              <w:jc w:val="right"/>
              <w:rPr>
                <w:rFonts w:cs="Times New Roman"/>
              </w:rPr>
            </w:pPr>
            <w:r>
              <w:rPr>
                <w:rFonts w:cs="Times New Roman"/>
              </w:rPr>
              <w:t>879,438,275.91</w:t>
            </w:r>
          </w:p>
        </w:tc>
        <w:tc>
          <w:tcPr>
            <w:tcW w:w="618" w:type="pct"/>
            <w:vAlign w:val="center"/>
          </w:tcPr>
          <w:p w14:paraId="215C08C6">
            <w:pPr>
              <w:jc w:val="right"/>
              <w:rPr>
                <w:rFonts w:cs="Times New Roman"/>
              </w:rPr>
            </w:pPr>
            <w:r>
              <w:rPr>
                <w:rFonts w:cs="Times New Roman"/>
              </w:rPr>
              <w:t>157,660,351.76</w:t>
            </w:r>
          </w:p>
        </w:tc>
        <w:tc>
          <w:tcPr>
            <w:tcW w:w="613" w:type="pct"/>
            <w:vAlign w:val="center"/>
          </w:tcPr>
          <w:p w14:paraId="2B8C725D">
            <w:pPr>
              <w:jc w:val="right"/>
              <w:rPr>
                <w:rFonts w:cs="Times New Roman"/>
              </w:rPr>
            </w:pPr>
            <w:r>
              <w:rPr>
                <w:rFonts w:cs="Times New Roman"/>
              </w:rPr>
              <w:t>721,777,924.15</w:t>
            </w:r>
          </w:p>
        </w:tc>
        <w:tc>
          <w:tcPr>
            <w:tcW w:w="616" w:type="pct"/>
            <w:vAlign w:val="center"/>
          </w:tcPr>
          <w:p w14:paraId="33ED1F36">
            <w:pPr>
              <w:jc w:val="right"/>
              <w:rPr>
                <w:rFonts w:cs="Times New Roman"/>
              </w:rPr>
            </w:pPr>
            <w:r>
              <w:rPr>
                <w:rFonts w:cs="Times New Roman"/>
              </w:rPr>
              <w:t>898,385,828.61</w:t>
            </w:r>
          </w:p>
        </w:tc>
        <w:tc>
          <w:tcPr>
            <w:tcW w:w="618" w:type="pct"/>
            <w:vAlign w:val="center"/>
          </w:tcPr>
          <w:p w14:paraId="2807D90B">
            <w:pPr>
              <w:jc w:val="right"/>
              <w:rPr>
                <w:rFonts w:cs="Times New Roman"/>
              </w:rPr>
            </w:pPr>
            <w:r>
              <w:rPr>
                <w:rFonts w:cs="Times New Roman"/>
              </w:rPr>
              <w:t>154,376,068.47</w:t>
            </w:r>
          </w:p>
        </w:tc>
        <w:tc>
          <w:tcPr>
            <w:tcW w:w="633" w:type="pct"/>
            <w:vAlign w:val="center"/>
          </w:tcPr>
          <w:p w14:paraId="2558E0F5">
            <w:pPr>
              <w:jc w:val="right"/>
              <w:rPr>
                <w:rFonts w:cs="Times New Roman"/>
              </w:rPr>
            </w:pPr>
            <w:r>
              <w:rPr>
                <w:rFonts w:cs="Times New Roman"/>
              </w:rPr>
              <w:t>744,009,760.14</w:t>
            </w:r>
          </w:p>
        </w:tc>
      </w:tr>
    </w:tbl>
    <w:p w14:paraId="7A9A042E">
      <w:pPr>
        <w:rPr>
          <w:color w:val="000000" w:themeColor="text1"/>
          <w14:textFill>
            <w14:solidFill>
              <w14:schemeClr w14:val="tx1"/>
            </w14:solidFill>
          </w14:textFill>
        </w:rPr>
      </w:pPr>
    </w:p>
    <w:p w14:paraId="0BCD39CA">
      <w:pPr>
        <w:pStyle w:val="58"/>
        <w:numPr>
          <w:ilvl w:val="0"/>
          <w:numId w:val="66"/>
        </w:numPr>
        <w:rPr>
          <w:rFonts w:ascii="宋体" w:hAnsi="宋体"/>
          <w:color w:val="000000" w:themeColor="text1"/>
          <w14:textFill>
            <w14:solidFill>
              <w14:schemeClr w14:val="tx1"/>
            </w14:solidFill>
          </w14:textFill>
        </w:rPr>
      </w:pPr>
      <w:bookmarkStart w:id="287" w:name="_Hlk153457348"/>
      <w:bookmarkStart w:id="288" w:name="_Hlk167893085"/>
      <w:r>
        <w:rPr>
          <w:rFonts w:hint="eastAsia" w:ascii="宋体" w:hAnsi="宋体"/>
          <w:color w:val="000000" w:themeColor="text1"/>
          <w14:textFill>
            <w14:solidFill>
              <w14:schemeClr w14:val="tx1"/>
            </w14:solidFill>
          </w14:textFill>
        </w:rPr>
        <w:t>按坏账计提方法分类披露</w:t>
      </w:r>
    </w:p>
    <w:sdt>
      <w:sdtPr>
        <w:rPr>
          <w:color w:val="000000" w:themeColor="text1"/>
          <w14:textFill>
            <w14:solidFill>
              <w14:schemeClr w14:val="tx1"/>
            </w14:solidFill>
          </w14:textFill>
        </w:rPr>
        <w:alias w:val="是否适用：按坏账计提方法分类披露[双击切换]"/>
        <w:tag w:val="_GBC_2d08b03d640f42d686453149be03e5d9"/>
        <w:id w:val="147473016"/>
        <w:placeholder>
          <w:docPart w:val="GBC22222222222222222222222222222"/>
        </w:placeholder>
      </w:sdtPr>
      <w:sdtEndPr>
        <w:rPr>
          <w:color w:val="000000" w:themeColor="text1"/>
          <w14:textFill>
            <w14:solidFill>
              <w14:schemeClr w14:val="tx1"/>
            </w14:solidFill>
          </w14:textFill>
        </w:rPr>
      </w:sdtEndPr>
      <w:sdtContent>
        <w:p w14:paraId="299B33E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3ABE457">
      <w:pPr>
        <w:pStyle w:val="63"/>
        <w:autoSpaceDE w:val="0"/>
        <w:autoSpaceDN w:val="0"/>
        <w:adjustRightInd w:val="0"/>
        <w:ind w:left="425" w:right="105" w:firstLine="0" w:firstLineChars="0"/>
        <w:jc w:val="righ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单位：</w:t>
      </w:r>
      <w:sdt>
        <w:sdtPr>
          <w:rPr>
            <w:rFonts w:hint="eastAsia"/>
            <w:color w:val="000000" w:themeColor="text1"/>
            <w:szCs w:val="21"/>
            <w14:textFill>
              <w14:solidFill>
                <w14:schemeClr w14:val="tx1"/>
              </w14:solidFill>
            </w14:textFill>
          </w:rPr>
          <w:alias w:val="单位：按坏账计提方法分类披露"/>
          <w:tag w:val="_GBC_072cde81a2304307b9344c1e1fd5b987"/>
          <w:id w:val="14747406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szCs w:val="21"/>
            <w14:textFill>
              <w14:solidFill>
                <w14:schemeClr w14:val="tx1"/>
              </w14:solidFill>
            </w14:textFill>
          </w:rPr>
        </w:sdtEndPr>
        <w:sdtContent>
          <w:r>
            <w:rPr>
              <w:rFonts w:hint="eastAsia"/>
              <w:color w:val="000000" w:themeColor="text1"/>
              <w:szCs w:val="21"/>
              <w14:textFill>
                <w14:solidFill>
                  <w14:schemeClr w14:val="tx1"/>
                </w14:solidFill>
              </w14:textFill>
            </w:rPr>
            <w:t>元</w:t>
          </w:r>
        </w:sdtContent>
      </w:sdt>
      <w:r>
        <w:rPr>
          <w:rFonts w:hint="eastAsia"/>
          <w:color w:val="000000" w:themeColor="text1"/>
          <w:szCs w:val="21"/>
          <w14:textFill>
            <w14:solidFill>
              <w14:schemeClr w14:val="tx1"/>
            </w14:solidFill>
          </w14:textFill>
        </w:rPr>
        <w:t xml:space="preserve">  币种：</w:t>
      </w:r>
      <w:sdt>
        <w:sdtPr>
          <w:rPr>
            <w:rFonts w:hint="eastAsia"/>
            <w:color w:val="000000" w:themeColor="text1"/>
            <w:szCs w:val="21"/>
            <w14:textFill>
              <w14:solidFill>
                <w14:schemeClr w14:val="tx1"/>
              </w14:solidFill>
            </w14:textFill>
          </w:rPr>
          <w:alias w:val="币种：按坏账计提方法分类披露"/>
          <w:tag w:val="_GBC_3357ae42f7de4283a5c2edd1989a4ce9"/>
          <w:id w:val="1474630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szCs w:val="21"/>
            <w14:textFill>
              <w14:solidFill>
                <w14:schemeClr w14:val="tx1"/>
              </w14:solidFill>
            </w14:textFill>
          </w:rPr>
        </w:sdtEndPr>
        <w:sdtContent>
          <w:r>
            <w:rPr>
              <w:rFonts w:hint="eastAsia"/>
              <w:color w:val="000000" w:themeColor="text1"/>
              <w:szCs w:val="2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0"/>
        <w:gridCol w:w="1505"/>
        <w:gridCol w:w="849"/>
        <w:gridCol w:w="1409"/>
        <w:gridCol w:w="879"/>
        <w:gridCol w:w="1404"/>
        <w:gridCol w:w="1400"/>
        <w:gridCol w:w="766"/>
        <w:gridCol w:w="1454"/>
        <w:gridCol w:w="828"/>
        <w:gridCol w:w="1454"/>
      </w:tblGrid>
      <w:tr w14:paraId="77E56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sdt>
          <w:sdtPr>
            <w:tag w:val="_PLD_1d139a73888744fcacd9c87351156998"/>
            <w:id w:val="147467665"/>
          </w:sdtPr>
          <w:sdtContent>
            <w:tc>
              <w:tcPr>
                <w:tcW w:w="760" w:type="pct"/>
                <w:vMerge w:val="restart"/>
                <w:tcBorders>
                  <w:top w:val="single" w:color="auto" w:sz="4" w:space="0"/>
                  <w:left w:val="single" w:color="auto" w:sz="4" w:space="0"/>
                  <w:right w:val="single" w:color="auto" w:sz="4" w:space="0"/>
                </w:tcBorders>
                <w:vAlign w:val="center"/>
              </w:tcPr>
              <w:p w14:paraId="0E2F29A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类别</w:t>
                </w:r>
              </w:p>
            </w:tc>
          </w:sdtContent>
        </w:sdt>
        <w:sdt>
          <w:sdtPr>
            <w:tag w:val="_PLD_567577d579ef47138c93c6e8d3c74be0"/>
            <w:id w:val="147482149"/>
          </w:sdtPr>
          <w:sdtContent>
            <w:tc>
              <w:tcPr>
                <w:tcW w:w="2145" w:type="pct"/>
                <w:gridSpan w:val="5"/>
                <w:tcBorders>
                  <w:top w:val="single" w:color="auto" w:sz="4" w:space="0"/>
                  <w:left w:val="single" w:color="auto" w:sz="4" w:space="0"/>
                  <w:right w:val="single" w:color="auto" w:sz="4" w:space="0"/>
                </w:tcBorders>
                <w:vAlign w:val="center"/>
              </w:tcPr>
              <w:p w14:paraId="6011DA50">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d677a8bc6b294dd593820e271cdd6412"/>
            <w:id w:val="147475423"/>
          </w:sdtPr>
          <w:sdtContent>
            <w:tc>
              <w:tcPr>
                <w:tcW w:w="2095" w:type="pct"/>
                <w:gridSpan w:val="5"/>
                <w:tcBorders>
                  <w:top w:val="single" w:color="auto" w:sz="4" w:space="0"/>
                  <w:left w:val="single" w:color="auto" w:sz="4" w:space="0"/>
                  <w:right w:val="single" w:color="auto" w:sz="4" w:space="0"/>
                </w:tcBorders>
                <w:vAlign w:val="center"/>
              </w:tcPr>
              <w:p w14:paraId="4BE8137F">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63525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760" w:type="pct"/>
            <w:vMerge w:val="continue"/>
            <w:tcBorders>
              <w:left w:val="single" w:color="auto" w:sz="4" w:space="0"/>
              <w:right w:val="single" w:color="auto" w:sz="4" w:space="0"/>
            </w:tcBorders>
            <w:vAlign w:val="center"/>
          </w:tcPr>
          <w:p w14:paraId="3633172F">
            <w:pPr>
              <w:rPr>
                <w:color w:val="000000" w:themeColor="text1"/>
                <w14:textFill>
                  <w14:solidFill>
                    <w14:schemeClr w14:val="tx1"/>
                  </w14:solidFill>
                </w14:textFill>
              </w:rPr>
            </w:pPr>
          </w:p>
        </w:tc>
        <w:sdt>
          <w:sdtPr>
            <w:tag w:val="_PLD_234bbf28719848eeb7db98e55d225301"/>
            <w:id w:val="147462754"/>
          </w:sdtPr>
          <w:sdtContent>
            <w:tc>
              <w:tcPr>
                <w:tcW w:w="835" w:type="pct"/>
                <w:gridSpan w:val="2"/>
                <w:tcBorders>
                  <w:top w:val="single" w:color="auto" w:sz="4" w:space="0"/>
                  <w:left w:val="single" w:color="auto" w:sz="4" w:space="0"/>
                  <w:bottom w:val="single" w:color="auto" w:sz="4" w:space="0"/>
                  <w:right w:val="single" w:color="auto" w:sz="4" w:space="0"/>
                </w:tcBorders>
                <w:vAlign w:val="center"/>
              </w:tcPr>
              <w:p w14:paraId="3EF7179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账面余额</w:t>
                </w:r>
              </w:p>
            </w:tc>
          </w:sdtContent>
        </w:sdt>
        <w:sdt>
          <w:sdtPr>
            <w:tag w:val="_PLD_86baf3a2bb2442d2ad99cdffb20a5910"/>
            <w:id w:val="147482000"/>
          </w:sdtPr>
          <w:sdtContent>
            <w:tc>
              <w:tcPr>
                <w:tcW w:w="812" w:type="pct"/>
                <w:gridSpan w:val="2"/>
                <w:tcBorders>
                  <w:top w:val="single" w:color="auto" w:sz="4" w:space="0"/>
                  <w:left w:val="single" w:color="auto" w:sz="4" w:space="0"/>
                  <w:bottom w:val="single" w:color="auto" w:sz="4" w:space="0"/>
                  <w:right w:val="single" w:color="auto" w:sz="4" w:space="0"/>
                </w:tcBorders>
                <w:vAlign w:val="center"/>
              </w:tcPr>
              <w:p w14:paraId="7AD8DE9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坏账准备</w:t>
                </w:r>
              </w:p>
            </w:tc>
          </w:sdtContent>
        </w:sdt>
        <w:sdt>
          <w:sdtPr>
            <w:tag w:val="_PLD_7cf28132dabc412dbdeb5167d04ab50a"/>
            <w:id w:val="147455603"/>
          </w:sdtPr>
          <w:sdtContent>
            <w:tc>
              <w:tcPr>
                <w:tcW w:w="498" w:type="pct"/>
                <w:vMerge w:val="restart"/>
                <w:tcBorders>
                  <w:top w:val="single" w:color="auto" w:sz="4" w:space="0"/>
                  <w:left w:val="single" w:color="auto" w:sz="4" w:space="0"/>
                  <w:right w:val="single" w:color="auto" w:sz="4" w:space="0"/>
                </w:tcBorders>
                <w:vAlign w:val="center"/>
              </w:tcPr>
              <w:p w14:paraId="272C8CD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w:t>
                </w:r>
              </w:p>
              <w:p w14:paraId="7976E98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价值</w:t>
                </w:r>
              </w:p>
            </w:tc>
          </w:sdtContent>
        </w:sdt>
        <w:sdt>
          <w:sdtPr>
            <w:tag w:val="_PLD_1a7b71bdb41643a4a5381efe177e2554"/>
            <w:id w:val="147466452"/>
          </w:sdtPr>
          <w:sdtContent>
            <w:tc>
              <w:tcPr>
                <w:tcW w:w="769" w:type="pct"/>
                <w:gridSpan w:val="2"/>
                <w:tcBorders>
                  <w:top w:val="single" w:color="auto" w:sz="4" w:space="0"/>
                  <w:left w:val="single" w:color="auto" w:sz="4" w:space="0"/>
                  <w:right w:val="single" w:color="auto" w:sz="4" w:space="0"/>
                </w:tcBorders>
                <w:vAlign w:val="center"/>
              </w:tcPr>
              <w:p w14:paraId="57EF938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账面余额</w:t>
                </w:r>
              </w:p>
            </w:tc>
          </w:sdtContent>
        </w:sdt>
        <w:sdt>
          <w:sdtPr>
            <w:tag w:val="_PLD_f77275da27774db5806cdf5fada4c123"/>
            <w:id w:val="147479974"/>
          </w:sdtPr>
          <w:sdtContent>
            <w:tc>
              <w:tcPr>
                <w:tcW w:w="810" w:type="pct"/>
                <w:gridSpan w:val="2"/>
                <w:tcBorders>
                  <w:top w:val="single" w:color="auto" w:sz="4" w:space="0"/>
                  <w:left w:val="single" w:color="auto" w:sz="4" w:space="0"/>
                  <w:right w:val="single" w:color="auto" w:sz="4" w:space="0"/>
                </w:tcBorders>
                <w:vAlign w:val="center"/>
              </w:tcPr>
              <w:p w14:paraId="58473DE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坏账准备</w:t>
                </w:r>
              </w:p>
            </w:tc>
          </w:sdtContent>
        </w:sdt>
        <w:sdt>
          <w:sdtPr>
            <w:tag w:val="_PLD_74eb65b1ec6849bab106cdd75efae98c"/>
            <w:id w:val="147466789"/>
          </w:sdtPr>
          <w:sdtContent>
            <w:tc>
              <w:tcPr>
                <w:tcW w:w="516" w:type="pct"/>
                <w:vMerge w:val="restart"/>
                <w:tcBorders>
                  <w:top w:val="single" w:color="auto" w:sz="4" w:space="0"/>
                  <w:left w:val="single" w:color="auto" w:sz="4" w:space="0"/>
                  <w:right w:val="single" w:color="auto" w:sz="4" w:space="0"/>
                </w:tcBorders>
                <w:vAlign w:val="center"/>
              </w:tcPr>
              <w:p w14:paraId="78AF048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w:t>
                </w:r>
              </w:p>
              <w:p w14:paraId="3711FE6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价值</w:t>
                </w:r>
              </w:p>
            </w:tc>
          </w:sdtContent>
        </w:sdt>
      </w:tr>
      <w:tr w14:paraId="57558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760" w:type="pct"/>
            <w:vMerge w:val="continue"/>
            <w:tcBorders>
              <w:left w:val="single" w:color="auto" w:sz="4" w:space="0"/>
              <w:bottom w:val="single" w:color="auto" w:sz="4" w:space="0"/>
              <w:right w:val="single" w:color="auto" w:sz="4" w:space="0"/>
            </w:tcBorders>
            <w:vAlign w:val="center"/>
          </w:tcPr>
          <w:p w14:paraId="78B69210">
            <w:pPr>
              <w:rPr>
                <w:color w:val="000000" w:themeColor="text1"/>
                <w14:textFill>
                  <w14:solidFill>
                    <w14:schemeClr w14:val="tx1"/>
                  </w14:solidFill>
                </w14:textFill>
              </w:rPr>
            </w:pPr>
          </w:p>
        </w:tc>
        <w:sdt>
          <w:sdtPr>
            <w:tag w:val="_PLD_4c74babe00bb4571937133c3ced595c8"/>
            <w:id w:val="147468120"/>
          </w:sdtPr>
          <w:sdtContent>
            <w:tc>
              <w:tcPr>
                <w:tcW w:w="534" w:type="pct"/>
                <w:tcBorders>
                  <w:left w:val="single" w:color="auto" w:sz="4" w:space="0"/>
                  <w:bottom w:val="single" w:color="auto" w:sz="4" w:space="0"/>
                  <w:right w:val="single" w:color="auto" w:sz="4" w:space="0"/>
                </w:tcBorders>
                <w:vAlign w:val="center"/>
              </w:tcPr>
              <w:p w14:paraId="580A4AD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金额</w:t>
                </w:r>
              </w:p>
            </w:tc>
          </w:sdtContent>
        </w:sdt>
        <w:sdt>
          <w:sdtPr>
            <w:tag w:val="_PLD_529c7c07fe4a40c8a6f5b5199813be2d"/>
            <w:id w:val="147463425"/>
          </w:sdtPr>
          <w:sdtContent>
            <w:tc>
              <w:tcPr>
                <w:tcW w:w="301" w:type="pct"/>
                <w:tcBorders>
                  <w:left w:val="single" w:color="auto" w:sz="4" w:space="0"/>
                  <w:bottom w:val="single" w:color="auto" w:sz="4" w:space="0"/>
                  <w:right w:val="single" w:color="auto" w:sz="4" w:space="0"/>
                </w:tcBorders>
                <w:vAlign w:val="center"/>
              </w:tcPr>
              <w:p w14:paraId="3EEEB68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比例</w:t>
                </w:r>
                <w:r>
                  <w:rPr>
                    <w:color w:val="000000" w:themeColor="text1"/>
                    <w14:textFill>
                      <w14:solidFill>
                        <w14:schemeClr w14:val="tx1"/>
                      </w14:solidFill>
                    </w14:textFill>
                  </w:rPr>
                  <w:t>(%)</w:t>
                </w:r>
              </w:p>
            </w:tc>
          </w:sdtContent>
        </w:sdt>
        <w:sdt>
          <w:sdtPr>
            <w:tag w:val="_PLD_42f1a72bd68c4b72a8cde6cdc1b8613f"/>
            <w:id w:val="147481678"/>
          </w:sdtPr>
          <w:sdtContent>
            <w:tc>
              <w:tcPr>
                <w:tcW w:w="500" w:type="pct"/>
                <w:tcBorders>
                  <w:left w:val="single" w:color="auto" w:sz="4" w:space="0"/>
                  <w:bottom w:val="single" w:color="auto" w:sz="4" w:space="0"/>
                  <w:right w:val="single" w:color="auto" w:sz="4" w:space="0"/>
                </w:tcBorders>
                <w:vAlign w:val="center"/>
              </w:tcPr>
              <w:p w14:paraId="4C2A212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金额</w:t>
                </w:r>
              </w:p>
            </w:tc>
          </w:sdtContent>
        </w:sdt>
        <w:sdt>
          <w:sdtPr>
            <w:tag w:val="_PLD_a752830b82cc45e39c2dc5354bfcb683"/>
            <w:id w:val="147457376"/>
          </w:sdtPr>
          <w:sdtContent>
            <w:tc>
              <w:tcPr>
                <w:tcW w:w="312" w:type="pct"/>
                <w:tcBorders>
                  <w:left w:val="single" w:color="auto" w:sz="4" w:space="0"/>
                  <w:bottom w:val="single" w:color="auto" w:sz="4" w:space="0"/>
                  <w:right w:val="single" w:color="auto" w:sz="4" w:space="0"/>
                </w:tcBorders>
                <w:vAlign w:val="center"/>
              </w:tcPr>
              <w:p w14:paraId="5FEE315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计提比例</w:t>
                </w:r>
                <w:r>
                  <w:rPr>
                    <w:color w:val="000000" w:themeColor="text1"/>
                    <w14:textFill>
                      <w14:solidFill>
                        <w14:schemeClr w14:val="tx1"/>
                      </w14:solidFill>
                    </w14:textFill>
                  </w:rPr>
                  <w:t>(%)</w:t>
                </w:r>
              </w:p>
            </w:tc>
          </w:sdtContent>
        </w:sdt>
        <w:tc>
          <w:tcPr>
            <w:tcW w:w="498" w:type="pct"/>
            <w:vMerge w:val="continue"/>
            <w:tcBorders>
              <w:left w:val="single" w:color="auto" w:sz="4" w:space="0"/>
              <w:bottom w:val="single" w:color="auto" w:sz="4" w:space="0"/>
              <w:right w:val="single" w:color="auto" w:sz="4" w:space="0"/>
            </w:tcBorders>
            <w:vAlign w:val="center"/>
          </w:tcPr>
          <w:p w14:paraId="256E268D">
            <w:pPr>
              <w:jc w:val="center"/>
              <w:rPr>
                <w:color w:val="000000" w:themeColor="text1"/>
                <w14:textFill>
                  <w14:solidFill>
                    <w14:schemeClr w14:val="tx1"/>
                  </w14:solidFill>
                </w14:textFill>
              </w:rPr>
            </w:pPr>
          </w:p>
        </w:tc>
        <w:sdt>
          <w:sdtPr>
            <w:tag w:val="_PLD_93042a28c5384d07846d52135bd7e7d1"/>
            <w:id w:val="147457487"/>
          </w:sdtPr>
          <w:sdtContent>
            <w:tc>
              <w:tcPr>
                <w:tcW w:w="497" w:type="pct"/>
                <w:tcBorders>
                  <w:left w:val="single" w:color="auto" w:sz="4" w:space="0"/>
                  <w:bottom w:val="single" w:color="auto" w:sz="4" w:space="0"/>
                  <w:right w:val="single" w:color="auto" w:sz="4" w:space="0"/>
                </w:tcBorders>
                <w:vAlign w:val="center"/>
              </w:tcPr>
              <w:p w14:paraId="2B125DC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金额</w:t>
                </w:r>
              </w:p>
            </w:tc>
          </w:sdtContent>
        </w:sdt>
        <w:sdt>
          <w:sdtPr>
            <w:tag w:val="_PLD_353de89f20d240d0a70ef38af3ea67bf"/>
            <w:id w:val="147472352"/>
          </w:sdtPr>
          <w:sdtContent>
            <w:tc>
              <w:tcPr>
                <w:tcW w:w="272" w:type="pct"/>
                <w:tcBorders>
                  <w:left w:val="single" w:color="auto" w:sz="4" w:space="0"/>
                  <w:bottom w:val="single" w:color="auto" w:sz="4" w:space="0"/>
                  <w:right w:val="single" w:color="auto" w:sz="4" w:space="0"/>
                </w:tcBorders>
                <w:vAlign w:val="center"/>
              </w:tcPr>
              <w:p w14:paraId="282913C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比例</w:t>
                </w:r>
                <w:r>
                  <w:rPr>
                    <w:color w:val="000000" w:themeColor="text1"/>
                    <w14:textFill>
                      <w14:solidFill>
                        <w14:schemeClr w14:val="tx1"/>
                      </w14:solidFill>
                    </w14:textFill>
                  </w:rPr>
                  <w:t>(%)</w:t>
                </w:r>
              </w:p>
            </w:tc>
          </w:sdtContent>
        </w:sdt>
        <w:sdt>
          <w:sdtPr>
            <w:tag w:val="_PLD_4bfc73d30caf4a529a41c32b56ee8803"/>
            <w:id w:val="147451037"/>
          </w:sdtPr>
          <w:sdtContent>
            <w:tc>
              <w:tcPr>
                <w:tcW w:w="516" w:type="pct"/>
                <w:tcBorders>
                  <w:left w:val="single" w:color="auto" w:sz="4" w:space="0"/>
                  <w:bottom w:val="single" w:color="auto" w:sz="4" w:space="0"/>
                  <w:right w:val="single" w:color="auto" w:sz="4" w:space="0"/>
                </w:tcBorders>
                <w:vAlign w:val="center"/>
              </w:tcPr>
              <w:p w14:paraId="2087D23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金额</w:t>
                </w:r>
              </w:p>
            </w:tc>
          </w:sdtContent>
        </w:sdt>
        <w:sdt>
          <w:sdtPr>
            <w:tag w:val="_PLD_51725cfa2add4096bb798d099e0405eb"/>
            <w:id w:val="147451494"/>
          </w:sdtPr>
          <w:sdtContent>
            <w:tc>
              <w:tcPr>
                <w:tcW w:w="294" w:type="pct"/>
                <w:tcBorders>
                  <w:left w:val="single" w:color="auto" w:sz="4" w:space="0"/>
                  <w:bottom w:val="single" w:color="auto" w:sz="4" w:space="0"/>
                  <w:right w:val="single" w:color="auto" w:sz="4" w:space="0"/>
                </w:tcBorders>
                <w:vAlign w:val="center"/>
              </w:tcPr>
              <w:p w14:paraId="67BC19C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计提比例</w:t>
                </w:r>
                <w:r>
                  <w:rPr>
                    <w:color w:val="000000" w:themeColor="text1"/>
                    <w14:textFill>
                      <w14:solidFill>
                        <w14:schemeClr w14:val="tx1"/>
                      </w14:solidFill>
                    </w14:textFill>
                  </w:rPr>
                  <w:t>(%)</w:t>
                </w:r>
              </w:p>
            </w:tc>
          </w:sdtContent>
        </w:sdt>
        <w:tc>
          <w:tcPr>
            <w:tcW w:w="516" w:type="pct"/>
            <w:vMerge w:val="continue"/>
            <w:tcBorders>
              <w:left w:val="single" w:color="auto" w:sz="4" w:space="0"/>
              <w:bottom w:val="single" w:color="auto" w:sz="4" w:space="0"/>
              <w:right w:val="single" w:color="auto" w:sz="4" w:space="0"/>
            </w:tcBorders>
          </w:tcPr>
          <w:p w14:paraId="4C62BD1F">
            <w:pPr>
              <w:jc w:val="center"/>
              <w:rPr>
                <w:color w:val="000000" w:themeColor="text1"/>
                <w14:textFill>
                  <w14:solidFill>
                    <w14:schemeClr w14:val="tx1"/>
                  </w14:solidFill>
                </w14:textFill>
              </w:rPr>
            </w:pPr>
          </w:p>
        </w:tc>
      </w:tr>
      <w:tr w14:paraId="0278A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60" w:type="pct"/>
            <w:tcBorders>
              <w:top w:val="single" w:color="auto" w:sz="4" w:space="0"/>
              <w:left w:val="single" w:color="auto" w:sz="4" w:space="0"/>
              <w:bottom w:val="single" w:color="auto" w:sz="4" w:space="0"/>
              <w:right w:val="single" w:color="auto" w:sz="4" w:space="0"/>
            </w:tcBorders>
          </w:tcPr>
          <w:p w14:paraId="1671FB0F">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w:t>
            </w:r>
          </w:p>
        </w:tc>
        <w:tc>
          <w:tcPr>
            <w:tcW w:w="534" w:type="pct"/>
            <w:tcBorders>
              <w:top w:val="single" w:color="auto" w:sz="4" w:space="0"/>
              <w:left w:val="single" w:color="auto" w:sz="4" w:space="0"/>
              <w:bottom w:val="single" w:color="auto" w:sz="4" w:space="0"/>
              <w:right w:val="single" w:color="auto" w:sz="4" w:space="0"/>
            </w:tcBorders>
            <w:vAlign w:val="center"/>
          </w:tcPr>
          <w:p w14:paraId="0D469637">
            <w:pPr>
              <w:jc w:val="right"/>
              <w:textAlignment w:val="center"/>
              <w:rPr>
                <w:rFonts w:cs="Times New Roman"/>
                <w:sz w:val="18"/>
                <w:szCs w:val="18"/>
              </w:rPr>
            </w:pPr>
            <w:r>
              <w:rPr>
                <w:rFonts w:cs="Times New Roman"/>
                <w:color w:val="000000"/>
                <w:sz w:val="18"/>
                <w:szCs w:val="18"/>
              </w:rPr>
              <w:t>744,441,774.63</w:t>
            </w:r>
          </w:p>
        </w:tc>
        <w:tc>
          <w:tcPr>
            <w:tcW w:w="301" w:type="pct"/>
            <w:tcBorders>
              <w:top w:val="single" w:color="auto" w:sz="4" w:space="0"/>
              <w:left w:val="single" w:color="auto" w:sz="4" w:space="0"/>
              <w:bottom w:val="single" w:color="auto" w:sz="4" w:space="0"/>
              <w:right w:val="single" w:color="auto" w:sz="4" w:space="0"/>
            </w:tcBorders>
            <w:vAlign w:val="center"/>
          </w:tcPr>
          <w:p w14:paraId="570DC64E">
            <w:pPr>
              <w:jc w:val="right"/>
              <w:textAlignment w:val="center"/>
              <w:rPr>
                <w:rFonts w:cs="Times New Roman"/>
                <w:sz w:val="18"/>
                <w:szCs w:val="18"/>
              </w:rPr>
            </w:pPr>
            <w:r>
              <w:rPr>
                <w:rFonts w:cs="Times New Roman"/>
                <w:color w:val="000000"/>
                <w:sz w:val="18"/>
                <w:szCs w:val="18"/>
              </w:rPr>
              <w:t>84.65</w:t>
            </w:r>
          </w:p>
        </w:tc>
        <w:tc>
          <w:tcPr>
            <w:tcW w:w="500" w:type="pct"/>
            <w:tcBorders>
              <w:top w:val="single" w:color="auto" w:sz="4" w:space="0"/>
              <w:left w:val="single" w:color="auto" w:sz="4" w:space="0"/>
              <w:bottom w:val="single" w:color="auto" w:sz="4" w:space="0"/>
              <w:right w:val="single" w:color="auto" w:sz="4" w:space="0"/>
            </w:tcBorders>
            <w:vAlign w:val="center"/>
          </w:tcPr>
          <w:p w14:paraId="4029E778">
            <w:pPr>
              <w:jc w:val="right"/>
              <w:textAlignment w:val="center"/>
              <w:rPr>
                <w:rFonts w:cs="Times New Roman"/>
                <w:sz w:val="18"/>
                <w:szCs w:val="18"/>
              </w:rPr>
            </w:pPr>
            <w:r>
              <w:rPr>
                <w:rFonts w:cs="Times New Roman"/>
                <w:color w:val="000000"/>
                <w:sz w:val="18"/>
                <w:szCs w:val="18"/>
              </w:rPr>
              <w:t>77,036,686.49</w:t>
            </w:r>
          </w:p>
        </w:tc>
        <w:tc>
          <w:tcPr>
            <w:tcW w:w="312" w:type="pct"/>
            <w:tcBorders>
              <w:top w:val="single" w:color="auto" w:sz="4" w:space="0"/>
              <w:left w:val="single" w:color="auto" w:sz="4" w:space="0"/>
              <w:bottom w:val="single" w:color="auto" w:sz="4" w:space="0"/>
              <w:right w:val="single" w:color="auto" w:sz="4" w:space="0"/>
            </w:tcBorders>
            <w:vAlign w:val="center"/>
          </w:tcPr>
          <w:p w14:paraId="2F9AA658">
            <w:pPr>
              <w:jc w:val="right"/>
              <w:textAlignment w:val="center"/>
              <w:rPr>
                <w:rFonts w:cs="Times New Roman"/>
                <w:sz w:val="18"/>
                <w:szCs w:val="18"/>
              </w:rPr>
            </w:pPr>
            <w:r>
              <w:rPr>
                <w:rFonts w:cs="Times New Roman"/>
                <w:color w:val="000000"/>
                <w:sz w:val="18"/>
                <w:szCs w:val="18"/>
              </w:rPr>
              <w:t>10.35</w:t>
            </w:r>
          </w:p>
        </w:tc>
        <w:tc>
          <w:tcPr>
            <w:tcW w:w="498" w:type="pct"/>
            <w:tcBorders>
              <w:top w:val="single" w:color="auto" w:sz="4" w:space="0"/>
              <w:left w:val="single" w:color="auto" w:sz="4" w:space="0"/>
              <w:bottom w:val="single" w:color="auto" w:sz="4" w:space="0"/>
              <w:right w:val="single" w:color="auto" w:sz="4" w:space="0"/>
            </w:tcBorders>
            <w:vAlign w:val="center"/>
          </w:tcPr>
          <w:p w14:paraId="09797E48">
            <w:pPr>
              <w:jc w:val="right"/>
              <w:textAlignment w:val="center"/>
              <w:rPr>
                <w:rFonts w:cs="Times New Roman"/>
                <w:sz w:val="18"/>
                <w:szCs w:val="18"/>
              </w:rPr>
            </w:pPr>
            <w:r>
              <w:rPr>
                <w:rFonts w:cs="Times New Roman"/>
                <w:color w:val="000000"/>
                <w:sz w:val="18"/>
                <w:szCs w:val="18"/>
              </w:rPr>
              <w:t>667,405,088.14</w:t>
            </w:r>
          </w:p>
        </w:tc>
        <w:tc>
          <w:tcPr>
            <w:tcW w:w="497" w:type="pct"/>
            <w:tcBorders>
              <w:top w:val="single" w:color="auto" w:sz="4" w:space="0"/>
              <w:left w:val="single" w:color="auto" w:sz="4" w:space="0"/>
              <w:bottom w:val="single" w:color="auto" w:sz="4" w:space="0"/>
              <w:right w:val="single" w:color="auto" w:sz="4" w:space="0"/>
            </w:tcBorders>
            <w:vAlign w:val="center"/>
          </w:tcPr>
          <w:p w14:paraId="6B94A335">
            <w:pPr>
              <w:jc w:val="right"/>
              <w:textAlignment w:val="center"/>
              <w:rPr>
                <w:rFonts w:cs="Times New Roman"/>
                <w:sz w:val="18"/>
                <w:szCs w:val="18"/>
              </w:rPr>
            </w:pPr>
            <w:r>
              <w:rPr>
                <w:rFonts w:cs="Times New Roman"/>
                <w:color w:val="000000"/>
                <w:sz w:val="18"/>
                <w:szCs w:val="18"/>
              </w:rPr>
              <w:t>748,924,093.63</w:t>
            </w:r>
          </w:p>
        </w:tc>
        <w:tc>
          <w:tcPr>
            <w:tcW w:w="272" w:type="pct"/>
            <w:tcBorders>
              <w:top w:val="single" w:color="auto" w:sz="4" w:space="0"/>
              <w:left w:val="single" w:color="auto" w:sz="4" w:space="0"/>
              <w:bottom w:val="single" w:color="auto" w:sz="4" w:space="0"/>
              <w:right w:val="single" w:color="auto" w:sz="4" w:space="0"/>
            </w:tcBorders>
            <w:vAlign w:val="center"/>
          </w:tcPr>
          <w:p w14:paraId="4FEBDCDF">
            <w:pPr>
              <w:jc w:val="right"/>
              <w:textAlignment w:val="center"/>
              <w:rPr>
                <w:rFonts w:cs="Times New Roman"/>
                <w:sz w:val="18"/>
                <w:szCs w:val="18"/>
              </w:rPr>
            </w:pPr>
            <w:r>
              <w:rPr>
                <w:rFonts w:cs="Times New Roman"/>
                <w:color w:val="000000"/>
                <w:sz w:val="18"/>
                <w:szCs w:val="18"/>
              </w:rPr>
              <w:t>83.36</w:t>
            </w:r>
          </w:p>
        </w:tc>
        <w:tc>
          <w:tcPr>
            <w:tcW w:w="516" w:type="pct"/>
            <w:tcBorders>
              <w:top w:val="single" w:color="auto" w:sz="4" w:space="0"/>
              <w:left w:val="single" w:color="auto" w:sz="4" w:space="0"/>
              <w:bottom w:val="single" w:color="auto" w:sz="4" w:space="0"/>
              <w:right w:val="single" w:color="auto" w:sz="4" w:space="0"/>
            </w:tcBorders>
            <w:vAlign w:val="center"/>
          </w:tcPr>
          <w:p w14:paraId="713926C3">
            <w:pPr>
              <w:jc w:val="right"/>
              <w:textAlignment w:val="center"/>
              <w:rPr>
                <w:rFonts w:cs="Times New Roman"/>
                <w:sz w:val="18"/>
                <w:szCs w:val="18"/>
              </w:rPr>
            </w:pPr>
            <w:r>
              <w:rPr>
                <w:rFonts w:cs="Times New Roman"/>
                <w:color w:val="000000"/>
                <w:sz w:val="18"/>
                <w:szCs w:val="18"/>
              </w:rPr>
              <w:t>77,036,686.49</w:t>
            </w:r>
          </w:p>
        </w:tc>
        <w:tc>
          <w:tcPr>
            <w:tcW w:w="294" w:type="pct"/>
            <w:tcBorders>
              <w:top w:val="single" w:color="auto" w:sz="4" w:space="0"/>
              <w:left w:val="single" w:color="auto" w:sz="4" w:space="0"/>
              <w:bottom w:val="single" w:color="auto" w:sz="4" w:space="0"/>
              <w:right w:val="single" w:color="auto" w:sz="4" w:space="0"/>
            </w:tcBorders>
            <w:vAlign w:val="center"/>
          </w:tcPr>
          <w:p w14:paraId="1C0C2A29">
            <w:pPr>
              <w:jc w:val="right"/>
              <w:textAlignment w:val="center"/>
              <w:rPr>
                <w:rFonts w:cs="Times New Roman"/>
                <w:sz w:val="18"/>
                <w:szCs w:val="18"/>
              </w:rPr>
            </w:pPr>
            <w:r>
              <w:rPr>
                <w:rFonts w:cs="Times New Roman"/>
                <w:color w:val="000000"/>
                <w:sz w:val="18"/>
                <w:szCs w:val="18"/>
              </w:rPr>
              <w:t>10.29</w:t>
            </w:r>
          </w:p>
        </w:tc>
        <w:tc>
          <w:tcPr>
            <w:tcW w:w="516" w:type="pct"/>
            <w:tcBorders>
              <w:top w:val="single" w:color="auto" w:sz="4" w:space="0"/>
              <w:left w:val="single" w:color="auto" w:sz="4" w:space="0"/>
              <w:bottom w:val="single" w:color="auto" w:sz="4" w:space="0"/>
              <w:right w:val="single" w:color="auto" w:sz="4" w:space="0"/>
            </w:tcBorders>
            <w:vAlign w:val="center"/>
          </w:tcPr>
          <w:p w14:paraId="794927FA">
            <w:pPr>
              <w:jc w:val="right"/>
              <w:textAlignment w:val="center"/>
              <w:rPr>
                <w:rFonts w:cs="Times New Roman"/>
                <w:sz w:val="18"/>
                <w:szCs w:val="18"/>
              </w:rPr>
            </w:pPr>
            <w:r>
              <w:rPr>
                <w:rFonts w:cs="Times New Roman"/>
                <w:color w:val="000000"/>
                <w:sz w:val="18"/>
                <w:szCs w:val="18"/>
              </w:rPr>
              <w:t>671,887,407.14</w:t>
            </w:r>
          </w:p>
        </w:tc>
      </w:tr>
      <w:tr w14:paraId="37C8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00" w:type="pct"/>
            <w:gridSpan w:val="11"/>
            <w:tcBorders>
              <w:top w:val="single" w:color="auto" w:sz="4" w:space="0"/>
              <w:left w:val="single" w:color="auto" w:sz="4" w:space="0"/>
              <w:bottom w:val="single" w:color="auto" w:sz="4" w:space="0"/>
              <w:right w:val="single" w:color="auto" w:sz="4" w:space="0"/>
            </w:tcBorders>
          </w:tcPr>
          <w:sdt>
            <w:sdtPr>
              <w:rPr>
                <w:rFonts w:cs="Times New Roman"/>
              </w:rPr>
              <w:tag w:val="_PLD_629b345ab1aa41abb30ccf92a4c7730d"/>
              <w:id w:val="147474075"/>
            </w:sdtPr>
            <w:sdtEndPr>
              <w:rPr>
                <w:rFonts w:cs="Times New Roman"/>
              </w:rPr>
            </w:sdtEndPr>
            <w:sdtContent>
              <w:p w14:paraId="050899FC">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w:t>
                </w:r>
              </w:p>
            </w:sdtContent>
          </w:sdt>
        </w:tc>
      </w:tr>
      <w:tr w14:paraId="3D489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60" w:type="pct"/>
            <w:tcBorders>
              <w:top w:val="single" w:color="auto" w:sz="4" w:space="0"/>
              <w:left w:val="single" w:color="auto" w:sz="4" w:space="0"/>
              <w:bottom w:val="single" w:color="auto" w:sz="4" w:space="0"/>
              <w:right w:val="single" w:color="auto" w:sz="4" w:space="0"/>
            </w:tcBorders>
          </w:tcPr>
          <w:p w14:paraId="36E420F3">
            <w:pPr>
              <w:rPr>
                <w:color w:val="000000" w:themeColor="text1"/>
                <w14:textFill>
                  <w14:solidFill>
                    <w14:schemeClr w14:val="tx1"/>
                  </w14:solidFill>
                </w14:textFill>
              </w:rPr>
            </w:pPr>
            <w:r>
              <w:rPr>
                <w:rFonts w:hint="eastAsia"/>
                <w:color w:val="000000" w:themeColor="text1"/>
                <w14:textFill>
                  <w14:solidFill>
                    <w14:schemeClr w14:val="tx1"/>
                  </w14:solidFill>
                </w14:textFill>
              </w:rPr>
              <w:t>按组合计提坏账准备</w:t>
            </w:r>
          </w:p>
        </w:tc>
        <w:tc>
          <w:tcPr>
            <w:tcW w:w="534" w:type="pct"/>
            <w:tcBorders>
              <w:top w:val="single" w:color="auto" w:sz="4" w:space="0"/>
              <w:left w:val="single" w:color="auto" w:sz="4" w:space="0"/>
              <w:bottom w:val="single" w:color="auto" w:sz="4" w:space="0"/>
              <w:right w:val="single" w:color="auto" w:sz="4" w:space="0"/>
            </w:tcBorders>
            <w:vAlign w:val="center"/>
          </w:tcPr>
          <w:p w14:paraId="0F01B17C">
            <w:pPr>
              <w:jc w:val="right"/>
              <w:textAlignment w:val="center"/>
              <w:rPr>
                <w:rFonts w:cs="Times New Roman"/>
                <w:sz w:val="18"/>
                <w:szCs w:val="18"/>
              </w:rPr>
            </w:pPr>
            <w:r>
              <w:rPr>
                <w:rFonts w:cs="Times New Roman"/>
                <w:color w:val="000000"/>
                <w:sz w:val="18"/>
                <w:szCs w:val="18"/>
              </w:rPr>
              <w:t>134,996,501.28</w:t>
            </w:r>
          </w:p>
        </w:tc>
        <w:tc>
          <w:tcPr>
            <w:tcW w:w="301" w:type="pct"/>
            <w:tcBorders>
              <w:top w:val="single" w:color="auto" w:sz="4" w:space="0"/>
              <w:left w:val="single" w:color="auto" w:sz="4" w:space="0"/>
              <w:bottom w:val="single" w:color="auto" w:sz="4" w:space="0"/>
              <w:right w:val="single" w:color="auto" w:sz="4" w:space="0"/>
            </w:tcBorders>
            <w:vAlign w:val="center"/>
          </w:tcPr>
          <w:p w14:paraId="798FA14E">
            <w:pPr>
              <w:jc w:val="right"/>
              <w:textAlignment w:val="center"/>
              <w:rPr>
                <w:rFonts w:cs="Times New Roman"/>
                <w:sz w:val="18"/>
                <w:szCs w:val="18"/>
              </w:rPr>
            </w:pPr>
            <w:r>
              <w:rPr>
                <w:rFonts w:cs="Times New Roman"/>
                <w:color w:val="000000"/>
                <w:sz w:val="18"/>
                <w:szCs w:val="18"/>
              </w:rPr>
              <w:t>15.35</w:t>
            </w:r>
          </w:p>
        </w:tc>
        <w:tc>
          <w:tcPr>
            <w:tcW w:w="500" w:type="pct"/>
            <w:tcBorders>
              <w:top w:val="single" w:color="auto" w:sz="4" w:space="0"/>
              <w:left w:val="single" w:color="auto" w:sz="4" w:space="0"/>
              <w:bottom w:val="single" w:color="auto" w:sz="4" w:space="0"/>
              <w:right w:val="single" w:color="auto" w:sz="4" w:space="0"/>
            </w:tcBorders>
            <w:vAlign w:val="center"/>
          </w:tcPr>
          <w:p w14:paraId="741D93D0">
            <w:pPr>
              <w:jc w:val="right"/>
              <w:textAlignment w:val="center"/>
              <w:rPr>
                <w:rFonts w:cs="Times New Roman"/>
                <w:sz w:val="18"/>
                <w:szCs w:val="18"/>
              </w:rPr>
            </w:pPr>
            <w:r>
              <w:rPr>
                <w:rFonts w:cs="Times New Roman"/>
                <w:color w:val="000000"/>
                <w:sz w:val="18"/>
                <w:szCs w:val="18"/>
              </w:rPr>
              <w:t>80,623,665.27</w:t>
            </w:r>
          </w:p>
        </w:tc>
        <w:tc>
          <w:tcPr>
            <w:tcW w:w="312" w:type="pct"/>
            <w:tcBorders>
              <w:top w:val="single" w:color="auto" w:sz="4" w:space="0"/>
              <w:left w:val="single" w:color="auto" w:sz="4" w:space="0"/>
              <w:bottom w:val="single" w:color="auto" w:sz="4" w:space="0"/>
              <w:right w:val="single" w:color="auto" w:sz="4" w:space="0"/>
            </w:tcBorders>
            <w:vAlign w:val="center"/>
          </w:tcPr>
          <w:p w14:paraId="56A5BC2E">
            <w:pPr>
              <w:jc w:val="right"/>
              <w:textAlignment w:val="center"/>
              <w:rPr>
                <w:rFonts w:cs="Times New Roman"/>
                <w:sz w:val="18"/>
                <w:szCs w:val="18"/>
              </w:rPr>
            </w:pPr>
            <w:r>
              <w:rPr>
                <w:rFonts w:cs="Times New Roman"/>
                <w:color w:val="000000"/>
                <w:sz w:val="18"/>
                <w:szCs w:val="18"/>
              </w:rPr>
              <w:t>59.72</w:t>
            </w:r>
          </w:p>
        </w:tc>
        <w:tc>
          <w:tcPr>
            <w:tcW w:w="498" w:type="pct"/>
            <w:tcBorders>
              <w:top w:val="single" w:color="auto" w:sz="4" w:space="0"/>
              <w:left w:val="single" w:color="auto" w:sz="4" w:space="0"/>
              <w:bottom w:val="single" w:color="auto" w:sz="4" w:space="0"/>
              <w:right w:val="single" w:color="auto" w:sz="4" w:space="0"/>
            </w:tcBorders>
            <w:vAlign w:val="center"/>
          </w:tcPr>
          <w:p w14:paraId="10952DAD">
            <w:pPr>
              <w:jc w:val="right"/>
              <w:textAlignment w:val="center"/>
              <w:rPr>
                <w:rFonts w:cs="Times New Roman"/>
                <w:sz w:val="18"/>
                <w:szCs w:val="18"/>
              </w:rPr>
            </w:pPr>
            <w:r>
              <w:rPr>
                <w:rFonts w:cs="Times New Roman"/>
                <w:color w:val="000000"/>
                <w:sz w:val="18"/>
                <w:szCs w:val="18"/>
              </w:rPr>
              <w:t>54,372,836.01</w:t>
            </w:r>
          </w:p>
        </w:tc>
        <w:tc>
          <w:tcPr>
            <w:tcW w:w="497" w:type="pct"/>
            <w:tcBorders>
              <w:top w:val="single" w:color="auto" w:sz="4" w:space="0"/>
              <w:left w:val="single" w:color="auto" w:sz="4" w:space="0"/>
              <w:bottom w:val="single" w:color="auto" w:sz="4" w:space="0"/>
              <w:right w:val="single" w:color="auto" w:sz="4" w:space="0"/>
            </w:tcBorders>
            <w:vAlign w:val="center"/>
          </w:tcPr>
          <w:p w14:paraId="615C6D19">
            <w:pPr>
              <w:jc w:val="right"/>
              <w:textAlignment w:val="center"/>
              <w:rPr>
                <w:rFonts w:cs="Times New Roman"/>
                <w:sz w:val="18"/>
                <w:szCs w:val="18"/>
              </w:rPr>
            </w:pPr>
            <w:r>
              <w:rPr>
                <w:rFonts w:cs="Times New Roman"/>
                <w:color w:val="000000"/>
                <w:sz w:val="18"/>
                <w:szCs w:val="18"/>
              </w:rPr>
              <w:t>149,461,734.98</w:t>
            </w:r>
          </w:p>
        </w:tc>
        <w:tc>
          <w:tcPr>
            <w:tcW w:w="272" w:type="pct"/>
            <w:tcBorders>
              <w:top w:val="single" w:color="auto" w:sz="4" w:space="0"/>
              <w:left w:val="single" w:color="auto" w:sz="4" w:space="0"/>
              <w:bottom w:val="single" w:color="auto" w:sz="4" w:space="0"/>
              <w:right w:val="single" w:color="auto" w:sz="4" w:space="0"/>
            </w:tcBorders>
            <w:vAlign w:val="center"/>
          </w:tcPr>
          <w:p w14:paraId="3074B4AA">
            <w:pPr>
              <w:jc w:val="right"/>
              <w:textAlignment w:val="center"/>
              <w:rPr>
                <w:rFonts w:cs="Times New Roman"/>
                <w:sz w:val="18"/>
                <w:szCs w:val="18"/>
              </w:rPr>
            </w:pPr>
            <w:r>
              <w:rPr>
                <w:rFonts w:cs="Times New Roman"/>
                <w:color w:val="000000"/>
                <w:sz w:val="18"/>
                <w:szCs w:val="18"/>
              </w:rPr>
              <w:t>16.64</w:t>
            </w:r>
          </w:p>
        </w:tc>
        <w:tc>
          <w:tcPr>
            <w:tcW w:w="516" w:type="pct"/>
            <w:tcBorders>
              <w:top w:val="single" w:color="auto" w:sz="4" w:space="0"/>
              <w:left w:val="single" w:color="auto" w:sz="4" w:space="0"/>
              <w:bottom w:val="single" w:color="auto" w:sz="4" w:space="0"/>
              <w:right w:val="single" w:color="auto" w:sz="4" w:space="0"/>
            </w:tcBorders>
            <w:vAlign w:val="center"/>
          </w:tcPr>
          <w:p w14:paraId="65DBF8AF">
            <w:pPr>
              <w:jc w:val="right"/>
              <w:textAlignment w:val="center"/>
              <w:rPr>
                <w:rFonts w:cs="Times New Roman"/>
                <w:sz w:val="18"/>
                <w:szCs w:val="18"/>
              </w:rPr>
            </w:pPr>
            <w:r>
              <w:rPr>
                <w:rFonts w:cs="Times New Roman"/>
                <w:color w:val="000000"/>
                <w:sz w:val="18"/>
                <w:szCs w:val="18"/>
              </w:rPr>
              <w:t>77,339,381.98</w:t>
            </w:r>
          </w:p>
        </w:tc>
        <w:tc>
          <w:tcPr>
            <w:tcW w:w="294" w:type="pct"/>
            <w:tcBorders>
              <w:top w:val="single" w:color="auto" w:sz="4" w:space="0"/>
              <w:left w:val="single" w:color="auto" w:sz="4" w:space="0"/>
              <w:bottom w:val="single" w:color="auto" w:sz="4" w:space="0"/>
              <w:right w:val="single" w:color="auto" w:sz="4" w:space="0"/>
            </w:tcBorders>
            <w:vAlign w:val="center"/>
          </w:tcPr>
          <w:p w14:paraId="097C10E3">
            <w:pPr>
              <w:jc w:val="right"/>
              <w:textAlignment w:val="center"/>
              <w:rPr>
                <w:rFonts w:cs="Times New Roman"/>
                <w:sz w:val="18"/>
                <w:szCs w:val="18"/>
              </w:rPr>
            </w:pPr>
            <w:r>
              <w:rPr>
                <w:rFonts w:cs="Times New Roman"/>
                <w:color w:val="000000"/>
                <w:sz w:val="18"/>
                <w:szCs w:val="18"/>
              </w:rPr>
              <w:t>51.75</w:t>
            </w:r>
          </w:p>
        </w:tc>
        <w:tc>
          <w:tcPr>
            <w:tcW w:w="516" w:type="pct"/>
            <w:tcBorders>
              <w:top w:val="single" w:color="auto" w:sz="4" w:space="0"/>
              <w:left w:val="single" w:color="auto" w:sz="4" w:space="0"/>
              <w:bottom w:val="single" w:color="auto" w:sz="4" w:space="0"/>
              <w:right w:val="single" w:color="auto" w:sz="4" w:space="0"/>
            </w:tcBorders>
            <w:vAlign w:val="center"/>
          </w:tcPr>
          <w:p w14:paraId="27860394">
            <w:pPr>
              <w:jc w:val="right"/>
              <w:textAlignment w:val="center"/>
              <w:rPr>
                <w:rFonts w:cs="Times New Roman"/>
                <w:sz w:val="18"/>
                <w:szCs w:val="18"/>
              </w:rPr>
            </w:pPr>
            <w:r>
              <w:rPr>
                <w:rFonts w:cs="Times New Roman"/>
                <w:color w:val="000000"/>
                <w:sz w:val="18"/>
                <w:szCs w:val="18"/>
              </w:rPr>
              <w:t>72,122,353.00</w:t>
            </w:r>
          </w:p>
        </w:tc>
      </w:tr>
      <w:tr w14:paraId="1CBAC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00" w:type="pct"/>
            <w:gridSpan w:val="11"/>
            <w:tcBorders>
              <w:top w:val="single" w:color="auto" w:sz="4" w:space="0"/>
              <w:left w:val="single" w:color="auto" w:sz="4" w:space="0"/>
              <w:bottom w:val="single" w:color="auto" w:sz="4" w:space="0"/>
              <w:right w:val="single" w:color="auto" w:sz="4" w:space="0"/>
            </w:tcBorders>
          </w:tcPr>
          <w:sdt>
            <w:sdtPr>
              <w:rPr>
                <w:rFonts w:cs="Times New Roman"/>
              </w:rPr>
              <w:tag w:val="_PLD_f95d92b353ca4ee9915c6fd7a3bc2c67"/>
              <w:id w:val="147457181"/>
            </w:sdtPr>
            <w:sdtEndPr>
              <w:rPr>
                <w:rFonts w:cs="Times New Roman"/>
              </w:rPr>
            </w:sdtEndPr>
            <w:sdtContent>
              <w:p w14:paraId="7C1E5638">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w:t>
                </w:r>
              </w:p>
            </w:sdtContent>
          </w:sdt>
        </w:tc>
      </w:tr>
      <w:tr w14:paraId="51AF1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color w:val="000000" w:themeColor="text1"/>
              <w14:textFill>
                <w14:solidFill>
                  <w14:schemeClr w14:val="tx1"/>
                </w14:solidFill>
              </w14:textFill>
            </w:rPr>
            <w:alias w:val="按组合计提坏账准备的明细-类别"/>
            <w:tag w:val="_GBC_91cdf91a6beb42fc833f67b0fda84b72"/>
            <w:id w:val="147462339"/>
          </w:sdtPr>
          <w:sdtEndPr>
            <w:rPr>
              <w:color w:val="000000" w:themeColor="text1"/>
              <w14:textFill>
                <w14:solidFill>
                  <w14:schemeClr w14:val="tx1"/>
                </w14:solidFill>
              </w14:textFill>
            </w:rPr>
          </w:sdtEndPr>
          <w:sdtContent>
            <w:tc>
              <w:tcPr>
                <w:tcW w:w="760" w:type="pct"/>
                <w:tcBorders>
                  <w:top w:val="single" w:color="auto" w:sz="4" w:space="0"/>
                  <w:left w:val="single" w:color="auto" w:sz="4" w:space="0"/>
                  <w:bottom w:val="single" w:color="auto" w:sz="4" w:space="0"/>
                  <w:right w:val="single" w:color="auto" w:sz="4" w:space="0"/>
                </w:tcBorders>
              </w:tcPr>
              <w:p w14:paraId="1F18A871">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账龄组合</w:t>
                </w:r>
              </w:p>
            </w:tc>
          </w:sdtContent>
        </w:sdt>
        <w:tc>
          <w:tcPr>
            <w:tcW w:w="534" w:type="pct"/>
            <w:tcBorders>
              <w:top w:val="single" w:color="auto" w:sz="4" w:space="0"/>
              <w:left w:val="single" w:color="auto" w:sz="4" w:space="0"/>
              <w:bottom w:val="single" w:color="auto" w:sz="4" w:space="0"/>
              <w:right w:val="single" w:color="auto" w:sz="4" w:space="0"/>
            </w:tcBorders>
            <w:vAlign w:val="center"/>
          </w:tcPr>
          <w:p w14:paraId="77923750">
            <w:pPr>
              <w:jc w:val="right"/>
              <w:textAlignment w:val="center"/>
              <w:rPr>
                <w:rFonts w:cs="Times New Roman"/>
                <w:sz w:val="18"/>
                <w:szCs w:val="18"/>
              </w:rPr>
            </w:pPr>
            <w:r>
              <w:rPr>
                <w:rFonts w:cs="Times New Roman"/>
                <w:color w:val="000000"/>
                <w:sz w:val="18"/>
                <w:szCs w:val="18"/>
              </w:rPr>
              <w:t>134,996,501.28</w:t>
            </w:r>
          </w:p>
        </w:tc>
        <w:tc>
          <w:tcPr>
            <w:tcW w:w="301" w:type="pct"/>
            <w:tcBorders>
              <w:top w:val="single" w:color="auto" w:sz="4" w:space="0"/>
              <w:left w:val="single" w:color="auto" w:sz="4" w:space="0"/>
              <w:bottom w:val="single" w:color="auto" w:sz="4" w:space="0"/>
              <w:right w:val="single" w:color="auto" w:sz="4" w:space="0"/>
            </w:tcBorders>
            <w:vAlign w:val="center"/>
          </w:tcPr>
          <w:p w14:paraId="5695EB22">
            <w:pPr>
              <w:jc w:val="right"/>
              <w:textAlignment w:val="center"/>
              <w:rPr>
                <w:rFonts w:cs="Times New Roman"/>
                <w:sz w:val="18"/>
                <w:szCs w:val="18"/>
              </w:rPr>
            </w:pPr>
            <w:r>
              <w:rPr>
                <w:rFonts w:cs="Times New Roman"/>
                <w:color w:val="000000"/>
                <w:sz w:val="18"/>
                <w:szCs w:val="18"/>
              </w:rPr>
              <w:t>15.35</w:t>
            </w:r>
          </w:p>
        </w:tc>
        <w:tc>
          <w:tcPr>
            <w:tcW w:w="500" w:type="pct"/>
            <w:tcBorders>
              <w:top w:val="single" w:color="auto" w:sz="4" w:space="0"/>
              <w:left w:val="single" w:color="auto" w:sz="4" w:space="0"/>
              <w:bottom w:val="single" w:color="auto" w:sz="4" w:space="0"/>
              <w:right w:val="single" w:color="auto" w:sz="4" w:space="0"/>
            </w:tcBorders>
            <w:vAlign w:val="center"/>
          </w:tcPr>
          <w:p w14:paraId="477A8CFA">
            <w:pPr>
              <w:jc w:val="right"/>
              <w:textAlignment w:val="center"/>
              <w:rPr>
                <w:rFonts w:cs="Times New Roman"/>
                <w:sz w:val="18"/>
                <w:szCs w:val="18"/>
              </w:rPr>
            </w:pPr>
            <w:r>
              <w:rPr>
                <w:rFonts w:cs="Times New Roman"/>
                <w:color w:val="000000"/>
                <w:sz w:val="18"/>
                <w:szCs w:val="18"/>
              </w:rPr>
              <w:t>80,623,665.27</w:t>
            </w:r>
          </w:p>
        </w:tc>
        <w:tc>
          <w:tcPr>
            <w:tcW w:w="312" w:type="pct"/>
            <w:tcBorders>
              <w:top w:val="single" w:color="auto" w:sz="4" w:space="0"/>
              <w:left w:val="single" w:color="auto" w:sz="4" w:space="0"/>
              <w:bottom w:val="single" w:color="auto" w:sz="4" w:space="0"/>
              <w:right w:val="single" w:color="auto" w:sz="4" w:space="0"/>
            </w:tcBorders>
            <w:vAlign w:val="center"/>
          </w:tcPr>
          <w:p w14:paraId="4E8D878D">
            <w:pPr>
              <w:jc w:val="right"/>
              <w:textAlignment w:val="center"/>
              <w:rPr>
                <w:rFonts w:cs="Times New Roman"/>
                <w:sz w:val="18"/>
                <w:szCs w:val="18"/>
              </w:rPr>
            </w:pPr>
            <w:r>
              <w:rPr>
                <w:rFonts w:cs="Times New Roman"/>
                <w:color w:val="000000"/>
                <w:sz w:val="18"/>
                <w:szCs w:val="18"/>
              </w:rPr>
              <w:t>59.72</w:t>
            </w:r>
          </w:p>
        </w:tc>
        <w:tc>
          <w:tcPr>
            <w:tcW w:w="498" w:type="pct"/>
            <w:tcBorders>
              <w:top w:val="single" w:color="auto" w:sz="4" w:space="0"/>
              <w:left w:val="single" w:color="auto" w:sz="4" w:space="0"/>
              <w:bottom w:val="single" w:color="auto" w:sz="4" w:space="0"/>
              <w:right w:val="single" w:color="auto" w:sz="4" w:space="0"/>
            </w:tcBorders>
            <w:vAlign w:val="center"/>
          </w:tcPr>
          <w:p w14:paraId="397834BB">
            <w:pPr>
              <w:jc w:val="right"/>
              <w:textAlignment w:val="center"/>
              <w:rPr>
                <w:rFonts w:cs="Times New Roman"/>
                <w:sz w:val="18"/>
                <w:szCs w:val="18"/>
              </w:rPr>
            </w:pPr>
            <w:r>
              <w:rPr>
                <w:rFonts w:cs="Times New Roman"/>
                <w:color w:val="000000"/>
                <w:sz w:val="18"/>
                <w:szCs w:val="18"/>
              </w:rPr>
              <w:t>54,372,836.01</w:t>
            </w:r>
          </w:p>
        </w:tc>
        <w:tc>
          <w:tcPr>
            <w:tcW w:w="497" w:type="pct"/>
            <w:tcBorders>
              <w:top w:val="single" w:color="auto" w:sz="4" w:space="0"/>
              <w:left w:val="single" w:color="auto" w:sz="4" w:space="0"/>
              <w:bottom w:val="single" w:color="auto" w:sz="4" w:space="0"/>
              <w:right w:val="single" w:color="auto" w:sz="4" w:space="0"/>
            </w:tcBorders>
            <w:vAlign w:val="center"/>
          </w:tcPr>
          <w:p w14:paraId="7A324980">
            <w:pPr>
              <w:jc w:val="right"/>
              <w:textAlignment w:val="center"/>
              <w:rPr>
                <w:rFonts w:cs="Times New Roman"/>
                <w:sz w:val="18"/>
                <w:szCs w:val="18"/>
              </w:rPr>
            </w:pPr>
            <w:r>
              <w:rPr>
                <w:rFonts w:cs="Times New Roman"/>
                <w:color w:val="000000"/>
                <w:sz w:val="18"/>
                <w:szCs w:val="18"/>
              </w:rPr>
              <w:t>149,461,734.98</w:t>
            </w:r>
          </w:p>
        </w:tc>
        <w:tc>
          <w:tcPr>
            <w:tcW w:w="272" w:type="pct"/>
            <w:tcBorders>
              <w:top w:val="single" w:color="auto" w:sz="4" w:space="0"/>
              <w:left w:val="single" w:color="auto" w:sz="4" w:space="0"/>
              <w:bottom w:val="single" w:color="auto" w:sz="4" w:space="0"/>
              <w:right w:val="single" w:color="auto" w:sz="4" w:space="0"/>
            </w:tcBorders>
            <w:vAlign w:val="center"/>
          </w:tcPr>
          <w:p w14:paraId="634E1A4C">
            <w:pPr>
              <w:jc w:val="right"/>
              <w:textAlignment w:val="center"/>
              <w:rPr>
                <w:rFonts w:cs="Times New Roman"/>
                <w:sz w:val="18"/>
                <w:szCs w:val="18"/>
              </w:rPr>
            </w:pPr>
            <w:r>
              <w:rPr>
                <w:rFonts w:cs="Times New Roman"/>
                <w:color w:val="000000"/>
                <w:sz w:val="18"/>
                <w:szCs w:val="18"/>
              </w:rPr>
              <w:t>16.64</w:t>
            </w:r>
          </w:p>
        </w:tc>
        <w:tc>
          <w:tcPr>
            <w:tcW w:w="516" w:type="pct"/>
            <w:tcBorders>
              <w:top w:val="single" w:color="auto" w:sz="4" w:space="0"/>
              <w:left w:val="single" w:color="auto" w:sz="4" w:space="0"/>
              <w:bottom w:val="single" w:color="auto" w:sz="4" w:space="0"/>
              <w:right w:val="single" w:color="auto" w:sz="4" w:space="0"/>
            </w:tcBorders>
            <w:vAlign w:val="center"/>
          </w:tcPr>
          <w:p w14:paraId="674753EA">
            <w:pPr>
              <w:jc w:val="right"/>
              <w:textAlignment w:val="center"/>
              <w:rPr>
                <w:rFonts w:cs="Times New Roman"/>
                <w:sz w:val="18"/>
                <w:szCs w:val="18"/>
              </w:rPr>
            </w:pPr>
            <w:r>
              <w:rPr>
                <w:rFonts w:cs="Times New Roman"/>
                <w:color w:val="000000"/>
                <w:sz w:val="18"/>
                <w:szCs w:val="18"/>
              </w:rPr>
              <w:t>77,339,381.98</w:t>
            </w:r>
          </w:p>
        </w:tc>
        <w:tc>
          <w:tcPr>
            <w:tcW w:w="294" w:type="pct"/>
            <w:tcBorders>
              <w:top w:val="single" w:color="auto" w:sz="4" w:space="0"/>
              <w:left w:val="single" w:color="auto" w:sz="4" w:space="0"/>
              <w:bottom w:val="single" w:color="auto" w:sz="4" w:space="0"/>
              <w:right w:val="single" w:color="auto" w:sz="4" w:space="0"/>
            </w:tcBorders>
            <w:vAlign w:val="center"/>
          </w:tcPr>
          <w:p w14:paraId="37C7CBED">
            <w:pPr>
              <w:jc w:val="right"/>
              <w:textAlignment w:val="center"/>
              <w:rPr>
                <w:rFonts w:cs="Times New Roman"/>
                <w:sz w:val="18"/>
                <w:szCs w:val="18"/>
              </w:rPr>
            </w:pPr>
            <w:r>
              <w:rPr>
                <w:rFonts w:cs="Times New Roman"/>
                <w:color w:val="000000"/>
                <w:sz w:val="18"/>
                <w:szCs w:val="18"/>
              </w:rPr>
              <w:t>51.75</w:t>
            </w:r>
          </w:p>
        </w:tc>
        <w:tc>
          <w:tcPr>
            <w:tcW w:w="516" w:type="pct"/>
            <w:tcBorders>
              <w:top w:val="single" w:color="auto" w:sz="4" w:space="0"/>
              <w:left w:val="single" w:color="auto" w:sz="4" w:space="0"/>
              <w:bottom w:val="single" w:color="auto" w:sz="4" w:space="0"/>
              <w:right w:val="single" w:color="auto" w:sz="4" w:space="0"/>
            </w:tcBorders>
            <w:vAlign w:val="center"/>
          </w:tcPr>
          <w:p w14:paraId="00BD77FE">
            <w:pPr>
              <w:jc w:val="right"/>
              <w:textAlignment w:val="center"/>
              <w:rPr>
                <w:rFonts w:cs="Times New Roman"/>
                <w:sz w:val="18"/>
                <w:szCs w:val="18"/>
              </w:rPr>
            </w:pPr>
            <w:r>
              <w:rPr>
                <w:rFonts w:cs="Times New Roman"/>
                <w:color w:val="000000"/>
                <w:sz w:val="18"/>
                <w:szCs w:val="18"/>
              </w:rPr>
              <w:t>72,122,353.00</w:t>
            </w:r>
          </w:p>
        </w:tc>
      </w:tr>
      <w:tr w14:paraId="36AE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60" w:type="pct"/>
            <w:tcBorders>
              <w:top w:val="single" w:color="auto" w:sz="4" w:space="0"/>
              <w:left w:val="single" w:color="auto" w:sz="4" w:space="0"/>
              <w:bottom w:val="single" w:color="auto" w:sz="4" w:space="0"/>
              <w:right w:val="single" w:color="auto" w:sz="4" w:space="0"/>
            </w:tcBorders>
            <w:vAlign w:val="center"/>
          </w:tcPr>
          <w:p w14:paraId="79433BED">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534" w:type="pct"/>
            <w:tcBorders>
              <w:top w:val="single" w:color="auto" w:sz="4" w:space="0"/>
              <w:left w:val="single" w:color="auto" w:sz="4" w:space="0"/>
              <w:bottom w:val="single" w:color="auto" w:sz="4" w:space="0"/>
              <w:right w:val="single" w:color="auto" w:sz="4" w:space="0"/>
            </w:tcBorders>
            <w:vAlign w:val="center"/>
          </w:tcPr>
          <w:p w14:paraId="48839492">
            <w:pPr>
              <w:jc w:val="right"/>
              <w:textAlignment w:val="center"/>
              <w:rPr>
                <w:rFonts w:cs="Times New Roman"/>
                <w:sz w:val="18"/>
                <w:szCs w:val="18"/>
              </w:rPr>
            </w:pPr>
            <w:r>
              <w:rPr>
                <w:rFonts w:cs="Times New Roman"/>
                <w:color w:val="000000"/>
                <w:sz w:val="18"/>
                <w:szCs w:val="18"/>
              </w:rPr>
              <w:t>879,438,275.91</w:t>
            </w:r>
          </w:p>
        </w:tc>
        <w:tc>
          <w:tcPr>
            <w:tcW w:w="301" w:type="pct"/>
            <w:tcBorders>
              <w:top w:val="single" w:color="auto" w:sz="4" w:space="0"/>
              <w:left w:val="single" w:color="auto" w:sz="4" w:space="0"/>
              <w:bottom w:val="single" w:color="auto" w:sz="4" w:space="0"/>
              <w:right w:val="single" w:color="auto" w:sz="4" w:space="0"/>
            </w:tcBorders>
          </w:tcPr>
          <w:p w14:paraId="02EB142D">
            <w:pPr>
              <w:jc w:val="center"/>
              <w:textAlignment w:val="top"/>
              <w:rPr>
                <w:rFonts w:cs="Times New Roman"/>
                <w:color w:val="000000" w:themeColor="text1"/>
                <w:sz w:val="18"/>
                <w:szCs w:val="18"/>
                <w14:textFill>
                  <w14:solidFill>
                    <w14:schemeClr w14:val="tx1"/>
                  </w14:solidFill>
                </w14:textFill>
              </w:rPr>
            </w:pPr>
            <w:r>
              <w:rPr>
                <w:rFonts w:cs="Times New Roman"/>
                <w:color w:val="000000"/>
                <w:sz w:val="18"/>
                <w:szCs w:val="18"/>
              </w:rPr>
              <w:t>/</w:t>
            </w:r>
          </w:p>
        </w:tc>
        <w:tc>
          <w:tcPr>
            <w:tcW w:w="500" w:type="pct"/>
            <w:tcBorders>
              <w:top w:val="single" w:color="auto" w:sz="4" w:space="0"/>
              <w:left w:val="single" w:color="auto" w:sz="4" w:space="0"/>
              <w:bottom w:val="single" w:color="auto" w:sz="4" w:space="0"/>
              <w:right w:val="single" w:color="auto" w:sz="4" w:space="0"/>
            </w:tcBorders>
            <w:vAlign w:val="center"/>
          </w:tcPr>
          <w:p w14:paraId="3BCA0ADF">
            <w:pPr>
              <w:jc w:val="right"/>
              <w:textAlignment w:val="center"/>
              <w:rPr>
                <w:rFonts w:cs="Times New Roman"/>
                <w:sz w:val="18"/>
                <w:szCs w:val="18"/>
              </w:rPr>
            </w:pPr>
            <w:r>
              <w:rPr>
                <w:rFonts w:cs="Times New Roman"/>
                <w:color w:val="000000"/>
                <w:sz w:val="18"/>
                <w:szCs w:val="18"/>
              </w:rPr>
              <w:t>157,660,351.76</w:t>
            </w:r>
          </w:p>
        </w:tc>
        <w:tc>
          <w:tcPr>
            <w:tcW w:w="312" w:type="pct"/>
            <w:tcBorders>
              <w:top w:val="single" w:color="auto" w:sz="4" w:space="0"/>
              <w:left w:val="single" w:color="auto" w:sz="4" w:space="0"/>
              <w:bottom w:val="single" w:color="auto" w:sz="4" w:space="0"/>
              <w:right w:val="single" w:color="auto" w:sz="4" w:space="0"/>
            </w:tcBorders>
          </w:tcPr>
          <w:p w14:paraId="2288FA27">
            <w:pPr>
              <w:jc w:val="center"/>
              <w:textAlignment w:val="top"/>
              <w:rPr>
                <w:rFonts w:cs="Times New Roman"/>
                <w:color w:val="000000" w:themeColor="text1"/>
                <w:sz w:val="18"/>
                <w:szCs w:val="18"/>
                <w14:textFill>
                  <w14:solidFill>
                    <w14:schemeClr w14:val="tx1"/>
                  </w14:solidFill>
                </w14:textFill>
              </w:rPr>
            </w:pPr>
            <w:r>
              <w:rPr>
                <w:rFonts w:cs="Times New Roman"/>
                <w:color w:val="000000"/>
                <w:sz w:val="18"/>
                <w:szCs w:val="18"/>
              </w:rPr>
              <w:t>/</w:t>
            </w:r>
          </w:p>
        </w:tc>
        <w:tc>
          <w:tcPr>
            <w:tcW w:w="498" w:type="pct"/>
            <w:tcBorders>
              <w:top w:val="single" w:color="auto" w:sz="4" w:space="0"/>
              <w:left w:val="single" w:color="auto" w:sz="4" w:space="0"/>
              <w:bottom w:val="single" w:color="auto" w:sz="4" w:space="0"/>
              <w:right w:val="single" w:color="auto" w:sz="4" w:space="0"/>
            </w:tcBorders>
            <w:vAlign w:val="center"/>
          </w:tcPr>
          <w:p w14:paraId="11973542">
            <w:pPr>
              <w:jc w:val="right"/>
              <w:textAlignment w:val="center"/>
              <w:rPr>
                <w:rFonts w:cs="Times New Roman"/>
                <w:sz w:val="18"/>
                <w:szCs w:val="18"/>
              </w:rPr>
            </w:pPr>
            <w:r>
              <w:rPr>
                <w:rFonts w:cs="Times New Roman"/>
                <w:color w:val="000000"/>
                <w:sz w:val="18"/>
                <w:szCs w:val="18"/>
              </w:rPr>
              <w:t>721,777,924.15</w:t>
            </w:r>
          </w:p>
        </w:tc>
        <w:tc>
          <w:tcPr>
            <w:tcW w:w="497" w:type="pct"/>
            <w:tcBorders>
              <w:top w:val="single" w:color="auto" w:sz="4" w:space="0"/>
              <w:left w:val="single" w:color="auto" w:sz="4" w:space="0"/>
              <w:bottom w:val="single" w:color="auto" w:sz="4" w:space="0"/>
              <w:right w:val="single" w:color="auto" w:sz="4" w:space="0"/>
            </w:tcBorders>
            <w:vAlign w:val="center"/>
          </w:tcPr>
          <w:p w14:paraId="04EF1B0A">
            <w:pPr>
              <w:jc w:val="right"/>
              <w:textAlignment w:val="center"/>
              <w:rPr>
                <w:rFonts w:cs="Times New Roman"/>
                <w:sz w:val="18"/>
                <w:szCs w:val="18"/>
              </w:rPr>
            </w:pPr>
            <w:r>
              <w:rPr>
                <w:rFonts w:cs="Times New Roman"/>
                <w:color w:val="000000"/>
                <w:sz w:val="18"/>
                <w:szCs w:val="18"/>
              </w:rPr>
              <w:t>898,385,828.61</w:t>
            </w:r>
          </w:p>
        </w:tc>
        <w:tc>
          <w:tcPr>
            <w:tcW w:w="272" w:type="pct"/>
            <w:tcBorders>
              <w:top w:val="single" w:color="auto" w:sz="4" w:space="0"/>
              <w:left w:val="single" w:color="auto" w:sz="4" w:space="0"/>
              <w:bottom w:val="single" w:color="auto" w:sz="4" w:space="0"/>
              <w:right w:val="single" w:color="auto" w:sz="4" w:space="0"/>
            </w:tcBorders>
          </w:tcPr>
          <w:p w14:paraId="1DD61C3E">
            <w:pPr>
              <w:jc w:val="center"/>
              <w:textAlignment w:val="top"/>
              <w:rPr>
                <w:rFonts w:cs="Times New Roman"/>
                <w:color w:val="000000" w:themeColor="text1"/>
                <w:sz w:val="18"/>
                <w:szCs w:val="18"/>
                <w14:textFill>
                  <w14:solidFill>
                    <w14:schemeClr w14:val="tx1"/>
                  </w14:solidFill>
                </w14:textFill>
              </w:rPr>
            </w:pPr>
            <w:r>
              <w:rPr>
                <w:rFonts w:cs="Times New Roman"/>
                <w:color w:val="000000"/>
                <w:sz w:val="18"/>
                <w:szCs w:val="18"/>
              </w:rPr>
              <w:t>/</w:t>
            </w:r>
          </w:p>
        </w:tc>
        <w:tc>
          <w:tcPr>
            <w:tcW w:w="516" w:type="pct"/>
            <w:tcBorders>
              <w:top w:val="single" w:color="auto" w:sz="4" w:space="0"/>
              <w:left w:val="single" w:color="auto" w:sz="4" w:space="0"/>
              <w:bottom w:val="single" w:color="auto" w:sz="4" w:space="0"/>
              <w:right w:val="single" w:color="auto" w:sz="4" w:space="0"/>
            </w:tcBorders>
            <w:vAlign w:val="center"/>
          </w:tcPr>
          <w:p w14:paraId="2A6B798F">
            <w:pPr>
              <w:jc w:val="right"/>
              <w:textAlignment w:val="center"/>
              <w:rPr>
                <w:rFonts w:cs="Times New Roman"/>
                <w:sz w:val="18"/>
                <w:szCs w:val="18"/>
              </w:rPr>
            </w:pPr>
            <w:r>
              <w:rPr>
                <w:rFonts w:cs="Times New Roman"/>
                <w:color w:val="000000"/>
                <w:sz w:val="18"/>
                <w:szCs w:val="18"/>
              </w:rPr>
              <w:t>154,376,068.47</w:t>
            </w:r>
          </w:p>
        </w:tc>
        <w:tc>
          <w:tcPr>
            <w:tcW w:w="294" w:type="pct"/>
            <w:tcBorders>
              <w:top w:val="single" w:color="auto" w:sz="4" w:space="0"/>
              <w:left w:val="single" w:color="auto" w:sz="4" w:space="0"/>
              <w:bottom w:val="single" w:color="auto" w:sz="4" w:space="0"/>
              <w:right w:val="single" w:color="auto" w:sz="4" w:space="0"/>
            </w:tcBorders>
          </w:tcPr>
          <w:p w14:paraId="7CE28BDC">
            <w:pPr>
              <w:jc w:val="center"/>
              <w:textAlignment w:val="top"/>
              <w:rPr>
                <w:rFonts w:cs="Times New Roman"/>
                <w:color w:val="000000" w:themeColor="text1"/>
                <w:sz w:val="18"/>
                <w:szCs w:val="18"/>
                <w14:textFill>
                  <w14:solidFill>
                    <w14:schemeClr w14:val="tx1"/>
                  </w14:solidFill>
                </w14:textFill>
              </w:rPr>
            </w:pPr>
            <w:r>
              <w:rPr>
                <w:rFonts w:cs="Times New Roman"/>
                <w:color w:val="000000"/>
                <w:sz w:val="18"/>
                <w:szCs w:val="18"/>
              </w:rPr>
              <w:t>/</w:t>
            </w:r>
          </w:p>
        </w:tc>
        <w:tc>
          <w:tcPr>
            <w:tcW w:w="516" w:type="pct"/>
            <w:tcBorders>
              <w:top w:val="single" w:color="auto" w:sz="4" w:space="0"/>
              <w:left w:val="single" w:color="auto" w:sz="4" w:space="0"/>
              <w:bottom w:val="single" w:color="auto" w:sz="4" w:space="0"/>
              <w:right w:val="single" w:color="auto" w:sz="4" w:space="0"/>
            </w:tcBorders>
            <w:vAlign w:val="center"/>
          </w:tcPr>
          <w:p w14:paraId="701B881D">
            <w:pPr>
              <w:jc w:val="right"/>
              <w:textAlignment w:val="center"/>
              <w:rPr>
                <w:rFonts w:cs="Times New Roman"/>
                <w:sz w:val="18"/>
                <w:szCs w:val="18"/>
              </w:rPr>
            </w:pPr>
            <w:r>
              <w:rPr>
                <w:rFonts w:cs="Times New Roman"/>
                <w:color w:val="000000"/>
                <w:sz w:val="18"/>
                <w:szCs w:val="18"/>
              </w:rPr>
              <w:t>744,009,760.14</w:t>
            </w:r>
          </w:p>
        </w:tc>
      </w:tr>
    </w:tbl>
    <w:p w14:paraId="5F3ECAD3">
      <w:pPr>
        <w:rPr>
          <w:color w:val="000000" w:themeColor="text1"/>
          <w14:textFill>
            <w14:solidFill>
              <w14:schemeClr w14:val="tx1"/>
            </w14:solidFill>
          </w14:textFill>
        </w:rPr>
      </w:pPr>
    </w:p>
    <w:p w14:paraId="4C119C43">
      <w:pPr>
        <w:rPr>
          <w:color w:val="000000" w:themeColor="text1"/>
          <w14:textFill>
            <w14:solidFill>
              <w14:schemeClr w14:val="tx1"/>
            </w14:solidFill>
          </w14:textFill>
        </w:rPr>
      </w:pPr>
    </w:p>
    <w:p w14:paraId="79A577FF">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w:t>
      </w:r>
    </w:p>
    <w:sdt>
      <w:sdtPr>
        <w:rPr>
          <w:color w:val="000000" w:themeColor="text1"/>
          <w14:textFill>
            <w14:solidFill>
              <w14:schemeClr w14:val="tx1"/>
            </w14:solidFill>
          </w14:textFill>
        </w:rPr>
        <w:alias w:val="是否适用：按单项计提坏账准备的详细情况[双击切换]"/>
        <w:tag w:val="_GBC_3a181716dae64a57965330ae4ccab91e"/>
        <w:id w:val="147475357"/>
        <w:placeholder>
          <w:docPart w:val="GBC22222222222222222222222222222"/>
        </w:placeholder>
      </w:sdtPr>
      <w:sdtEndPr>
        <w:rPr>
          <w:color w:val="000000" w:themeColor="text1"/>
          <w14:textFill>
            <w14:solidFill>
              <w14:schemeClr w14:val="tx1"/>
            </w14:solidFill>
          </w14:textFill>
        </w:rPr>
      </w:sdtEndPr>
      <w:sdtContent>
        <w:p w14:paraId="714C0F9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B1064F7">
      <w:pPr>
        <w:autoSpaceDE w:val="0"/>
        <w:autoSpaceDN w:val="0"/>
        <w:adjustRightInd w:val="0"/>
        <w:ind w:left="5880" w:right="105"/>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按单项计提坏账准备的详细情况"/>
          <w:tag w:val="_GBC_288ccee9e3d4423480e233dd2e06e129"/>
          <w:id w:val="14746207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按单项计提坏账准备的详细情况"/>
          <w:tag w:val="_GBC_0bab3a2ea1df43aa9fde3e43aa6b298d"/>
          <w:id w:val="1474676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50"/>
        <w:gridCol w:w="2063"/>
        <w:gridCol w:w="2649"/>
        <w:gridCol w:w="2646"/>
        <w:gridCol w:w="2881"/>
      </w:tblGrid>
      <w:tr w14:paraId="2C4F1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628b110194948248a7ddd4c73431235"/>
            <w:id w:val="147481236"/>
          </w:sdtPr>
          <w:sdtContent>
            <w:tc>
              <w:tcPr>
                <w:tcW w:w="1366" w:type="pct"/>
                <w:vMerge w:val="restart"/>
                <w:vAlign w:val="center"/>
              </w:tcPr>
              <w:p w14:paraId="7305770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名称</w:t>
                </w:r>
              </w:p>
            </w:tc>
          </w:sdtContent>
        </w:sdt>
        <w:sdt>
          <w:sdtPr>
            <w:tag w:val="_PLD_55e8e4c48a99467895bde77a834d3ca0"/>
            <w:id w:val="147480759"/>
          </w:sdtPr>
          <w:sdtContent>
            <w:tc>
              <w:tcPr>
                <w:tcW w:w="3633" w:type="pct"/>
                <w:gridSpan w:val="4"/>
                <w:vAlign w:val="center"/>
              </w:tcPr>
              <w:p w14:paraId="50A244E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tr>
      <w:tr w14:paraId="53FAF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pct"/>
            <w:vMerge w:val="continue"/>
          </w:tcPr>
          <w:p w14:paraId="5FCB25E4">
            <w:pPr>
              <w:jc w:val="center"/>
              <w:rPr>
                <w:color w:val="000000" w:themeColor="text1"/>
                <w14:textFill>
                  <w14:solidFill>
                    <w14:schemeClr w14:val="tx1"/>
                  </w14:solidFill>
                </w14:textFill>
              </w:rPr>
            </w:pPr>
          </w:p>
        </w:tc>
        <w:sdt>
          <w:sdtPr>
            <w:tag w:val="_PLD_6bc6d11faa0a424099448cdc5439a377"/>
            <w:id w:val="147463134"/>
          </w:sdtPr>
          <w:sdtContent>
            <w:tc>
              <w:tcPr>
                <w:tcW w:w="732" w:type="pct"/>
                <w:vAlign w:val="center"/>
              </w:tcPr>
              <w:p w14:paraId="6EA168F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账面余额</w:t>
                </w:r>
              </w:p>
            </w:tc>
          </w:sdtContent>
        </w:sdt>
        <w:sdt>
          <w:sdtPr>
            <w:tag w:val="_PLD_7851c9cb665f4c678a7b28b3954701f6"/>
            <w:id w:val="147473866"/>
          </w:sdtPr>
          <w:sdtContent>
            <w:tc>
              <w:tcPr>
                <w:tcW w:w="940" w:type="pct"/>
                <w:vAlign w:val="center"/>
              </w:tcPr>
              <w:p w14:paraId="1321171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坏账准备</w:t>
                </w:r>
              </w:p>
            </w:tc>
          </w:sdtContent>
        </w:sdt>
        <w:sdt>
          <w:sdtPr>
            <w:tag w:val="_PLD_bd1454e6885d47eb979218b8f09dfc0e"/>
            <w:id w:val="147456435"/>
          </w:sdtPr>
          <w:sdtEndPr>
            <w:rPr>
              <w:rFonts w:hint="eastAsia"/>
            </w:rPr>
          </w:sdtEndPr>
          <w:sdtContent>
            <w:tc>
              <w:tcPr>
                <w:tcW w:w="939" w:type="pct"/>
                <w:vAlign w:val="center"/>
              </w:tcPr>
              <w:p w14:paraId="2C625C96">
                <w:pPr>
                  <w:jc w:val="center"/>
                  <w:rPr>
                    <w:color w:val="000000" w:themeColor="text1"/>
                    <w14:textFill>
                      <w14:solidFill>
                        <w14:schemeClr w14:val="tx1"/>
                      </w14:solidFill>
                    </w14:textFill>
                  </w:rPr>
                </w:pPr>
                <w:r>
                  <w:rPr>
                    <w:color w:val="000000" w:themeColor="text1"/>
                    <w14:textFill>
                      <w14:solidFill>
                        <w14:schemeClr w14:val="tx1"/>
                      </w14:solidFill>
                    </w14:textFill>
                  </w:rPr>
                  <w:t>计提比例</w:t>
                </w:r>
                <w:r>
                  <w:rPr>
                    <w:rFonts w:hint="eastAsia"/>
                    <w:color w:val="000000" w:themeColor="text1"/>
                    <w14:textFill>
                      <w14:solidFill>
                        <w14:schemeClr w14:val="tx1"/>
                      </w14:solidFill>
                    </w14:textFill>
                  </w:rPr>
                  <w:t>（%）</w:t>
                </w:r>
              </w:p>
            </w:tc>
          </w:sdtContent>
        </w:sdt>
        <w:sdt>
          <w:sdtPr>
            <w:tag w:val="_PLD_a36e7d75e245446085b9be2e753ac6fa"/>
            <w:id w:val="147455357"/>
          </w:sdtPr>
          <w:sdtContent>
            <w:tc>
              <w:tcPr>
                <w:tcW w:w="1022" w:type="pct"/>
                <w:vAlign w:val="center"/>
              </w:tcPr>
              <w:p w14:paraId="4E70E49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计提理由</w:t>
                </w:r>
              </w:p>
            </w:tc>
          </w:sdtContent>
        </w:sdt>
      </w:tr>
      <w:tr w14:paraId="7F36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pct"/>
          </w:tcPr>
          <w:p w14:paraId="48179768">
            <w:pPr>
              <w:textAlignment w:val="top"/>
            </w:pPr>
            <w:r>
              <w:rPr>
                <w:rFonts w:cs="Times New Roman"/>
                <w:color w:val="000000"/>
              </w:rPr>
              <w:t>岳阳市土地储备中心</w:t>
            </w:r>
          </w:p>
        </w:tc>
        <w:tc>
          <w:tcPr>
            <w:tcW w:w="732" w:type="pct"/>
            <w:vAlign w:val="center"/>
          </w:tcPr>
          <w:p w14:paraId="04B349B4">
            <w:pPr>
              <w:jc w:val="right"/>
              <w:textAlignment w:val="center"/>
              <w:rPr>
                <w:rFonts w:cs="Times New Roman"/>
              </w:rPr>
            </w:pPr>
            <w:r>
              <w:rPr>
                <w:rFonts w:cs="Times New Roman"/>
                <w:color w:val="000000"/>
              </w:rPr>
              <w:t>224,263,381.00</w:t>
            </w:r>
          </w:p>
        </w:tc>
        <w:tc>
          <w:tcPr>
            <w:tcW w:w="940" w:type="pct"/>
            <w:vAlign w:val="center"/>
          </w:tcPr>
          <w:p w14:paraId="135009AA">
            <w:pPr>
              <w:jc w:val="right"/>
              <w:textAlignment w:val="center"/>
              <w:rPr>
                <w:rFonts w:cs="Times New Roman"/>
              </w:rPr>
            </w:pPr>
            <w:r>
              <w:rPr>
                <w:rFonts w:cs="Times New Roman"/>
                <w:color w:val="000000"/>
              </w:rPr>
              <w:t>35,122,458.27</w:t>
            </w:r>
          </w:p>
        </w:tc>
        <w:tc>
          <w:tcPr>
            <w:tcW w:w="939" w:type="pct"/>
            <w:vAlign w:val="center"/>
          </w:tcPr>
          <w:p w14:paraId="5D0A5198">
            <w:pPr>
              <w:jc w:val="right"/>
              <w:textAlignment w:val="center"/>
              <w:rPr>
                <w:rFonts w:cs="Times New Roman"/>
              </w:rPr>
            </w:pPr>
            <w:r>
              <w:rPr>
                <w:rFonts w:cs="Times New Roman"/>
                <w:color w:val="000000"/>
              </w:rPr>
              <w:t>15.66</w:t>
            </w:r>
          </w:p>
        </w:tc>
        <w:tc>
          <w:tcPr>
            <w:tcW w:w="1022" w:type="pct"/>
            <w:vAlign w:val="center"/>
          </w:tcPr>
          <w:p w14:paraId="5DC9D954">
            <w:pPr>
              <w:jc w:val="center"/>
              <w:textAlignment w:val="center"/>
              <w:rPr>
                <w:rFonts w:cs="Times New Roman"/>
                <w:highlight w:val="yellow"/>
              </w:rPr>
            </w:pPr>
            <w:r>
              <w:rPr>
                <w:rFonts w:cs="Times New Roman"/>
                <w:color w:val="000000"/>
              </w:rPr>
              <w:t>还款计划</w:t>
            </w:r>
          </w:p>
        </w:tc>
      </w:tr>
      <w:tr w14:paraId="4E614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1366" w:type="pct"/>
          </w:tcPr>
          <w:p w14:paraId="64F6EE15">
            <w:pPr>
              <w:textAlignment w:val="top"/>
            </w:pPr>
            <w:r>
              <w:rPr>
                <w:rFonts w:cs="Times New Roman"/>
                <w:color w:val="000000"/>
              </w:rPr>
              <w:t>武汉星辰房地产开发有限公司</w:t>
            </w:r>
          </w:p>
        </w:tc>
        <w:tc>
          <w:tcPr>
            <w:tcW w:w="732" w:type="pct"/>
            <w:vAlign w:val="center"/>
          </w:tcPr>
          <w:p w14:paraId="2257C4C5">
            <w:pPr>
              <w:jc w:val="right"/>
              <w:textAlignment w:val="center"/>
              <w:rPr>
                <w:rFonts w:cs="Times New Roman"/>
              </w:rPr>
            </w:pPr>
            <w:r>
              <w:rPr>
                <w:rFonts w:cs="Times New Roman"/>
                <w:color w:val="000000"/>
              </w:rPr>
              <w:t>206,268,393.63</w:t>
            </w:r>
          </w:p>
        </w:tc>
        <w:tc>
          <w:tcPr>
            <w:tcW w:w="940" w:type="pct"/>
            <w:vAlign w:val="center"/>
          </w:tcPr>
          <w:p w14:paraId="157DF0B3">
            <w:pPr>
              <w:jc w:val="right"/>
              <w:rPr>
                <w:rFonts w:cs="Times New Roman"/>
              </w:rPr>
            </w:pPr>
          </w:p>
        </w:tc>
        <w:tc>
          <w:tcPr>
            <w:tcW w:w="939" w:type="pct"/>
            <w:vAlign w:val="center"/>
          </w:tcPr>
          <w:p w14:paraId="4D7FDA11">
            <w:pPr>
              <w:jc w:val="right"/>
              <w:rPr>
                <w:rFonts w:cs="Times New Roman"/>
              </w:rPr>
            </w:pPr>
          </w:p>
        </w:tc>
        <w:tc>
          <w:tcPr>
            <w:tcW w:w="1022" w:type="pct"/>
            <w:vAlign w:val="center"/>
          </w:tcPr>
          <w:p w14:paraId="4D1D6410">
            <w:pPr>
              <w:jc w:val="center"/>
              <w:textAlignment w:val="center"/>
              <w:rPr>
                <w:rFonts w:cs="Times New Roman"/>
                <w:highlight w:val="yellow"/>
              </w:rPr>
            </w:pPr>
            <w:r>
              <w:rPr>
                <w:rFonts w:cs="Times New Roman"/>
                <w:color w:val="000000"/>
              </w:rPr>
              <w:t>/</w:t>
            </w:r>
          </w:p>
        </w:tc>
      </w:tr>
      <w:tr w14:paraId="3E696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1366" w:type="pct"/>
          </w:tcPr>
          <w:p w14:paraId="21DBE3BB">
            <w:pPr>
              <w:textAlignment w:val="top"/>
            </w:pPr>
            <w:r>
              <w:rPr>
                <w:rFonts w:cs="Times New Roman"/>
                <w:color w:val="000000"/>
              </w:rPr>
              <w:t>天津市永信房屋拆迁有限责任公司</w:t>
            </w:r>
          </w:p>
        </w:tc>
        <w:tc>
          <w:tcPr>
            <w:tcW w:w="732" w:type="pct"/>
            <w:vAlign w:val="center"/>
          </w:tcPr>
          <w:p w14:paraId="16F716D4">
            <w:pPr>
              <w:jc w:val="right"/>
              <w:textAlignment w:val="center"/>
              <w:rPr>
                <w:rFonts w:cs="Times New Roman"/>
              </w:rPr>
            </w:pPr>
            <w:r>
              <w:rPr>
                <w:rFonts w:cs="Times New Roman"/>
                <w:color w:val="000000"/>
              </w:rPr>
              <w:t>168,000,000.00</w:t>
            </w:r>
          </w:p>
        </w:tc>
        <w:tc>
          <w:tcPr>
            <w:tcW w:w="940" w:type="pct"/>
            <w:vAlign w:val="center"/>
          </w:tcPr>
          <w:p w14:paraId="085FD7CF">
            <w:pPr>
              <w:jc w:val="right"/>
              <w:textAlignment w:val="center"/>
              <w:rPr>
                <w:rFonts w:cs="Times New Roman"/>
              </w:rPr>
            </w:pPr>
            <w:r>
              <w:rPr>
                <w:rFonts w:cs="Times New Roman"/>
                <w:color w:val="000000"/>
              </w:rPr>
              <w:t>26,825,584.69</w:t>
            </w:r>
          </w:p>
        </w:tc>
        <w:tc>
          <w:tcPr>
            <w:tcW w:w="939" w:type="pct"/>
            <w:vAlign w:val="center"/>
          </w:tcPr>
          <w:p w14:paraId="6ACD3A90">
            <w:pPr>
              <w:jc w:val="right"/>
              <w:textAlignment w:val="center"/>
              <w:rPr>
                <w:rFonts w:cs="Times New Roman"/>
              </w:rPr>
            </w:pPr>
            <w:r>
              <w:rPr>
                <w:rFonts w:cs="Times New Roman"/>
                <w:color w:val="000000"/>
              </w:rPr>
              <w:t>15.97</w:t>
            </w:r>
          </w:p>
        </w:tc>
        <w:tc>
          <w:tcPr>
            <w:tcW w:w="1022" w:type="pct"/>
            <w:vAlign w:val="center"/>
          </w:tcPr>
          <w:p w14:paraId="5C128375">
            <w:pPr>
              <w:jc w:val="center"/>
              <w:textAlignment w:val="center"/>
              <w:rPr>
                <w:rFonts w:cs="Times New Roman"/>
                <w:highlight w:val="yellow"/>
              </w:rPr>
            </w:pPr>
            <w:r>
              <w:rPr>
                <w:rFonts w:cs="Times New Roman"/>
                <w:color w:val="000000"/>
              </w:rPr>
              <w:t>还款计划</w:t>
            </w:r>
          </w:p>
        </w:tc>
      </w:tr>
      <w:tr w14:paraId="5126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1366" w:type="pct"/>
          </w:tcPr>
          <w:p w14:paraId="083956AE">
            <w:pPr>
              <w:textAlignment w:val="top"/>
            </w:pPr>
            <w:r>
              <w:rPr>
                <w:rFonts w:cs="Times New Roman"/>
                <w:color w:val="000000"/>
              </w:rPr>
              <w:t>南京江宁科学园发展有限公司</w:t>
            </w:r>
          </w:p>
        </w:tc>
        <w:tc>
          <w:tcPr>
            <w:tcW w:w="732" w:type="pct"/>
            <w:vAlign w:val="center"/>
          </w:tcPr>
          <w:p w14:paraId="1DB9A31E">
            <w:pPr>
              <w:jc w:val="right"/>
              <w:textAlignment w:val="center"/>
              <w:rPr>
                <w:rFonts w:cs="Times New Roman"/>
              </w:rPr>
            </w:pPr>
            <w:r>
              <w:rPr>
                <w:rFonts w:cs="Times New Roman"/>
                <w:color w:val="000000"/>
              </w:rPr>
              <w:t>140,000,000.00</w:t>
            </w:r>
          </w:p>
        </w:tc>
        <w:tc>
          <w:tcPr>
            <w:tcW w:w="940" w:type="pct"/>
            <w:vAlign w:val="center"/>
          </w:tcPr>
          <w:p w14:paraId="57506382">
            <w:pPr>
              <w:jc w:val="right"/>
              <w:textAlignment w:val="center"/>
              <w:rPr>
                <w:rFonts w:cs="Times New Roman"/>
              </w:rPr>
            </w:pPr>
            <w:r>
              <w:rPr>
                <w:rFonts w:cs="Times New Roman"/>
                <w:color w:val="000000"/>
              </w:rPr>
              <w:t>9,178,643.53</w:t>
            </w:r>
          </w:p>
        </w:tc>
        <w:tc>
          <w:tcPr>
            <w:tcW w:w="939" w:type="pct"/>
            <w:vAlign w:val="center"/>
          </w:tcPr>
          <w:p w14:paraId="587CC133">
            <w:pPr>
              <w:jc w:val="right"/>
              <w:textAlignment w:val="center"/>
              <w:rPr>
                <w:rFonts w:cs="Times New Roman"/>
              </w:rPr>
            </w:pPr>
            <w:r>
              <w:rPr>
                <w:rFonts w:cs="Times New Roman"/>
                <w:color w:val="000000"/>
              </w:rPr>
              <w:t>6.56</w:t>
            </w:r>
          </w:p>
        </w:tc>
        <w:tc>
          <w:tcPr>
            <w:tcW w:w="1022" w:type="pct"/>
            <w:vAlign w:val="center"/>
          </w:tcPr>
          <w:p w14:paraId="28E267FB">
            <w:pPr>
              <w:jc w:val="center"/>
              <w:textAlignment w:val="center"/>
              <w:rPr>
                <w:rFonts w:cs="Times New Roman"/>
                <w:highlight w:val="yellow"/>
              </w:rPr>
            </w:pPr>
            <w:r>
              <w:rPr>
                <w:rFonts w:cs="Times New Roman"/>
                <w:color w:val="000000"/>
              </w:rPr>
              <w:t>还款计划</w:t>
            </w:r>
          </w:p>
        </w:tc>
      </w:tr>
      <w:tr w14:paraId="04D6A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1366" w:type="pct"/>
          </w:tcPr>
          <w:p w14:paraId="7ED03D95">
            <w:pPr>
              <w:textAlignment w:val="top"/>
            </w:pPr>
            <w:r>
              <w:rPr>
                <w:rFonts w:cs="Times New Roman"/>
                <w:color w:val="000000"/>
              </w:rPr>
              <w:t>西安长刚置业有限责任公司</w:t>
            </w:r>
          </w:p>
        </w:tc>
        <w:tc>
          <w:tcPr>
            <w:tcW w:w="732" w:type="pct"/>
            <w:vAlign w:val="center"/>
          </w:tcPr>
          <w:p w14:paraId="49743A89">
            <w:pPr>
              <w:jc w:val="right"/>
              <w:textAlignment w:val="center"/>
              <w:rPr>
                <w:rFonts w:cs="Times New Roman"/>
              </w:rPr>
            </w:pPr>
            <w:r>
              <w:rPr>
                <w:rFonts w:cs="Times New Roman"/>
                <w:color w:val="000000"/>
              </w:rPr>
              <w:t>5,910,000.00</w:t>
            </w:r>
          </w:p>
        </w:tc>
        <w:tc>
          <w:tcPr>
            <w:tcW w:w="940" w:type="pct"/>
            <w:vAlign w:val="center"/>
          </w:tcPr>
          <w:p w14:paraId="64C4D1D3">
            <w:pPr>
              <w:jc w:val="right"/>
              <w:textAlignment w:val="center"/>
              <w:rPr>
                <w:rFonts w:cs="Times New Roman"/>
              </w:rPr>
            </w:pPr>
            <w:r>
              <w:rPr>
                <w:rFonts w:cs="Times New Roman"/>
                <w:color w:val="000000"/>
              </w:rPr>
              <w:t>5,910,000.00</w:t>
            </w:r>
          </w:p>
        </w:tc>
        <w:tc>
          <w:tcPr>
            <w:tcW w:w="939" w:type="pct"/>
            <w:vAlign w:val="center"/>
          </w:tcPr>
          <w:p w14:paraId="49E8D32C">
            <w:pPr>
              <w:jc w:val="right"/>
              <w:textAlignment w:val="center"/>
              <w:rPr>
                <w:rFonts w:cs="Times New Roman"/>
              </w:rPr>
            </w:pPr>
            <w:r>
              <w:rPr>
                <w:rFonts w:cs="Times New Roman"/>
                <w:color w:val="000000"/>
              </w:rPr>
              <w:t>100.00</w:t>
            </w:r>
          </w:p>
        </w:tc>
        <w:tc>
          <w:tcPr>
            <w:tcW w:w="1022" w:type="pct"/>
            <w:vAlign w:val="center"/>
          </w:tcPr>
          <w:p w14:paraId="0734C429">
            <w:pPr>
              <w:jc w:val="center"/>
              <w:textAlignment w:val="center"/>
              <w:rPr>
                <w:rFonts w:cs="Times New Roman"/>
                <w:highlight w:val="yellow"/>
              </w:rPr>
            </w:pPr>
            <w:r>
              <w:rPr>
                <w:rFonts w:cs="Times New Roman"/>
                <w:color w:val="000000"/>
              </w:rPr>
              <w:t>无可执行财产</w:t>
            </w:r>
          </w:p>
        </w:tc>
      </w:tr>
      <w:tr w14:paraId="632CE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pct"/>
            <w:vAlign w:val="center"/>
          </w:tcPr>
          <w:p w14:paraId="2C83EA9E">
            <w:pPr>
              <w:jc w:val="center"/>
              <w:rPr>
                <w:color w:val="000000" w:themeColor="text1"/>
                <w14:textFill>
                  <w14:solidFill>
                    <w14:schemeClr w14:val="tx1"/>
                  </w14:solidFill>
                </w14:textFill>
              </w:rPr>
            </w:pPr>
            <w:r>
              <w:rPr>
                <w:rFonts w:hint="eastAsia"/>
                <w:color w:val="000000"/>
              </w:rPr>
              <w:t>合计</w:t>
            </w:r>
          </w:p>
        </w:tc>
        <w:tc>
          <w:tcPr>
            <w:tcW w:w="732" w:type="pct"/>
            <w:vAlign w:val="center"/>
          </w:tcPr>
          <w:p w14:paraId="3F546C30">
            <w:pPr>
              <w:jc w:val="right"/>
              <w:textAlignment w:val="center"/>
              <w:rPr>
                <w:rFonts w:cs="Times New Roman"/>
              </w:rPr>
            </w:pPr>
            <w:r>
              <w:rPr>
                <w:rFonts w:cs="Times New Roman"/>
                <w:color w:val="000000"/>
              </w:rPr>
              <w:t>744,441,774.63</w:t>
            </w:r>
          </w:p>
        </w:tc>
        <w:tc>
          <w:tcPr>
            <w:tcW w:w="940" w:type="pct"/>
            <w:vAlign w:val="center"/>
          </w:tcPr>
          <w:p w14:paraId="2720411A">
            <w:pPr>
              <w:jc w:val="right"/>
              <w:textAlignment w:val="center"/>
              <w:rPr>
                <w:rFonts w:cs="Times New Roman"/>
              </w:rPr>
            </w:pPr>
            <w:r>
              <w:rPr>
                <w:rFonts w:cs="Times New Roman"/>
                <w:color w:val="000000"/>
              </w:rPr>
              <w:t>77,036,686.49</w:t>
            </w:r>
          </w:p>
        </w:tc>
        <w:tc>
          <w:tcPr>
            <w:tcW w:w="939" w:type="pct"/>
            <w:vAlign w:val="center"/>
          </w:tcPr>
          <w:p w14:paraId="297B9EA6">
            <w:pPr>
              <w:jc w:val="right"/>
              <w:textAlignment w:val="center"/>
              <w:rPr>
                <w:rFonts w:cs="Times New Roman"/>
              </w:rPr>
            </w:pPr>
            <w:r>
              <w:rPr>
                <w:rFonts w:cs="Times New Roman"/>
                <w:color w:val="000000"/>
              </w:rPr>
              <w:t>10.35</w:t>
            </w:r>
          </w:p>
        </w:tc>
        <w:tc>
          <w:tcPr>
            <w:tcW w:w="1022" w:type="pct"/>
            <w:vAlign w:val="center"/>
          </w:tcPr>
          <w:p w14:paraId="307AA776">
            <w:pPr>
              <w:jc w:val="center"/>
              <w:rPr>
                <w:rFonts w:cs="Times New Roman"/>
                <w:bCs w:val="0"/>
                <w:color w:val="000000" w:themeColor="text1"/>
                <w:szCs w:val="22"/>
                <w14:textFill>
                  <w14:solidFill>
                    <w14:schemeClr w14:val="tx1"/>
                  </w14:solidFill>
                </w14:textFill>
              </w:rPr>
            </w:pPr>
            <w:r>
              <w:rPr>
                <w:rFonts w:cs="Times New Roman"/>
                <w:color w:val="000000"/>
              </w:rPr>
              <w:t>/</w:t>
            </w:r>
          </w:p>
        </w:tc>
      </w:tr>
    </w:tbl>
    <w:p w14:paraId="15A6B5C6">
      <w:pPr>
        <w:rPr>
          <w:color w:val="000000" w:themeColor="text1"/>
          <w14:textFill>
            <w14:solidFill>
              <w14:schemeClr w14:val="tx1"/>
            </w14:solidFill>
          </w14:textFill>
        </w:rPr>
      </w:pPr>
    </w:p>
    <w:p w14:paraId="700901EC">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按单项计提坏账准备的说明：</w:t>
      </w:r>
    </w:p>
    <w:sdt>
      <w:sdtPr>
        <w:rPr>
          <w:color w:val="000000" w:themeColor="text1"/>
          <w14:textFill>
            <w14:solidFill>
              <w14:schemeClr w14:val="tx1"/>
            </w14:solidFill>
          </w14:textFill>
        </w:rPr>
        <w:alias w:val="是否适用：按单项计提坏账准备的说明[双击切换]"/>
        <w:tag w:val="_GBC_532014e1f5ab4f9da72dafc4dafe0723"/>
        <w:id w:val="147465692"/>
        <w:placeholder>
          <w:docPart w:val="GBC22222222222222222222222222222"/>
        </w:placeholder>
      </w:sdtPr>
      <w:sdtEndPr>
        <w:rPr>
          <w:color w:val="000000" w:themeColor="text1"/>
          <w14:textFill>
            <w14:solidFill>
              <w14:schemeClr w14:val="tx1"/>
            </w14:solidFill>
          </w14:textFill>
        </w:rPr>
      </w:sdtEndPr>
      <w:sdtContent>
        <w:p w14:paraId="5149428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9D45925">
      <w:pPr>
        <w:rPr>
          <w:color w:val="000000" w:themeColor="text1"/>
          <w14:textFill>
            <w14:solidFill>
              <w14:schemeClr w14:val="tx1"/>
            </w14:solidFill>
          </w14:textFill>
        </w:rPr>
        <w:sectPr>
          <w:pgSz w:w="16838" w:h="11906" w:orient="landscape"/>
          <w:pgMar w:top="1797" w:right="1525" w:bottom="1276" w:left="1440" w:header="856" w:footer="992" w:gutter="0"/>
          <w:cols w:space="425" w:num="1"/>
          <w:docGrid w:linePitch="312" w:charSpace="0"/>
        </w:sectPr>
      </w:pPr>
    </w:p>
    <w:p w14:paraId="61EEC0B1">
      <w:pPr>
        <w:rPr>
          <w:color w:val="000000" w:themeColor="text1"/>
          <w14:textFill>
            <w14:solidFill>
              <w14:schemeClr w14:val="tx1"/>
            </w14:solidFill>
          </w14:textFill>
        </w:rPr>
      </w:pPr>
    </w:p>
    <w:p w14:paraId="327092F6">
      <w:pPr>
        <w:rPr>
          <w:rFonts w:ascii="Calibri" w:hAnsi="Calibri" w:cs="Times New Roman"/>
          <w:bCs w:val="0"/>
          <w:color w:val="000000" w:themeColor="text1"/>
          <w:szCs w:val="22"/>
          <w14:textFill>
            <w14:solidFill>
              <w14:schemeClr w14:val="tx1"/>
            </w14:solidFill>
          </w14:textFill>
        </w:rPr>
      </w:pPr>
      <w:r>
        <w:rPr>
          <w:rFonts w:hint="eastAsia" w:ascii="Calibri" w:hAnsi="Calibri" w:cs="Times New Roman"/>
          <w:color w:val="000000" w:themeColor="text1"/>
          <w:szCs w:val="22"/>
          <w14:textFill>
            <w14:solidFill>
              <w14:schemeClr w14:val="tx1"/>
            </w14:solidFill>
          </w14:textFill>
        </w:rPr>
        <w:t>按组合计提坏账准备：</w:t>
      </w:r>
    </w:p>
    <w:sdt>
      <w:sdtPr>
        <w:rPr>
          <w:rFonts w:ascii="Calibri" w:hAnsi="Calibri" w:cs="Times New Roman"/>
          <w:bCs w:val="0"/>
          <w:color w:val="000000" w:themeColor="text1"/>
          <w:szCs w:val="22"/>
          <w14:textFill>
            <w14:solidFill>
              <w14:schemeClr w14:val="tx1"/>
            </w14:solidFill>
          </w14:textFill>
        </w:rPr>
        <w:alias w:val="是否适用：按组合计提坏账准备的详细情况[双击切换]"/>
        <w:tag w:val="_GBC_555a40ceb7d348a0a16b652ac8e1178a"/>
        <w:id w:val="147451815"/>
        <w:lock w:val="contentLocked"/>
        <w:placeholder>
          <w:docPart w:val="GBC22222222222222222222222222222"/>
        </w:placeholder>
      </w:sdtPr>
      <w:sdtEndPr>
        <w:rPr>
          <w:rFonts w:ascii="Calibri" w:hAnsi="Calibri" w:cs="Times New Roman"/>
          <w:bCs w:val="0"/>
          <w:color w:val="000000" w:themeColor="text1"/>
          <w:szCs w:val="22"/>
          <w14:textFill>
            <w14:solidFill>
              <w14:schemeClr w14:val="tx1"/>
            </w14:solidFill>
          </w14:textFill>
        </w:rPr>
      </w:sdtEndPr>
      <w:sdtContent>
        <w:p w14:paraId="253AE5AF">
          <w:pPr>
            <w:rPr>
              <w:rFonts w:ascii="Calibri" w:hAnsi="Calibri" w:cs="Times New Roman"/>
              <w:bCs w:val="0"/>
              <w:color w:val="000000" w:themeColor="text1"/>
              <w:szCs w:val="22"/>
              <w14:textFill>
                <w14:solidFill>
                  <w14:schemeClr w14:val="tx1"/>
                </w14:solidFill>
              </w14:textFill>
            </w:rPr>
          </w:pPr>
          <w:r>
            <w:rPr>
              <w:rFonts w:ascii="宋体" w:hAnsi="宋体" w:cs="Times New Roman"/>
              <w:bCs w:val="0"/>
              <w:color w:val="000000" w:themeColor="text1"/>
              <w:szCs w:val="22"/>
              <w14:textFill>
                <w14:solidFill>
                  <w14:schemeClr w14:val="tx1"/>
                </w14:solidFill>
              </w14:textFill>
            </w:rPr>
            <w:fldChar w:fldCharType="begin"/>
          </w:r>
          <w:r>
            <w:rPr>
              <w:rFonts w:ascii="宋体" w:hAnsi="宋体" w:cs="Times New Roman"/>
              <w:color w:val="000000" w:themeColor="text1"/>
              <w:szCs w:val="22"/>
              <w14:textFill>
                <w14:solidFill>
                  <w14:schemeClr w14:val="tx1"/>
                </w14:solidFill>
              </w14:textFill>
            </w:rPr>
            <w:instrText xml:space="preserve"> MACROBUTTON  SnrToggleCheckbox √适用 </w:instrText>
          </w:r>
          <w:r>
            <w:rPr>
              <w:rFonts w:ascii="宋体" w:hAnsi="宋体" w:cs="Times New Roman"/>
              <w:bCs w:val="0"/>
              <w:color w:val="000000" w:themeColor="text1"/>
              <w:szCs w:val="22"/>
              <w14:textFill>
                <w14:solidFill>
                  <w14:schemeClr w14:val="tx1"/>
                </w14:solidFill>
              </w14:textFill>
            </w:rPr>
            <w:fldChar w:fldCharType="end"/>
          </w:r>
          <w:r>
            <w:rPr>
              <w:rFonts w:ascii="宋体" w:hAnsi="宋体" w:cs="Times New Roman"/>
              <w:bCs w:val="0"/>
              <w:color w:val="000000" w:themeColor="text1"/>
              <w:szCs w:val="22"/>
              <w14:textFill>
                <w14:solidFill>
                  <w14:schemeClr w14:val="tx1"/>
                </w14:solidFill>
              </w14:textFill>
            </w:rPr>
            <w:fldChar w:fldCharType="begin"/>
          </w:r>
          <w:r>
            <w:rPr>
              <w:rFonts w:ascii="宋体" w:hAnsi="宋体" w:cs="Times New Roman"/>
              <w:color w:val="000000" w:themeColor="text1"/>
              <w:szCs w:val="22"/>
              <w14:textFill>
                <w14:solidFill>
                  <w14:schemeClr w14:val="tx1"/>
                </w14:solidFill>
              </w14:textFill>
            </w:rPr>
            <w:instrText xml:space="preserve"> MACROBUTTON  SnrToggleCheckbox □不适用 </w:instrText>
          </w:r>
          <w:r>
            <w:rPr>
              <w:rFonts w:ascii="宋体" w:hAnsi="宋体" w:cs="Times New Roman"/>
              <w:bCs w:val="0"/>
              <w:color w:val="000000" w:themeColor="text1"/>
              <w:szCs w:val="22"/>
              <w14:textFill>
                <w14:solidFill>
                  <w14:schemeClr w14:val="tx1"/>
                </w14:solidFill>
              </w14:textFill>
            </w:rPr>
            <w:fldChar w:fldCharType="end"/>
          </w:r>
        </w:p>
      </w:sdtContent>
    </w:sdt>
    <w:p w14:paraId="46A600DF">
      <w:pPr>
        <w:rPr>
          <w:rFonts w:ascii="Calibri" w:hAnsi="Calibri" w:cs="Times New Roman"/>
          <w:bCs w:val="0"/>
          <w:color w:val="000000" w:themeColor="text1"/>
          <w:szCs w:val="22"/>
          <w14:textFill>
            <w14:solidFill>
              <w14:schemeClr w14:val="tx1"/>
            </w14:solidFill>
          </w14:textFill>
        </w:rPr>
      </w:pPr>
      <w:r>
        <w:rPr>
          <w:rFonts w:hint="eastAsia"/>
          <w:color w:val="000000" w:themeColor="text1"/>
          <w14:textFill>
            <w14:solidFill>
              <w14:schemeClr w14:val="tx1"/>
            </w14:solidFill>
          </w14:textFill>
        </w:rPr>
        <w:t>组合计提项目</w:t>
      </w:r>
      <w:r>
        <w:rPr>
          <w:rFonts w:hint="eastAsia" w:ascii="Calibri" w:hAnsi="Calibri" w:cs="Times New Roman"/>
          <w:color w:val="000000" w:themeColor="text1"/>
          <w:szCs w:val="22"/>
          <w14:textFill>
            <w14:solidFill>
              <w14:schemeClr w14:val="tx1"/>
            </w14:solidFill>
          </w14:textFill>
        </w:rPr>
        <w:t>：</w:t>
      </w:r>
      <w:sdt>
        <w:sdtPr>
          <w:rPr>
            <w:rFonts w:hint="eastAsia" w:ascii="Calibri" w:hAnsi="Calibri" w:cs="Times New Roman"/>
            <w:bCs w:val="0"/>
            <w:color w:val="000000" w:themeColor="text1"/>
            <w:szCs w:val="22"/>
            <w14:textFill>
              <w14:solidFill>
                <w14:schemeClr w14:val="tx1"/>
              </w14:solidFill>
            </w14:textFill>
          </w:rPr>
          <w:alias w:val="按组合计提坏账准备的明细-类别"/>
          <w:tag w:val="_GBC_12752c8a967b477c9d356eea2350bc61"/>
          <w:id w:val="147464254"/>
          <w:placeholder>
            <w:docPart w:val="GBC22222222222222222222222222222"/>
          </w:placeholder>
          <w:comboBox>
            <w:listItem w:displayText="账龄组合" w:value="账龄组合"/>
          </w:comboBox>
        </w:sdtPr>
        <w:sdtEndPr>
          <w:rPr>
            <w:rFonts w:hint="eastAsia" w:ascii="Calibri" w:hAnsi="Calibri" w:cs="Times New Roman"/>
            <w:bCs w:val="0"/>
            <w:color w:val="000000" w:themeColor="text1"/>
            <w:szCs w:val="22"/>
            <w14:textFill>
              <w14:solidFill>
                <w14:schemeClr w14:val="tx1"/>
              </w14:solidFill>
            </w14:textFill>
          </w:rPr>
        </w:sdtEndPr>
        <w:sdtContent>
          <w:r>
            <w:rPr>
              <w:rFonts w:hint="eastAsia" w:ascii="Calibri" w:hAnsi="Calibri" w:cs="Times New Roman"/>
              <w:bCs w:val="0"/>
              <w:color w:val="000000" w:themeColor="text1"/>
              <w:szCs w:val="22"/>
              <w14:textFill>
                <w14:solidFill>
                  <w14:schemeClr w14:val="tx1"/>
                </w14:solidFill>
              </w14:textFill>
            </w:rPr>
            <w:t>账龄组合</w:t>
          </w:r>
        </w:sdtContent>
      </w:sdt>
    </w:p>
    <w:p w14:paraId="367617C3">
      <w:pPr>
        <w:autoSpaceDE w:val="0"/>
        <w:autoSpaceDN w:val="0"/>
        <w:adjustRightInd w:val="0"/>
        <w:ind w:left="5880" w:right="105"/>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按组合计提坏账准备的详细名称"/>
          <w:tag w:val="_GBC_df8e1703068e4d9aafeff0007af21ec6"/>
          <w:id w:val="14748122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按组合计提坏账准备的详细名称"/>
          <w:tag w:val="_GBC_9bd9f0818aee4f0986d1744f0e1addbb"/>
          <w:id w:val="1474697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r>
        <w:rPr>
          <w:color w:val="000000" w:themeColor="text1"/>
          <w14:textFill>
            <w14:solidFill>
              <w14:schemeClr w14:val="tx1"/>
            </w14:solidFill>
          </w14:textFill>
        </w:rPr>
        <w:t xml:space="preserve"> </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309"/>
        <w:gridCol w:w="2351"/>
        <w:gridCol w:w="2293"/>
      </w:tblGrid>
      <w:tr w14:paraId="3925C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84d1156c7f04ee7ab722437b985e746"/>
            <w:id w:val="147451018"/>
          </w:sdtPr>
          <w:sdtContent>
            <w:tc>
              <w:tcPr>
                <w:tcW w:w="1158" w:type="pct"/>
                <w:vMerge w:val="restart"/>
                <w:vAlign w:val="center"/>
              </w:tcPr>
              <w:p w14:paraId="1ABB20B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名称</w:t>
                </w:r>
              </w:p>
            </w:tc>
          </w:sdtContent>
        </w:sdt>
        <w:sdt>
          <w:sdtPr>
            <w:tag w:val="_PLD_445ed30ffda24bb9949937dfb76a7b9c"/>
            <w:id w:val="147455447"/>
          </w:sdtPr>
          <w:sdtContent>
            <w:tc>
              <w:tcPr>
                <w:tcW w:w="3842" w:type="pct"/>
                <w:gridSpan w:val="3"/>
                <w:vAlign w:val="center"/>
              </w:tcPr>
              <w:p w14:paraId="42DCCD8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tr>
      <w:tr w14:paraId="1A03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Merge w:val="continue"/>
          </w:tcPr>
          <w:p w14:paraId="220EF15B">
            <w:pPr>
              <w:jc w:val="center"/>
              <w:rPr>
                <w:color w:val="000000" w:themeColor="text1"/>
                <w14:textFill>
                  <w14:solidFill>
                    <w14:schemeClr w14:val="tx1"/>
                  </w14:solidFill>
                </w14:textFill>
              </w:rPr>
            </w:pPr>
          </w:p>
        </w:tc>
        <w:sdt>
          <w:sdtPr>
            <w:tag w:val="_PLD_34d445f177f144598c531e2574542913"/>
            <w:id w:val="147461044"/>
          </w:sdtPr>
          <w:sdtContent>
            <w:tc>
              <w:tcPr>
                <w:tcW w:w="1276" w:type="pct"/>
                <w:vAlign w:val="center"/>
              </w:tcPr>
              <w:p w14:paraId="3713EFB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账面余额</w:t>
                </w:r>
              </w:p>
            </w:tc>
          </w:sdtContent>
        </w:sdt>
        <w:sdt>
          <w:sdtPr>
            <w:tag w:val="_PLD_0cd2c1e936b746fda5ab80b66dcb0898"/>
            <w:id w:val="147451875"/>
          </w:sdtPr>
          <w:sdtContent>
            <w:tc>
              <w:tcPr>
                <w:tcW w:w="1299" w:type="pct"/>
                <w:vAlign w:val="center"/>
              </w:tcPr>
              <w:p w14:paraId="07886D5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坏账准备</w:t>
                </w:r>
              </w:p>
            </w:tc>
          </w:sdtContent>
        </w:sdt>
        <w:sdt>
          <w:sdtPr>
            <w:tag w:val="_PLD_8e5a56f26c1d4a0da7f5a7d321250ff3"/>
            <w:id w:val="147476692"/>
          </w:sdtPr>
          <w:sdtEndPr>
            <w:rPr>
              <w:rFonts w:hint="eastAsia"/>
            </w:rPr>
          </w:sdtEndPr>
          <w:sdtContent>
            <w:tc>
              <w:tcPr>
                <w:tcW w:w="1267" w:type="pct"/>
                <w:vAlign w:val="center"/>
              </w:tcPr>
              <w:p w14:paraId="412F0A15">
                <w:pPr>
                  <w:jc w:val="center"/>
                  <w:rPr>
                    <w:color w:val="000000" w:themeColor="text1"/>
                    <w14:textFill>
                      <w14:solidFill>
                        <w14:schemeClr w14:val="tx1"/>
                      </w14:solidFill>
                    </w14:textFill>
                  </w:rPr>
                </w:pPr>
                <w:r>
                  <w:rPr>
                    <w:color w:val="000000" w:themeColor="text1"/>
                    <w14:textFill>
                      <w14:solidFill>
                        <w14:schemeClr w14:val="tx1"/>
                      </w14:solidFill>
                    </w14:textFill>
                  </w:rPr>
                  <w:t>计提比例</w:t>
                </w:r>
                <w:r>
                  <w:rPr>
                    <w:rFonts w:hint="eastAsia"/>
                    <w:color w:val="000000" w:themeColor="text1"/>
                    <w14:textFill>
                      <w14:solidFill>
                        <w14:schemeClr w14:val="tx1"/>
                      </w14:solidFill>
                    </w14:textFill>
                  </w:rPr>
                  <w:t>（%）</w:t>
                </w:r>
              </w:p>
            </w:tc>
          </w:sdtContent>
        </w:sdt>
      </w:tr>
      <w:tr w14:paraId="0175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56730ADA">
            <w:pPr>
              <w:textAlignment w:val="top"/>
            </w:pPr>
            <w:r>
              <w:rPr>
                <w:rFonts w:cs="Times New Roman"/>
                <w:color w:val="000000"/>
                <w:lang w:bidi="ar"/>
              </w:rPr>
              <w:t>账龄组合</w:t>
            </w:r>
          </w:p>
        </w:tc>
        <w:tc>
          <w:tcPr>
            <w:tcW w:w="1276" w:type="pct"/>
            <w:vAlign w:val="center"/>
          </w:tcPr>
          <w:p w14:paraId="411C697A">
            <w:pPr>
              <w:jc w:val="right"/>
              <w:textAlignment w:val="center"/>
              <w:rPr>
                <w:rFonts w:cs="Times New Roman"/>
              </w:rPr>
            </w:pPr>
            <w:r>
              <w:rPr>
                <w:rFonts w:cs="Times New Roman"/>
                <w:color w:val="000000"/>
              </w:rPr>
              <w:t>134,996,501.28</w:t>
            </w:r>
          </w:p>
        </w:tc>
        <w:tc>
          <w:tcPr>
            <w:tcW w:w="1299" w:type="pct"/>
            <w:vAlign w:val="center"/>
          </w:tcPr>
          <w:p w14:paraId="4B22C833">
            <w:pPr>
              <w:jc w:val="right"/>
              <w:textAlignment w:val="center"/>
              <w:rPr>
                <w:rFonts w:cs="Times New Roman"/>
              </w:rPr>
            </w:pPr>
            <w:r>
              <w:rPr>
                <w:rFonts w:cs="Times New Roman"/>
                <w:color w:val="000000"/>
              </w:rPr>
              <w:t>80,623,665.27</w:t>
            </w:r>
          </w:p>
        </w:tc>
        <w:tc>
          <w:tcPr>
            <w:tcW w:w="1267" w:type="pct"/>
            <w:vAlign w:val="center"/>
          </w:tcPr>
          <w:p w14:paraId="02FF06D7">
            <w:pPr>
              <w:jc w:val="right"/>
              <w:textAlignment w:val="center"/>
              <w:rPr>
                <w:rFonts w:cs="Times New Roman"/>
              </w:rPr>
            </w:pPr>
            <w:r>
              <w:rPr>
                <w:rFonts w:cs="Times New Roman"/>
                <w:color w:val="000000"/>
              </w:rPr>
              <w:t>59.72</w:t>
            </w:r>
          </w:p>
        </w:tc>
      </w:tr>
      <w:tr w14:paraId="10D8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14:paraId="4BA896D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276" w:type="pct"/>
            <w:vAlign w:val="center"/>
          </w:tcPr>
          <w:p w14:paraId="75A067C7">
            <w:pPr>
              <w:jc w:val="right"/>
              <w:textAlignment w:val="center"/>
              <w:rPr>
                <w:rFonts w:cs="Times New Roman"/>
              </w:rPr>
            </w:pPr>
            <w:r>
              <w:rPr>
                <w:rFonts w:cs="Times New Roman"/>
                <w:color w:val="000000"/>
              </w:rPr>
              <w:t>134,996,501.28</w:t>
            </w:r>
          </w:p>
        </w:tc>
        <w:tc>
          <w:tcPr>
            <w:tcW w:w="1299" w:type="pct"/>
            <w:vAlign w:val="center"/>
          </w:tcPr>
          <w:p w14:paraId="3FC07DA6">
            <w:pPr>
              <w:jc w:val="right"/>
              <w:textAlignment w:val="center"/>
              <w:rPr>
                <w:rFonts w:cs="Times New Roman"/>
              </w:rPr>
            </w:pPr>
            <w:r>
              <w:rPr>
                <w:rFonts w:cs="Times New Roman"/>
                <w:color w:val="000000"/>
              </w:rPr>
              <w:t>80,623,665.27</w:t>
            </w:r>
          </w:p>
        </w:tc>
        <w:tc>
          <w:tcPr>
            <w:tcW w:w="1267" w:type="pct"/>
            <w:vAlign w:val="center"/>
          </w:tcPr>
          <w:p w14:paraId="3B6B0F93">
            <w:pPr>
              <w:jc w:val="right"/>
              <w:textAlignment w:val="center"/>
              <w:rPr>
                <w:rFonts w:cs="Times New Roman"/>
              </w:rPr>
            </w:pPr>
            <w:r>
              <w:rPr>
                <w:rFonts w:cs="Times New Roman"/>
                <w:color w:val="000000"/>
              </w:rPr>
              <w:t>59.72</w:t>
            </w:r>
          </w:p>
        </w:tc>
      </w:tr>
    </w:tbl>
    <w:p w14:paraId="7533D886">
      <w:pPr>
        <w:rPr>
          <w:color w:val="000000" w:themeColor="text1"/>
          <w14:textFill>
            <w14:solidFill>
              <w14:schemeClr w14:val="tx1"/>
            </w14:solidFill>
          </w14:textFill>
        </w:rPr>
      </w:pPr>
      <w:r>
        <w:rPr>
          <w:rFonts w:hint="eastAsia"/>
          <w:color w:val="000000" w:themeColor="text1"/>
          <w14:textFill>
            <w14:solidFill>
              <w14:schemeClr w14:val="tx1"/>
            </w14:solidFill>
          </w14:textFill>
        </w:rPr>
        <w:t>按组合计提坏账准备的说明</w:t>
      </w:r>
    </w:p>
    <w:sdt>
      <w:sdtPr>
        <w:rPr>
          <w:color w:val="000000" w:themeColor="text1"/>
          <w14:textFill>
            <w14:solidFill>
              <w14:schemeClr w14:val="tx1"/>
            </w14:solidFill>
          </w14:textFill>
        </w:rPr>
        <w:alias w:val="是否适用：按组合计提坏账准备的的说明[双击切换]"/>
        <w:tag w:val="_GBC_aabf124bd0174536b5fe13ea3272172b"/>
        <w:id w:val="147464466"/>
        <w:placeholder>
          <w:docPart w:val="GBC22222222222222222222222222222"/>
        </w:placeholder>
      </w:sdtPr>
      <w:sdtEndPr>
        <w:rPr>
          <w:color w:val="000000" w:themeColor="text1"/>
          <w14:textFill>
            <w14:solidFill>
              <w14:schemeClr w14:val="tx1"/>
            </w14:solidFill>
          </w14:textFill>
        </w:rPr>
      </w:sdtEndPr>
      <w:sdtContent>
        <w:p w14:paraId="3D45025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A59F7C0">
      <w:pPr>
        <w:rPr>
          <w:rFonts w:ascii="Calibri" w:hAnsi="Calibri" w:cs="Times New Roman"/>
          <w:b/>
          <w:bCs w:val="0"/>
          <w:color w:val="000000" w:themeColor="text1"/>
          <w:szCs w:val="22"/>
          <w14:textFill>
            <w14:solidFill>
              <w14:schemeClr w14:val="tx1"/>
            </w14:solidFill>
          </w14:textFill>
        </w:rPr>
      </w:pPr>
    </w:p>
    <w:bookmarkEnd w:id="287"/>
    <w:bookmarkEnd w:id="288"/>
    <w:p w14:paraId="32098D52">
      <w:pPr>
        <w:rPr>
          <w:color w:val="000000" w:themeColor="text1"/>
          <w14:textFill>
            <w14:solidFill>
              <w14:schemeClr w14:val="tx1"/>
            </w14:solidFill>
          </w14:textFill>
        </w:rPr>
      </w:pPr>
      <w:bookmarkStart w:id="289" w:name="_Hlk10471933"/>
      <w:r>
        <w:rPr>
          <w:rFonts w:hint="eastAsia"/>
          <w:color w:val="000000" w:themeColor="text1"/>
          <w14:textFill>
            <w14:solidFill>
              <w14:schemeClr w14:val="tx1"/>
            </w14:solidFill>
          </w14:textFill>
        </w:rPr>
        <w:t>按预期信用损失一般模型计提坏账准备</w:t>
      </w:r>
      <w:r>
        <w:rPr>
          <w:color w:val="000000" w:themeColor="text1"/>
          <w14:textFill>
            <w14:solidFill>
              <w14:schemeClr w14:val="tx1"/>
            </w14:solidFill>
          </w14:textFill>
        </w:rPr>
        <w:t xml:space="preserve"> </w:t>
      </w:r>
    </w:p>
    <w:sdt>
      <w:sdtPr>
        <w:rPr>
          <w:color w:val="000000" w:themeColor="text1"/>
          <w14:textFill>
            <w14:solidFill>
              <w14:schemeClr w14:val="tx1"/>
            </w14:solidFill>
          </w14:textFill>
        </w:rPr>
        <w:alias w:val="是否适用：长期应收款坏账准备调节表[双击切换]"/>
        <w:tag w:val="_GBC_f7e4bed7dbb84fbcb52f2226cf465bb3"/>
        <w:id w:val="147463287"/>
        <w:placeholder>
          <w:docPart w:val="GBC22222222222222222222222222222"/>
        </w:placeholder>
      </w:sdtPr>
      <w:sdtEndPr>
        <w:rPr>
          <w:color w:val="000000" w:themeColor="text1"/>
          <w14:textFill>
            <w14:solidFill>
              <w14:schemeClr w14:val="tx1"/>
            </w14:solidFill>
          </w14:textFill>
        </w:rPr>
      </w:sdtEndPr>
      <w:sdtContent>
        <w:p w14:paraId="520AB53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4D8D1E3">
      <w:pPr>
        <w:autoSpaceDE w:val="0"/>
        <w:autoSpaceDN w:val="0"/>
        <w:adjustRightInd w:val="0"/>
        <w:ind w:right="105" w:rightChars="5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长期应收款坏账准备调节表"/>
          <w:tag w:val="_GBC_2bbd87eab11a481f80927dfd7342e232"/>
          <w:id w:val="1474780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长期应收款坏账准备调节表"/>
          <w:tag w:val="_GBC_a6d3fb90964748f494536b204e5bab68"/>
          <w:id w:val="1474616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7"/>
        <w:gridCol w:w="1552"/>
        <w:gridCol w:w="1729"/>
        <w:gridCol w:w="1984"/>
        <w:gridCol w:w="1707"/>
      </w:tblGrid>
      <w:tr w14:paraId="798F0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94e5bbfd4534d8cbbae3a90b20c447c"/>
            <w:id w:val="147456161"/>
          </w:sdtPr>
          <w:sdtContent>
            <w:tc>
              <w:tcPr>
                <w:tcW w:w="1147" w:type="pct"/>
                <w:vMerge w:val="restart"/>
                <w:vAlign w:val="center"/>
              </w:tcPr>
              <w:p w14:paraId="783E5C0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坏账</w:t>
                </w:r>
                <w:r>
                  <w:rPr>
                    <w:color w:val="000000" w:themeColor="text1"/>
                    <w14:textFill>
                      <w14:solidFill>
                        <w14:schemeClr w14:val="tx1"/>
                      </w14:solidFill>
                    </w14:textFill>
                  </w:rPr>
                  <w:t>准备</w:t>
                </w:r>
              </w:p>
            </w:tc>
          </w:sdtContent>
        </w:sdt>
        <w:sdt>
          <w:sdtPr>
            <w:tag w:val="_PLD_ace79c3416eb44e7b3a74c621384a23c"/>
            <w:id w:val="147468071"/>
          </w:sdtPr>
          <w:sdtContent>
            <w:tc>
              <w:tcPr>
                <w:tcW w:w="857" w:type="pct"/>
                <w:vAlign w:val="center"/>
              </w:tcPr>
              <w:p w14:paraId="3BF49265">
                <w:pPr>
                  <w:jc w:val="center"/>
                  <w:rPr>
                    <w:color w:val="000000" w:themeColor="text1"/>
                    <w14:textFill>
                      <w14:solidFill>
                        <w14:schemeClr w14:val="tx1"/>
                      </w14:solidFill>
                    </w14:textFill>
                  </w:rPr>
                </w:pPr>
                <w:r>
                  <w:rPr>
                    <w:color w:val="000000" w:themeColor="text1"/>
                    <w14:textFill>
                      <w14:solidFill>
                        <w14:schemeClr w14:val="tx1"/>
                      </w14:solidFill>
                    </w14:textFill>
                  </w:rPr>
                  <w:t>第一阶段</w:t>
                </w:r>
              </w:p>
            </w:tc>
          </w:sdtContent>
        </w:sdt>
        <w:sdt>
          <w:sdtPr>
            <w:tag w:val="_PLD_a72e5fdd446746579a277a4e75ad7bab"/>
            <w:id w:val="147475864"/>
          </w:sdtPr>
          <w:sdtContent>
            <w:tc>
              <w:tcPr>
                <w:tcW w:w="955" w:type="pct"/>
                <w:vAlign w:val="center"/>
              </w:tcPr>
              <w:p w14:paraId="72B21485">
                <w:pPr>
                  <w:jc w:val="center"/>
                  <w:rPr>
                    <w:color w:val="000000" w:themeColor="text1"/>
                    <w14:textFill>
                      <w14:solidFill>
                        <w14:schemeClr w14:val="tx1"/>
                      </w14:solidFill>
                    </w14:textFill>
                  </w:rPr>
                </w:pPr>
                <w:r>
                  <w:rPr>
                    <w:color w:val="000000" w:themeColor="text1"/>
                    <w14:textFill>
                      <w14:solidFill>
                        <w14:schemeClr w14:val="tx1"/>
                      </w14:solidFill>
                    </w14:textFill>
                  </w:rPr>
                  <w:t>第二阶段</w:t>
                </w:r>
              </w:p>
            </w:tc>
          </w:sdtContent>
        </w:sdt>
        <w:sdt>
          <w:sdtPr>
            <w:tag w:val="_PLD_a754bd1abe98492398b5c00c97a6f42c"/>
            <w:id w:val="147477774"/>
          </w:sdtPr>
          <w:sdtContent>
            <w:tc>
              <w:tcPr>
                <w:tcW w:w="1096" w:type="pct"/>
                <w:vAlign w:val="center"/>
              </w:tcPr>
              <w:p w14:paraId="30915E1F">
                <w:pPr>
                  <w:jc w:val="center"/>
                  <w:rPr>
                    <w:color w:val="000000" w:themeColor="text1"/>
                    <w14:textFill>
                      <w14:solidFill>
                        <w14:schemeClr w14:val="tx1"/>
                      </w14:solidFill>
                    </w14:textFill>
                  </w:rPr>
                </w:pPr>
                <w:r>
                  <w:rPr>
                    <w:color w:val="000000" w:themeColor="text1"/>
                    <w14:textFill>
                      <w14:solidFill>
                        <w14:schemeClr w14:val="tx1"/>
                      </w14:solidFill>
                    </w14:textFill>
                  </w:rPr>
                  <w:t>第三阶段</w:t>
                </w:r>
              </w:p>
            </w:tc>
          </w:sdtContent>
        </w:sdt>
        <w:sdt>
          <w:sdtPr>
            <w:tag w:val="_PLD_23f4843cece44eacbfbcf493f51395f4"/>
            <w:id w:val="147469277"/>
          </w:sdtPr>
          <w:sdtContent>
            <w:tc>
              <w:tcPr>
                <w:tcW w:w="943" w:type="pct"/>
                <w:vMerge w:val="restart"/>
                <w:vAlign w:val="center"/>
              </w:tcPr>
              <w:p w14:paraId="7ACF75BB">
                <w:pPr>
                  <w:jc w:val="center"/>
                  <w:rPr>
                    <w:color w:val="000000" w:themeColor="text1"/>
                    <w14:textFill>
                      <w14:solidFill>
                        <w14:schemeClr w14:val="tx1"/>
                      </w14:solidFill>
                    </w14:textFill>
                  </w:rPr>
                </w:pPr>
                <w:r>
                  <w:rPr>
                    <w:color w:val="000000" w:themeColor="text1"/>
                    <w14:textFill>
                      <w14:solidFill>
                        <w14:schemeClr w14:val="tx1"/>
                      </w14:solidFill>
                    </w14:textFill>
                  </w:rPr>
                  <w:t>合计</w:t>
                </w:r>
              </w:p>
            </w:tc>
          </w:sdtContent>
        </w:sdt>
      </w:tr>
      <w:tr w14:paraId="52ED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pct"/>
            <w:vMerge w:val="continue"/>
            <w:vAlign w:val="center"/>
          </w:tcPr>
          <w:p w14:paraId="52A12A35">
            <w:pPr>
              <w:pStyle w:val="69"/>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p>
        </w:tc>
        <w:sdt>
          <w:sdtPr>
            <w:tag w:val="_PLD_0aa7c2cede1449e0abbc75ce6ccb5122"/>
            <w:id w:val="147476508"/>
          </w:sdtPr>
          <w:sdtContent>
            <w:tc>
              <w:tcPr>
                <w:tcW w:w="857" w:type="pct"/>
                <w:vAlign w:val="center"/>
              </w:tcPr>
              <w:p w14:paraId="24CEA287">
                <w:pPr>
                  <w:jc w:val="center"/>
                  <w:rPr>
                    <w:color w:val="000000" w:themeColor="text1"/>
                    <w14:textFill>
                      <w14:solidFill>
                        <w14:schemeClr w14:val="tx1"/>
                      </w14:solidFill>
                    </w14:textFill>
                  </w:rPr>
                </w:pPr>
                <w:r>
                  <w:rPr>
                    <w:color w:val="000000" w:themeColor="text1"/>
                    <w14:textFill>
                      <w14:solidFill>
                        <w14:schemeClr w14:val="tx1"/>
                      </w14:solidFill>
                    </w14:textFill>
                  </w:rPr>
                  <w:t>未来12个月预期信用损失</w:t>
                </w:r>
              </w:p>
            </w:tc>
          </w:sdtContent>
        </w:sdt>
        <w:sdt>
          <w:sdtPr>
            <w:tag w:val="_PLD_ac35bfd34bb64348af71d5e39e31efa9"/>
            <w:id w:val="147457667"/>
          </w:sdtPr>
          <w:sdtContent>
            <w:tc>
              <w:tcPr>
                <w:tcW w:w="955" w:type="pct"/>
                <w:vAlign w:val="center"/>
              </w:tcPr>
              <w:p w14:paraId="60E769A6">
                <w:pPr>
                  <w:jc w:val="center"/>
                  <w:rPr>
                    <w:color w:val="000000" w:themeColor="text1"/>
                    <w14:textFill>
                      <w14:solidFill>
                        <w14:schemeClr w14:val="tx1"/>
                      </w14:solidFill>
                    </w14:textFill>
                  </w:rPr>
                </w:pPr>
                <w:r>
                  <w:rPr>
                    <w:color w:val="000000" w:themeColor="text1"/>
                    <w14:textFill>
                      <w14:solidFill>
                        <w14:schemeClr w14:val="tx1"/>
                      </w14:solidFill>
                    </w14:textFill>
                  </w:rPr>
                  <w:t>整个存续期预期信用损失(未发生信用减值)</w:t>
                </w:r>
              </w:p>
            </w:tc>
          </w:sdtContent>
        </w:sdt>
        <w:sdt>
          <w:sdtPr>
            <w:tag w:val="_PLD_a6de648cafb14afea0a52db889b45bef"/>
            <w:id w:val="147481149"/>
          </w:sdtPr>
          <w:sdtContent>
            <w:tc>
              <w:tcPr>
                <w:tcW w:w="1096" w:type="pct"/>
                <w:vAlign w:val="center"/>
              </w:tcPr>
              <w:p w14:paraId="1EEC011F">
                <w:pPr>
                  <w:jc w:val="center"/>
                  <w:rPr>
                    <w:color w:val="000000" w:themeColor="text1"/>
                    <w14:textFill>
                      <w14:solidFill>
                        <w14:schemeClr w14:val="tx1"/>
                      </w14:solidFill>
                    </w14:textFill>
                  </w:rPr>
                </w:pPr>
                <w:r>
                  <w:rPr>
                    <w:color w:val="000000" w:themeColor="text1"/>
                    <w14:textFill>
                      <w14:solidFill>
                        <w14:schemeClr w14:val="tx1"/>
                      </w14:solidFill>
                    </w14:textFill>
                  </w:rPr>
                  <w:t>整个存续期预期信用损失(已发生信用减值)</w:t>
                </w:r>
              </w:p>
            </w:tc>
          </w:sdtContent>
        </w:sdt>
        <w:tc>
          <w:tcPr>
            <w:tcW w:w="943" w:type="pct"/>
            <w:vMerge w:val="continue"/>
          </w:tcPr>
          <w:p w14:paraId="299716A1">
            <w:pPr>
              <w:jc w:val="center"/>
              <w:rPr>
                <w:color w:val="000000" w:themeColor="text1"/>
                <w14:textFill>
                  <w14:solidFill>
                    <w14:schemeClr w14:val="tx1"/>
                  </w14:solidFill>
                </w14:textFill>
              </w:rPr>
            </w:pPr>
          </w:p>
        </w:tc>
      </w:tr>
      <w:tr w14:paraId="56C96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pct"/>
            <w:vAlign w:val="center"/>
          </w:tcPr>
          <w:p w14:paraId="7E2EF7FF">
            <w:pPr>
              <w:pStyle w:val="69"/>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2025年</w:t>
            </w:r>
            <w:r>
              <w:rPr>
                <w:rFonts w:hint="eastAsia" w:ascii="宋体" w:hAnsi="宋体" w:eastAsia="宋体" w:cs="宋体"/>
                <w:color w:val="000000" w:themeColor="text1"/>
                <w:sz w:val="21"/>
                <w:szCs w:val="21"/>
                <w:lang w:eastAsia="zh-CN"/>
                <w14:textFill>
                  <w14:solidFill>
                    <w14:schemeClr w14:val="tx1"/>
                  </w14:solidFill>
                </w14:textFill>
              </w:rPr>
              <w:t>1月1日余额</w:t>
            </w:r>
          </w:p>
        </w:tc>
        <w:tc>
          <w:tcPr>
            <w:tcW w:w="857" w:type="pct"/>
            <w:vAlign w:val="center"/>
          </w:tcPr>
          <w:p w14:paraId="44A229B9">
            <w:pPr>
              <w:jc w:val="right"/>
              <w:textAlignment w:val="center"/>
              <w:rPr>
                <w:rFonts w:cs="Times New Roman"/>
              </w:rPr>
            </w:pPr>
            <w:r>
              <w:rPr>
                <w:rFonts w:cs="Times New Roman"/>
                <w:color w:val="000000"/>
              </w:rPr>
              <w:t>77,339,381.98</w:t>
            </w:r>
          </w:p>
        </w:tc>
        <w:tc>
          <w:tcPr>
            <w:tcW w:w="955" w:type="pct"/>
            <w:vAlign w:val="center"/>
          </w:tcPr>
          <w:p w14:paraId="4E7F0BA3">
            <w:pPr>
              <w:jc w:val="right"/>
              <w:rPr>
                <w:rFonts w:cs="Times New Roman"/>
              </w:rPr>
            </w:pPr>
          </w:p>
        </w:tc>
        <w:tc>
          <w:tcPr>
            <w:tcW w:w="1096" w:type="pct"/>
            <w:vAlign w:val="center"/>
          </w:tcPr>
          <w:p w14:paraId="7FD33D48">
            <w:pPr>
              <w:jc w:val="right"/>
              <w:textAlignment w:val="center"/>
              <w:rPr>
                <w:rFonts w:cs="Times New Roman"/>
              </w:rPr>
            </w:pPr>
            <w:r>
              <w:rPr>
                <w:rFonts w:cs="Times New Roman"/>
                <w:color w:val="000000"/>
              </w:rPr>
              <w:t>77,036,686.49</w:t>
            </w:r>
          </w:p>
        </w:tc>
        <w:tc>
          <w:tcPr>
            <w:tcW w:w="943" w:type="pct"/>
            <w:vAlign w:val="center"/>
          </w:tcPr>
          <w:p w14:paraId="5412F58A">
            <w:pPr>
              <w:jc w:val="right"/>
              <w:textAlignment w:val="center"/>
              <w:rPr>
                <w:rFonts w:cs="Times New Roman"/>
              </w:rPr>
            </w:pPr>
            <w:r>
              <w:rPr>
                <w:rFonts w:cs="Times New Roman"/>
                <w:color w:val="000000"/>
              </w:rPr>
              <w:t>154,376,068.47</w:t>
            </w:r>
          </w:p>
        </w:tc>
      </w:tr>
      <w:tr w14:paraId="6C17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pct"/>
            <w:vAlign w:val="center"/>
          </w:tcPr>
          <w:p w14:paraId="1222DCCC">
            <w:pPr>
              <w:pStyle w:val="69"/>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本期计提</w:t>
            </w:r>
          </w:p>
        </w:tc>
        <w:tc>
          <w:tcPr>
            <w:tcW w:w="857" w:type="pct"/>
            <w:vAlign w:val="center"/>
          </w:tcPr>
          <w:p w14:paraId="4AF6EEDB">
            <w:pPr>
              <w:jc w:val="right"/>
              <w:textAlignment w:val="center"/>
              <w:rPr>
                <w:rFonts w:cs="Times New Roman"/>
              </w:rPr>
            </w:pPr>
            <w:r>
              <w:rPr>
                <w:rFonts w:cs="Times New Roman"/>
                <w:color w:val="000000"/>
              </w:rPr>
              <w:t>3,284,283.29</w:t>
            </w:r>
          </w:p>
        </w:tc>
        <w:tc>
          <w:tcPr>
            <w:tcW w:w="955" w:type="pct"/>
            <w:vAlign w:val="center"/>
          </w:tcPr>
          <w:p w14:paraId="067CA858">
            <w:pPr>
              <w:jc w:val="right"/>
              <w:rPr>
                <w:rFonts w:cs="Times New Roman"/>
              </w:rPr>
            </w:pPr>
          </w:p>
        </w:tc>
        <w:tc>
          <w:tcPr>
            <w:tcW w:w="1096" w:type="pct"/>
            <w:vAlign w:val="center"/>
          </w:tcPr>
          <w:p w14:paraId="599DAC59">
            <w:pPr>
              <w:jc w:val="right"/>
              <w:rPr>
                <w:rFonts w:cs="Times New Roman"/>
              </w:rPr>
            </w:pPr>
          </w:p>
        </w:tc>
        <w:tc>
          <w:tcPr>
            <w:tcW w:w="943" w:type="pct"/>
            <w:vAlign w:val="center"/>
          </w:tcPr>
          <w:p w14:paraId="326D6CE2">
            <w:pPr>
              <w:jc w:val="right"/>
              <w:textAlignment w:val="center"/>
              <w:rPr>
                <w:rFonts w:cs="Times New Roman"/>
              </w:rPr>
            </w:pPr>
            <w:r>
              <w:rPr>
                <w:rFonts w:cs="Times New Roman"/>
                <w:color w:val="000000"/>
              </w:rPr>
              <w:t>3,284,283.29</w:t>
            </w:r>
          </w:p>
        </w:tc>
      </w:tr>
      <w:tr w14:paraId="0ADB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pct"/>
            <w:vAlign w:val="center"/>
          </w:tcPr>
          <w:p w14:paraId="0ECD6C48">
            <w:pPr>
              <w:pStyle w:val="69"/>
              <w:spacing w:after="0" w:line="240" w:lineRule="auto"/>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2025年6月30日</w:t>
            </w:r>
            <w:r>
              <w:rPr>
                <w:rFonts w:hint="eastAsia" w:ascii="宋体" w:hAnsi="宋体" w:eastAsia="宋体" w:cs="宋体"/>
                <w:color w:val="000000" w:themeColor="text1"/>
                <w:sz w:val="21"/>
                <w:szCs w:val="21"/>
                <w:lang w:eastAsia="zh-CN"/>
                <w14:textFill>
                  <w14:solidFill>
                    <w14:schemeClr w14:val="tx1"/>
                  </w14:solidFill>
                </w14:textFill>
              </w:rPr>
              <w:t>余额</w:t>
            </w:r>
          </w:p>
        </w:tc>
        <w:tc>
          <w:tcPr>
            <w:tcW w:w="857" w:type="pct"/>
            <w:vAlign w:val="center"/>
          </w:tcPr>
          <w:p w14:paraId="391B08DA">
            <w:pPr>
              <w:jc w:val="right"/>
              <w:textAlignment w:val="center"/>
              <w:rPr>
                <w:rFonts w:cs="Times New Roman"/>
              </w:rPr>
            </w:pPr>
            <w:r>
              <w:rPr>
                <w:rFonts w:cs="Times New Roman"/>
                <w:color w:val="000000"/>
              </w:rPr>
              <w:t>80,623,665.27</w:t>
            </w:r>
          </w:p>
        </w:tc>
        <w:tc>
          <w:tcPr>
            <w:tcW w:w="955" w:type="pct"/>
            <w:vAlign w:val="center"/>
          </w:tcPr>
          <w:p w14:paraId="51BD90E5">
            <w:pPr>
              <w:jc w:val="right"/>
              <w:rPr>
                <w:rFonts w:cs="Times New Roman"/>
              </w:rPr>
            </w:pPr>
          </w:p>
        </w:tc>
        <w:tc>
          <w:tcPr>
            <w:tcW w:w="1096" w:type="pct"/>
            <w:vAlign w:val="center"/>
          </w:tcPr>
          <w:p w14:paraId="2B35FF22">
            <w:pPr>
              <w:jc w:val="right"/>
              <w:textAlignment w:val="center"/>
              <w:rPr>
                <w:rFonts w:cs="Times New Roman"/>
              </w:rPr>
            </w:pPr>
            <w:r>
              <w:rPr>
                <w:rFonts w:cs="Times New Roman"/>
                <w:color w:val="000000"/>
              </w:rPr>
              <w:t>77,036,686.49</w:t>
            </w:r>
          </w:p>
        </w:tc>
        <w:tc>
          <w:tcPr>
            <w:tcW w:w="943" w:type="pct"/>
            <w:vAlign w:val="center"/>
          </w:tcPr>
          <w:p w14:paraId="52DE5C9D">
            <w:pPr>
              <w:jc w:val="right"/>
              <w:textAlignment w:val="center"/>
              <w:rPr>
                <w:rFonts w:cs="Times New Roman"/>
              </w:rPr>
            </w:pPr>
            <w:r>
              <w:rPr>
                <w:rFonts w:cs="Times New Roman"/>
                <w:color w:val="000000"/>
              </w:rPr>
              <w:t>157,660,351.76</w:t>
            </w:r>
          </w:p>
        </w:tc>
      </w:tr>
    </w:tbl>
    <w:p w14:paraId="4173278F">
      <w:pPr>
        <w:rPr>
          <w:color w:val="000000" w:themeColor="text1"/>
          <w14:textFill>
            <w14:solidFill>
              <w14:schemeClr w14:val="tx1"/>
            </w14:solidFill>
          </w14:textFill>
        </w:rPr>
      </w:pPr>
    </w:p>
    <w:p w14:paraId="606F3F9A">
      <w:pPr>
        <w:autoSpaceDE w:val="0"/>
        <w:autoSpaceDN w:val="0"/>
        <w:adjustRightInd w:val="0"/>
        <w:ind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各阶段划分依据和坏账准备计提比例</w:t>
      </w:r>
    </w:p>
    <w:sdt>
      <w:sdtPr>
        <w:rPr>
          <w:rFonts w:cs="Times New Roman"/>
          <w:bCs w:val="0"/>
          <w:color w:val="000000" w:themeColor="text1"/>
          <w:szCs w:val="22"/>
          <w14:textFill>
            <w14:solidFill>
              <w14:schemeClr w14:val="tx1"/>
            </w14:solidFill>
          </w14:textFill>
        </w:rPr>
        <w:alias w:val="长期应收款各阶段划分依据和减值准备计提比例"/>
        <w:tag w:val="_GBC_57b837a8ea804a8b95b55847e9ad20de"/>
        <w:id w:val="147456655"/>
        <w:placeholder>
          <w:docPart w:val="GBC22222222222222222222222222222"/>
        </w:placeholder>
      </w:sdtPr>
      <w:sdtEndPr>
        <w:rPr>
          <w:rFonts w:cs="Times New Roman"/>
          <w:bCs w:val="0"/>
          <w:color w:val="000000" w:themeColor="text1"/>
          <w:szCs w:val="22"/>
          <w14:textFill>
            <w14:solidFill>
              <w14:schemeClr w14:val="tx1"/>
            </w14:solidFill>
          </w14:textFill>
        </w:rPr>
      </w:sdtEndPr>
      <w:sdtContent>
        <w:p w14:paraId="22F6424C">
          <w:pPr>
            <w:rPr>
              <w:rFonts w:cs="Times New Roman"/>
              <w:bCs w:val="0"/>
              <w:color w:val="000000" w:themeColor="text1"/>
              <w:szCs w:val="22"/>
              <w14:textFill>
                <w14:solidFill>
                  <w14:schemeClr w14:val="tx1"/>
                </w14:solidFill>
              </w14:textFill>
            </w:rPr>
          </w:pPr>
          <w:r>
            <w:rPr>
              <w:rFonts w:hint="eastAsia" w:cs="Times New Roman"/>
              <w:bCs w:val="0"/>
              <w:color w:val="000000" w:themeColor="text1"/>
              <w:szCs w:val="22"/>
              <w14:textFill>
                <w14:solidFill>
                  <w14:schemeClr w14:val="tx1"/>
                </w14:solidFill>
              </w14:textFill>
            </w:rPr>
            <w:t>无</w:t>
          </w:r>
        </w:p>
      </w:sdtContent>
    </w:sdt>
    <w:p w14:paraId="6248A347">
      <w:pPr>
        <w:rPr>
          <w:color w:val="000000" w:themeColor="text1"/>
          <w14:textFill>
            <w14:solidFill>
              <w14:schemeClr w14:val="tx1"/>
            </w14:solidFill>
          </w14:textFill>
        </w:rPr>
      </w:pPr>
    </w:p>
    <w:p w14:paraId="3D34C951">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对本期发生损失准备变动的长期应收款账面余额显著变动的情况说明：</w:t>
      </w:r>
    </w:p>
    <w:sdt>
      <w:sdtPr>
        <w:rPr>
          <w:color w:val="000000" w:themeColor="text1"/>
          <w14:textFill>
            <w14:solidFill>
              <w14:schemeClr w14:val="tx1"/>
            </w14:solidFill>
          </w14:textFill>
        </w:rPr>
        <w:alias w:val="是否适用：长期应收款本期发生损失准备变动且账面余额显著变动的情况说明[双击切换]"/>
        <w:tag w:val="_GBC_105890c95e234852a3bb3a3f5acf6008"/>
        <w:id w:val="147469864"/>
        <w:placeholder>
          <w:docPart w:val="GBC22222222222222222222222222222"/>
        </w:placeholder>
      </w:sdtPr>
      <w:sdtEndPr>
        <w:rPr>
          <w:color w:val="000000" w:themeColor="text1"/>
          <w14:textFill>
            <w14:solidFill>
              <w14:schemeClr w14:val="tx1"/>
            </w14:solidFill>
          </w14:textFill>
        </w:rPr>
      </w:sdtEndPr>
      <w:sdtContent>
        <w:p w14:paraId="73B33C1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4F3CE48">
      <w:pPr>
        <w:rPr>
          <w:color w:val="000000" w:themeColor="text1"/>
          <w14:textFill>
            <w14:solidFill>
              <w14:schemeClr w14:val="tx1"/>
            </w14:solidFill>
          </w14:textFill>
        </w:rPr>
      </w:pPr>
    </w:p>
    <w:p w14:paraId="5E0F99BC">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本期坏账准备计提金额以及评估金融工具的信用风险是否显著增加的采用依据：</w:t>
      </w:r>
    </w:p>
    <w:sdt>
      <w:sdtPr>
        <w:rPr>
          <w:color w:val="000000" w:themeColor="text1"/>
          <w14:textFill>
            <w14:solidFill>
              <w14:schemeClr w14:val="tx1"/>
            </w14:solidFill>
          </w14:textFill>
        </w:rPr>
        <w:alias w:val="是否适用：长期应收款坏账准备计提金额以及评估金融工具的信用风险显著增加的采用依据[双击切换]"/>
        <w:tag w:val="_GBC_9c13b337c4794abdbfceded7b319c34a"/>
        <w:id w:val="147460225"/>
        <w:placeholder>
          <w:docPart w:val="GBC22222222222222222222222222222"/>
        </w:placeholder>
      </w:sdtPr>
      <w:sdtEndPr>
        <w:rPr>
          <w:color w:val="000000" w:themeColor="text1"/>
          <w14:textFill>
            <w14:solidFill>
              <w14:schemeClr w14:val="tx1"/>
            </w14:solidFill>
          </w14:textFill>
        </w:rPr>
      </w:sdtEndPr>
      <w:sdtContent>
        <w:p w14:paraId="0F98C66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149B23F">
      <w:pPr>
        <w:rPr>
          <w:color w:val="000000" w:themeColor="text1"/>
          <w14:textFill>
            <w14:solidFill>
              <w14:schemeClr w14:val="tx1"/>
            </w14:solidFill>
          </w14:textFill>
        </w:rPr>
      </w:pPr>
    </w:p>
    <w:bookmarkEnd w:id="289"/>
    <w:p w14:paraId="77659206">
      <w:pPr>
        <w:pStyle w:val="58"/>
        <w:numPr>
          <w:ilvl w:val="0"/>
          <w:numId w:val="66"/>
        </w:numPr>
        <w:rPr>
          <w:rFonts w:ascii="宋体" w:hAnsi="宋体"/>
          <w:color w:val="000000" w:themeColor="text1"/>
          <w14:textFill>
            <w14:solidFill>
              <w14:schemeClr w14:val="tx1"/>
            </w14:solidFill>
          </w14:textFill>
        </w:rPr>
      </w:pPr>
      <w:bookmarkStart w:id="290" w:name="_Hlk154131356"/>
      <w:bookmarkStart w:id="291" w:name="_Hlk167893254"/>
      <w:bookmarkStart w:id="292" w:name="_Hlk153457634"/>
      <w:r>
        <w:rPr>
          <w:rFonts w:hint="eastAsia" w:ascii="宋体" w:hAnsi="宋体"/>
          <w:color w:val="000000" w:themeColor="text1"/>
          <w14:textFill>
            <w14:solidFill>
              <w14:schemeClr w14:val="tx1"/>
            </w14:solidFill>
          </w14:textFill>
        </w:rPr>
        <w:t>坏账准备的情况</w:t>
      </w:r>
    </w:p>
    <w:sdt>
      <w:sdtPr>
        <w:rPr>
          <w:color w:val="000000" w:themeColor="text1"/>
          <w14:textFill>
            <w14:solidFill>
              <w14:schemeClr w14:val="tx1"/>
            </w14:solidFill>
          </w14:textFill>
        </w:rPr>
        <w:alias w:val="是否适用：坏账准备情况[双击切换]"/>
        <w:tag w:val="_GBC_2514c3c2e0d44fce9a234c85b89eb697"/>
        <w:id w:val="147474839"/>
        <w:placeholder>
          <w:docPart w:val="GBC22222222222222222222222222222"/>
        </w:placeholder>
      </w:sdtPr>
      <w:sdtEndPr>
        <w:rPr>
          <w:color w:val="000000" w:themeColor="text1"/>
          <w14:textFill>
            <w14:solidFill>
              <w14:schemeClr w14:val="tx1"/>
            </w14:solidFill>
          </w14:textFill>
        </w:rPr>
      </w:sdtEndPr>
      <w:sdtContent>
        <w:p w14:paraId="67DDD4F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4E0AF11">
      <w:pPr>
        <w:pStyle w:val="63"/>
        <w:snapToGrid w:val="0"/>
        <w:spacing w:line="240" w:lineRule="atLeast"/>
        <w:ind w:left="425" w:firstLine="0" w:firstLineChars="0"/>
        <w:jc w:val="righ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单位：</w:t>
      </w:r>
      <w:sdt>
        <w:sdtPr>
          <w:rPr>
            <w:rFonts w:hint="eastAsia"/>
            <w:color w:val="000000" w:themeColor="text1"/>
            <w:szCs w:val="21"/>
            <w14:textFill>
              <w14:solidFill>
                <w14:schemeClr w14:val="tx1"/>
              </w14:solidFill>
            </w14:textFill>
          </w:rPr>
          <w:alias w:val="单位：坏账准备情况"/>
          <w:tag w:val="_GBC_4094b744572d43c48688324c8c9f5e5f"/>
          <w:id w:val="14745990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szCs w:val="21"/>
            <w14:textFill>
              <w14:solidFill>
                <w14:schemeClr w14:val="tx1"/>
              </w14:solidFill>
            </w14:textFill>
          </w:rPr>
        </w:sdtEndPr>
        <w:sdtContent>
          <w:r>
            <w:rPr>
              <w:rFonts w:hint="eastAsia"/>
              <w:color w:val="000000" w:themeColor="text1"/>
              <w:szCs w:val="21"/>
              <w14:textFill>
                <w14:solidFill>
                  <w14:schemeClr w14:val="tx1"/>
                </w14:solidFill>
              </w14:textFill>
            </w:rPr>
            <w:t>元</w:t>
          </w:r>
        </w:sdtContent>
      </w:sdt>
      <w:r>
        <w:rPr>
          <w:rFonts w:hint="eastAsia"/>
          <w:color w:val="000000" w:themeColor="text1"/>
          <w:szCs w:val="21"/>
          <w14:textFill>
            <w14:solidFill>
              <w14:schemeClr w14:val="tx1"/>
            </w14:solidFill>
          </w14:textFill>
        </w:rPr>
        <w:t xml:space="preserve">  币种：</w:t>
      </w:r>
      <w:sdt>
        <w:sdtPr>
          <w:rPr>
            <w:rFonts w:hint="eastAsia"/>
            <w:color w:val="000000" w:themeColor="text1"/>
            <w:szCs w:val="21"/>
            <w14:textFill>
              <w14:solidFill>
                <w14:schemeClr w14:val="tx1"/>
              </w14:solidFill>
            </w14:textFill>
          </w:rPr>
          <w:alias w:val="币种：坏账准备情况"/>
          <w:tag w:val="_GBC_a64163a2b3154a7e9f37244b29e71cdf"/>
          <w:id w:val="1474763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szCs w:val="21"/>
            <w14:textFill>
              <w14:solidFill>
                <w14:schemeClr w14:val="tx1"/>
              </w14:solidFill>
            </w14:textFill>
          </w:rPr>
        </w:sdtEndPr>
        <w:sdtContent>
          <w:r>
            <w:rPr>
              <w:rFonts w:hint="eastAsia"/>
              <w:color w:val="000000" w:themeColor="text1"/>
              <w:szCs w:val="2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722"/>
        <w:gridCol w:w="1721"/>
        <w:gridCol w:w="1420"/>
        <w:gridCol w:w="920"/>
        <w:gridCol w:w="950"/>
        <w:gridCol w:w="685"/>
        <w:gridCol w:w="1642"/>
      </w:tblGrid>
      <w:tr w14:paraId="0AD6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0a9bb09f4675456385e28eec38fdf1ab"/>
            <w:id w:val="147451488"/>
          </w:sdtPr>
          <w:sdtContent>
            <w:tc>
              <w:tcPr>
                <w:tcW w:w="950" w:type="pct"/>
                <w:vMerge w:val="restart"/>
                <w:shd w:val="clear" w:color="auto" w:fill="auto"/>
                <w:vAlign w:val="center"/>
              </w:tcPr>
              <w:p w14:paraId="3B94206C">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类别</w:t>
                </w:r>
              </w:p>
            </w:tc>
          </w:sdtContent>
        </w:sdt>
        <w:sdt>
          <w:sdtPr>
            <w:tag w:val="_PLD_bde443646eb84dec9d4f8028f9b802bf"/>
            <w:id w:val="147453721"/>
          </w:sdtPr>
          <w:sdtContent>
            <w:tc>
              <w:tcPr>
                <w:tcW w:w="950" w:type="pct"/>
                <w:vMerge w:val="restart"/>
                <w:shd w:val="clear" w:color="auto" w:fill="auto"/>
                <w:vAlign w:val="center"/>
              </w:tcPr>
              <w:p w14:paraId="17550EA2">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期初余额</w:t>
                </w:r>
              </w:p>
            </w:tc>
          </w:sdtContent>
        </w:sdt>
        <w:sdt>
          <w:sdtPr>
            <w:tag w:val="_PLD_cb8b68cd02174377b8eb3a9850bd9677"/>
            <w:id w:val="147480611"/>
          </w:sdtPr>
          <w:sdtContent>
            <w:tc>
              <w:tcPr>
                <w:tcW w:w="2194" w:type="pct"/>
                <w:gridSpan w:val="4"/>
                <w:shd w:val="clear" w:color="auto" w:fill="auto"/>
                <w:vAlign w:val="center"/>
              </w:tcPr>
              <w:p w14:paraId="10A4F6B7">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本期变动</w:t>
                </w:r>
                <w:r>
                  <w:rPr>
                    <w:color w:val="000000" w:themeColor="text1"/>
                    <w14:textFill>
                      <w14:solidFill>
                        <w14:schemeClr w14:val="tx1"/>
                      </w14:solidFill>
                    </w14:textFill>
                  </w:rPr>
                  <w:t>金额</w:t>
                </w:r>
              </w:p>
            </w:tc>
          </w:sdtContent>
        </w:sdt>
        <w:tc>
          <w:tcPr>
            <w:tcW w:w="906" w:type="pct"/>
            <w:vMerge w:val="restart"/>
            <w:shd w:val="clear" w:color="auto" w:fill="auto"/>
            <w:vAlign w:val="center"/>
          </w:tcPr>
          <w:sdt>
            <w:sdtPr>
              <w:tag w:val="_PLD_71dba82991b74b42bff24787ce9dba21"/>
              <w:id w:val="147473521"/>
            </w:sdtPr>
            <w:sdtContent>
              <w:p w14:paraId="3C76F4E6">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期末余额</w:t>
                </w:r>
              </w:p>
            </w:sdtContent>
          </w:sdt>
        </w:tc>
      </w:tr>
      <w:tr w14:paraId="086E2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50" w:type="pct"/>
            <w:vMerge w:val="continue"/>
            <w:shd w:val="clear" w:color="auto" w:fill="FFFFFF"/>
          </w:tcPr>
          <w:p w14:paraId="6A299997">
            <w:pPr>
              <w:widowControl w:val="0"/>
              <w:jc w:val="center"/>
              <w:rPr>
                <w:color w:val="000000" w:themeColor="text1"/>
                <w14:textFill>
                  <w14:solidFill>
                    <w14:schemeClr w14:val="tx1"/>
                  </w14:solidFill>
                </w14:textFill>
              </w:rPr>
            </w:pPr>
          </w:p>
        </w:tc>
        <w:tc>
          <w:tcPr>
            <w:tcW w:w="950" w:type="pct"/>
            <w:vMerge w:val="continue"/>
            <w:shd w:val="clear" w:color="auto" w:fill="FFFFFF"/>
          </w:tcPr>
          <w:p w14:paraId="1F9305E0">
            <w:pPr>
              <w:widowControl w:val="0"/>
              <w:jc w:val="center"/>
              <w:rPr>
                <w:color w:val="000000" w:themeColor="text1"/>
                <w14:textFill>
                  <w14:solidFill>
                    <w14:schemeClr w14:val="tx1"/>
                  </w14:solidFill>
                </w14:textFill>
              </w:rPr>
            </w:pPr>
          </w:p>
        </w:tc>
        <w:sdt>
          <w:sdtPr>
            <w:tag w:val="_PLD_747d1f708b2e490685cc6edafd176732"/>
            <w:id w:val="147455511"/>
          </w:sdtPr>
          <w:sdtContent>
            <w:tc>
              <w:tcPr>
                <w:tcW w:w="784" w:type="pct"/>
                <w:shd w:val="clear" w:color="auto" w:fill="auto"/>
                <w:vAlign w:val="center"/>
              </w:tcPr>
              <w:p w14:paraId="270989F7">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计提</w:t>
                </w:r>
              </w:p>
            </w:tc>
          </w:sdtContent>
        </w:sdt>
        <w:sdt>
          <w:sdtPr>
            <w:tag w:val="_PLD_55a59d4ba77742cf9759fadbe07f0d4b"/>
            <w:id w:val="147459846"/>
          </w:sdtPr>
          <w:sdtContent>
            <w:tc>
              <w:tcPr>
                <w:tcW w:w="508" w:type="pct"/>
                <w:shd w:val="clear" w:color="auto" w:fill="auto"/>
                <w:vAlign w:val="center"/>
              </w:tcPr>
              <w:p w14:paraId="7E787E25">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收回或转回</w:t>
                </w:r>
              </w:p>
            </w:tc>
          </w:sdtContent>
        </w:sdt>
        <w:sdt>
          <w:sdtPr>
            <w:tag w:val="_PLD_84e4915da5d84ef6a8b141653da6d134"/>
            <w:id w:val="147459555"/>
          </w:sdtPr>
          <w:sdtContent>
            <w:tc>
              <w:tcPr>
                <w:tcW w:w="524" w:type="pct"/>
                <w:shd w:val="clear" w:color="auto" w:fill="auto"/>
                <w:vAlign w:val="center"/>
              </w:tcPr>
              <w:p w14:paraId="770C6134">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转销或核销</w:t>
                </w:r>
              </w:p>
            </w:tc>
          </w:sdtContent>
        </w:sdt>
        <w:sdt>
          <w:sdtPr>
            <w:tag w:val="_PLD_f50a0cc32e9c443295b2cc3acda22d33"/>
            <w:id w:val="147454561"/>
          </w:sdtPr>
          <w:sdtContent>
            <w:tc>
              <w:tcPr>
                <w:tcW w:w="377" w:type="pct"/>
                <w:shd w:val="clear" w:color="auto" w:fill="auto"/>
                <w:vAlign w:val="center"/>
              </w:tcPr>
              <w:p w14:paraId="4064C7D4">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其他变动</w:t>
                </w:r>
              </w:p>
            </w:tc>
          </w:sdtContent>
        </w:sdt>
        <w:tc>
          <w:tcPr>
            <w:tcW w:w="906" w:type="pct"/>
            <w:vMerge w:val="continue"/>
            <w:shd w:val="clear" w:color="auto" w:fill="FFFFFF"/>
          </w:tcPr>
          <w:p w14:paraId="251C5541">
            <w:pPr>
              <w:widowControl w:val="0"/>
              <w:jc w:val="right"/>
              <w:rPr>
                <w:color w:val="000000" w:themeColor="text1"/>
                <w14:textFill>
                  <w14:solidFill>
                    <w14:schemeClr w14:val="tx1"/>
                  </w14:solidFill>
                </w14:textFill>
              </w:rPr>
            </w:pPr>
          </w:p>
        </w:tc>
      </w:tr>
      <w:tr w14:paraId="25469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50" w:type="pct"/>
          </w:tcPr>
          <w:p w14:paraId="2756A38F">
            <w:pPr>
              <w:textAlignment w:val="top"/>
            </w:pPr>
            <w:r>
              <w:rPr>
                <w:rFonts w:cs="Times New Roman"/>
                <w:color w:val="000000"/>
                <w:lang w:bidi="ar"/>
              </w:rPr>
              <w:t>单项计提坏账准备</w:t>
            </w:r>
          </w:p>
        </w:tc>
        <w:tc>
          <w:tcPr>
            <w:tcW w:w="950" w:type="pct"/>
            <w:vAlign w:val="center"/>
          </w:tcPr>
          <w:p w14:paraId="0349CFFD">
            <w:pPr>
              <w:jc w:val="right"/>
              <w:textAlignment w:val="center"/>
              <w:rPr>
                <w:rFonts w:cs="Times New Roman"/>
              </w:rPr>
            </w:pPr>
            <w:r>
              <w:rPr>
                <w:rFonts w:cs="Times New Roman"/>
                <w:color w:val="000000"/>
              </w:rPr>
              <w:t>77,036,686.49</w:t>
            </w:r>
          </w:p>
        </w:tc>
        <w:tc>
          <w:tcPr>
            <w:tcW w:w="784" w:type="pct"/>
            <w:vAlign w:val="center"/>
          </w:tcPr>
          <w:p w14:paraId="00AFDB7E">
            <w:pPr>
              <w:jc w:val="right"/>
              <w:rPr>
                <w:rFonts w:cs="Times New Roman"/>
              </w:rPr>
            </w:pPr>
          </w:p>
        </w:tc>
        <w:tc>
          <w:tcPr>
            <w:tcW w:w="508" w:type="pct"/>
            <w:vAlign w:val="center"/>
          </w:tcPr>
          <w:p w14:paraId="1CA48ED1">
            <w:pPr>
              <w:jc w:val="right"/>
              <w:rPr>
                <w:rFonts w:cs="Times New Roman"/>
              </w:rPr>
            </w:pPr>
          </w:p>
        </w:tc>
        <w:tc>
          <w:tcPr>
            <w:tcW w:w="524" w:type="pct"/>
            <w:vAlign w:val="center"/>
          </w:tcPr>
          <w:p w14:paraId="0B410210">
            <w:pPr>
              <w:jc w:val="right"/>
              <w:rPr>
                <w:rFonts w:cs="Times New Roman"/>
              </w:rPr>
            </w:pPr>
          </w:p>
        </w:tc>
        <w:tc>
          <w:tcPr>
            <w:tcW w:w="377" w:type="pct"/>
            <w:vAlign w:val="center"/>
          </w:tcPr>
          <w:p w14:paraId="6103D79E">
            <w:pPr>
              <w:jc w:val="right"/>
              <w:rPr>
                <w:rFonts w:cs="Times New Roman"/>
              </w:rPr>
            </w:pPr>
          </w:p>
        </w:tc>
        <w:tc>
          <w:tcPr>
            <w:tcW w:w="906" w:type="pct"/>
            <w:vAlign w:val="center"/>
          </w:tcPr>
          <w:p w14:paraId="74B45EDB">
            <w:pPr>
              <w:jc w:val="right"/>
              <w:textAlignment w:val="center"/>
              <w:rPr>
                <w:rFonts w:cs="Times New Roman"/>
              </w:rPr>
            </w:pPr>
            <w:r>
              <w:rPr>
                <w:rFonts w:cs="Times New Roman"/>
                <w:color w:val="000000"/>
              </w:rPr>
              <w:t>77,036,686.49</w:t>
            </w:r>
          </w:p>
        </w:tc>
      </w:tr>
      <w:tr w14:paraId="1895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50" w:type="pct"/>
          </w:tcPr>
          <w:p w14:paraId="7A9B2720">
            <w:pPr>
              <w:textAlignment w:val="top"/>
            </w:pPr>
            <w:r>
              <w:rPr>
                <w:rFonts w:cs="Times New Roman"/>
                <w:color w:val="000000"/>
                <w:lang w:bidi="ar"/>
              </w:rPr>
              <w:t>按组合计提坏账准备</w:t>
            </w:r>
          </w:p>
        </w:tc>
        <w:tc>
          <w:tcPr>
            <w:tcW w:w="950" w:type="pct"/>
            <w:vAlign w:val="center"/>
          </w:tcPr>
          <w:p w14:paraId="52513848">
            <w:pPr>
              <w:jc w:val="right"/>
              <w:textAlignment w:val="center"/>
              <w:rPr>
                <w:rFonts w:cs="Times New Roman"/>
              </w:rPr>
            </w:pPr>
            <w:r>
              <w:rPr>
                <w:rFonts w:cs="Times New Roman"/>
                <w:color w:val="000000"/>
              </w:rPr>
              <w:t>77,339,381.98</w:t>
            </w:r>
          </w:p>
        </w:tc>
        <w:tc>
          <w:tcPr>
            <w:tcW w:w="784" w:type="pct"/>
            <w:vAlign w:val="center"/>
          </w:tcPr>
          <w:p w14:paraId="16126A55">
            <w:pPr>
              <w:jc w:val="right"/>
              <w:textAlignment w:val="center"/>
              <w:rPr>
                <w:rFonts w:cs="Times New Roman"/>
              </w:rPr>
            </w:pPr>
            <w:r>
              <w:rPr>
                <w:rFonts w:cs="Times New Roman"/>
                <w:color w:val="000000"/>
              </w:rPr>
              <w:t>3,284,283.29</w:t>
            </w:r>
          </w:p>
        </w:tc>
        <w:tc>
          <w:tcPr>
            <w:tcW w:w="508" w:type="pct"/>
            <w:vAlign w:val="center"/>
          </w:tcPr>
          <w:p w14:paraId="4ADA19A4">
            <w:pPr>
              <w:jc w:val="right"/>
              <w:rPr>
                <w:rFonts w:cs="Times New Roman"/>
              </w:rPr>
            </w:pPr>
          </w:p>
        </w:tc>
        <w:tc>
          <w:tcPr>
            <w:tcW w:w="524" w:type="pct"/>
            <w:vAlign w:val="center"/>
          </w:tcPr>
          <w:p w14:paraId="22A813DC">
            <w:pPr>
              <w:jc w:val="right"/>
              <w:rPr>
                <w:rFonts w:cs="Times New Roman"/>
              </w:rPr>
            </w:pPr>
          </w:p>
        </w:tc>
        <w:tc>
          <w:tcPr>
            <w:tcW w:w="377" w:type="pct"/>
            <w:vAlign w:val="center"/>
          </w:tcPr>
          <w:p w14:paraId="4442C330">
            <w:pPr>
              <w:jc w:val="right"/>
              <w:rPr>
                <w:rFonts w:cs="Times New Roman"/>
              </w:rPr>
            </w:pPr>
          </w:p>
        </w:tc>
        <w:tc>
          <w:tcPr>
            <w:tcW w:w="906" w:type="pct"/>
            <w:vAlign w:val="center"/>
          </w:tcPr>
          <w:p w14:paraId="41FCF237">
            <w:pPr>
              <w:jc w:val="right"/>
              <w:textAlignment w:val="center"/>
              <w:rPr>
                <w:rFonts w:cs="Times New Roman"/>
              </w:rPr>
            </w:pPr>
            <w:r>
              <w:rPr>
                <w:rFonts w:cs="Times New Roman"/>
                <w:color w:val="000000"/>
              </w:rPr>
              <w:t>80,623,665.27</w:t>
            </w:r>
          </w:p>
        </w:tc>
      </w:tr>
      <w:tr w14:paraId="6D951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50" w:type="pct"/>
          </w:tcPr>
          <w:p w14:paraId="67574B1B">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950" w:type="pct"/>
            <w:vAlign w:val="center"/>
          </w:tcPr>
          <w:p w14:paraId="61E67964">
            <w:pPr>
              <w:jc w:val="right"/>
              <w:textAlignment w:val="center"/>
              <w:rPr>
                <w:rFonts w:cs="Times New Roman"/>
              </w:rPr>
            </w:pPr>
            <w:r>
              <w:rPr>
                <w:rFonts w:cs="Times New Roman"/>
                <w:color w:val="000000"/>
              </w:rPr>
              <w:t>154,376,068.47</w:t>
            </w:r>
          </w:p>
        </w:tc>
        <w:tc>
          <w:tcPr>
            <w:tcW w:w="784" w:type="pct"/>
            <w:vAlign w:val="center"/>
          </w:tcPr>
          <w:p w14:paraId="72ABCE3F">
            <w:pPr>
              <w:jc w:val="right"/>
              <w:textAlignment w:val="center"/>
              <w:rPr>
                <w:rFonts w:cs="Times New Roman"/>
              </w:rPr>
            </w:pPr>
            <w:r>
              <w:rPr>
                <w:rFonts w:cs="Times New Roman"/>
                <w:color w:val="000000"/>
              </w:rPr>
              <w:t>3,284,283.29</w:t>
            </w:r>
          </w:p>
        </w:tc>
        <w:tc>
          <w:tcPr>
            <w:tcW w:w="508" w:type="pct"/>
            <w:vAlign w:val="center"/>
          </w:tcPr>
          <w:p w14:paraId="17F1536B">
            <w:pPr>
              <w:jc w:val="right"/>
              <w:rPr>
                <w:rFonts w:cs="Times New Roman"/>
              </w:rPr>
            </w:pPr>
          </w:p>
        </w:tc>
        <w:tc>
          <w:tcPr>
            <w:tcW w:w="524" w:type="pct"/>
            <w:vAlign w:val="center"/>
          </w:tcPr>
          <w:p w14:paraId="085CD61D">
            <w:pPr>
              <w:jc w:val="right"/>
              <w:rPr>
                <w:rFonts w:cs="Times New Roman"/>
              </w:rPr>
            </w:pPr>
          </w:p>
        </w:tc>
        <w:tc>
          <w:tcPr>
            <w:tcW w:w="377" w:type="pct"/>
            <w:vAlign w:val="center"/>
          </w:tcPr>
          <w:p w14:paraId="30C14BCB">
            <w:pPr>
              <w:jc w:val="right"/>
              <w:rPr>
                <w:rFonts w:cs="Times New Roman"/>
              </w:rPr>
            </w:pPr>
          </w:p>
        </w:tc>
        <w:tc>
          <w:tcPr>
            <w:tcW w:w="906" w:type="pct"/>
            <w:vAlign w:val="center"/>
          </w:tcPr>
          <w:p w14:paraId="2C2D5994">
            <w:pPr>
              <w:jc w:val="right"/>
              <w:textAlignment w:val="center"/>
              <w:rPr>
                <w:rFonts w:cs="Times New Roman"/>
              </w:rPr>
            </w:pPr>
            <w:r>
              <w:rPr>
                <w:rFonts w:cs="Times New Roman"/>
                <w:color w:val="000000"/>
              </w:rPr>
              <w:t>157,660,351.76</w:t>
            </w:r>
          </w:p>
        </w:tc>
      </w:tr>
    </w:tbl>
    <w:p w14:paraId="72AF575C">
      <w:pPr>
        <w:pStyle w:val="67"/>
        <w:rPr>
          <w:color w:val="000000" w:themeColor="text1"/>
          <w14:textFill>
            <w14:solidFill>
              <w14:schemeClr w14:val="tx1"/>
            </w14:solidFill>
          </w14:textFill>
        </w:rPr>
      </w:pPr>
    </w:p>
    <w:bookmarkEnd w:id="290"/>
    <w:p w14:paraId="6227F2E2">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其中本期坏账准备收回或转回金额重要的：</w:t>
      </w:r>
    </w:p>
    <w:sdt>
      <w:sdtPr>
        <w:rPr>
          <w:color w:val="000000" w:themeColor="text1"/>
          <w14:textFill>
            <w14:solidFill>
              <w14:schemeClr w14:val="tx1"/>
            </w14:solidFill>
          </w14:textFill>
        </w:rPr>
        <w:alias w:val="是否适用：本期坏账准备收回或转回金额重要的[双击切换]"/>
        <w:tag w:val="_GBC_a29d07e52de24827baca64b0af5687bb"/>
        <w:id w:val="147472242"/>
        <w:placeholder>
          <w:docPart w:val="GBC22222222222222222222222222222"/>
        </w:placeholder>
      </w:sdtPr>
      <w:sdtEndPr>
        <w:rPr>
          <w:color w:val="000000" w:themeColor="text1"/>
          <w14:textFill>
            <w14:solidFill>
              <w14:schemeClr w14:val="tx1"/>
            </w14:solidFill>
          </w14:textFill>
        </w:rPr>
      </w:sdtEndPr>
      <w:sdtContent>
        <w:p w14:paraId="7571AB5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698DACD">
      <w:pPr>
        <w:rPr>
          <w:color w:val="000000" w:themeColor="text1"/>
          <w14:textFill>
            <w14:solidFill>
              <w14:schemeClr w14:val="tx1"/>
            </w14:solidFill>
          </w14:textFill>
        </w:rPr>
      </w:pPr>
    </w:p>
    <w:p w14:paraId="4BF5D2CB">
      <w:pPr>
        <w:rPr>
          <w:color w:val="000000" w:themeColor="text1"/>
          <w14:textFill>
            <w14:solidFill>
              <w14:schemeClr w14:val="tx1"/>
            </w14:solidFill>
          </w14:textFill>
        </w:rPr>
      </w:pPr>
    </w:p>
    <w:p w14:paraId="62A5F415">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坏账准备情况的说明"/>
        <w:tag w:val="_GBC_15f3ea2819374a1d81b14a1eed39f1ec"/>
        <w:id w:val="147472176"/>
        <w:placeholder>
          <w:docPart w:val="GBC22222222222222222222222222222"/>
        </w:placeholder>
      </w:sdtPr>
      <w:sdtEndPr>
        <w:rPr>
          <w:color w:val="000000" w:themeColor="text1"/>
          <w14:textFill>
            <w14:solidFill>
              <w14:schemeClr w14:val="tx1"/>
            </w14:solidFill>
          </w14:textFill>
        </w:rPr>
      </w:sdtEndPr>
      <w:sdtContent>
        <w:p w14:paraId="7D886308">
          <w:pPr>
            <w:ind w:right="42" w:rightChars="2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510B73D8">
      <w:pPr>
        <w:ind w:right="-1594" w:rightChars="-759"/>
        <w:rPr>
          <w:color w:val="000000" w:themeColor="text1"/>
          <w14:textFill>
            <w14:solidFill>
              <w14:schemeClr w14:val="tx1"/>
            </w14:solidFill>
          </w14:textFill>
        </w:rPr>
      </w:pPr>
    </w:p>
    <w:p w14:paraId="398EE960">
      <w:pPr>
        <w:pStyle w:val="58"/>
        <w:numPr>
          <w:ilvl w:val="0"/>
          <w:numId w:val="6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本期实际核销的长期应收款情况</w:t>
      </w:r>
    </w:p>
    <w:sdt>
      <w:sdtPr>
        <w:rPr>
          <w:color w:val="000000" w:themeColor="text1"/>
          <w14:textFill>
            <w14:solidFill>
              <w14:schemeClr w14:val="tx1"/>
            </w14:solidFill>
          </w14:textFill>
        </w:rPr>
        <w:alias w:val="是否适用：实际核销的情况[双击切换]"/>
        <w:tag w:val="_GBC_447ec231ca8744e2a8f9b570dfecfd28"/>
        <w:id w:val="147474294"/>
        <w:placeholder>
          <w:docPart w:val="GBC22222222222222222222222222222"/>
        </w:placeholder>
      </w:sdtPr>
      <w:sdtEndPr>
        <w:rPr>
          <w:color w:val="000000" w:themeColor="text1"/>
          <w14:textFill>
            <w14:solidFill>
              <w14:schemeClr w14:val="tx1"/>
            </w14:solidFill>
          </w14:textFill>
        </w:rPr>
      </w:sdtEndPr>
      <w:sdtContent>
        <w:p w14:paraId="3C35714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223429E">
      <w:pPr>
        <w:rPr>
          <w:color w:val="000000" w:themeColor="text1"/>
          <w14:textFill>
            <w14:solidFill>
              <w14:schemeClr w14:val="tx1"/>
            </w14:solidFill>
          </w14:textFill>
        </w:rPr>
      </w:pPr>
    </w:p>
    <w:p w14:paraId="38CCC379">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其中重要的长期应收款核销情况</w:t>
      </w:r>
    </w:p>
    <w:sdt>
      <w:sdtPr>
        <w:rPr>
          <w:rFonts w:hint="eastAsia"/>
          <w:color w:val="000000" w:themeColor="text1"/>
          <w14:textFill>
            <w14:solidFill>
              <w14:schemeClr w14:val="tx1"/>
            </w14:solidFill>
          </w14:textFill>
        </w:rPr>
        <w:alias w:val="是否适用：重要的核销情况[双击切换]"/>
        <w:tag w:val="_GBC_7e501e63ade7457987f62bf3d0dd5df5"/>
        <w:id w:val="147454779"/>
        <w:placeholder>
          <w:docPart w:val="GBC22222222222222222222222222222"/>
        </w:placeholder>
      </w:sdtPr>
      <w:sdtEndPr>
        <w:rPr>
          <w:rFonts w:hint="eastAsia"/>
          <w:color w:val="000000" w:themeColor="text1"/>
          <w14:textFill>
            <w14:solidFill>
              <w14:schemeClr w14:val="tx1"/>
            </w14:solidFill>
          </w14:textFill>
        </w:rPr>
      </w:sdtEndPr>
      <w:sdtContent>
        <w:p w14:paraId="09997088">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CA63657">
      <w:pPr>
        <w:snapToGrid w:val="0"/>
        <w:spacing w:line="240" w:lineRule="atLeast"/>
        <w:rPr>
          <w:color w:val="000000" w:themeColor="text1"/>
          <w14:textFill>
            <w14:solidFill>
              <w14:schemeClr w14:val="tx1"/>
            </w14:solidFill>
          </w14:textFill>
        </w:rPr>
      </w:pPr>
    </w:p>
    <w:p w14:paraId="25426760">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核销说明：</w:t>
      </w:r>
    </w:p>
    <w:sdt>
      <w:sdtPr>
        <w:rPr>
          <w:color w:val="000000" w:themeColor="text1"/>
          <w14:textFill>
            <w14:solidFill>
              <w14:schemeClr w14:val="tx1"/>
            </w14:solidFill>
          </w14:textFill>
        </w:rPr>
        <w:alias w:val="是否适用：核销说明[双击切换]"/>
        <w:tag w:val="_GBC_81ff204464594f45b7ea7b4c6b25a65c"/>
        <w:id w:val="147460342"/>
        <w:placeholder>
          <w:docPart w:val="GBC22222222222222222222222222222"/>
        </w:placeholder>
      </w:sdtPr>
      <w:sdtEndPr>
        <w:rPr>
          <w:color w:val="000000" w:themeColor="text1"/>
          <w14:textFill>
            <w14:solidFill>
              <w14:schemeClr w14:val="tx1"/>
            </w14:solidFill>
          </w14:textFill>
        </w:rPr>
      </w:sdtEndPr>
      <w:sdtContent>
        <w:p w14:paraId="414F72A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5D8A1E4">
      <w:pPr>
        <w:rPr>
          <w:color w:val="000000" w:themeColor="text1"/>
          <w14:textFill>
            <w14:solidFill>
              <w14:schemeClr w14:val="tx1"/>
            </w14:solidFill>
          </w14:textFill>
        </w:rPr>
      </w:pPr>
    </w:p>
    <w:bookmarkEnd w:id="291"/>
    <w:bookmarkEnd w:id="292"/>
    <w:p w14:paraId="38D2F32F">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rFonts w:hint="eastAsia"/>
          <w:color w:val="000000" w:themeColor="text1"/>
          <w14:textFill>
            <w14:solidFill>
              <w14:schemeClr w14:val="tx1"/>
            </w14:solidFill>
          </w14:textFill>
        </w:rPr>
        <w:alias w:val="是否适用：长期应收款的其他说明[双击切换]"/>
        <w:tag w:val="_GBC_a368edfbd60c44cdaed5299529b44fa0"/>
        <w:id w:val="147470391"/>
        <w:placeholder>
          <w:docPart w:val="GBC22222222222222222222222222222"/>
        </w:placeholder>
      </w:sdtPr>
      <w:sdtEndPr>
        <w:rPr>
          <w:rFonts w:hint="eastAsia"/>
          <w:color w:val="000000" w:themeColor="text1"/>
          <w14:textFill>
            <w14:solidFill>
              <w14:schemeClr w14:val="tx1"/>
            </w14:solidFill>
          </w14:textFill>
        </w:rPr>
      </w:sdtEndPr>
      <w:sdtContent>
        <w:p w14:paraId="1AB655A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AC3C1CA">
      <w:pPr>
        <w:rPr>
          <w:color w:val="000000" w:themeColor="text1"/>
          <w14:textFill>
            <w14:solidFill>
              <w14:schemeClr w14:val="tx1"/>
            </w14:solidFill>
          </w14:textFill>
        </w:rPr>
      </w:pPr>
    </w:p>
    <w:p w14:paraId="33275CE7">
      <w:pPr>
        <w:rPr>
          <w:color w:val="000000" w:themeColor="text1"/>
          <w14:textFill>
            <w14:solidFill>
              <w14:schemeClr w14:val="tx1"/>
            </w14:solidFill>
          </w14:textFill>
        </w:rPr>
      </w:pPr>
    </w:p>
    <w:p w14:paraId="174EFFB5">
      <w:pPr>
        <w:rPr>
          <w:color w:val="000000" w:themeColor="text1"/>
          <w14:textFill>
            <w14:solidFill>
              <w14:schemeClr w14:val="tx1"/>
            </w14:solidFill>
          </w14:textFill>
        </w:rPr>
        <w:sectPr>
          <w:pgSz w:w="11906" w:h="16838"/>
          <w:pgMar w:top="1525" w:right="1276" w:bottom="1440" w:left="1797" w:header="856" w:footer="992" w:gutter="0"/>
          <w:cols w:space="425" w:num="1"/>
          <w:docGrid w:linePitch="312" w:charSpace="0"/>
        </w:sectPr>
      </w:pPr>
    </w:p>
    <w:p w14:paraId="53C30D37">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长期股权投资</w:t>
      </w:r>
    </w:p>
    <w:p w14:paraId="4DC46E75">
      <w:pPr>
        <w:pStyle w:val="58"/>
        <w:numPr>
          <w:ilvl w:val="0"/>
          <w:numId w:val="67"/>
        </w:numPr>
        <w:ind w:left="425" w:hanging="425"/>
        <w:rPr>
          <w:color w:val="000000" w:themeColor="text1"/>
          <w14:textFill>
            <w14:solidFill>
              <w14:schemeClr w14:val="tx1"/>
            </w14:solidFill>
          </w14:textFill>
        </w:rPr>
      </w:pPr>
      <w:r>
        <w:rPr>
          <w:rFonts w:hint="eastAsia"/>
          <w:color w:val="000000" w:themeColor="text1"/>
          <w14:textFill>
            <w14:solidFill>
              <w14:schemeClr w14:val="tx1"/>
            </w14:solidFill>
          </w14:textFill>
        </w:rPr>
        <w:t>长期股权投资情况</w:t>
      </w:r>
    </w:p>
    <w:p w14:paraId="3E630A0B">
      <w:pPr>
        <w:rPr>
          <w:color w:val="000000" w:themeColor="text1"/>
          <w14:textFill>
            <w14:solidFill>
              <w14:schemeClr w14:val="tx1"/>
            </w14:solidFill>
          </w14:textFill>
        </w:rPr>
      </w:pPr>
      <w:sdt>
        <w:sdtPr>
          <w:rPr>
            <w:rFonts w:hint="eastAsia"/>
            <w:color w:val="000000" w:themeColor="text1"/>
            <w14:textFill>
              <w14:solidFill>
                <w14:schemeClr w14:val="tx1"/>
              </w14:solidFill>
            </w14:textFill>
          </w:rPr>
          <w:alias w:val="是否适用：长期股权投资[双击切换]"/>
          <w:tag w:val="_GBC_bafa2cb2262c4c4ebc4eed8f4e4a81c6"/>
          <w:id w:val="147474821"/>
          <w:lock w:val="contentLocked"/>
          <w:placeholder>
            <w:docPart w:val="GBC22222222222222222222222222222"/>
          </w:placeholder>
        </w:sdtPr>
        <w:sdtEndPr>
          <w:rPr>
            <w:rFonts w:hint="eastAsia"/>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324B6595">
      <w:pPr>
        <w:jc w:val="right"/>
        <w:rPr>
          <w:color w:val="000000" w:themeColor="text1"/>
          <w14:textFill>
            <w14:solidFill>
              <w14:schemeClr w14:val="tx1"/>
            </w14:solidFill>
          </w14:textFill>
        </w:rPr>
      </w:pPr>
      <w:bookmarkStart w:id="293" w:name="_Hlk106375234"/>
      <w:bookmarkStart w:id="294" w:name="_Hlk200370069"/>
      <w:bookmarkStart w:id="295" w:name="_Hlk199854611"/>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长期股权投资"/>
          <w:tag w:val="_GBC_63e30834d38e49658bec9056bc38e4e2"/>
          <w:id w:val="1474710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长期股权投资"/>
          <w:tag w:val="_GBC_f72bca6b250e484887289a819bc62e7d"/>
          <w:id w:val="1474735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bookmarkEnd w:id="293"/>
    <w:bookmarkEnd w:id="294"/>
    <w:bookmarkEnd w:id="295"/>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2"/>
        <w:gridCol w:w="1896"/>
        <w:gridCol w:w="1894"/>
        <w:gridCol w:w="1894"/>
        <w:gridCol w:w="1894"/>
        <w:gridCol w:w="1939"/>
      </w:tblGrid>
      <w:tr w14:paraId="6096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e3ff129c80540828097585bec2a274a"/>
            <w:id w:val="147469822"/>
          </w:sdtPr>
          <w:sdtContent>
            <w:tc>
              <w:tcPr>
                <w:tcW w:w="1623" w:type="pct"/>
                <w:vMerge w:val="restart"/>
                <w:tcBorders>
                  <w:top w:val="single" w:color="auto" w:sz="4" w:space="0"/>
                  <w:left w:val="single" w:color="auto" w:sz="4" w:space="0"/>
                  <w:right w:val="single" w:color="auto" w:sz="4" w:space="0"/>
                </w:tcBorders>
                <w:vAlign w:val="center"/>
              </w:tcPr>
              <w:p w14:paraId="495AC998">
                <w:pPr>
                  <w:jc w:val="center"/>
                  <w:rPr>
                    <w:color w:val="000000" w:themeColor="text1"/>
                    <w14:textFill>
                      <w14:solidFill>
                        <w14:schemeClr w14:val="tx1"/>
                      </w14:solidFill>
                    </w14:textFill>
                  </w:rPr>
                </w:pPr>
                <w:bookmarkStart w:id="296" w:name="_Hlk167893542"/>
                <w:bookmarkStart w:id="297" w:name="_Hlk169008665"/>
                <w:r>
                  <w:rPr>
                    <w:rFonts w:hint="eastAsia"/>
                    <w:color w:val="000000" w:themeColor="text1"/>
                    <w14:textFill>
                      <w14:solidFill>
                        <w14:schemeClr w14:val="tx1"/>
                      </w14:solidFill>
                    </w14:textFill>
                  </w:rPr>
                  <w:t>被投资单位</w:t>
                </w:r>
              </w:p>
            </w:tc>
          </w:sdtContent>
        </w:sdt>
        <w:sdt>
          <w:sdtPr>
            <w:tag w:val="_PLD_1d8637e24bf6498db71869cd552b60a2"/>
            <w:id w:val="147454984"/>
          </w:sdtPr>
          <w:sdtContent>
            <w:tc>
              <w:tcPr>
                <w:tcW w:w="672" w:type="pct"/>
                <w:vMerge w:val="restart"/>
                <w:tcBorders>
                  <w:top w:val="single" w:color="auto" w:sz="4" w:space="0"/>
                  <w:left w:val="single" w:color="auto" w:sz="4" w:space="0"/>
                  <w:right w:val="single" w:color="auto" w:sz="4" w:space="0"/>
                </w:tcBorders>
                <w:vAlign w:val="center"/>
              </w:tcPr>
              <w:p w14:paraId="583800B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w:t>
                </w:r>
              </w:p>
              <w:p w14:paraId="51816BB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余额（账面价值）</w:t>
                </w:r>
              </w:p>
            </w:tc>
          </w:sdtContent>
        </w:sdt>
        <w:tc>
          <w:tcPr>
            <w:tcW w:w="672" w:type="pct"/>
            <w:vMerge w:val="restart"/>
            <w:tcBorders>
              <w:top w:val="single" w:color="auto" w:sz="4" w:space="0"/>
              <w:left w:val="single" w:color="auto" w:sz="4" w:space="0"/>
              <w:right w:val="single" w:color="auto" w:sz="4" w:space="0"/>
            </w:tcBorders>
            <w:vAlign w:val="center"/>
          </w:tcPr>
          <w:sdt>
            <w:sdtPr>
              <w:tag w:val="_PLD_f6327daa2fd7418ca2acf4b4ac38a832"/>
              <w:id w:val="147475390"/>
            </w:sdtPr>
            <w:sdtContent>
              <w:p w14:paraId="0B55525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减值准备期初余额</w:t>
                </w:r>
              </w:p>
            </w:sdtContent>
          </w:sdt>
        </w:tc>
        <w:sdt>
          <w:sdtPr>
            <w:tag w:val="_PLD_edc952101e7b4fa483f7289f9b74dfdf"/>
            <w:id w:val="147482923"/>
          </w:sdtPr>
          <w:sdtContent>
            <w:tc>
              <w:tcPr>
                <w:tcW w:w="672" w:type="pct"/>
                <w:tcBorders>
                  <w:top w:val="single" w:color="auto" w:sz="4" w:space="0"/>
                  <w:left w:val="single" w:color="auto" w:sz="4" w:space="0"/>
                  <w:bottom w:val="single" w:color="auto" w:sz="4" w:space="0"/>
                  <w:right w:val="single" w:color="auto" w:sz="4" w:space="0"/>
                </w:tcBorders>
                <w:vAlign w:val="center"/>
              </w:tcPr>
              <w:p w14:paraId="267EC38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本期增减变动</w:t>
                </w:r>
              </w:p>
            </w:tc>
          </w:sdtContent>
        </w:sdt>
        <w:sdt>
          <w:sdtPr>
            <w:tag w:val="_PLD_44cfcec128d9419fba83c50966e49235"/>
            <w:id w:val="147477764"/>
          </w:sdtPr>
          <w:sdtContent>
            <w:tc>
              <w:tcPr>
                <w:tcW w:w="672" w:type="pct"/>
                <w:vMerge w:val="restart"/>
                <w:tcBorders>
                  <w:top w:val="single" w:color="auto" w:sz="4" w:space="0"/>
                  <w:left w:val="single" w:color="auto" w:sz="4" w:space="0"/>
                  <w:right w:val="single" w:color="auto" w:sz="4" w:space="0"/>
                </w:tcBorders>
                <w:vAlign w:val="center"/>
              </w:tcPr>
              <w:p w14:paraId="31B7FA2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w:t>
                </w:r>
              </w:p>
              <w:p w14:paraId="17DFE7A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余额（账面价值）</w:t>
                </w:r>
              </w:p>
            </w:tc>
          </w:sdtContent>
        </w:sdt>
        <w:sdt>
          <w:sdtPr>
            <w:tag w:val="_PLD_34a3cc0844264226a50c84165c09bb9a"/>
            <w:id w:val="147474349"/>
          </w:sdtPr>
          <w:sdtContent>
            <w:tc>
              <w:tcPr>
                <w:tcW w:w="687" w:type="pct"/>
                <w:vMerge w:val="restart"/>
                <w:tcBorders>
                  <w:top w:val="single" w:color="auto" w:sz="4" w:space="0"/>
                  <w:left w:val="single" w:color="auto" w:sz="4" w:space="0"/>
                  <w:right w:val="single" w:color="auto" w:sz="4" w:space="0"/>
                </w:tcBorders>
                <w:vAlign w:val="center"/>
              </w:tcPr>
              <w:p w14:paraId="26F71C4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减值准备期末余额</w:t>
                </w:r>
              </w:p>
            </w:tc>
          </w:sdtContent>
        </w:sdt>
      </w:tr>
      <w:tr w14:paraId="7CA8C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pct"/>
            <w:vMerge w:val="continue"/>
            <w:tcBorders>
              <w:left w:val="single" w:color="auto" w:sz="4" w:space="0"/>
              <w:bottom w:val="single" w:color="auto" w:sz="4" w:space="0"/>
              <w:right w:val="single" w:color="auto" w:sz="4" w:space="0"/>
            </w:tcBorders>
          </w:tcPr>
          <w:p w14:paraId="6EF1D32D">
            <w:pPr>
              <w:jc w:val="center"/>
              <w:rPr>
                <w:color w:val="000000" w:themeColor="text1"/>
                <w14:textFill>
                  <w14:solidFill>
                    <w14:schemeClr w14:val="tx1"/>
                  </w14:solidFill>
                </w14:textFill>
              </w:rPr>
            </w:pPr>
          </w:p>
        </w:tc>
        <w:tc>
          <w:tcPr>
            <w:tcW w:w="672" w:type="pct"/>
            <w:vMerge w:val="continue"/>
            <w:tcBorders>
              <w:left w:val="single" w:color="auto" w:sz="4" w:space="0"/>
              <w:bottom w:val="single" w:color="auto" w:sz="4" w:space="0"/>
              <w:right w:val="single" w:color="auto" w:sz="4" w:space="0"/>
            </w:tcBorders>
          </w:tcPr>
          <w:p w14:paraId="107349F1">
            <w:pPr>
              <w:jc w:val="center"/>
              <w:rPr>
                <w:color w:val="000000" w:themeColor="text1"/>
                <w14:textFill>
                  <w14:solidFill>
                    <w14:schemeClr w14:val="tx1"/>
                  </w14:solidFill>
                </w14:textFill>
              </w:rPr>
            </w:pPr>
          </w:p>
        </w:tc>
        <w:tc>
          <w:tcPr>
            <w:tcW w:w="672" w:type="pct"/>
            <w:vMerge w:val="continue"/>
            <w:tcBorders>
              <w:left w:val="single" w:color="auto" w:sz="4" w:space="0"/>
              <w:bottom w:val="single" w:color="auto" w:sz="4" w:space="0"/>
              <w:right w:val="single" w:color="auto" w:sz="4" w:space="0"/>
            </w:tcBorders>
          </w:tcPr>
          <w:p w14:paraId="4A6CE712">
            <w:pPr>
              <w:jc w:val="center"/>
              <w:rPr>
                <w:color w:val="000000" w:themeColor="text1"/>
                <w14:textFill>
                  <w14:solidFill>
                    <w14:schemeClr w14:val="tx1"/>
                  </w14:solidFill>
                </w14:textFill>
              </w:rPr>
            </w:pPr>
          </w:p>
        </w:tc>
        <w:sdt>
          <w:sdtPr>
            <w:tag w:val="_PLD_098d9fcf9d5341879d534aa385508f23"/>
            <w:id w:val="147457387"/>
          </w:sdtPr>
          <w:sdtContent>
            <w:tc>
              <w:tcPr>
                <w:tcW w:w="672" w:type="pct"/>
                <w:tcBorders>
                  <w:top w:val="single" w:color="auto" w:sz="4" w:space="0"/>
                  <w:left w:val="single" w:color="auto" w:sz="4" w:space="0"/>
                  <w:bottom w:val="single" w:color="auto" w:sz="4" w:space="0"/>
                  <w:right w:val="single" w:color="auto" w:sz="4" w:space="0"/>
                </w:tcBorders>
                <w:vAlign w:val="center"/>
              </w:tcPr>
              <w:p w14:paraId="15A383C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权益法下确认的投资损益</w:t>
                </w:r>
              </w:p>
            </w:tc>
          </w:sdtContent>
        </w:sdt>
        <w:tc>
          <w:tcPr>
            <w:tcW w:w="672" w:type="pct"/>
            <w:vMerge w:val="continue"/>
            <w:tcBorders>
              <w:left w:val="single" w:color="auto" w:sz="4" w:space="0"/>
              <w:bottom w:val="single" w:color="auto" w:sz="4" w:space="0"/>
              <w:right w:val="single" w:color="auto" w:sz="4" w:space="0"/>
            </w:tcBorders>
            <w:vAlign w:val="center"/>
          </w:tcPr>
          <w:p w14:paraId="59B4B7F6">
            <w:pPr>
              <w:jc w:val="center"/>
              <w:rPr>
                <w:color w:val="000000" w:themeColor="text1"/>
                <w14:textFill>
                  <w14:solidFill>
                    <w14:schemeClr w14:val="tx1"/>
                  </w14:solidFill>
                </w14:textFill>
              </w:rPr>
            </w:pPr>
          </w:p>
        </w:tc>
        <w:tc>
          <w:tcPr>
            <w:tcW w:w="687" w:type="pct"/>
            <w:vMerge w:val="continue"/>
            <w:tcBorders>
              <w:left w:val="single" w:color="auto" w:sz="4" w:space="0"/>
              <w:bottom w:val="single" w:color="auto" w:sz="4" w:space="0"/>
              <w:right w:val="single" w:color="auto" w:sz="4" w:space="0"/>
            </w:tcBorders>
            <w:vAlign w:val="center"/>
          </w:tcPr>
          <w:p w14:paraId="23615DBA">
            <w:pPr>
              <w:jc w:val="center"/>
              <w:rPr>
                <w:color w:val="000000" w:themeColor="text1"/>
                <w14:textFill>
                  <w14:solidFill>
                    <w14:schemeClr w14:val="tx1"/>
                  </w14:solidFill>
                </w14:textFill>
              </w:rPr>
            </w:pPr>
          </w:p>
        </w:tc>
      </w:tr>
      <w:tr w14:paraId="537AA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204b6b48bf546e3af5babc667d4c84c"/>
            <w:id w:val="147464722"/>
          </w:sdtPr>
          <w:sdtContent>
            <w:tc>
              <w:tcPr>
                <w:tcW w:w="5000" w:type="pct"/>
                <w:gridSpan w:val="6"/>
                <w:tcBorders>
                  <w:top w:val="single" w:color="auto" w:sz="4" w:space="0"/>
                  <w:left w:val="single" w:color="auto" w:sz="4" w:space="0"/>
                  <w:bottom w:val="single" w:color="auto" w:sz="4" w:space="0"/>
                  <w:right w:val="single" w:color="auto" w:sz="4" w:space="0"/>
                </w:tcBorders>
              </w:tcPr>
              <w:p w14:paraId="78617B5E">
                <w:pPr>
                  <w:rPr>
                    <w:color w:val="000000" w:themeColor="text1"/>
                    <w14:textFill>
                      <w14:solidFill>
                        <w14:schemeClr w14:val="tx1"/>
                      </w14:solidFill>
                    </w14:textFill>
                  </w:rPr>
                </w:pPr>
                <w:r>
                  <w:rPr>
                    <w:rFonts w:hint="eastAsia"/>
                    <w:color w:val="000000" w:themeColor="text1"/>
                    <w14:textFill>
                      <w14:solidFill>
                        <w14:schemeClr w14:val="tx1"/>
                      </w14:solidFill>
                    </w14:textFill>
                  </w:rPr>
                  <w:t>一、合营企业</w:t>
                </w:r>
              </w:p>
            </w:tc>
          </w:sdtContent>
        </w:sdt>
      </w:tr>
      <w:tr w14:paraId="6ACD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b6a8ff5b8594d3fa9d53755249b815f"/>
            <w:id w:val="147473740"/>
          </w:sdtPr>
          <w:sdtContent>
            <w:tc>
              <w:tcPr>
                <w:tcW w:w="2296" w:type="pct"/>
                <w:gridSpan w:val="2"/>
                <w:tcBorders>
                  <w:top w:val="single" w:color="auto" w:sz="4" w:space="0"/>
                  <w:left w:val="single" w:color="auto" w:sz="4" w:space="0"/>
                  <w:bottom w:val="single" w:color="auto" w:sz="4" w:space="0"/>
                  <w:right w:val="single" w:color="auto" w:sz="4" w:space="0"/>
                </w:tcBorders>
              </w:tcPr>
              <w:p w14:paraId="05EF2555">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二、联营企业</w:t>
                </w:r>
              </w:p>
            </w:tc>
          </w:sdtContent>
        </w:sdt>
        <w:tc>
          <w:tcPr>
            <w:tcW w:w="2703" w:type="pct"/>
            <w:gridSpan w:val="4"/>
            <w:tcBorders>
              <w:top w:val="single" w:color="auto" w:sz="4" w:space="0"/>
              <w:left w:val="single" w:color="auto" w:sz="4" w:space="0"/>
              <w:bottom w:val="single" w:color="auto" w:sz="4" w:space="0"/>
              <w:right w:val="single" w:color="auto" w:sz="4" w:space="0"/>
            </w:tcBorders>
          </w:tcPr>
          <w:p w14:paraId="44854C8C">
            <w:pPr>
              <w:jc w:val="both"/>
              <w:rPr>
                <w:color w:val="000000" w:themeColor="text1"/>
                <w14:textFill>
                  <w14:solidFill>
                    <w14:schemeClr w14:val="tx1"/>
                  </w14:solidFill>
                </w14:textFill>
              </w:rPr>
            </w:pPr>
          </w:p>
        </w:tc>
      </w:tr>
      <w:tr w14:paraId="0021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pct"/>
            <w:tcBorders>
              <w:top w:val="single" w:color="auto" w:sz="4" w:space="0"/>
              <w:left w:val="single" w:color="auto" w:sz="4" w:space="0"/>
              <w:bottom w:val="single" w:color="auto" w:sz="4" w:space="0"/>
              <w:right w:val="single" w:color="auto" w:sz="4" w:space="0"/>
            </w:tcBorders>
          </w:tcPr>
          <w:p w14:paraId="1DF2E7DF">
            <w:pPr>
              <w:jc w:val="both"/>
              <w:textAlignment w:val="top"/>
            </w:pPr>
            <w:r>
              <w:rPr>
                <w:rFonts w:cs="Times New Roman"/>
                <w:color w:val="000000"/>
                <w:lang w:bidi="ar"/>
              </w:rPr>
              <w:t>南京英斯瑞德高分子材料股份有限公司</w:t>
            </w:r>
          </w:p>
        </w:tc>
        <w:tc>
          <w:tcPr>
            <w:tcW w:w="672" w:type="pct"/>
            <w:tcBorders>
              <w:top w:val="single" w:color="auto" w:sz="4" w:space="0"/>
              <w:left w:val="single" w:color="auto" w:sz="4" w:space="0"/>
              <w:bottom w:val="single" w:color="auto" w:sz="4" w:space="0"/>
              <w:right w:val="single" w:color="auto" w:sz="4" w:space="0"/>
            </w:tcBorders>
            <w:vAlign w:val="center"/>
          </w:tcPr>
          <w:p w14:paraId="14F60742">
            <w:pPr>
              <w:jc w:val="right"/>
              <w:textAlignment w:val="center"/>
              <w:rPr>
                <w:rFonts w:cs="Times New Roman"/>
              </w:rPr>
            </w:pPr>
            <w:r>
              <w:rPr>
                <w:rFonts w:cs="Times New Roman"/>
                <w:color w:val="000000"/>
              </w:rPr>
              <w:t>7,608,413.87</w:t>
            </w:r>
          </w:p>
        </w:tc>
        <w:tc>
          <w:tcPr>
            <w:tcW w:w="672" w:type="pct"/>
            <w:tcBorders>
              <w:top w:val="single" w:color="auto" w:sz="4" w:space="0"/>
              <w:left w:val="single" w:color="auto" w:sz="4" w:space="0"/>
              <w:bottom w:val="single" w:color="auto" w:sz="4" w:space="0"/>
              <w:right w:val="single" w:color="auto" w:sz="4" w:space="0"/>
            </w:tcBorders>
            <w:vAlign w:val="center"/>
          </w:tcPr>
          <w:p w14:paraId="48A33192">
            <w:pPr>
              <w:jc w:val="right"/>
              <w:rPr>
                <w:rFonts w:cs="Times New Roman"/>
              </w:rPr>
            </w:pPr>
          </w:p>
        </w:tc>
        <w:tc>
          <w:tcPr>
            <w:tcW w:w="672" w:type="pct"/>
            <w:tcBorders>
              <w:top w:val="single" w:color="auto" w:sz="4" w:space="0"/>
              <w:left w:val="single" w:color="auto" w:sz="4" w:space="0"/>
              <w:bottom w:val="single" w:color="auto" w:sz="4" w:space="0"/>
              <w:right w:val="single" w:color="auto" w:sz="4" w:space="0"/>
            </w:tcBorders>
            <w:vAlign w:val="center"/>
          </w:tcPr>
          <w:p w14:paraId="4F8888AC">
            <w:pPr>
              <w:jc w:val="right"/>
              <w:textAlignment w:val="center"/>
              <w:rPr>
                <w:rFonts w:cs="Times New Roman"/>
              </w:rPr>
            </w:pPr>
            <w:r>
              <w:rPr>
                <w:rFonts w:cs="Times New Roman"/>
                <w:color w:val="000000"/>
              </w:rPr>
              <w:t>36,629.49</w:t>
            </w:r>
          </w:p>
        </w:tc>
        <w:tc>
          <w:tcPr>
            <w:tcW w:w="672" w:type="pct"/>
            <w:tcBorders>
              <w:top w:val="single" w:color="auto" w:sz="4" w:space="0"/>
              <w:left w:val="single" w:color="auto" w:sz="4" w:space="0"/>
              <w:bottom w:val="single" w:color="auto" w:sz="4" w:space="0"/>
              <w:right w:val="single" w:color="auto" w:sz="4" w:space="0"/>
            </w:tcBorders>
            <w:vAlign w:val="center"/>
          </w:tcPr>
          <w:p w14:paraId="2EB3756B">
            <w:pPr>
              <w:jc w:val="right"/>
              <w:textAlignment w:val="center"/>
              <w:rPr>
                <w:rFonts w:cs="Times New Roman"/>
              </w:rPr>
            </w:pPr>
            <w:r>
              <w:rPr>
                <w:rFonts w:cs="Times New Roman"/>
                <w:color w:val="000000"/>
              </w:rPr>
              <w:t>7,645,043.36</w:t>
            </w:r>
          </w:p>
        </w:tc>
        <w:tc>
          <w:tcPr>
            <w:tcW w:w="687" w:type="pct"/>
            <w:tcBorders>
              <w:top w:val="single" w:color="auto" w:sz="4" w:space="0"/>
              <w:left w:val="single" w:color="auto" w:sz="4" w:space="0"/>
              <w:bottom w:val="single" w:color="auto" w:sz="4" w:space="0"/>
              <w:right w:val="single" w:color="auto" w:sz="4" w:space="0"/>
            </w:tcBorders>
            <w:vAlign w:val="center"/>
          </w:tcPr>
          <w:p w14:paraId="2FC49270">
            <w:pPr>
              <w:jc w:val="right"/>
              <w:rPr>
                <w:rFonts w:cs="Times New Roman"/>
              </w:rPr>
            </w:pPr>
          </w:p>
        </w:tc>
      </w:tr>
      <w:tr w14:paraId="7D6E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pct"/>
            <w:tcBorders>
              <w:top w:val="single" w:color="auto" w:sz="4" w:space="0"/>
              <w:left w:val="single" w:color="auto" w:sz="4" w:space="0"/>
              <w:bottom w:val="single" w:color="auto" w:sz="4" w:space="0"/>
              <w:right w:val="single" w:color="auto" w:sz="4" w:space="0"/>
            </w:tcBorders>
          </w:tcPr>
          <w:p w14:paraId="3DE21F95">
            <w:pPr>
              <w:jc w:val="both"/>
              <w:textAlignment w:val="top"/>
            </w:pPr>
            <w:r>
              <w:rPr>
                <w:rFonts w:cs="Times New Roman"/>
                <w:color w:val="000000"/>
                <w:lang w:bidi="ar"/>
              </w:rPr>
              <w:t>河北玄德智能科技发展股份有限公司</w:t>
            </w:r>
          </w:p>
        </w:tc>
        <w:tc>
          <w:tcPr>
            <w:tcW w:w="672" w:type="pct"/>
            <w:tcBorders>
              <w:top w:val="single" w:color="auto" w:sz="4" w:space="0"/>
              <w:left w:val="single" w:color="auto" w:sz="4" w:space="0"/>
              <w:bottom w:val="single" w:color="auto" w:sz="4" w:space="0"/>
              <w:right w:val="single" w:color="auto" w:sz="4" w:space="0"/>
            </w:tcBorders>
            <w:vAlign w:val="center"/>
          </w:tcPr>
          <w:p w14:paraId="5D81FBF6">
            <w:pPr>
              <w:jc w:val="right"/>
              <w:textAlignment w:val="center"/>
              <w:rPr>
                <w:rFonts w:cs="Times New Roman"/>
              </w:rPr>
            </w:pPr>
            <w:r>
              <w:rPr>
                <w:rFonts w:cs="Times New Roman"/>
                <w:color w:val="000000"/>
              </w:rPr>
              <w:t>10,670,000.00</w:t>
            </w:r>
          </w:p>
        </w:tc>
        <w:tc>
          <w:tcPr>
            <w:tcW w:w="672" w:type="pct"/>
            <w:tcBorders>
              <w:top w:val="single" w:color="auto" w:sz="4" w:space="0"/>
              <w:left w:val="single" w:color="auto" w:sz="4" w:space="0"/>
              <w:bottom w:val="single" w:color="auto" w:sz="4" w:space="0"/>
              <w:right w:val="single" w:color="auto" w:sz="4" w:space="0"/>
            </w:tcBorders>
            <w:vAlign w:val="center"/>
          </w:tcPr>
          <w:p w14:paraId="35C9D4BE">
            <w:pPr>
              <w:jc w:val="right"/>
              <w:textAlignment w:val="center"/>
              <w:rPr>
                <w:rFonts w:cs="Times New Roman"/>
              </w:rPr>
            </w:pPr>
            <w:r>
              <w:rPr>
                <w:rFonts w:cs="Times New Roman"/>
                <w:color w:val="000000"/>
              </w:rPr>
              <w:t>3,302,612.67</w:t>
            </w:r>
          </w:p>
        </w:tc>
        <w:tc>
          <w:tcPr>
            <w:tcW w:w="672" w:type="pct"/>
            <w:tcBorders>
              <w:top w:val="single" w:color="auto" w:sz="4" w:space="0"/>
              <w:left w:val="single" w:color="auto" w:sz="4" w:space="0"/>
              <w:bottom w:val="single" w:color="auto" w:sz="4" w:space="0"/>
              <w:right w:val="single" w:color="auto" w:sz="4" w:space="0"/>
            </w:tcBorders>
            <w:vAlign w:val="center"/>
          </w:tcPr>
          <w:p w14:paraId="3F3A805F">
            <w:pPr>
              <w:jc w:val="right"/>
              <w:textAlignment w:val="center"/>
              <w:rPr>
                <w:rFonts w:cs="Times New Roman"/>
              </w:rPr>
            </w:pPr>
            <w:r>
              <w:rPr>
                <w:rFonts w:cs="Times New Roman"/>
                <w:color w:val="000000"/>
              </w:rPr>
              <w:t>-127,480.14</w:t>
            </w:r>
          </w:p>
        </w:tc>
        <w:tc>
          <w:tcPr>
            <w:tcW w:w="672" w:type="pct"/>
            <w:tcBorders>
              <w:top w:val="single" w:color="auto" w:sz="4" w:space="0"/>
              <w:left w:val="single" w:color="auto" w:sz="4" w:space="0"/>
              <w:bottom w:val="single" w:color="auto" w:sz="4" w:space="0"/>
              <w:right w:val="single" w:color="auto" w:sz="4" w:space="0"/>
            </w:tcBorders>
            <w:vAlign w:val="center"/>
          </w:tcPr>
          <w:p w14:paraId="5724E2AA">
            <w:pPr>
              <w:jc w:val="right"/>
              <w:textAlignment w:val="center"/>
              <w:rPr>
                <w:rFonts w:cs="Times New Roman"/>
              </w:rPr>
            </w:pPr>
            <w:r>
              <w:rPr>
                <w:rFonts w:cs="Times New Roman"/>
                <w:color w:val="000000"/>
              </w:rPr>
              <w:t>10,542,519.86</w:t>
            </w:r>
          </w:p>
        </w:tc>
        <w:tc>
          <w:tcPr>
            <w:tcW w:w="687" w:type="pct"/>
            <w:tcBorders>
              <w:top w:val="single" w:color="auto" w:sz="4" w:space="0"/>
              <w:left w:val="single" w:color="auto" w:sz="4" w:space="0"/>
              <w:bottom w:val="single" w:color="auto" w:sz="4" w:space="0"/>
              <w:right w:val="single" w:color="auto" w:sz="4" w:space="0"/>
            </w:tcBorders>
            <w:vAlign w:val="center"/>
          </w:tcPr>
          <w:p w14:paraId="4BC718DA">
            <w:pPr>
              <w:jc w:val="right"/>
              <w:textAlignment w:val="center"/>
              <w:rPr>
                <w:rFonts w:cs="Times New Roman"/>
              </w:rPr>
            </w:pPr>
            <w:r>
              <w:rPr>
                <w:rFonts w:cs="Times New Roman"/>
                <w:color w:val="000000"/>
              </w:rPr>
              <w:t>3,302,612.67</w:t>
            </w:r>
          </w:p>
        </w:tc>
      </w:tr>
      <w:tr w14:paraId="787F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pct"/>
            <w:tcBorders>
              <w:top w:val="single" w:color="auto" w:sz="4" w:space="0"/>
              <w:left w:val="single" w:color="auto" w:sz="4" w:space="0"/>
              <w:bottom w:val="single" w:color="auto" w:sz="4" w:space="0"/>
              <w:right w:val="single" w:color="auto" w:sz="4" w:space="0"/>
            </w:tcBorders>
          </w:tcPr>
          <w:p w14:paraId="77C1CD5E">
            <w:pPr>
              <w:jc w:val="both"/>
              <w:textAlignment w:val="top"/>
            </w:pPr>
            <w:r>
              <w:rPr>
                <w:rFonts w:cs="Times New Roman"/>
                <w:color w:val="000000"/>
                <w:lang w:bidi="ar"/>
              </w:rPr>
              <w:t>邢台诚达房地产开发有限公司</w:t>
            </w:r>
          </w:p>
        </w:tc>
        <w:tc>
          <w:tcPr>
            <w:tcW w:w="672" w:type="pct"/>
            <w:tcBorders>
              <w:top w:val="single" w:color="auto" w:sz="4" w:space="0"/>
              <w:left w:val="single" w:color="auto" w:sz="4" w:space="0"/>
              <w:bottom w:val="single" w:color="auto" w:sz="4" w:space="0"/>
              <w:right w:val="single" w:color="auto" w:sz="4" w:space="0"/>
            </w:tcBorders>
            <w:vAlign w:val="center"/>
          </w:tcPr>
          <w:p w14:paraId="5341230E">
            <w:pPr>
              <w:jc w:val="right"/>
              <w:rPr>
                <w:rFonts w:cs="Times New Roman"/>
              </w:rPr>
            </w:pPr>
          </w:p>
        </w:tc>
        <w:tc>
          <w:tcPr>
            <w:tcW w:w="672" w:type="pct"/>
            <w:tcBorders>
              <w:top w:val="single" w:color="auto" w:sz="4" w:space="0"/>
              <w:left w:val="single" w:color="auto" w:sz="4" w:space="0"/>
              <w:bottom w:val="single" w:color="auto" w:sz="4" w:space="0"/>
              <w:right w:val="single" w:color="auto" w:sz="4" w:space="0"/>
            </w:tcBorders>
            <w:vAlign w:val="center"/>
          </w:tcPr>
          <w:p w14:paraId="7FB01A1C">
            <w:pPr>
              <w:jc w:val="right"/>
              <w:textAlignment w:val="center"/>
              <w:rPr>
                <w:rFonts w:cs="Times New Roman"/>
              </w:rPr>
            </w:pPr>
            <w:r>
              <w:rPr>
                <w:rFonts w:cs="Times New Roman"/>
                <w:color w:val="000000"/>
              </w:rPr>
              <w:t>4,418,970.90</w:t>
            </w:r>
          </w:p>
        </w:tc>
        <w:tc>
          <w:tcPr>
            <w:tcW w:w="672" w:type="pct"/>
            <w:tcBorders>
              <w:top w:val="single" w:color="auto" w:sz="4" w:space="0"/>
              <w:left w:val="single" w:color="auto" w:sz="4" w:space="0"/>
              <w:bottom w:val="single" w:color="auto" w:sz="4" w:space="0"/>
              <w:right w:val="single" w:color="auto" w:sz="4" w:space="0"/>
            </w:tcBorders>
            <w:vAlign w:val="center"/>
          </w:tcPr>
          <w:p w14:paraId="140CCD7E">
            <w:pPr>
              <w:jc w:val="right"/>
              <w:rPr>
                <w:rFonts w:cs="Times New Roman"/>
              </w:rPr>
            </w:pPr>
          </w:p>
        </w:tc>
        <w:tc>
          <w:tcPr>
            <w:tcW w:w="672" w:type="pct"/>
            <w:tcBorders>
              <w:top w:val="single" w:color="auto" w:sz="4" w:space="0"/>
              <w:left w:val="single" w:color="auto" w:sz="4" w:space="0"/>
              <w:bottom w:val="single" w:color="auto" w:sz="4" w:space="0"/>
              <w:right w:val="single" w:color="auto" w:sz="4" w:space="0"/>
            </w:tcBorders>
            <w:vAlign w:val="center"/>
          </w:tcPr>
          <w:p w14:paraId="366BBA1D">
            <w:pPr>
              <w:jc w:val="right"/>
              <w:rPr>
                <w:rFonts w:cs="Times New Roman"/>
              </w:rPr>
            </w:pPr>
          </w:p>
        </w:tc>
        <w:tc>
          <w:tcPr>
            <w:tcW w:w="687" w:type="pct"/>
            <w:tcBorders>
              <w:top w:val="single" w:color="auto" w:sz="4" w:space="0"/>
              <w:left w:val="single" w:color="auto" w:sz="4" w:space="0"/>
              <w:bottom w:val="single" w:color="auto" w:sz="4" w:space="0"/>
              <w:right w:val="single" w:color="auto" w:sz="4" w:space="0"/>
            </w:tcBorders>
            <w:vAlign w:val="center"/>
          </w:tcPr>
          <w:p w14:paraId="3B6E9FC5">
            <w:pPr>
              <w:jc w:val="right"/>
              <w:textAlignment w:val="center"/>
              <w:rPr>
                <w:rFonts w:cs="Times New Roman"/>
              </w:rPr>
            </w:pPr>
            <w:r>
              <w:rPr>
                <w:rFonts w:cs="Times New Roman"/>
                <w:color w:val="000000"/>
              </w:rPr>
              <w:t>4,418,970.90</w:t>
            </w:r>
          </w:p>
        </w:tc>
      </w:tr>
      <w:tr w14:paraId="7691D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pct"/>
            <w:tcBorders>
              <w:top w:val="single" w:color="auto" w:sz="4" w:space="0"/>
              <w:left w:val="single" w:color="auto" w:sz="4" w:space="0"/>
              <w:bottom w:val="single" w:color="auto" w:sz="4" w:space="0"/>
              <w:right w:val="single" w:color="auto" w:sz="4" w:space="0"/>
            </w:tcBorders>
          </w:tcPr>
          <w:p w14:paraId="549E30D6">
            <w:pPr>
              <w:jc w:val="both"/>
              <w:textAlignment w:val="top"/>
            </w:pPr>
            <w:r>
              <w:rPr>
                <w:rFonts w:cs="Times New Roman"/>
                <w:color w:val="000000"/>
                <w:lang w:bidi="ar"/>
              </w:rPr>
              <w:t>湖南中晟高分子新材料有限公司</w:t>
            </w:r>
          </w:p>
        </w:tc>
        <w:tc>
          <w:tcPr>
            <w:tcW w:w="672" w:type="pct"/>
            <w:tcBorders>
              <w:top w:val="single" w:color="auto" w:sz="4" w:space="0"/>
              <w:left w:val="single" w:color="auto" w:sz="4" w:space="0"/>
              <w:bottom w:val="single" w:color="auto" w:sz="4" w:space="0"/>
              <w:right w:val="single" w:color="auto" w:sz="4" w:space="0"/>
            </w:tcBorders>
            <w:vAlign w:val="center"/>
          </w:tcPr>
          <w:p w14:paraId="73B53B46">
            <w:pPr>
              <w:jc w:val="right"/>
              <w:textAlignment w:val="center"/>
              <w:rPr>
                <w:rFonts w:cs="Times New Roman"/>
              </w:rPr>
            </w:pPr>
            <w:r>
              <w:rPr>
                <w:rFonts w:cs="Times New Roman"/>
                <w:color w:val="000000"/>
              </w:rPr>
              <w:t>28,662,404.03</w:t>
            </w:r>
          </w:p>
        </w:tc>
        <w:tc>
          <w:tcPr>
            <w:tcW w:w="672" w:type="pct"/>
            <w:tcBorders>
              <w:top w:val="single" w:color="auto" w:sz="4" w:space="0"/>
              <w:left w:val="single" w:color="auto" w:sz="4" w:space="0"/>
              <w:bottom w:val="single" w:color="auto" w:sz="4" w:space="0"/>
              <w:right w:val="single" w:color="auto" w:sz="4" w:space="0"/>
            </w:tcBorders>
            <w:vAlign w:val="center"/>
          </w:tcPr>
          <w:p w14:paraId="0218D3E7">
            <w:pPr>
              <w:jc w:val="right"/>
              <w:rPr>
                <w:rFonts w:cs="Times New Roman"/>
              </w:rPr>
            </w:pPr>
          </w:p>
        </w:tc>
        <w:tc>
          <w:tcPr>
            <w:tcW w:w="672" w:type="pct"/>
            <w:tcBorders>
              <w:top w:val="single" w:color="auto" w:sz="4" w:space="0"/>
              <w:left w:val="single" w:color="auto" w:sz="4" w:space="0"/>
              <w:bottom w:val="single" w:color="auto" w:sz="4" w:space="0"/>
              <w:right w:val="single" w:color="auto" w:sz="4" w:space="0"/>
            </w:tcBorders>
            <w:vAlign w:val="center"/>
          </w:tcPr>
          <w:p w14:paraId="1C96E4C5">
            <w:pPr>
              <w:jc w:val="right"/>
              <w:textAlignment w:val="center"/>
              <w:rPr>
                <w:rFonts w:cs="Times New Roman"/>
              </w:rPr>
            </w:pPr>
            <w:r>
              <w:rPr>
                <w:rFonts w:cs="Times New Roman"/>
                <w:color w:val="000000"/>
              </w:rPr>
              <w:t>-3,189,672.88</w:t>
            </w:r>
          </w:p>
        </w:tc>
        <w:tc>
          <w:tcPr>
            <w:tcW w:w="672" w:type="pct"/>
            <w:tcBorders>
              <w:top w:val="single" w:color="auto" w:sz="4" w:space="0"/>
              <w:left w:val="single" w:color="auto" w:sz="4" w:space="0"/>
              <w:bottom w:val="single" w:color="auto" w:sz="4" w:space="0"/>
              <w:right w:val="single" w:color="auto" w:sz="4" w:space="0"/>
            </w:tcBorders>
            <w:vAlign w:val="center"/>
          </w:tcPr>
          <w:p w14:paraId="42E15C88">
            <w:pPr>
              <w:jc w:val="right"/>
              <w:textAlignment w:val="center"/>
              <w:rPr>
                <w:rFonts w:cs="Times New Roman"/>
              </w:rPr>
            </w:pPr>
            <w:r>
              <w:rPr>
                <w:rFonts w:cs="Times New Roman"/>
                <w:color w:val="000000"/>
              </w:rPr>
              <w:t>25,472,731.15</w:t>
            </w:r>
          </w:p>
        </w:tc>
        <w:tc>
          <w:tcPr>
            <w:tcW w:w="687" w:type="pct"/>
            <w:tcBorders>
              <w:top w:val="single" w:color="auto" w:sz="4" w:space="0"/>
              <w:left w:val="single" w:color="auto" w:sz="4" w:space="0"/>
              <w:bottom w:val="single" w:color="auto" w:sz="4" w:space="0"/>
              <w:right w:val="single" w:color="auto" w:sz="4" w:space="0"/>
            </w:tcBorders>
            <w:vAlign w:val="center"/>
          </w:tcPr>
          <w:p w14:paraId="6C579ECB">
            <w:pPr>
              <w:jc w:val="right"/>
              <w:rPr>
                <w:rFonts w:cs="Times New Roman"/>
              </w:rPr>
            </w:pPr>
          </w:p>
        </w:tc>
      </w:tr>
      <w:tr w14:paraId="2E7A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pct"/>
            <w:tcBorders>
              <w:top w:val="single" w:color="auto" w:sz="4" w:space="0"/>
              <w:left w:val="single" w:color="auto" w:sz="4" w:space="0"/>
              <w:bottom w:val="single" w:color="auto" w:sz="4" w:space="0"/>
              <w:right w:val="single" w:color="auto" w:sz="4" w:space="0"/>
            </w:tcBorders>
          </w:tcPr>
          <w:p w14:paraId="6C71FD02">
            <w:pPr>
              <w:jc w:val="both"/>
              <w:textAlignment w:val="top"/>
            </w:pPr>
            <w:r>
              <w:rPr>
                <w:rFonts w:cs="Times New Roman"/>
                <w:color w:val="000000"/>
                <w:lang w:bidi="ar"/>
              </w:rPr>
              <w:t>新兴际华科技（天津）有限公司</w:t>
            </w:r>
          </w:p>
        </w:tc>
        <w:tc>
          <w:tcPr>
            <w:tcW w:w="672" w:type="pct"/>
            <w:tcBorders>
              <w:top w:val="single" w:color="auto" w:sz="4" w:space="0"/>
              <w:left w:val="single" w:color="auto" w:sz="4" w:space="0"/>
              <w:bottom w:val="single" w:color="auto" w:sz="4" w:space="0"/>
              <w:right w:val="single" w:color="auto" w:sz="4" w:space="0"/>
            </w:tcBorders>
            <w:vAlign w:val="center"/>
          </w:tcPr>
          <w:p w14:paraId="0A1FC3C0">
            <w:pPr>
              <w:jc w:val="right"/>
              <w:textAlignment w:val="center"/>
              <w:rPr>
                <w:rFonts w:cs="Times New Roman"/>
              </w:rPr>
            </w:pPr>
            <w:r>
              <w:rPr>
                <w:rFonts w:cs="Times New Roman"/>
                <w:color w:val="000000"/>
              </w:rPr>
              <w:t>1,068,839.26</w:t>
            </w:r>
          </w:p>
        </w:tc>
        <w:tc>
          <w:tcPr>
            <w:tcW w:w="672" w:type="pct"/>
            <w:tcBorders>
              <w:top w:val="single" w:color="auto" w:sz="4" w:space="0"/>
              <w:left w:val="single" w:color="auto" w:sz="4" w:space="0"/>
              <w:bottom w:val="single" w:color="auto" w:sz="4" w:space="0"/>
              <w:right w:val="single" w:color="auto" w:sz="4" w:space="0"/>
            </w:tcBorders>
            <w:vAlign w:val="center"/>
          </w:tcPr>
          <w:p w14:paraId="7630056E">
            <w:pPr>
              <w:jc w:val="right"/>
              <w:rPr>
                <w:rFonts w:cs="Times New Roman"/>
              </w:rPr>
            </w:pPr>
          </w:p>
        </w:tc>
        <w:tc>
          <w:tcPr>
            <w:tcW w:w="672" w:type="pct"/>
            <w:tcBorders>
              <w:top w:val="single" w:color="auto" w:sz="4" w:space="0"/>
              <w:left w:val="single" w:color="auto" w:sz="4" w:space="0"/>
              <w:bottom w:val="single" w:color="auto" w:sz="4" w:space="0"/>
              <w:right w:val="single" w:color="auto" w:sz="4" w:space="0"/>
            </w:tcBorders>
            <w:vAlign w:val="center"/>
          </w:tcPr>
          <w:p w14:paraId="0E4ABC4C">
            <w:pPr>
              <w:jc w:val="right"/>
              <w:textAlignment w:val="center"/>
              <w:rPr>
                <w:rFonts w:cs="Times New Roman"/>
              </w:rPr>
            </w:pPr>
            <w:r>
              <w:rPr>
                <w:rFonts w:cs="Times New Roman"/>
                <w:color w:val="000000"/>
              </w:rPr>
              <w:t>5,787.51</w:t>
            </w:r>
          </w:p>
        </w:tc>
        <w:tc>
          <w:tcPr>
            <w:tcW w:w="672" w:type="pct"/>
            <w:tcBorders>
              <w:top w:val="single" w:color="auto" w:sz="4" w:space="0"/>
              <w:left w:val="single" w:color="auto" w:sz="4" w:space="0"/>
              <w:bottom w:val="single" w:color="auto" w:sz="4" w:space="0"/>
              <w:right w:val="single" w:color="auto" w:sz="4" w:space="0"/>
            </w:tcBorders>
            <w:vAlign w:val="center"/>
          </w:tcPr>
          <w:p w14:paraId="415E3AC8">
            <w:pPr>
              <w:jc w:val="right"/>
              <w:textAlignment w:val="center"/>
              <w:rPr>
                <w:rFonts w:cs="Times New Roman"/>
              </w:rPr>
            </w:pPr>
            <w:r>
              <w:rPr>
                <w:rFonts w:cs="Times New Roman"/>
                <w:color w:val="000000"/>
              </w:rPr>
              <w:t>1,074,626.77</w:t>
            </w:r>
          </w:p>
        </w:tc>
        <w:tc>
          <w:tcPr>
            <w:tcW w:w="687" w:type="pct"/>
            <w:tcBorders>
              <w:top w:val="single" w:color="auto" w:sz="4" w:space="0"/>
              <w:left w:val="single" w:color="auto" w:sz="4" w:space="0"/>
              <w:bottom w:val="single" w:color="auto" w:sz="4" w:space="0"/>
              <w:right w:val="single" w:color="auto" w:sz="4" w:space="0"/>
            </w:tcBorders>
            <w:vAlign w:val="center"/>
          </w:tcPr>
          <w:p w14:paraId="04BF6421">
            <w:pPr>
              <w:jc w:val="right"/>
              <w:rPr>
                <w:rFonts w:cs="Times New Roman"/>
              </w:rPr>
            </w:pPr>
          </w:p>
        </w:tc>
      </w:tr>
      <w:tr w14:paraId="7752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pct"/>
            <w:tcBorders>
              <w:top w:val="single" w:color="auto" w:sz="4" w:space="0"/>
              <w:left w:val="single" w:color="auto" w:sz="4" w:space="0"/>
              <w:bottom w:val="single" w:color="auto" w:sz="4" w:space="0"/>
              <w:right w:val="single" w:color="auto" w:sz="4" w:space="0"/>
            </w:tcBorders>
          </w:tcPr>
          <w:p w14:paraId="5D9F474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小计</w:t>
            </w:r>
          </w:p>
        </w:tc>
        <w:tc>
          <w:tcPr>
            <w:tcW w:w="672" w:type="pct"/>
            <w:tcBorders>
              <w:top w:val="single" w:color="auto" w:sz="4" w:space="0"/>
              <w:left w:val="single" w:color="auto" w:sz="4" w:space="0"/>
              <w:bottom w:val="single" w:color="auto" w:sz="4" w:space="0"/>
              <w:right w:val="single" w:color="auto" w:sz="4" w:space="0"/>
            </w:tcBorders>
            <w:vAlign w:val="center"/>
          </w:tcPr>
          <w:p w14:paraId="3CEFAC58">
            <w:pPr>
              <w:jc w:val="right"/>
              <w:textAlignment w:val="center"/>
              <w:rPr>
                <w:rFonts w:cs="Times New Roman"/>
              </w:rPr>
            </w:pPr>
            <w:r>
              <w:rPr>
                <w:rFonts w:cs="Times New Roman"/>
                <w:color w:val="000000"/>
              </w:rPr>
              <w:t>48,009,657.16</w:t>
            </w:r>
          </w:p>
        </w:tc>
        <w:tc>
          <w:tcPr>
            <w:tcW w:w="672" w:type="pct"/>
            <w:tcBorders>
              <w:top w:val="single" w:color="auto" w:sz="4" w:space="0"/>
              <w:left w:val="single" w:color="auto" w:sz="4" w:space="0"/>
              <w:bottom w:val="single" w:color="auto" w:sz="4" w:space="0"/>
              <w:right w:val="single" w:color="auto" w:sz="4" w:space="0"/>
            </w:tcBorders>
            <w:vAlign w:val="center"/>
          </w:tcPr>
          <w:p w14:paraId="4562401A">
            <w:pPr>
              <w:jc w:val="right"/>
              <w:textAlignment w:val="center"/>
              <w:rPr>
                <w:rFonts w:cs="Times New Roman"/>
              </w:rPr>
            </w:pPr>
            <w:r>
              <w:rPr>
                <w:rFonts w:cs="Times New Roman"/>
                <w:color w:val="000000"/>
              </w:rPr>
              <w:t>7,721,583.57</w:t>
            </w:r>
          </w:p>
        </w:tc>
        <w:tc>
          <w:tcPr>
            <w:tcW w:w="672" w:type="pct"/>
            <w:tcBorders>
              <w:top w:val="single" w:color="auto" w:sz="4" w:space="0"/>
              <w:left w:val="single" w:color="auto" w:sz="4" w:space="0"/>
              <w:bottom w:val="single" w:color="auto" w:sz="4" w:space="0"/>
              <w:right w:val="single" w:color="auto" w:sz="4" w:space="0"/>
            </w:tcBorders>
            <w:vAlign w:val="center"/>
          </w:tcPr>
          <w:p w14:paraId="5E29A560">
            <w:pPr>
              <w:jc w:val="right"/>
              <w:textAlignment w:val="center"/>
              <w:rPr>
                <w:rFonts w:cs="Times New Roman"/>
              </w:rPr>
            </w:pPr>
            <w:r>
              <w:rPr>
                <w:rFonts w:cs="Times New Roman"/>
                <w:color w:val="000000"/>
              </w:rPr>
              <w:t>-3,274,736.02</w:t>
            </w:r>
          </w:p>
        </w:tc>
        <w:tc>
          <w:tcPr>
            <w:tcW w:w="672" w:type="pct"/>
            <w:tcBorders>
              <w:top w:val="single" w:color="auto" w:sz="4" w:space="0"/>
              <w:left w:val="single" w:color="auto" w:sz="4" w:space="0"/>
              <w:bottom w:val="single" w:color="auto" w:sz="4" w:space="0"/>
              <w:right w:val="single" w:color="auto" w:sz="4" w:space="0"/>
            </w:tcBorders>
            <w:vAlign w:val="center"/>
          </w:tcPr>
          <w:p w14:paraId="72AFEE73">
            <w:pPr>
              <w:jc w:val="right"/>
              <w:textAlignment w:val="center"/>
              <w:rPr>
                <w:rFonts w:cs="Times New Roman"/>
              </w:rPr>
            </w:pPr>
            <w:r>
              <w:rPr>
                <w:rFonts w:cs="Times New Roman"/>
                <w:color w:val="000000"/>
              </w:rPr>
              <w:t>44,734,921.14</w:t>
            </w:r>
          </w:p>
        </w:tc>
        <w:tc>
          <w:tcPr>
            <w:tcW w:w="687" w:type="pct"/>
            <w:tcBorders>
              <w:top w:val="single" w:color="auto" w:sz="4" w:space="0"/>
              <w:left w:val="single" w:color="auto" w:sz="4" w:space="0"/>
              <w:bottom w:val="single" w:color="auto" w:sz="4" w:space="0"/>
              <w:right w:val="single" w:color="auto" w:sz="4" w:space="0"/>
            </w:tcBorders>
            <w:vAlign w:val="center"/>
          </w:tcPr>
          <w:p w14:paraId="4454B380">
            <w:pPr>
              <w:jc w:val="right"/>
              <w:textAlignment w:val="center"/>
              <w:rPr>
                <w:rFonts w:cs="Times New Roman"/>
              </w:rPr>
            </w:pPr>
            <w:r>
              <w:rPr>
                <w:rFonts w:cs="Times New Roman"/>
                <w:color w:val="000000"/>
              </w:rPr>
              <w:t>7,721,583.57</w:t>
            </w:r>
          </w:p>
        </w:tc>
      </w:tr>
      <w:tr w14:paraId="61771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pct"/>
            <w:tcBorders>
              <w:top w:val="single" w:color="auto" w:sz="4" w:space="0"/>
              <w:left w:val="single" w:color="auto" w:sz="4" w:space="0"/>
              <w:bottom w:val="single" w:color="auto" w:sz="4" w:space="0"/>
              <w:right w:val="single" w:color="auto" w:sz="4" w:space="0"/>
            </w:tcBorders>
            <w:vAlign w:val="center"/>
          </w:tcPr>
          <w:p w14:paraId="2313C25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672" w:type="pct"/>
            <w:tcBorders>
              <w:top w:val="single" w:color="auto" w:sz="4" w:space="0"/>
              <w:left w:val="single" w:color="auto" w:sz="4" w:space="0"/>
              <w:bottom w:val="single" w:color="auto" w:sz="4" w:space="0"/>
              <w:right w:val="single" w:color="auto" w:sz="4" w:space="0"/>
            </w:tcBorders>
            <w:vAlign w:val="center"/>
          </w:tcPr>
          <w:p w14:paraId="72E8EB5D">
            <w:pPr>
              <w:jc w:val="right"/>
              <w:textAlignment w:val="center"/>
              <w:rPr>
                <w:rFonts w:cs="Times New Roman"/>
              </w:rPr>
            </w:pPr>
            <w:r>
              <w:rPr>
                <w:rFonts w:cs="Times New Roman"/>
                <w:color w:val="000000"/>
              </w:rPr>
              <w:t>48,009,657.16</w:t>
            </w:r>
          </w:p>
        </w:tc>
        <w:tc>
          <w:tcPr>
            <w:tcW w:w="672" w:type="pct"/>
            <w:tcBorders>
              <w:top w:val="single" w:color="auto" w:sz="4" w:space="0"/>
              <w:left w:val="single" w:color="auto" w:sz="4" w:space="0"/>
              <w:bottom w:val="single" w:color="auto" w:sz="4" w:space="0"/>
              <w:right w:val="single" w:color="auto" w:sz="4" w:space="0"/>
            </w:tcBorders>
            <w:vAlign w:val="center"/>
          </w:tcPr>
          <w:p w14:paraId="0E7F15C4">
            <w:pPr>
              <w:jc w:val="right"/>
              <w:textAlignment w:val="center"/>
              <w:rPr>
                <w:rFonts w:cs="Times New Roman"/>
              </w:rPr>
            </w:pPr>
            <w:r>
              <w:rPr>
                <w:rFonts w:cs="Times New Roman"/>
                <w:color w:val="000000"/>
              </w:rPr>
              <w:t>7,721,583.57</w:t>
            </w:r>
          </w:p>
        </w:tc>
        <w:tc>
          <w:tcPr>
            <w:tcW w:w="672" w:type="pct"/>
            <w:tcBorders>
              <w:top w:val="single" w:color="auto" w:sz="4" w:space="0"/>
              <w:left w:val="single" w:color="auto" w:sz="4" w:space="0"/>
              <w:bottom w:val="single" w:color="auto" w:sz="4" w:space="0"/>
              <w:right w:val="single" w:color="auto" w:sz="4" w:space="0"/>
            </w:tcBorders>
            <w:vAlign w:val="center"/>
          </w:tcPr>
          <w:p w14:paraId="1B6EDF16">
            <w:pPr>
              <w:jc w:val="right"/>
              <w:textAlignment w:val="center"/>
              <w:rPr>
                <w:rFonts w:cs="Times New Roman"/>
              </w:rPr>
            </w:pPr>
            <w:r>
              <w:rPr>
                <w:rFonts w:cs="Times New Roman"/>
                <w:color w:val="000000"/>
              </w:rPr>
              <w:t>-3,274,736.02</w:t>
            </w:r>
          </w:p>
        </w:tc>
        <w:tc>
          <w:tcPr>
            <w:tcW w:w="672" w:type="pct"/>
            <w:tcBorders>
              <w:top w:val="single" w:color="auto" w:sz="4" w:space="0"/>
              <w:left w:val="single" w:color="auto" w:sz="4" w:space="0"/>
              <w:bottom w:val="single" w:color="auto" w:sz="4" w:space="0"/>
              <w:right w:val="single" w:color="auto" w:sz="4" w:space="0"/>
            </w:tcBorders>
            <w:vAlign w:val="center"/>
          </w:tcPr>
          <w:p w14:paraId="725E7F98">
            <w:pPr>
              <w:jc w:val="right"/>
              <w:textAlignment w:val="center"/>
              <w:rPr>
                <w:rFonts w:cs="Times New Roman"/>
              </w:rPr>
            </w:pPr>
            <w:r>
              <w:rPr>
                <w:rFonts w:cs="Times New Roman"/>
                <w:color w:val="000000"/>
              </w:rPr>
              <w:t>44,734,921.14</w:t>
            </w:r>
          </w:p>
        </w:tc>
        <w:tc>
          <w:tcPr>
            <w:tcW w:w="687" w:type="pct"/>
            <w:tcBorders>
              <w:top w:val="single" w:color="auto" w:sz="4" w:space="0"/>
              <w:left w:val="single" w:color="auto" w:sz="4" w:space="0"/>
              <w:bottom w:val="single" w:color="auto" w:sz="4" w:space="0"/>
              <w:right w:val="single" w:color="auto" w:sz="4" w:space="0"/>
            </w:tcBorders>
            <w:vAlign w:val="center"/>
          </w:tcPr>
          <w:p w14:paraId="69906FA5">
            <w:pPr>
              <w:jc w:val="right"/>
              <w:textAlignment w:val="center"/>
              <w:rPr>
                <w:rFonts w:cs="Times New Roman"/>
              </w:rPr>
            </w:pPr>
            <w:r>
              <w:rPr>
                <w:rFonts w:cs="Times New Roman"/>
                <w:color w:val="000000"/>
              </w:rPr>
              <w:t>7,721,583.57</w:t>
            </w:r>
          </w:p>
        </w:tc>
      </w:tr>
    </w:tbl>
    <w:p w14:paraId="05B40DA0"/>
    <w:p w14:paraId="4C836E56">
      <w:pPr>
        <w:pStyle w:val="58"/>
        <w:numPr>
          <w:ilvl w:val="0"/>
          <w:numId w:val="67"/>
        </w:numPr>
        <w:ind w:left="425" w:hanging="425"/>
        <w:rPr>
          <w:color w:val="000000" w:themeColor="text1"/>
          <w14:textFill>
            <w14:solidFill>
              <w14:schemeClr w14:val="tx1"/>
            </w14:solidFill>
          </w14:textFill>
        </w:rPr>
      </w:pPr>
      <w:r>
        <w:rPr>
          <w:rFonts w:hint="eastAsia"/>
          <w:color w:val="000000" w:themeColor="text1"/>
          <w14:textFill>
            <w14:solidFill>
              <w14:schemeClr w14:val="tx1"/>
            </w14:solidFill>
          </w14:textFill>
        </w:rPr>
        <w:t>长期股权投资的减值测试情况</w:t>
      </w:r>
    </w:p>
    <w:sdt>
      <w:sdtPr>
        <w:rPr>
          <w:color w:val="000000" w:themeColor="text1"/>
          <w14:textFill>
            <w14:solidFill>
              <w14:schemeClr w14:val="tx1"/>
            </w14:solidFill>
          </w14:textFill>
        </w:rPr>
        <w:alias w:val="是否适用：减值测试情况[双击切换]"/>
        <w:tag w:val="_GBC_c736c8a0ce06478bb4d52ef30b7043c8"/>
        <w:id w:val="147472288"/>
        <w:placeholder>
          <w:docPart w:val="GBC22222222222222222222222222222"/>
        </w:placeholder>
      </w:sdtPr>
      <w:sdtEndPr>
        <w:rPr>
          <w:color w:val="000000" w:themeColor="text1"/>
          <w14:textFill>
            <w14:solidFill>
              <w14:schemeClr w14:val="tx1"/>
            </w14:solidFill>
          </w14:textFill>
        </w:rPr>
      </w:sdtEndPr>
      <w:sdtContent>
        <w:p w14:paraId="2782466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36357E3">
      <w:pPr>
        <w:snapToGrid w:val="0"/>
        <w:spacing w:line="240" w:lineRule="atLeast"/>
        <w:rPr>
          <w:color w:val="000000" w:themeColor="text1"/>
          <w14:textFill>
            <w14:solidFill>
              <w14:schemeClr w14:val="tx1"/>
            </w14:solidFill>
          </w14:textFill>
        </w:rPr>
      </w:pPr>
    </w:p>
    <w:p w14:paraId="78335257">
      <w:pPr>
        <w:snapToGrid w:val="0"/>
        <w:spacing w:line="240" w:lineRule="atLeast"/>
        <w:rPr>
          <w:color w:val="000000" w:themeColor="text1"/>
          <w14:textFill>
            <w14:solidFill>
              <w14:schemeClr w14:val="tx1"/>
            </w14:solidFill>
          </w14:textFill>
        </w:rPr>
      </w:pPr>
    </w:p>
    <w:bookmarkEnd w:id="296"/>
    <w:p w14:paraId="098762F9">
      <w:pPr>
        <w:snapToGrid w:val="0"/>
        <w:spacing w:line="240" w:lineRule="atLeast"/>
        <w:rPr>
          <w:color w:val="000000" w:themeColor="text1"/>
          <w14:textFill>
            <w14:solidFill>
              <w14:schemeClr w14:val="tx1"/>
            </w14:solidFill>
          </w14:textFill>
        </w:rPr>
      </w:pPr>
      <w:bookmarkStart w:id="298" w:name="_Hlk167893618"/>
      <w:r>
        <w:rPr>
          <w:rFonts w:hint="eastAsia"/>
          <w:color w:val="000000" w:themeColor="text1"/>
          <w14:textFill>
            <w14:solidFill>
              <w14:schemeClr w14:val="tx1"/>
            </w14:solidFill>
          </w14:textFill>
        </w:rPr>
        <w:t>其他说明</w:t>
      </w:r>
    </w:p>
    <w:p w14:paraId="68E51380">
      <w:pPr>
        <w:snapToGrid w:val="0"/>
        <w:spacing w:line="240" w:lineRule="atLeast"/>
        <w:rPr>
          <w:color w:val="000000" w:themeColor="text1"/>
          <w14:textFill>
            <w14:solidFill>
              <w14:schemeClr w14:val="tx1"/>
            </w14:solidFill>
          </w14:textFill>
        </w:rPr>
      </w:pPr>
      <w:sdt>
        <w:sdtPr>
          <w:rPr>
            <w:color w:val="000000" w:themeColor="text1"/>
            <w14:textFill>
              <w14:solidFill>
                <w14:schemeClr w14:val="tx1"/>
              </w14:solidFill>
            </w14:textFill>
          </w:rPr>
          <w:alias w:val="长期股票投资的说明"/>
          <w:tag w:val="_GBC_de8cfc4ca45d42b88f7513c93a853186"/>
          <w:id w:val="147453418"/>
          <w:placeholder>
            <w:docPart w:val="GBC22222222222222222222222222222"/>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无</w:t>
          </w:r>
        </w:sdtContent>
      </w:sdt>
    </w:p>
    <w:p w14:paraId="155C0CAF">
      <w:pPr>
        <w:snapToGrid w:val="0"/>
        <w:spacing w:line="240" w:lineRule="atLeast"/>
        <w:rPr>
          <w:color w:val="000000" w:themeColor="text1"/>
          <w14:textFill>
            <w14:solidFill>
              <w14:schemeClr w14:val="tx1"/>
            </w14:solidFill>
          </w14:textFill>
        </w:rPr>
      </w:pPr>
    </w:p>
    <w:p w14:paraId="72C09EDE">
      <w:pPr>
        <w:snapToGrid w:val="0"/>
        <w:spacing w:line="240" w:lineRule="atLeast"/>
        <w:rPr>
          <w:color w:val="000000" w:themeColor="text1"/>
          <w14:textFill>
            <w14:solidFill>
              <w14:schemeClr w14:val="tx1"/>
            </w14:solidFill>
          </w14:textFill>
        </w:rPr>
      </w:pPr>
    </w:p>
    <w:bookmarkEnd w:id="297"/>
    <w:bookmarkEnd w:id="298"/>
    <w:p w14:paraId="1D87A707">
      <w:pPr>
        <w:pStyle w:val="57"/>
        <w:numPr>
          <w:ilvl w:val="0"/>
          <w:numId w:val="54"/>
        </w:numPr>
        <w:rPr>
          <w:color w:val="000000" w:themeColor="text1"/>
          <w:szCs w:val="21"/>
          <w14:textFill>
            <w14:solidFill>
              <w14:schemeClr w14:val="tx1"/>
            </w14:solidFill>
          </w14:textFill>
        </w:rPr>
      </w:pPr>
      <w:bookmarkStart w:id="299" w:name="_Hlk152858292"/>
      <w:bookmarkStart w:id="300" w:name="_Hlk533409702"/>
      <w:bookmarkStart w:id="301" w:name="_Hlk167895169"/>
      <w:r>
        <w:rPr>
          <w:color w:val="000000" w:themeColor="text1"/>
          <w:szCs w:val="21"/>
          <w14:textFill>
            <w14:solidFill>
              <w14:schemeClr w14:val="tx1"/>
            </w14:solidFill>
          </w14:textFill>
        </w:rPr>
        <w:t>其他权益工具投资</w:t>
      </w:r>
    </w:p>
    <w:p w14:paraId="67F73EB1">
      <w:pPr>
        <w:pStyle w:val="58"/>
        <w:numPr>
          <w:ilvl w:val="3"/>
          <w:numId w:val="68"/>
        </w:numPr>
        <w:ind w:left="426" w:hanging="426"/>
        <w:rPr>
          <w:color w:val="000000" w:themeColor="text1"/>
          <w14:textFill>
            <w14:solidFill>
              <w14:schemeClr w14:val="tx1"/>
            </w14:solidFill>
          </w14:textFill>
        </w:rPr>
      </w:pPr>
      <w:bookmarkStart w:id="302" w:name="_Hlk532994936"/>
      <w:r>
        <w:rPr>
          <w:rFonts w:hint="eastAsia"/>
          <w:color w:val="000000" w:themeColor="text1"/>
          <w14:textFill>
            <w14:solidFill>
              <w14:schemeClr w14:val="tx1"/>
            </w14:solidFill>
          </w14:textFill>
        </w:rPr>
        <w:t>其他权益工具投资情况</w:t>
      </w:r>
    </w:p>
    <w:sdt>
      <w:sdtPr>
        <w:rPr>
          <w:color w:val="000000" w:themeColor="text1"/>
          <w14:textFill>
            <w14:solidFill>
              <w14:schemeClr w14:val="tx1"/>
            </w14:solidFill>
          </w14:textFill>
        </w:rPr>
        <w:alias w:val="是否适用：其他权益工具投资情况[双击切换]"/>
        <w:tag w:val="_GBC_ac87b47cf70d4820a1189b53bf53af73"/>
        <w:id w:val="147451774"/>
        <w:placeholder>
          <w:docPart w:val="GBC22222222222222222222222222222"/>
        </w:placeholder>
      </w:sdtPr>
      <w:sdtEndPr>
        <w:rPr>
          <w:color w:val="000000" w:themeColor="text1"/>
          <w14:textFill>
            <w14:solidFill>
              <w14:schemeClr w14:val="tx1"/>
            </w14:solidFill>
          </w14:textFill>
        </w:rPr>
      </w:sdtEndPr>
      <w:sdtContent>
        <w:p w14:paraId="6351EA3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A231318">
      <w:pPr>
        <w:autoSpaceDE w:val="0"/>
        <w:autoSpaceDN w:val="0"/>
        <w:adjustRightInd w:val="0"/>
        <w:ind w:left="5880" w:right="105"/>
        <w:jc w:val="right"/>
        <w:rPr>
          <w:color w:val="000000" w:themeColor="text1"/>
          <w14:textFill>
            <w14:solidFill>
              <w14:schemeClr w14:val="tx1"/>
            </w14:solidFill>
          </w14:textFill>
        </w:rPr>
      </w:pPr>
    </w:p>
    <w:p w14:paraId="2C173DEB">
      <w:pPr>
        <w:autoSpaceDE w:val="0"/>
        <w:autoSpaceDN w:val="0"/>
        <w:adjustRightInd w:val="0"/>
        <w:ind w:left="5880" w:right="105"/>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其他权益工具投资情况"/>
          <w:tag w:val="_GBC_9bbc2bc262694a308c04bf4f25e3f1bb"/>
          <w:id w:val="1474587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其他权益工具投资情况"/>
          <w:tag w:val="_GBC_c944479021b54a639f17a7b9d298ba98"/>
          <w:id w:val="1474815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bookmarkEnd w:id="299"/>
    <w:bookmarkEnd w:id="300"/>
    <w:bookmarkEnd w:id="302"/>
    <w:tbl>
      <w:tblPr>
        <w:tblStyle w:val="3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6"/>
        <w:gridCol w:w="2049"/>
        <w:gridCol w:w="1852"/>
        <w:gridCol w:w="2246"/>
        <w:gridCol w:w="3518"/>
      </w:tblGrid>
      <w:tr w14:paraId="08C44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sdt>
          <w:sdtPr>
            <w:tag w:val="_PLD_3daf209c1b064e4980c71e7ae45806a6"/>
            <w:id w:val="147452403"/>
          </w:sdtPr>
          <w:sdtContent>
            <w:tc>
              <w:tcPr>
                <w:tcW w:w="1567" w:type="pct"/>
                <w:vMerge w:val="restart"/>
                <w:tcBorders>
                  <w:top w:val="single" w:color="auto" w:sz="4" w:space="0"/>
                  <w:left w:val="single" w:color="auto" w:sz="4" w:space="0"/>
                  <w:right w:val="single" w:color="auto" w:sz="4" w:space="0"/>
                </w:tcBorders>
                <w:vAlign w:val="center"/>
              </w:tcPr>
              <w:p w14:paraId="22CA9E4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1d20fa0d77b4406390305b87a75671b0"/>
            <w:id w:val="147451792"/>
          </w:sdtPr>
          <w:sdtContent>
            <w:tc>
              <w:tcPr>
                <w:tcW w:w="727" w:type="pct"/>
                <w:vMerge w:val="restart"/>
                <w:tcBorders>
                  <w:top w:val="single" w:color="auto" w:sz="4" w:space="0"/>
                  <w:left w:val="single" w:color="auto" w:sz="4" w:space="0"/>
                  <w:right w:val="single" w:color="auto" w:sz="4" w:space="0"/>
                </w:tcBorders>
                <w:vAlign w:val="center"/>
              </w:tcPr>
              <w:p w14:paraId="42C1D08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w:t>
                </w:r>
              </w:p>
              <w:p w14:paraId="4A01EAD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余额</w:t>
                </w:r>
              </w:p>
            </w:tc>
          </w:sdtContent>
        </w:sdt>
        <w:sdt>
          <w:sdtPr>
            <w:tag w:val="_PLD_d9fc41afb57d40a5826584d39a74e53d"/>
            <w:id w:val="147475617"/>
          </w:sdtPr>
          <w:sdtContent>
            <w:tc>
              <w:tcPr>
                <w:tcW w:w="657" w:type="pct"/>
                <w:vMerge w:val="restart"/>
                <w:tcBorders>
                  <w:top w:val="single" w:color="auto" w:sz="4" w:space="0"/>
                  <w:left w:val="single" w:color="auto" w:sz="4" w:space="0"/>
                  <w:right w:val="single" w:color="auto" w:sz="4" w:space="0"/>
                </w:tcBorders>
                <w:vAlign w:val="center"/>
              </w:tcPr>
              <w:p w14:paraId="78853D1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w:t>
                </w:r>
              </w:p>
              <w:p w14:paraId="3EF1739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余额</w:t>
                </w:r>
              </w:p>
            </w:tc>
          </w:sdtContent>
        </w:sdt>
        <w:sdt>
          <w:sdtPr>
            <w:tag w:val="_PLD_5f0ce8d1a2e4468abbf27c5755f10b41"/>
            <w:id w:val="147455076"/>
          </w:sdtPr>
          <w:sdtContent>
            <w:tc>
              <w:tcPr>
                <w:tcW w:w="797" w:type="pct"/>
                <w:vMerge w:val="restart"/>
                <w:tcBorders>
                  <w:top w:val="single" w:color="auto" w:sz="4" w:space="0"/>
                  <w:left w:val="single" w:color="auto" w:sz="4" w:space="0"/>
                  <w:right w:val="single" w:color="auto" w:sz="4" w:space="0"/>
                </w:tcBorders>
                <w:vAlign w:val="center"/>
              </w:tcPr>
              <w:p w14:paraId="017008F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累计计入其他综合收益的损失</w:t>
                </w:r>
              </w:p>
            </w:tc>
          </w:sdtContent>
        </w:sdt>
        <w:sdt>
          <w:sdtPr>
            <w:tag w:val="_PLD_30dbafaa8a8b420cb3406f22958c59c0"/>
            <w:id w:val="147477601"/>
          </w:sdtPr>
          <w:sdtContent>
            <w:tc>
              <w:tcPr>
                <w:tcW w:w="1248" w:type="pct"/>
                <w:vMerge w:val="restart"/>
                <w:tcBorders>
                  <w:top w:val="single" w:color="auto" w:sz="4" w:space="0"/>
                  <w:left w:val="single" w:color="auto" w:sz="4" w:space="0"/>
                  <w:right w:val="single" w:color="auto" w:sz="4" w:space="0"/>
                </w:tcBorders>
                <w:vAlign w:val="center"/>
              </w:tcPr>
              <w:p w14:paraId="733527C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指定为以公允价值计量且其变动计入其他综合收益的原因</w:t>
                </w:r>
              </w:p>
            </w:tc>
          </w:sdtContent>
        </w:sdt>
      </w:tr>
      <w:tr w14:paraId="7166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67" w:type="pct"/>
            <w:vMerge w:val="continue"/>
            <w:tcBorders>
              <w:left w:val="single" w:color="auto" w:sz="4" w:space="0"/>
              <w:bottom w:val="single" w:color="auto" w:sz="4" w:space="0"/>
              <w:right w:val="single" w:color="auto" w:sz="4" w:space="0"/>
            </w:tcBorders>
          </w:tcPr>
          <w:p w14:paraId="07E13382">
            <w:pPr>
              <w:jc w:val="center"/>
              <w:rPr>
                <w:color w:val="000000" w:themeColor="text1"/>
                <w14:textFill>
                  <w14:solidFill>
                    <w14:schemeClr w14:val="tx1"/>
                  </w14:solidFill>
                </w14:textFill>
              </w:rPr>
            </w:pPr>
          </w:p>
        </w:tc>
        <w:tc>
          <w:tcPr>
            <w:tcW w:w="727" w:type="pct"/>
            <w:vMerge w:val="continue"/>
            <w:tcBorders>
              <w:left w:val="single" w:color="auto" w:sz="4" w:space="0"/>
              <w:bottom w:val="single" w:color="auto" w:sz="4" w:space="0"/>
              <w:right w:val="single" w:color="auto" w:sz="4" w:space="0"/>
            </w:tcBorders>
          </w:tcPr>
          <w:p w14:paraId="78908F74">
            <w:pPr>
              <w:jc w:val="center"/>
              <w:rPr>
                <w:color w:val="000000" w:themeColor="text1"/>
                <w14:textFill>
                  <w14:solidFill>
                    <w14:schemeClr w14:val="tx1"/>
                  </w14:solidFill>
                </w14:textFill>
              </w:rPr>
            </w:pPr>
          </w:p>
        </w:tc>
        <w:tc>
          <w:tcPr>
            <w:tcW w:w="657" w:type="pct"/>
            <w:vMerge w:val="continue"/>
            <w:tcBorders>
              <w:left w:val="single" w:color="auto" w:sz="4" w:space="0"/>
              <w:bottom w:val="single" w:color="auto" w:sz="4" w:space="0"/>
              <w:right w:val="single" w:color="auto" w:sz="4" w:space="0"/>
            </w:tcBorders>
            <w:vAlign w:val="center"/>
          </w:tcPr>
          <w:p w14:paraId="1F20CF29">
            <w:pPr>
              <w:jc w:val="center"/>
              <w:rPr>
                <w:color w:val="000000" w:themeColor="text1"/>
                <w14:textFill>
                  <w14:solidFill>
                    <w14:schemeClr w14:val="tx1"/>
                  </w14:solidFill>
                </w14:textFill>
              </w:rPr>
            </w:pPr>
          </w:p>
        </w:tc>
        <w:tc>
          <w:tcPr>
            <w:tcW w:w="797" w:type="pct"/>
            <w:vMerge w:val="continue"/>
            <w:tcBorders>
              <w:left w:val="single" w:color="auto" w:sz="4" w:space="0"/>
              <w:bottom w:val="single" w:color="auto" w:sz="4" w:space="0"/>
              <w:right w:val="single" w:color="auto" w:sz="4" w:space="0"/>
            </w:tcBorders>
          </w:tcPr>
          <w:p w14:paraId="04671477">
            <w:pPr>
              <w:jc w:val="center"/>
              <w:rPr>
                <w:color w:val="000000" w:themeColor="text1"/>
                <w14:textFill>
                  <w14:solidFill>
                    <w14:schemeClr w14:val="tx1"/>
                  </w14:solidFill>
                </w14:textFill>
              </w:rPr>
            </w:pPr>
          </w:p>
        </w:tc>
        <w:tc>
          <w:tcPr>
            <w:tcW w:w="1248" w:type="pct"/>
            <w:vMerge w:val="continue"/>
            <w:tcBorders>
              <w:left w:val="single" w:color="auto" w:sz="4" w:space="0"/>
              <w:bottom w:val="single" w:color="auto" w:sz="4" w:space="0"/>
              <w:right w:val="single" w:color="auto" w:sz="4" w:space="0"/>
            </w:tcBorders>
            <w:vAlign w:val="center"/>
          </w:tcPr>
          <w:p w14:paraId="04AD89BB">
            <w:pPr>
              <w:jc w:val="center"/>
              <w:rPr>
                <w:color w:val="000000" w:themeColor="text1"/>
                <w14:textFill>
                  <w14:solidFill>
                    <w14:schemeClr w14:val="tx1"/>
                  </w14:solidFill>
                </w14:textFill>
              </w:rPr>
            </w:pPr>
          </w:p>
        </w:tc>
      </w:tr>
      <w:tr w14:paraId="6338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67" w:type="pct"/>
            <w:tcBorders>
              <w:top w:val="single" w:color="auto" w:sz="4" w:space="0"/>
              <w:left w:val="single" w:color="auto" w:sz="4" w:space="0"/>
              <w:bottom w:val="single" w:color="auto" w:sz="4" w:space="0"/>
              <w:right w:val="single" w:color="auto" w:sz="4" w:space="0"/>
            </w:tcBorders>
            <w:vAlign w:val="center"/>
          </w:tcPr>
          <w:p w14:paraId="33A52035">
            <w:pPr>
              <w:jc w:val="both"/>
              <w:textAlignment w:val="top"/>
              <w:rPr>
                <w:rFonts w:cs="Times New Roman"/>
                <w:color w:val="000000"/>
                <w:lang w:bidi="ar"/>
              </w:rPr>
            </w:pPr>
            <w:r>
              <w:rPr>
                <w:rFonts w:cs="Times New Roman"/>
                <w:color w:val="000000"/>
                <w:lang w:bidi="ar"/>
              </w:rPr>
              <w:t>新兴际华投资有限公司</w:t>
            </w:r>
          </w:p>
        </w:tc>
        <w:tc>
          <w:tcPr>
            <w:tcW w:w="727" w:type="pct"/>
            <w:tcBorders>
              <w:top w:val="single" w:color="auto" w:sz="4" w:space="0"/>
              <w:left w:val="single" w:color="auto" w:sz="4" w:space="0"/>
              <w:bottom w:val="single" w:color="auto" w:sz="4" w:space="0"/>
              <w:right w:val="single" w:color="auto" w:sz="4" w:space="0"/>
            </w:tcBorders>
            <w:vAlign w:val="center"/>
          </w:tcPr>
          <w:p w14:paraId="0EC587DB">
            <w:pPr>
              <w:jc w:val="right"/>
              <w:textAlignment w:val="center"/>
              <w:rPr>
                <w:rFonts w:cs="Times New Roman"/>
              </w:rPr>
            </w:pPr>
            <w:r>
              <w:rPr>
                <w:rFonts w:cs="Times New Roman"/>
                <w:color w:val="000000"/>
              </w:rPr>
              <w:t>497,099,612.00</w:t>
            </w:r>
          </w:p>
        </w:tc>
        <w:tc>
          <w:tcPr>
            <w:tcW w:w="657" w:type="pct"/>
            <w:tcBorders>
              <w:top w:val="single" w:color="auto" w:sz="4" w:space="0"/>
              <w:left w:val="single" w:color="auto" w:sz="4" w:space="0"/>
              <w:bottom w:val="single" w:color="auto" w:sz="4" w:space="0"/>
              <w:right w:val="single" w:color="auto" w:sz="4" w:space="0"/>
            </w:tcBorders>
            <w:vAlign w:val="center"/>
          </w:tcPr>
          <w:p w14:paraId="5588873D">
            <w:pPr>
              <w:jc w:val="right"/>
              <w:textAlignment w:val="center"/>
              <w:rPr>
                <w:rFonts w:cs="Times New Roman"/>
              </w:rPr>
            </w:pPr>
            <w:r>
              <w:rPr>
                <w:rFonts w:cs="Times New Roman"/>
                <w:color w:val="000000"/>
              </w:rPr>
              <w:t>497,099,612.00</w:t>
            </w:r>
          </w:p>
        </w:tc>
        <w:tc>
          <w:tcPr>
            <w:tcW w:w="797" w:type="pct"/>
            <w:tcBorders>
              <w:top w:val="single" w:color="auto" w:sz="4" w:space="0"/>
              <w:left w:val="single" w:color="auto" w:sz="4" w:space="0"/>
              <w:bottom w:val="single" w:color="auto" w:sz="4" w:space="0"/>
              <w:right w:val="single" w:color="auto" w:sz="4" w:space="0"/>
            </w:tcBorders>
            <w:vAlign w:val="center"/>
          </w:tcPr>
          <w:p w14:paraId="284DEDEA">
            <w:pPr>
              <w:jc w:val="right"/>
              <w:textAlignment w:val="center"/>
              <w:rPr>
                <w:rFonts w:cs="Times New Roman"/>
              </w:rPr>
            </w:pPr>
            <w:r>
              <w:rPr>
                <w:rFonts w:cs="Times New Roman"/>
                <w:color w:val="000000"/>
              </w:rPr>
              <w:t>225,999,968.83</w:t>
            </w:r>
          </w:p>
        </w:tc>
        <w:tc>
          <w:tcPr>
            <w:tcW w:w="1248" w:type="pct"/>
            <w:tcBorders>
              <w:top w:val="single" w:color="auto" w:sz="4" w:space="0"/>
              <w:left w:val="single" w:color="auto" w:sz="4" w:space="0"/>
              <w:bottom w:val="single" w:color="auto" w:sz="4" w:space="0"/>
              <w:right w:val="single" w:color="auto" w:sz="4" w:space="0"/>
            </w:tcBorders>
            <w:vAlign w:val="center"/>
          </w:tcPr>
          <w:p w14:paraId="5E486481">
            <w:pPr>
              <w:jc w:val="center"/>
              <w:textAlignment w:val="top"/>
              <w:rPr>
                <w:rFonts w:cs="Times New Roman"/>
                <w:color w:val="000000"/>
                <w:lang w:bidi="ar"/>
              </w:rPr>
            </w:pPr>
            <w:r>
              <w:rPr>
                <w:rFonts w:hint="eastAsia" w:cs="Times New Roman"/>
                <w:color w:val="000000"/>
                <w:lang w:bidi="ar"/>
              </w:rPr>
              <w:t>非交易性权益工具</w:t>
            </w:r>
          </w:p>
        </w:tc>
      </w:tr>
      <w:tr w14:paraId="0E543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7" w:type="pct"/>
            <w:tcBorders>
              <w:top w:val="single" w:color="auto" w:sz="4" w:space="0"/>
              <w:left w:val="single" w:color="auto" w:sz="4" w:space="0"/>
              <w:bottom w:val="single" w:color="auto" w:sz="4" w:space="0"/>
              <w:right w:val="single" w:color="auto" w:sz="4" w:space="0"/>
            </w:tcBorders>
            <w:vAlign w:val="center"/>
          </w:tcPr>
          <w:p w14:paraId="3CB22096">
            <w:pPr>
              <w:jc w:val="both"/>
              <w:textAlignment w:val="top"/>
              <w:rPr>
                <w:rFonts w:cs="Times New Roman"/>
                <w:color w:val="000000"/>
                <w:lang w:bidi="ar"/>
              </w:rPr>
            </w:pPr>
            <w:r>
              <w:rPr>
                <w:rFonts w:cs="Times New Roman"/>
                <w:color w:val="000000"/>
                <w:lang w:bidi="ar"/>
              </w:rPr>
              <w:t>青海省博鸿化工科技股份有限公司</w:t>
            </w:r>
          </w:p>
        </w:tc>
        <w:tc>
          <w:tcPr>
            <w:tcW w:w="727" w:type="pct"/>
            <w:tcBorders>
              <w:top w:val="single" w:color="auto" w:sz="4" w:space="0"/>
              <w:left w:val="single" w:color="auto" w:sz="4" w:space="0"/>
              <w:bottom w:val="single" w:color="auto" w:sz="4" w:space="0"/>
              <w:right w:val="single" w:color="auto" w:sz="4" w:space="0"/>
            </w:tcBorders>
            <w:vAlign w:val="center"/>
          </w:tcPr>
          <w:p w14:paraId="620705F2">
            <w:pPr>
              <w:jc w:val="right"/>
              <w:textAlignment w:val="center"/>
              <w:rPr>
                <w:rFonts w:cs="Times New Roman"/>
              </w:rPr>
            </w:pPr>
            <w:r>
              <w:rPr>
                <w:rFonts w:cs="Times New Roman"/>
                <w:color w:val="000000"/>
              </w:rPr>
              <w:t>22,286,800.00</w:t>
            </w:r>
          </w:p>
        </w:tc>
        <w:tc>
          <w:tcPr>
            <w:tcW w:w="657" w:type="pct"/>
            <w:tcBorders>
              <w:top w:val="single" w:color="auto" w:sz="4" w:space="0"/>
              <w:left w:val="single" w:color="auto" w:sz="4" w:space="0"/>
              <w:bottom w:val="single" w:color="auto" w:sz="4" w:space="0"/>
              <w:right w:val="single" w:color="auto" w:sz="4" w:space="0"/>
            </w:tcBorders>
            <w:vAlign w:val="center"/>
          </w:tcPr>
          <w:p w14:paraId="30E4E824">
            <w:pPr>
              <w:jc w:val="right"/>
              <w:textAlignment w:val="center"/>
              <w:rPr>
                <w:rFonts w:cs="Times New Roman"/>
              </w:rPr>
            </w:pPr>
            <w:r>
              <w:rPr>
                <w:rFonts w:cs="Times New Roman"/>
                <w:color w:val="000000"/>
              </w:rPr>
              <w:t>22,286,800.00</w:t>
            </w:r>
          </w:p>
        </w:tc>
        <w:tc>
          <w:tcPr>
            <w:tcW w:w="797" w:type="pct"/>
            <w:tcBorders>
              <w:top w:val="single" w:color="auto" w:sz="4" w:space="0"/>
              <w:left w:val="single" w:color="auto" w:sz="4" w:space="0"/>
              <w:bottom w:val="single" w:color="auto" w:sz="4" w:space="0"/>
              <w:right w:val="single" w:color="auto" w:sz="4" w:space="0"/>
            </w:tcBorders>
            <w:vAlign w:val="center"/>
          </w:tcPr>
          <w:p w14:paraId="0EA1203A">
            <w:pPr>
              <w:jc w:val="right"/>
              <w:rPr>
                <w:rFonts w:cs="Times New Roman"/>
              </w:rPr>
            </w:pPr>
          </w:p>
        </w:tc>
        <w:tc>
          <w:tcPr>
            <w:tcW w:w="1248" w:type="pct"/>
            <w:tcBorders>
              <w:top w:val="single" w:color="auto" w:sz="4" w:space="0"/>
              <w:left w:val="single" w:color="auto" w:sz="4" w:space="0"/>
              <w:bottom w:val="single" w:color="auto" w:sz="4" w:space="0"/>
              <w:right w:val="single" w:color="auto" w:sz="4" w:space="0"/>
            </w:tcBorders>
            <w:vAlign w:val="center"/>
          </w:tcPr>
          <w:p w14:paraId="61B53B3F">
            <w:pPr>
              <w:jc w:val="center"/>
              <w:textAlignment w:val="top"/>
              <w:rPr>
                <w:rFonts w:cs="Times New Roman"/>
                <w:color w:val="000000"/>
                <w:lang w:bidi="ar"/>
              </w:rPr>
            </w:pPr>
            <w:r>
              <w:rPr>
                <w:rFonts w:hint="eastAsia" w:cs="Times New Roman"/>
                <w:color w:val="000000"/>
                <w:lang w:bidi="ar"/>
              </w:rPr>
              <w:t>非交易性权益工具</w:t>
            </w:r>
          </w:p>
        </w:tc>
      </w:tr>
      <w:tr w14:paraId="4B39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7" w:type="pct"/>
            <w:tcBorders>
              <w:top w:val="single" w:color="auto" w:sz="4" w:space="0"/>
              <w:left w:val="single" w:color="auto" w:sz="4" w:space="0"/>
              <w:bottom w:val="single" w:color="auto" w:sz="4" w:space="0"/>
              <w:right w:val="single" w:color="auto" w:sz="4" w:space="0"/>
            </w:tcBorders>
            <w:vAlign w:val="center"/>
          </w:tcPr>
          <w:p w14:paraId="59589631">
            <w:pPr>
              <w:jc w:val="both"/>
              <w:textAlignment w:val="top"/>
              <w:rPr>
                <w:rFonts w:cs="Times New Roman"/>
                <w:color w:val="000000"/>
                <w:lang w:bidi="ar"/>
              </w:rPr>
            </w:pPr>
            <w:r>
              <w:rPr>
                <w:rFonts w:cs="Times New Roman"/>
                <w:color w:val="000000"/>
                <w:lang w:bidi="ar"/>
              </w:rPr>
              <w:t>安徽锦源复合材料环保科技有限公司</w:t>
            </w:r>
          </w:p>
        </w:tc>
        <w:tc>
          <w:tcPr>
            <w:tcW w:w="727" w:type="pct"/>
            <w:tcBorders>
              <w:top w:val="single" w:color="auto" w:sz="4" w:space="0"/>
              <w:left w:val="single" w:color="auto" w:sz="4" w:space="0"/>
              <w:bottom w:val="single" w:color="auto" w:sz="4" w:space="0"/>
              <w:right w:val="single" w:color="auto" w:sz="4" w:space="0"/>
            </w:tcBorders>
            <w:vAlign w:val="center"/>
          </w:tcPr>
          <w:p w14:paraId="44BD4B3F">
            <w:pPr>
              <w:jc w:val="right"/>
              <w:textAlignment w:val="center"/>
              <w:rPr>
                <w:rFonts w:cs="Times New Roman"/>
              </w:rPr>
            </w:pPr>
            <w:r>
              <w:rPr>
                <w:rFonts w:cs="Times New Roman"/>
                <w:color w:val="000000"/>
              </w:rPr>
              <w:t>595,208.71</w:t>
            </w:r>
          </w:p>
        </w:tc>
        <w:tc>
          <w:tcPr>
            <w:tcW w:w="657" w:type="pct"/>
            <w:tcBorders>
              <w:top w:val="single" w:color="auto" w:sz="4" w:space="0"/>
              <w:left w:val="single" w:color="auto" w:sz="4" w:space="0"/>
              <w:bottom w:val="single" w:color="auto" w:sz="4" w:space="0"/>
              <w:right w:val="single" w:color="auto" w:sz="4" w:space="0"/>
            </w:tcBorders>
            <w:vAlign w:val="center"/>
          </w:tcPr>
          <w:p w14:paraId="4FACABC8">
            <w:pPr>
              <w:jc w:val="right"/>
              <w:textAlignment w:val="center"/>
              <w:rPr>
                <w:rFonts w:cs="Times New Roman"/>
              </w:rPr>
            </w:pPr>
            <w:r>
              <w:rPr>
                <w:rFonts w:cs="Times New Roman"/>
                <w:color w:val="000000"/>
              </w:rPr>
              <w:t>595,208.71</w:t>
            </w:r>
          </w:p>
        </w:tc>
        <w:tc>
          <w:tcPr>
            <w:tcW w:w="797" w:type="pct"/>
            <w:tcBorders>
              <w:top w:val="single" w:color="auto" w:sz="4" w:space="0"/>
              <w:left w:val="single" w:color="auto" w:sz="4" w:space="0"/>
              <w:bottom w:val="single" w:color="auto" w:sz="4" w:space="0"/>
              <w:right w:val="single" w:color="auto" w:sz="4" w:space="0"/>
            </w:tcBorders>
            <w:vAlign w:val="center"/>
          </w:tcPr>
          <w:p w14:paraId="0B30615B">
            <w:pPr>
              <w:jc w:val="right"/>
              <w:rPr>
                <w:rFonts w:cs="Times New Roman"/>
              </w:rPr>
            </w:pPr>
          </w:p>
        </w:tc>
        <w:tc>
          <w:tcPr>
            <w:tcW w:w="1248" w:type="pct"/>
            <w:tcBorders>
              <w:top w:val="single" w:color="auto" w:sz="4" w:space="0"/>
              <w:left w:val="single" w:color="auto" w:sz="4" w:space="0"/>
              <w:bottom w:val="single" w:color="auto" w:sz="4" w:space="0"/>
              <w:right w:val="single" w:color="auto" w:sz="4" w:space="0"/>
            </w:tcBorders>
            <w:vAlign w:val="center"/>
          </w:tcPr>
          <w:p w14:paraId="699DC14B">
            <w:pPr>
              <w:jc w:val="center"/>
              <w:textAlignment w:val="top"/>
              <w:rPr>
                <w:rFonts w:cs="Times New Roman"/>
                <w:color w:val="000000"/>
                <w:lang w:bidi="ar"/>
              </w:rPr>
            </w:pPr>
            <w:r>
              <w:rPr>
                <w:rFonts w:hint="eastAsia" w:cs="Times New Roman"/>
                <w:color w:val="000000"/>
                <w:lang w:bidi="ar"/>
              </w:rPr>
              <w:t>非交易性权益工具</w:t>
            </w:r>
          </w:p>
        </w:tc>
      </w:tr>
      <w:tr w14:paraId="66306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7" w:type="pct"/>
            <w:tcBorders>
              <w:top w:val="single" w:color="auto" w:sz="4" w:space="0"/>
              <w:left w:val="single" w:color="auto" w:sz="4" w:space="0"/>
              <w:bottom w:val="single" w:color="auto" w:sz="4" w:space="0"/>
              <w:right w:val="single" w:color="auto" w:sz="4" w:space="0"/>
            </w:tcBorders>
            <w:vAlign w:val="center"/>
          </w:tcPr>
          <w:p w14:paraId="7761B0E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727" w:type="pct"/>
            <w:tcBorders>
              <w:top w:val="single" w:color="auto" w:sz="4" w:space="0"/>
              <w:left w:val="single" w:color="auto" w:sz="4" w:space="0"/>
              <w:bottom w:val="single" w:color="auto" w:sz="4" w:space="0"/>
              <w:right w:val="single" w:color="auto" w:sz="4" w:space="0"/>
            </w:tcBorders>
            <w:vAlign w:val="center"/>
          </w:tcPr>
          <w:p w14:paraId="1A2CAEF5">
            <w:pPr>
              <w:jc w:val="right"/>
              <w:textAlignment w:val="center"/>
              <w:rPr>
                <w:rFonts w:cs="Times New Roman"/>
              </w:rPr>
            </w:pPr>
            <w:r>
              <w:rPr>
                <w:rFonts w:cs="Times New Roman"/>
                <w:color w:val="000000"/>
              </w:rPr>
              <w:t>519,981,620.71</w:t>
            </w:r>
          </w:p>
        </w:tc>
        <w:tc>
          <w:tcPr>
            <w:tcW w:w="657" w:type="pct"/>
            <w:tcBorders>
              <w:top w:val="single" w:color="auto" w:sz="4" w:space="0"/>
              <w:left w:val="single" w:color="auto" w:sz="4" w:space="0"/>
              <w:bottom w:val="single" w:color="auto" w:sz="4" w:space="0"/>
              <w:right w:val="single" w:color="auto" w:sz="4" w:space="0"/>
            </w:tcBorders>
            <w:vAlign w:val="center"/>
          </w:tcPr>
          <w:p w14:paraId="2BC353D5">
            <w:pPr>
              <w:jc w:val="right"/>
              <w:textAlignment w:val="center"/>
              <w:rPr>
                <w:rFonts w:cs="Times New Roman"/>
              </w:rPr>
            </w:pPr>
            <w:r>
              <w:rPr>
                <w:rFonts w:cs="Times New Roman"/>
                <w:color w:val="000000"/>
              </w:rPr>
              <w:t>519,981,620.71</w:t>
            </w:r>
          </w:p>
        </w:tc>
        <w:tc>
          <w:tcPr>
            <w:tcW w:w="797" w:type="pct"/>
            <w:tcBorders>
              <w:top w:val="single" w:color="auto" w:sz="4" w:space="0"/>
              <w:left w:val="single" w:color="auto" w:sz="4" w:space="0"/>
              <w:bottom w:val="single" w:color="auto" w:sz="4" w:space="0"/>
              <w:right w:val="single" w:color="auto" w:sz="4" w:space="0"/>
            </w:tcBorders>
            <w:vAlign w:val="center"/>
          </w:tcPr>
          <w:p w14:paraId="0B04C2C4">
            <w:pPr>
              <w:jc w:val="right"/>
              <w:textAlignment w:val="center"/>
              <w:rPr>
                <w:rFonts w:cs="Times New Roman"/>
              </w:rPr>
            </w:pPr>
            <w:r>
              <w:rPr>
                <w:rFonts w:cs="Times New Roman"/>
                <w:color w:val="000000"/>
              </w:rPr>
              <w:t>225,999,968.83</w:t>
            </w:r>
          </w:p>
        </w:tc>
        <w:tc>
          <w:tcPr>
            <w:tcW w:w="1248" w:type="pct"/>
            <w:tcBorders>
              <w:top w:val="single" w:color="auto" w:sz="4" w:space="0"/>
              <w:left w:val="single" w:color="auto" w:sz="4" w:space="0"/>
              <w:bottom w:val="single" w:color="auto" w:sz="4" w:space="0"/>
              <w:right w:val="single" w:color="auto" w:sz="4" w:space="0"/>
            </w:tcBorders>
            <w:vAlign w:val="center"/>
          </w:tcPr>
          <w:p w14:paraId="23902C91">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60EC6B28"/>
    <w:p w14:paraId="3D1FFDAE">
      <w:pPr>
        <w:pStyle w:val="58"/>
        <w:numPr>
          <w:ilvl w:val="3"/>
          <w:numId w:val="68"/>
        </w:numPr>
        <w:ind w:left="426" w:hanging="426"/>
        <w:rPr>
          <w:color w:val="000000" w:themeColor="text1"/>
          <w14:textFill>
            <w14:solidFill>
              <w14:schemeClr w14:val="tx1"/>
            </w14:solidFill>
          </w14:textFill>
        </w:rPr>
      </w:pPr>
      <w:r>
        <w:rPr>
          <w:rFonts w:hint="eastAsia"/>
          <w:color w:val="000000" w:themeColor="text1"/>
          <w14:textFill>
            <w14:solidFill>
              <w14:schemeClr w14:val="tx1"/>
            </w14:solidFill>
          </w14:textFill>
        </w:rPr>
        <w:t>本期存在终止确认的情况说明</w:t>
      </w:r>
    </w:p>
    <w:sdt>
      <w:sdtPr>
        <w:rPr>
          <w:color w:val="000000" w:themeColor="text1"/>
          <w14:textFill>
            <w14:solidFill>
              <w14:schemeClr w14:val="tx1"/>
            </w14:solidFill>
          </w14:textFill>
        </w:rPr>
        <w:alias w:val="是否适用：本期存在终止确认的情况说明[双击切换]"/>
        <w:tag w:val="_GBC_db77b2aaae65441d940bf2dc3b0e8b9b"/>
        <w:id w:val="147464316"/>
        <w:placeholder>
          <w:docPart w:val="GBC22222222222222222222222222222"/>
        </w:placeholder>
      </w:sdtPr>
      <w:sdtEndPr>
        <w:rPr>
          <w:color w:val="000000" w:themeColor="text1"/>
          <w14:textFill>
            <w14:solidFill>
              <w14:schemeClr w14:val="tx1"/>
            </w14:solidFill>
          </w14:textFill>
        </w:rPr>
      </w:sdtEndPr>
      <w:sdtContent>
        <w:p w14:paraId="707A2054">
          <w:pPr>
            <w:pStyle w:val="63"/>
            <w:ind w:firstLine="0" w:firstLineChars="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BE02CD3">
      <w:pPr>
        <w:pStyle w:val="63"/>
        <w:ind w:firstLine="0" w:firstLineChars="0"/>
        <w:rPr>
          <w:color w:val="000000" w:themeColor="text1"/>
          <w14:textFill>
            <w14:solidFill>
              <w14:schemeClr w14:val="tx1"/>
            </w14:solidFill>
          </w14:textFill>
        </w:rPr>
      </w:pPr>
    </w:p>
    <w:bookmarkEnd w:id="301"/>
    <w:p w14:paraId="35FD04CE">
      <w:pPr>
        <w:rPr>
          <w:color w:val="000000" w:themeColor="text1"/>
          <w14:textFill>
            <w14:solidFill>
              <w14:schemeClr w14:val="tx1"/>
            </w14:solidFill>
          </w14:textFill>
        </w:rPr>
      </w:pPr>
      <w:bookmarkStart w:id="303" w:name="_Hlk10472110"/>
      <w:bookmarkStart w:id="304" w:name="_Hlk10472118"/>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说明</w:t>
      </w:r>
      <w:r>
        <w:rPr>
          <w:rFonts w:hint="eastAsia"/>
          <w:color w:val="000000" w:themeColor="text1"/>
          <w14:textFill>
            <w14:solidFill>
              <w14:schemeClr w14:val="tx1"/>
            </w14:solidFill>
          </w14:textFill>
        </w:rPr>
        <w:t>：</w:t>
      </w:r>
      <w:bookmarkEnd w:id="303"/>
    </w:p>
    <w:sdt>
      <w:sdtPr>
        <w:rPr>
          <w:color w:val="000000" w:themeColor="text1"/>
          <w14:textFill>
            <w14:solidFill>
              <w14:schemeClr w14:val="tx1"/>
            </w14:solidFill>
          </w14:textFill>
        </w:rPr>
        <w:alias w:val="是否适用：其他权益工具投资其他说明[双击切换]"/>
        <w:tag w:val="_GBC_9bd79d8d324a4f4c984344781e18ee35"/>
        <w:id w:val="147474549"/>
        <w:placeholder>
          <w:docPart w:val="GBC22222222222222222222222222222"/>
        </w:placeholder>
      </w:sdtPr>
      <w:sdtEndPr>
        <w:rPr>
          <w:color w:val="000000" w:themeColor="text1"/>
          <w14:textFill>
            <w14:solidFill>
              <w14:schemeClr w14:val="tx1"/>
            </w14:solidFill>
          </w14:textFill>
        </w:rPr>
      </w:sdtEndPr>
      <w:sdtContent>
        <w:p w14:paraId="19BE7835">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7284532">
      <w:pPr>
        <w:snapToGrid w:val="0"/>
        <w:spacing w:line="240" w:lineRule="atLeast"/>
        <w:rPr>
          <w:color w:val="000000" w:themeColor="text1"/>
          <w14:textFill>
            <w14:solidFill>
              <w14:schemeClr w14:val="tx1"/>
            </w14:solidFill>
          </w14:textFill>
        </w:rPr>
      </w:pPr>
    </w:p>
    <w:bookmarkEnd w:id="304"/>
    <w:p w14:paraId="3B0FF62C">
      <w:pPr>
        <w:snapToGrid w:val="0"/>
        <w:spacing w:line="240" w:lineRule="atLeast"/>
        <w:rPr>
          <w:color w:val="000000" w:themeColor="text1"/>
          <w14:textFill>
            <w14:solidFill>
              <w14:schemeClr w14:val="tx1"/>
            </w14:solidFill>
          </w14:textFill>
        </w:rPr>
        <w:sectPr>
          <w:pgSz w:w="16838" w:h="11906" w:orient="landscape"/>
          <w:pgMar w:top="1797" w:right="1525" w:bottom="1276" w:left="1440" w:header="856" w:footer="992" w:gutter="0"/>
          <w:cols w:space="425" w:num="1"/>
          <w:docGrid w:linePitch="312" w:charSpace="0"/>
        </w:sectPr>
      </w:pPr>
    </w:p>
    <w:p w14:paraId="2308D367">
      <w:pPr>
        <w:pStyle w:val="57"/>
        <w:numPr>
          <w:ilvl w:val="0"/>
          <w:numId w:val="54"/>
        </w:numPr>
        <w:rPr>
          <w:color w:val="000000" w:themeColor="text1"/>
          <w:szCs w:val="21"/>
          <w14:textFill>
            <w14:solidFill>
              <w14:schemeClr w14:val="tx1"/>
            </w14:solidFill>
          </w14:textFill>
        </w:rPr>
      </w:pPr>
      <w:bookmarkStart w:id="305" w:name="_Hlk10472259"/>
      <w:r>
        <w:rPr>
          <w:color w:val="000000" w:themeColor="text1"/>
          <w:szCs w:val="21"/>
          <w14:textFill>
            <w14:solidFill>
              <w14:schemeClr w14:val="tx1"/>
            </w14:solidFill>
          </w14:textFill>
        </w:rPr>
        <w:t>其他非流动金融资产</w:t>
      </w:r>
    </w:p>
    <w:sdt>
      <w:sdtPr>
        <w:rPr>
          <w:color w:val="000000" w:themeColor="text1"/>
          <w14:textFill>
            <w14:solidFill>
              <w14:schemeClr w14:val="tx1"/>
            </w14:solidFill>
          </w14:textFill>
        </w:rPr>
        <w:alias w:val="是否适用：其他非流动金融资产[双击切换]"/>
        <w:tag w:val="_GBC_39a16d6030db4b008bd8e70705c49dd5"/>
        <w:id w:val="147458915"/>
        <w:placeholder>
          <w:docPart w:val="GBC22222222222222222222222222222"/>
        </w:placeholder>
      </w:sdtPr>
      <w:sdtEndPr>
        <w:rPr>
          <w:color w:val="000000" w:themeColor="text1"/>
          <w14:textFill>
            <w14:solidFill>
              <w14:schemeClr w14:val="tx1"/>
            </w14:solidFill>
          </w14:textFill>
        </w:rPr>
      </w:sdtEndPr>
      <w:sdtContent>
        <w:p w14:paraId="544E551D">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01241C5">
      <w:pPr>
        <w:rPr>
          <w:color w:val="000000" w:themeColor="text1"/>
          <w14:textFill>
            <w14:solidFill>
              <w14:schemeClr w14:val="tx1"/>
            </w14:solidFill>
          </w14:textFill>
        </w:rPr>
      </w:pPr>
    </w:p>
    <w:bookmarkEnd w:id="305"/>
    <w:p w14:paraId="4044F3C0">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投资性房地产</w:t>
      </w:r>
    </w:p>
    <w:p w14:paraId="34582F4B">
      <w:pPr>
        <w:rPr>
          <w:color w:val="000000" w:themeColor="text1"/>
          <w14:textFill>
            <w14:solidFill>
              <w14:schemeClr w14:val="tx1"/>
            </w14:solidFill>
          </w14:textFill>
        </w:rPr>
      </w:pPr>
      <w:r>
        <w:rPr>
          <w:color w:val="000000" w:themeColor="text1"/>
          <w14:textFill>
            <w14:solidFill>
              <w14:schemeClr w14:val="tx1"/>
            </w14:solidFill>
          </w14:textFill>
        </w:rPr>
        <w:t>投资性房地产</w:t>
      </w:r>
      <w:r>
        <w:rPr>
          <w:rFonts w:hint="eastAsia"/>
          <w:color w:val="000000" w:themeColor="text1"/>
          <w14:textFill>
            <w14:solidFill>
              <w14:schemeClr w14:val="tx1"/>
            </w14:solidFill>
          </w14:textFill>
        </w:rPr>
        <w:t>计量模式</w:t>
      </w:r>
    </w:p>
    <w:p w14:paraId="2D6CFBE0">
      <w:pPr>
        <w:pStyle w:val="5"/>
        <w:numPr>
          <w:ilvl w:val="0"/>
          <w:numId w:val="69"/>
        </w:numPr>
        <w:tabs>
          <w:tab w:val="left" w:pos="616"/>
        </w:tabs>
        <w:rPr>
          <w:rFonts w:ascii="宋体" w:hAnsi="宋体"/>
          <w:color w:val="000000" w:themeColor="text1"/>
          <w:szCs w:val="21"/>
          <w14:textFill>
            <w14:solidFill>
              <w14:schemeClr w14:val="tx1"/>
            </w14:solidFill>
          </w14:textFill>
        </w:rPr>
      </w:pPr>
      <w:bookmarkStart w:id="306" w:name="_Hlk167895351"/>
      <w:bookmarkStart w:id="307" w:name="_Hlk153460290"/>
      <w:r>
        <w:rPr>
          <w:rFonts w:hint="eastAsia" w:ascii="宋体" w:hAnsi="宋体"/>
          <w:color w:val="000000" w:themeColor="text1"/>
          <w:szCs w:val="21"/>
          <w14:textFill>
            <w14:solidFill>
              <w14:schemeClr w14:val="tx1"/>
            </w14:solidFill>
          </w14:textFill>
        </w:rPr>
        <w:t>采用成本计量模式的投资性房地产</w:t>
      </w:r>
    </w:p>
    <w:p w14:paraId="34080F68">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投资性房地产"/>
          <w:tag w:val="_GBC_3315dd1b9cb743c786e01b4b9e91b10d"/>
          <w:id w:val="-238400299"/>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投资性房地产"/>
          <w:tag w:val="_GBC_424f36c4f1bf48ce8d47b51437412ff8"/>
          <w:id w:val="-59786222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3"/>
        <w:gridCol w:w="1848"/>
        <w:gridCol w:w="1614"/>
        <w:gridCol w:w="1803"/>
      </w:tblGrid>
      <w:tr w14:paraId="5051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f82c9789feaf4b508c71ad4b5e91a0e5"/>
            <w:id w:val="868955761"/>
          </w:sdtPr>
          <w:sdtContent>
            <w:tc>
              <w:tcPr>
                <w:tcW w:w="2091" w:type="pct"/>
                <w:tcBorders>
                  <w:top w:val="single" w:color="auto" w:sz="4" w:space="0"/>
                  <w:left w:val="single" w:color="auto" w:sz="4" w:space="0"/>
                  <w:bottom w:val="single" w:color="auto" w:sz="4" w:space="0"/>
                  <w:right w:val="single" w:color="auto" w:sz="4" w:space="0"/>
                </w:tcBorders>
                <w:vAlign w:val="center"/>
              </w:tcPr>
              <w:p w14:paraId="20552B5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9acf20e2f08a4439b18de021843e599c"/>
            <w:id w:val="-728148288"/>
          </w:sdtPr>
          <w:sdtContent>
            <w:tc>
              <w:tcPr>
                <w:tcW w:w="1021" w:type="pct"/>
                <w:tcBorders>
                  <w:top w:val="single" w:color="auto" w:sz="4" w:space="0"/>
                  <w:left w:val="single" w:color="auto" w:sz="4" w:space="0"/>
                  <w:bottom w:val="single" w:color="auto" w:sz="4" w:space="0"/>
                  <w:right w:val="single" w:color="auto" w:sz="4" w:space="0"/>
                </w:tcBorders>
                <w:vAlign w:val="center"/>
              </w:tcPr>
              <w:p w14:paraId="2F9718F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房屋、建筑物</w:t>
                </w:r>
              </w:p>
            </w:tc>
          </w:sdtContent>
        </w:sdt>
        <w:sdt>
          <w:sdtPr>
            <w:tag w:val="_PLD_4f977bf68eee455fb4656653927db6b6"/>
            <w:id w:val="1815600592"/>
          </w:sdtPr>
          <w:sdtContent>
            <w:tc>
              <w:tcPr>
                <w:tcW w:w="892" w:type="pct"/>
                <w:tcBorders>
                  <w:top w:val="single" w:color="auto" w:sz="4" w:space="0"/>
                  <w:left w:val="single" w:color="auto" w:sz="4" w:space="0"/>
                  <w:bottom w:val="single" w:color="auto" w:sz="4" w:space="0"/>
                  <w:right w:val="single" w:color="auto" w:sz="4" w:space="0"/>
                </w:tcBorders>
                <w:vAlign w:val="center"/>
              </w:tcPr>
              <w:p w14:paraId="3A2516A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土地使用权</w:t>
                </w:r>
              </w:p>
            </w:tc>
          </w:sdtContent>
        </w:sdt>
        <w:sdt>
          <w:sdtPr>
            <w:tag w:val="_PLD_51485c0f99734a81b5c4137837506697"/>
            <w:id w:val="-845705142"/>
          </w:sdtPr>
          <w:sdtContent>
            <w:tc>
              <w:tcPr>
                <w:tcW w:w="994" w:type="pct"/>
                <w:tcBorders>
                  <w:top w:val="single" w:color="auto" w:sz="4" w:space="0"/>
                  <w:left w:val="single" w:color="auto" w:sz="4" w:space="0"/>
                  <w:bottom w:val="single" w:color="auto" w:sz="4" w:space="0"/>
                  <w:right w:val="single" w:color="auto" w:sz="4" w:space="0"/>
                </w:tcBorders>
                <w:vAlign w:val="center"/>
              </w:tcPr>
              <w:p w14:paraId="73EF0A1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sdtContent>
        </w:sdt>
      </w:tr>
      <w:tr w14:paraId="202AE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9e97c75701d54838ab5408284eada7b8"/>
            <w:id w:val="-1205710806"/>
          </w:sdtPr>
          <w:sdtContent>
            <w:tc>
              <w:tcPr>
                <w:tcW w:w="5000" w:type="pct"/>
                <w:gridSpan w:val="4"/>
                <w:tcBorders>
                  <w:top w:val="single" w:color="auto" w:sz="4" w:space="0"/>
                  <w:left w:val="single" w:color="auto" w:sz="4" w:space="0"/>
                  <w:bottom w:val="single" w:color="auto" w:sz="4" w:space="0"/>
                  <w:right w:val="single" w:color="auto" w:sz="4" w:space="0"/>
                </w:tcBorders>
              </w:tcPr>
              <w:p w14:paraId="320E985E">
                <w:pPr>
                  <w:rPr>
                    <w:color w:val="000000" w:themeColor="text1"/>
                    <w14:textFill>
                      <w14:solidFill>
                        <w14:schemeClr w14:val="tx1"/>
                      </w14:solidFill>
                    </w14:textFill>
                  </w:rPr>
                </w:pPr>
                <w:r>
                  <w:rPr>
                    <w:rFonts w:hint="eastAsia"/>
                    <w:color w:val="000000" w:themeColor="text1"/>
                    <w14:textFill>
                      <w14:solidFill>
                        <w14:schemeClr w14:val="tx1"/>
                      </w14:solidFill>
                    </w14:textFill>
                  </w:rPr>
                  <w:t>一、账面原值</w:t>
                </w:r>
              </w:p>
            </w:tc>
          </w:sdtContent>
        </w:sdt>
      </w:tr>
      <w:tr w14:paraId="2C3F7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5b4a89b12d9f471d8810578431d22e03"/>
            <w:id w:val="-1578437099"/>
          </w:sdtPr>
          <w:sdtContent>
            <w:tc>
              <w:tcPr>
                <w:tcW w:w="2091" w:type="pct"/>
                <w:tcBorders>
                  <w:top w:val="single" w:color="auto" w:sz="4" w:space="0"/>
                  <w:left w:val="single" w:color="auto" w:sz="4" w:space="0"/>
                  <w:bottom w:val="single" w:color="auto" w:sz="4" w:space="0"/>
                  <w:right w:val="single" w:color="auto" w:sz="4" w:space="0"/>
                </w:tcBorders>
              </w:tcPr>
              <w:p w14:paraId="19EC14F3">
                <w:pPr>
                  <w:ind w:firstLine="315" w:firstLineChars="15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期初余额</w:t>
                </w:r>
              </w:p>
            </w:tc>
          </w:sdtContent>
        </w:sdt>
        <w:tc>
          <w:tcPr>
            <w:tcW w:w="1021" w:type="pct"/>
            <w:tcBorders>
              <w:top w:val="single" w:color="auto" w:sz="4" w:space="0"/>
              <w:left w:val="single" w:color="auto" w:sz="4" w:space="0"/>
              <w:bottom w:val="single" w:color="auto" w:sz="4" w:space="0"/>
              <w:right w:val="single" w:color="auto" w:sz="4" w:space="0"/>
            </w:tcBorders>
            <w:vAlign w:val="center"/>
          </w:tcPr>
          <w:p w14:paraId="21629AD9">
            <w:pPr>
              <w:jc w:val="right"/>
              <w:rPr>
                <w:rFonts w:cs="Times New Roman"/>
              </w:rPr>
            </w:pPr>
            <w:r>
              <w:rPr>
                <w:rFonts w:cs="Times New Roman"/>
              </w:rPr>
              <w:t>1,026,573,043.74</w:t>
            </w:r>
          </w:p>
        </w:tc>
        <w:tc>
          <w:tcPr>
            <w:tcW w:w="892" w:type="pct"/>
            <w:tcBorders>
              <w:top w:val="single" w:color="auto" w:sz="4" w:space="0"/>
              <w:left w:val="single" w:color="auto" w:sz="4" w:space="0"/>
              <w:bottom w:val="single" w:color="auto" w:sz="4" w:space="0"/>
              <w:right w:val="single" w:color="auto" w:sz="4" w:space="0"/>
            </w:tcBorders>
            <w:vAlign w:val="center"/>
          </w:tcPr>
          <w:p w14:paraId="5F7537A3">
            <w:pPr>
              <w:jc w:val="right"/>
              <w:rPr>
                <w:rFonts w:cs="Times New Roman"/>
              </w:rPr>
            </w:pPr>
            <w:r>
              <w:rPr>
                <w:rFonts w:cs="Times New Roman"/>
              </w:rPr>
              <w:t>14,646,716.92</w:t>
            </w:r>
          </w:p>
        </w:tc>
        <w:tc>
          <w:tcPr>
            <w:tcW w:w="994" w:type="pct"/>
            <w:tcBorders>
              <w:top w:val="single" w:color="auto" w:sz="4" w:space="0"/>
              <w:left w:val="single" w:color="auto" w:sz="4" w:space="0"/>
              <w:bottom w:val="single" w:color="auto" w:sz="4" w:space="0"/>
              <w:right w:val="single" w:color="auto" w:sz="4" w:space="0"/>
            </w:tcBorders>
            <w:vAlign w:val="center"/>
          </w:tcPr>
          <w:p w14:paraId="6722C2FB">
            <w:pPr>
              <w:jc w:val="right"/>
              <w:rPr>
                <w:rFonts w:cs="Times New Roman"/>
              </w:rPr>
            </w:pPr>
            <w:r>
              <w:rPr>
                <w:rFonts w:cs="Times New Roman"/>
              </w:rPr>
              <w:t>1,041,219,760.66</w:t>
            </w:r>
          </w:p>
        </w:tc>
      </w:tr>
      <w:tr w14:paraId="1CA49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4b461d2e946a4f55b157b16d91096c9e"/>
            <w:id w:val="-239873648"/>
          </w:sdtPr>
          <w:sdtContent>
            <w:tc>
              <w:tcPr>
                <w:tcW w:w="2091" w:type="pct"/>
                <w:tcBorders>
                  <w:top w:val="single" w:color="auto" w:sz="4" w:space="0"/>
                  <w:left w:val="single" w:color="auto" w:sz="4" w:space="0"/>
                  <w:bottom w:val="single" w:color="auto" w:sz="4" w:space="0"/>
                  <w:right w:val="single" w:color="auto" w:sz="4" w:space="0"/>
                </w:tcBorders>
              </w:tcPr>
              <w:p w14:paraId="09671B76">
                <w:pPr>
                  <w:ind w:firstLine="315" w:firstLineChars="15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本期增加金额</w:t>
                </w:r>
              </w:p>
            </w:tc>
          </w:sdtContent>
        </w:sdt>
        <w:tc>
          <w:tcPr>
            <w:tcW w:w="1021" w:type="pct"/>
            <w:tcBorders>
              <w:top w:val="single" w:color="auto" w:sz="4" w:space="0"/>
              <w:left w:val="single" w:color="auto" w:sz="4" w:space="0"/>
              <w:bottom w:val="single" w:color="auto" w:sz="4" w:space="0"/>
              <w:right w:val="single" w:color="auto" w:sz="4" w:space="0"/>
            </w:tcBorders>
            <w:vAlign w:val="center"/>
          </w:tcPr>
          <w:p w14:paraId="744F51A9">
            <w:pPr>
              <w:jc w:val="right"/>
              <w:rPr>
                <w:rFonts w:cs="Times New Roman"/>
              </w:rPr>
            </w:pPr>
            <w:r>
              <w:rPr>
                <w:rFonts w:cs="Times New Roman"/>
              </w:rPr>
              <w:t>10,164,847.45</w:t>
            </w:r>
          </w:p>
        </w:tc>
        <w:tc>
          <w:tcPr>
            <w:tcW w:w="892" w:type="pct"/>
            <w:tcBorders>
              <w:top w:val="single" w:color="auto" w:sz="4" w:space="0"/>
              <w:left w:val="single" w:color="auto" w:sz="4" w:space="0"/>
              <w:bottom w:val="single" w:color="auto" w:sz="4" w:space="0"/>
              <w:right w:val="single" w:color="auto" w:sz="4" w:space="0"/>
            </w:tcBorders>
          </w:tcPr>
          <w:p w14:paraId="44C304C7">
            <w:pPr>
              <w:jc w:val="right"/>
              <w:rPr>
                <w:rFonts w:cs="Times New Roman"/>
              </w:rPr>
            </w:pPr>
          </w:p>
        </w:tc>
        <w:tc>
          <w:tcPr>
            <w:tcW w:w="994" w:type="pct"/>
            <w:tcBorders>
              <w:top w:val="single" w:color="auto" w:sz="4" w:space="0"/>
              <w:left w:val="single" w:color="auto" w:sz="4" w:space="0"/>
              <w:bottom w:val="single" w:color="auto" w:sz="4" w:space="0"/>
              <w:right w:val="single" w:color="auto" w:sz="4" w:space="0"/>
            </w:tcBorders>
            <w:vAlign w:val="center"/>
          </w:tcPr>
          <w:p w14:paraId="5CC09FD4">
            <w:pPr>
              <w:jc w:val="right"/>
              <w:rPr>
                <w:rFonts w:cs="Times New Roman"/>
              </w:rPr>
            </w:pPr>
            <w:r>
              <w:rPr>
                <w:rFonts w:cs="Times New Roman"/>
              </w:rPr>
              <w:t>10,164,847.45</w:t>
            </w:r>
          </w:p>
        </w:tc>
      </w:tr>
      <w:tr w14:paraId="5324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a043ae3942c64b25b6085702110e1af0"/>
            <w:id w:val="-419260742"/>
          </w:sdtPr>
          <w:sdtContent>
            <w:tc>
              <w:tcPr>
                <w:tcW w:w="2091" w:type="pct"/>
                <w:tcBorders>
                  <w:top w:val="single" w:color="auto" w:sz="4" w:space="0"/>
                  <w:left w:val="single" w:color="auto" w:sz="4" w:space="0"/>
                  <w:bottom w:val="single" w:color="auto" w:sz="4" w:space="0"/>
                  <w:right w:val="single" w:color="auto" w:sz="4" w:space="0"/>
                </w:tcBorders>
              </w:tcPr>
              <w:p w14:paraId="3C647AC7">
                <w:pPr>
                  <w:ind w:firstLine="315"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（1）外购</w:t>
                </w:r>
              </w:p>
            </w:tc>
          </w:sdtContent>
        </w:sdt>
        <w:tc>
          <w:tcPr>
            <w:tcW w:w="1021" w:type="pct"/>
            <w:tcBorders>
              <w:top w:val="single" w:color="auto" w:sz="4" w:space="0"/>
              <w:left w:val="single" w:color="auto" w:sz="4" w:space="0"/>
              <w:bottom w:val="single" w:color="auto" w:sz="4" w:space="0"/>
              <w:right w:val="single" w:color="auto" w:sz="4" w:space="0"/>
            </w:tcBorders>
          </w:tcPr>
          <w:p w14:paraId="42815598">
            <w:pPr>
              <w:jc w:val="right"/>
              <w:rPr>
                <w:rFonts w:cs="Times New Roman"/>
              </w:rPr>
            </w:pPr>
          </w:p>
        </w:tc>
        <w:tc>
          <w:tcPr>
            <w:tcW w:w="892" w:type="pct"/>
            <w:tcBorders>
              <w:top w:val="single" w:color="auto" w:sz="4" w:space="0"/>
              <w:left w:val="single" w:color="auto" w:sz="4" w:space="0"/>
              <w:bottom w:val="single" w:color="auto" w:sz="4" w:space="0"/>
              <w:right w:val="single" w:color="auto" w:sz="4" w:space="0"/>
            </w:tcBorders>
          </w:tcPr>
          <w:p w14:paraId="1956CAA5">
            <w:pPr>
              <w:jc w:val="right"/>
              <w:rPr>
                <w:rFonts w:cs="Times New Roman"/>
              </w:rPr>
            </w:pPr>
          </w:p>
        </w:tc>
        <w:tc>
          <w:tcPr>
            <w:tcW w:w="994" w:type="pct"/>
            <w:tcBorders>
              <w:top w:val="single" w:color="auto" w:sz="4" w:space="0"/>
              <w:left w:val="single" w:color="auto" w:sz="4" w:space="0"/>
              <w:bottom w:val="single" w:color="auto" w:sz="4" w:space="0"/>
              <w:right w:val="single" w:color="auto" w:sz="4" w:space="0"/>
            </w:tcBorders>
          </w:tcPr>
          <w:p w14:paraId="54248A9F">
            <w:pPr>
              <w:jc w:val="right"/>
              <w:rPr>
                <w:rFonts w:cs="Times New Roman"/>
              </w:rPr>
            </w:pPr>
          </w:p>
        </w:tc>
      </w:tr>
      <w:tr w14:paraId="4FA5B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c60cea41253c44ec816cd397a5c68415"/>
            <w:id w:val="-1264838046"/>
          </w:sdtPr>
          <w:sdtContent>
            <w:tc>
              <w:tcPr>
                <w:tcW w:w="2091" w:type="pct"/>
                <w:tcBorders>
                  <w:top w:val="single" w:color="auto" w:sz="4" w:space="0"/>
                  <w:left w:val="single" w:color="auto" w:sz="4" w:space="0"/>
                  <w:bottom w:val="single" w:color="auto" w:sz="4" w:space="0"/>
                  <w:right w:val="single" w:color="auto" w:sz="4" w:space="0"/>
                </w:tcBorders>
              </w:tcPr>
              <w:p w14:paraId="5282F108">
                <w:pPr>
                  <w:ind w:firstLine="315"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（2）存货\固定资产\在建工程转入</w:t>
                </w:r>
              </w:p>
            </w:tc>
          </w:sdtContent>
        </w:sdt>
        <w:tc>
          <w:tcPr>
            <w:tcW w:w="1021" w:type="pct"/>
            <w:tcBorders>
              <w:top w:val="single" w:color="auto" w:sz="4" w:space="0"/>
              <w:left w:val="single" w:color="auto" w:sz="4" w:space="0"/>
              <w:bottom w:val="single" w:color="auto" w:sz="4" w:space="0"/>
              <w:right w:val="single" w:color="auto" w:sz="4" w:space="0"/>
            </w:tcBorders>
            <w:vAlign w:val="center"/>
          </w:tcPr>
          <w:p w14:paraId="656D26BE">
            <w:pPr>
              <w:jc w:val="right"/>
              <w:rPr>
                <w:rFonts w:cs="Times New Roman"/>
              </w:rPr>
            </w:pPr>
            <w:r>
              <w:rPr>
                <w:rFonts w:cs="Times New Roman"/>
              </w:rPr>
              <w:t>1,869,551.00</w:t>
            </w:r>
          </w:p>
        </w:tc>
        <w:tc>
          <w:tcPr>
            <w:tcW w:w="892" w:type="pct"/>
            <w:tcBorders>
              <w:top w:val="single" w:color="auto" w:sz="4" w:space="0"/>
              <w:left w:val="single" w:color="auto" w:sz="4" w:space="0"/>
              <w:bottom w:val="single" w:color="auto" w:sz="4" w:space="0"/>
              <w:right w:val="single" w:color="auto" w:sz="4" w:space="0"/>
            </w:tcBorders>
          </w:tcPr>
          <w:p w14:paraId="5EB6A37F">
            <w:pPr>
              <w:jc w:val="right"/>
              <w:rPr>
                <w:rFonts w:cs="Times New Roman"/>
              </w:rPr>
            </w:pPr>
          </w:p>
        </w:tc>
        <w:tc>
          <w:tcPr>
            <w:tcW w:w="994" w:type="pct"/>
            <w:tcBorders>
              <w:top w:val="single" w:color="auto" w:sz="4" w:space="0"/>
              <w:left w:val="single" w:color="auto" w:sz="4" w:space="0"/>
              <w:bottom w:val="single" w:color="auto" w:sz="4" w:space="0"/>
              <w:right w:val="single" w:color="auto" w:sz="4" w:space="0"/>
            </w:tcBorders>
            <w:vAlign w:val="center"/>
          </w:tcPr>
          <w:p w14:paraId="730FDBD7">
            <w:pPr>
              <w:jc w:val="right"/>
              <w:rPr>
                <w:rFonts w:cs="Times New Roman"/>
              </w:rPr>
            </w:pPr>
            <w:r>
              <w:rPr>
                <w:rFonts w:cs="Times New Roman"/>
              </w:rPr>
              <w:t>1,869,551.00</w:t>
            </w:r>
          </w:p>
        </w:tc>
      </w:tr>
      <w:tr w14:paraId="2B4A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sdt>
          <w:sdtPr>
            <w:tag w:val="_PLD_07222e9e711d4c6a957de0f1259aae6a"/>
            <w:id w:val="1607237447"/>
          </w:sdtPr>
          <w:sdtContent>
            <w:tc>
              <w:tcPr>
                <w:tcW w:w="2091" w:type="pct"/>
                <w:tcBorders>
                  <w:top w:val="single" w:color="auto" w:sz="4" w:space="0"/>
                  <w:left w:val="single" w:color="auto" w:sz="4" w:space="0"/>
                  <w:bottom w:val="single" w:color="auto" w:sz="4" w:space="0"/>
                  <w:right w:val="single" w:color="auto" w:sz="4" w:space="0"/>
                </w:tcBorders>
              </w:tcPr>
              <w:p w14:paraId="3BA92443">
                <w:pPr>
                  <w:ind w:firstLine="315"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（3）其他增加</w:t>
                </w:r>
              </w:p>
            </w:tc>
          </w:sdtContent>
        </w:sdt>
        <w:tc>
          <w:tcPr>
            <w:tcW w:w="1021" w:type="pct"/>
            <w:tcBorders>
              <w:top w:val="single" w:color="auto" w:sz="4" w:space="0"/>
              <w:left w:val="single" w:color="auto" w:sz="4" w:space="0"/>
              <w:bottom w:val="single" w:color="auto" w:sz="4" w:space="0"/>
              <w:right w:val="single" w:color="auto" w:sz="4" w:space="0"/>
            </w:tcBorders>
            <w:vAlign w:val="center"/>
          </w:tcPr>
          <w:p w14:paraId="0E5CA0CE">
            <w:pPr>
              <w:jc w:val="right"/>
              <w:rPr>
                <w:rFonts w:cs="Times New Roman"/>
              </w:rPr>
            </w:pPr>
            <w:r>
              <w:rPr>
                <w:rFonts w:cs="Times New Roman"/>
              </w:rPr>
              <w:t>8,295,296.45</w:t>
            </w:r>
          </w:p>
        </w:tc>
        <w:tc>
          <w:tcPr>
            <w:tcW w:w="892" w:type="pct"/>
            <w:tcBorders>
              <w:top w:val="single" w:color="auto" w:sz="4" w:space="0"/>
              <w:left w:val="single" w:color="auto" w:sz="4" w:space="0"/>
              <w:bottom w:val="single" w:color="auto" w:sz="4" w:space="0"/>
              <w:right w:val="single" w:color="auto" w:sz="4" w:space="0"/>
            </w:tcBorders>
          </w:tcPr>
          <w:p w14:paraId="5F78F43B">
            <w:pPr>
              <w:jc w:val="right"/>
              <w:rPr>
                <w:rFonts w:cs="Times New Roman"/>
              </w:rPr>
            </w:pPr>
          </w:p>
        </w:tc>
        <w:tc>
          <w:tcPr>
            <w:tcW w:w="994" w:type="pct"/>
            <w:tcBorders>
              <w:top w:val="single" w:color="auto" w:sz="4" w:space="0"/>
              <w:left w:val="single" w:color="auto" w:sz="4" w:space="0"/>
              <w:bottom w:val="single" w:color="auto" w:sz="4" w:space="0"/>
              <w:right w:val="single" w:color="auto" w:sz="4" w:space="0"/>
            </w:tcBorders>
            <w:vAlign w:val="center"/>
          </w:tcPr>
          <w:p w14:paraId="21240465">
            <w:pPr>
              <w:jc w:val="right"/>
              <w:rPr>
                <w:rFonts w:cs="Times New Roman"/>
              </w:rPr>
            </w:pPr>
            <w:r>
              <w:rPr>
                <w:rFonts w:cs="Times New Roman"/>
              </w:rPr>
              <w:t>8,295,296.45</w:t>
            </w:r>
          </w:p>
        </w:tc>
      </w:tr>
      <w:sdt>
        <w:sdtPr>
          <w:alias w:val="采用成本计量模式的投资性房地产账面原值增加额明细"/>
          <w:tag w:val="_GBC_7c7c642cd90042a7be3a151894a8b845"/>
          <w:id w:val="-274339323"/>
          <w:placeholder>
            <w:docPart w:val="{f0b382af-66aa-46d0-817e-d8e960ceb529}"/>
          </w:placeholder>
        </w:sdtPr>
        <w:sdtEndPr>
          <w:rPr>
            <w:rFonts w:cs="Times New Roman"/>
          </w:rPr>
        </w:sdtEndPr>
        <w:sdtContent>
          <w:sdt>
            <w:sdtPr>
              <w:alias w:val="采用成本计量模式的投资性房地产账面原值增加额明细"/>
              <w:tag w:val="_GBC_7c7c642cd90042a7be3a151894a8b845"/>
              <w:id w:val="669291906"/>
              <w:placeholder>
                <w:docPart w:val="{f0b382af-66aa-46d0-817e-d8e960ceb529}"/>
              </w:placeholder>
            </w:sdtPr>
            <w:sdtEndPr>
              <w:rPr>
                <w:rFonts w:cs="Times New Roman"/>
              </w:rPr>
            </w:sdtEndPr>
            <w:sdtContent>
              <w:tr w14:paraId="437C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091" w:type="pct"/>
                    <w:tcBorders>
                      <w:top w:val="single" w:color="auto" w:sz="4" w:space="0"/>
                      <w:left w:val="single" w:color="auto" w:sz="4" w:space="0"/>
                      <w:bottom w:val="single" w:color="auto" w:sz="4" w:space="0"/>
                      <w:right w:val="single" w:color="auto" w:sz="4" w:space="0"/>
                    </w:tcBorders>
                  </w:tcPr>
                  <w:p w14:paraId="20AFF60E">
                    <w:pPr>
                      <w:ind w:firstLine="315"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3.本期减少金额</w:t>
                    </w:r>
                  </w:p>
                </w:tc>
                <w:tc>
                  <w:tcPr>
                    <w:tcW w:w="1021" w:type="pct"/>
                    <w:tcBorders>
                      <w:top w:val="single" w:color="auto" w:sz="4" w:space="0"/>
                      <w:left w:val="single" w:color="auto" w:sz="4" w:space="0"/>
                      <w:bottom w:val="single" w:color="auto" w:sz="4" w:space="0"/>
                      <w:right w:val="single" w:color="auto" w:sz="4" w:space="0"/>
                    </w:tcBorders>
                    <w:vAlign w:val="center"/>
                  </w:tcPr>
                  <w:p w14:paraId="381452A3">
                    <w:pPr>
                      <w:jc w:val="right"/>
                      <w:rPr>
                        <w:rFonts w:cs="Times New Roman"/>
                      </w:rPr>
                    </w:pPr>
                    <w:r>
                      <w:rPr>
                        <w:rFonts w:cs="Times New Roman"/>
                      </w:rPr>
                      <w:t>63,000.00</w:t>
                    </w:r>
                  </w:p>
                </w:tc>
                <w:tc>
                  <w:tcPr>
                    <w:tcW w:w="892" w:type="pct"/>
                    <w:tcBorders>
                      <w:top w:val="single" w:color="auto" w:sz="4" w:space="0"/>
                      <w:left w:val="single" w:color="auto" w:sz="4" w:space="0"/>
                      <w:bottom w:val="single" w:color="auto" w:sz="4" w:space="0"/>
                      <w:right w:val="single" w:color="auto" w:sz="4" w:space="0"/>
                    </w:tcBorders>
                  </w:tcPr>
                  <w:p w14:paraId="525C692F">
                    <w:pPr>
                      <w:jc w:val="right"/>
                      <w:rPr>
                        <w:rFonts w:cs="Times New Roman"/>
                      </w:rPr>
                    </w:pPr>
                  </w:p>
                </w:tc>
                <w:tc>
                  <w:tcPr>
                    <w:tcW w:w="994" w:type="pct"/>
                    <w:tcBorders>
                      <w:top w:val="single" w:color="auto" w:sz="4" w:space="0"/>
                      <w:left w:val="single" w:color="auto" w:sz="4" w:space="0"/>
                      <w:bottom w:val="single" w:color="auto" w:sz="4" w:space="0"/>
                      <w:right w:val="single" w:color="auto" w:sz="4" w:space="0"/>
                    </w:tcBorders>
                    <w:vAlign w:val="center"/>
                  </w:tcPr>
                  <w:p w14:paraId="511406F4">
                    <w:pPr>
                      <w:jc w:val="right"/>
                      <w:rPr>
                        <w:rFonts w:cs="Times New Roman"/>
                      </w:rPr>
                    </w:pPr>
                    <w:r>
                      <w:rPr>
                        <w:rFonts w:cs="Times New Roman"/>
                      </w:rPr>
                      <w:t>63,000.00</w:t>
                    </w:r>
                  </w:p>
                </w:tc>
              </w:tr>
            </w:sdtContent>
          </w:sdt>
        </w:sdtContent>
      </w:sdt>
      <w:tr w14:paraId="5F28D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0eefb08fd627408ea9c71bd444eabbd3"/>
            <w:id w:val="750774573"/>
          </w:sdtPr>
          <w:sdtContent>
            <w:tc>
              <w:tcPr>
                <w:tcW w:w="2091" w:type="pct"/>
                <w:tcBorders>
                  <w:top w:val="single" w:color="auto" w:sz="4" w:space="0"/>
                  <w:left w:val="single" w:color="auto" w:sz="4" w:space="0"/>
                  <w:bottom w:val="single" w:color="auto" w:sz="4" w:space="0"/>
                  <w:right w:val="single" w:color="auto" w:sz="4" w:space="0"/>
                </w:tcBorders>
              </w:tcPr>
              <w:p w14:paraId="419CF1EC">
                <w:pPr>
                  <w:ind w:firstLine="315"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（1）处置</w:t>
                </w:r>
              </w:p>
            </w:tc>
          </w:sdtContent>
        </w:sdt>
        <w:tc>
          <w:tcPr>
            <w:tcW w:w="1021" w:type="pct"/>
            <w:tcBorders>
              <w:top w:val="single" w:color="auto" w:sz="4" w:space="0"/>
              <w:left w:val="single" w:color="auto" w:sz="4" w:space="0"/>
              <w:bottom w:val="single" w:color="auto" w:sz="4" w:space="0"/>
              <w:right w:val="single" w:color="auto" w:sz="4" w:space="0"/>
            </w:tcBorders>
          </w:tcPr>
          <w:p w14:paraId="2B5292FA">
            <w:pPr>
              <w:jc w:val="right"/>
              <w:rPr>
                <w:rFonts w:cs="Times New Roman"/>
              </w:rPr>
            </w:pPr>
          </w:p>
        </w:tc>
        <w:tc>
          <w:tcPr>
            <w:tcW w:w="892" w:type="pct"/>
            <w:tcBorders>
              <w:top w:val="single" w:color="auto" w:sz="4" w:space="0"/>
              <w:left w:val="single" w:color="auto" w:sz="4" w:space="0"/>
              <w:bottom w:val="single" w:color="auto" w:sz="4" w:space="0"/>
              <w:right w:val="single" w:color="auto" w:sz="4" w:space="0"/>
            </w:tcBorders>
          </w:tcPr>
          <w:p w14:paraId="1CBD85C2">
            <w:pPr>
              <w:jc w:val="right"/>
              <w:rPr>
                <w:rFonts w:cs="Times New Roman"/>
              </w:rPr>
            </w:pPr>
          </w:p>
        </w:tc>
        <w:tc>
          <w:tcPr>
            <w:tcW w:w="994" w:type="pct"/>
            <w:tcBorders>
              <w:top w:val="single" w:color="auto" w:sz="4" w:space="0"/>
              <w:left w:val="single" w:color="auto" w:sz="4" w:space="0"/>
              <w:bottom w:val="single" w:color="auto" w:sz="4" w:space="0"/>
              <w:right w:val="single" w:color="auto" w:sz="4" w:space="0"/>
            </w:tcBorders>
          </w:tcPr>
          <w:p w14:paraId="1D5C7E4B">
            <w:pPr>
              <w:jc w:val="right"/>
              <w:rPr>
                <w:rFonts w:cs="Times New Roman"/>
              </w:rPr>
            </w:pPr>
          </w:p>
        </w:tc>
      </w:tr>
      <w:tr w14:paraId="2A35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32f99bb5bcaf4f789e1c6ccb85c2a50f"/>
            <w:id w:val="-562253377"/>
          </w:sdtPr>
          <w:sdtContent>
            <w:tc>
              <w:tcPr>
                <w:tcW w:w="2091" w:type="pct"/>
                <w:tcBorders>
                  <w:top w:val="single" w:color="auto" w:sz="4" w:space="0"/>
                  <w:left w:val="single" w:color="auto" w:sz="4" w:space="0"/>
                  <w:bottom w:val="single" w:color="auto" w:sz="4" w:space="0"/>
                  <w:right w:val="single" w:color="auto" w:sz="4" w:space="0"/>
                </w:tcBorders>
              </w:tcPr>
              <w:p w14:paraId="4E981792">
                <w:pPr>
                  <w:ind w:firstLine="315"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（2）其他转出</w:t>
                </w:r>
              </w:p>
            </w:tc>
          </w:sdtContent>
        </w:sdt>
        <w:tc>
          <w:tcPr>
            <w:tcW w:w="1021" w:type="pct"/>
            <w:tcBorders>
              <w:top w:val="single" w:color="auto" w:sz="4" w:space="0"/>
              <w:left w:val="single" w:color="auto" w:sz="4" w:space="0"/>
              <w:bottom w:val="single" w:color="auto" w:sz="4" w:space="0"/>
              <w:right w:val="single" w:color="auto" w:sz="4" w:space="0"/>
            </w:tcBorders>
            <w:vAlign w:val="center"/>
          </w:tcPr>
          <w:p w14:paraId="565DC968">
            <w:pPr>
              <w:jc w:val="right"/>
              <w:rPr>
                <w:rFonts w:cs="Times New Roman"/>
              </w:rPr>
            </w:pPr>
            <w:r>
              <w:rPr>
                <w:rFonts w:cs="Times New Roman"/>
              </w:rPr>
              <w:t>63,000.00</w:t>
            </w:r>
          </w:p>
        </w:tc>
        <w:tc>
          <w:tcPr>
            <w:tcW w:w="892" w:type="pct"/>
            <w:tcBorders>
              <w:top w:val="single" w:color="auto" w:sz="4" w:space="0"/>
              <w:left w:val="single" w:color="auto" w:sz="4" w:space="0"/>
              <w:bottom w:val="single" w:color="auto" w:sz="4" w:space="0"/>
              <w:right w:val="single" w:color="auto" w:sz="4" w:space="0"/>
            </w:tcBorders>
          </w:tcPr>
          <w:p w14:paraId="0F480272">
            <w:pPr>
              <w:jc w:val="right"/>
              <w:rPr>
                <w:rFonts w:cs="Times New Roman"/>
              </w:rPr>
            </w:pPr>
          </w:p>
        </w:tc>
        <w:tc>
          <w:tcPr>
            <w:tcW w:w="994" w:type="pct"/>
            <w:tcBorders>
              <w:top w:val="single" w:color="auto" w:sz="4" w:space="0"/>
              <w:left w:val="single" w:color="auto" w:sz="4" w:space="0"/>
              <w:bottom w:val="single" w:color="auto" w:sz="4" w:space="0"/>
              <w:right w:val="single" w:color="auto" w:sz="4" w:space="0"/>
            </w:tcBorders>
            <w:vAlign w:val="center"/>
          </w:tcPr>
          <w:p w14:paraId="7201AAA5">
            <w:pPr>
              <w:jc w:val="right"/>
              <w:rPr>
                <w:rFonts w:cs="Times New Roman"/>
              </w:rPr>
            </w:pPr>
            <w:r>
              <w:rPr>
                <w:rFonts w:cs="Times New Roman"/>
              </w:rPr>
              <w:t>63,000.00</w:t>
            </w:r>
          </w:p>
        </w:tc>
      </w:tr>
      <w:sdt>
        <w:sdtPr>
          <w:alias w:val="采用成本计量模式的投资性房地产账面原值减少额明细"/>
          <w:tag w:val="_GBC_e7ec91568b9c4d2387547e1eea784bb4"/>
          <w:id w:val="-616370284"/>
          <w:placeholder>
            <w:docPart w:val="{f0b382af-66aa-46d0-817e-d8e960ceb529}"/>
          </w:placeholder>
        </w:sdtPr>
        <w:sdtEndPr>
          <w:rPr>
            <w:rFonts w:cs="Times New Roman"/>
          </w:rPr>
        </w:sdtEndPr>
        <w:sdtContent>
          <w:sdt>
            <w:sdtPr>
              <w:alias w:val="采用成本计量模式的投资性房地产账面原值减少额明细"/>
              <w:tag w:val="_GBC_e7ec91568b9c4d2387547e1eea784bb4"/>
              <w:id w:val="1257789951"/>
              <w:placeholder>
                <w:docPart w:val="{f0b382af-66aa-46d0-817e-d8e960ceb529}"/>
              </w:placeholder>
            </w:sdtPr>
            <w:sdtEndPr>
              <w:rPr>
                <w:rFonts w:cs="Times New Roman"/>
              </w:rPr>
            </w:sdtEndPr>
            <w:sdtContent>
              <w:tr w14:paraId="29DD2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091" w:type="pct"/>
                    <w:tcBorders>
                      <w:top w:val="single" w:color="auto" w:sz="4" w:space="0"/>
                      <w:left w:val="single" w:color="auto" w:sz="4" w:space="0"/>
                      <w:bottom w:val="single" w:color="auto" w:sz="4" w:space="0"/>
                      <w:right w:val="single" w:color="auto" w:sz="4" w:space="0"/>
                    </w:tcBorders>
                  </w:tcPr>
                  <w:p w14:paraId="61D244BB">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4.期末余额</w:t>
                    </w:r>
                  </w:p>
                </w:tc>
                <w:tc>
                  <w:tcPr>
                    <w:tcW w:w="1021" w:type="pct"/>
                    <w:tcBorders>
                      <w:top w:val="single" w:color="auto" w:sz="4" w:space="0"/>
                      <w:left w:val="single" w:color="auto" w:sz="4" w:space="0"/>
                      <w:bottom w:val="single" w:color="auto" w:sz="4" w:space="0"/>
                      <w:right w:val="single" w:color="auto" w:sz="4" w:space="0"/>
                    </w:tcBorders>
                    <w:vAlign w:val="center"/>
                  </w:tcPr>
                  <w:p w14:paraId="069A225C">
                    <w:pPr>
                      <w:jc w:val="right"/>
                      <w:rPr>
                        <w:rFonts w:cs="Times New Roman"/>
                      </w:rPr>
                    </w:pPr>
                    <w:r>
                      <w:rPr>
                        <w:rFonts w:cs="Times New Roman"/>
                      </w:rPr>
                      <w:t>1,036,674,891.19</w:t>
                    </w:r>
                  </w:p>
                </w:tc>
                <w:tc>
                  <w:tcPr>
                    <w:tcW w:w="892" w:type="pct"/>
                    <w:tcBorders>
                      <w:top w:val="single" w:color="auto" w:sz="4" w:space="0"/>
                      <w:left w:val="single" w:color="auto" w:sz="4" w:space="0"/>
                      <w:bottom w:val="single" w:color="auto" w:sz="4" w:space="0"/>
                      <w:right w:val="single" w:color="auto" w:sz="4" w:space="0"/>
                    </w:tcBorders>
                    <w:vAlign w:val="center"/>
                  </w:tcPr>
                  <w:p w14:paraId="194F5DA1">
                    <w:pPr>
                      <w:jc w:val="right"/>
                      <w:rPr>
                        <w:rFonts w:cs="Times New Roman"/>
                      </w:rPr>
                    </w:pPr>
                    <w:r>
                      <w:rPr>
                        <w:rFonts w:cs="Times New Roman"/>
                      </w:rPr>
                      <w:t>14,646,716.92</w:t>
                    </w:r>
                  </w:p>
                </w:tc>
                <w:tc>
                  <w:tcPr>
                    <w:tcW w:w="994" w:type="pct"/>
                    <w:tcBorders>
                      <w:top w:val="single" w:color="auto" w:sz="4" w:space="0"/>
                      <w:left w:val="single" w:color="auto" w:sz="4" w:space="0"/>
                      <w:bottom w:val="single" w:color="auto" w:sz="4" w:space="0"/>
                      <w:right w:val="single" w:color="auto" w:sz="4" w:space="0"/>
                    </w:tcBorders>
                    <w:vAlign w:val="center"/>
                  </w:tcPr>
                  <w:p w14:paraId="22106428">
                    <w:pPr>
                      <w:jc w:val="right"/>
                      <w:rPr>
                        <w:rFonts w:cs="Times New Roman"/>
                      </w:rPr>
                    </w:pPr>
                    <w:r>
                      <w:rPr>
                        <w:rFonts w:cs="Times New Roman"/>
                      </w:rPr>
                      <w:t>1,051,321,608.11</w:t>
                    </w:r>
                  </w:p>
                </w:tc>
              </w:tr>
            </w:sdtContent>
          </w:sdt>
        </w:sdtContent>
      </w:sdt>
      <w:tr w14:paraId="7462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rPr>
              <w:rFonts w:cs="Times New Roman"/>
            </w:rPr>
            <w:tag w:val="_PLD_2505d9f8bc20407e9f785ceb5e0a0801"/>
            <w:id w:val="1967162436"/>
          </w:sdtPr>
          <w:sdtEndPr>
            <w:rPr>
              <w:rFonts w:cs="Times New Roman"/>
            </w:rPr>
          </w:sdtEndPr>
          <w:sdtContent>
            <w:tc>
              <w:tcPr>
                <w:tcW w:w="5000" w:type="pct"/>
                <w:gridSpan w:val="4"/>
                <w:tcBorders>
                  <w:top w:val="single" w:color="auto" w:sz="4" w:space="0"/>
                  <w:left w:val="single" w:color="auto" w:sz="4" w:space="0"/>
                  <w:bottom w:val="single" w:color="auto" w:sz="4" w:space="0"/>
                  <w:right w:val="single" w:color="auto" w:sz="4" w:space="0"/>
                </w:tcBorders>
              </w:tcPr>
              <w:p w14:paraId="4B0F932D">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二、累计折旧和累计摊销</w:t>
                </w:r>
              </w:p>
            </w:tc>
          </w:sdtContent>
        </w:sdt>
      </w:tr>
      <w:tr w14:paraId="77DA8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c947d0aa69174c1ba5672d010e59bdb7"/>
            <w:id w:val="1945265105"/>
          </w:sdtPr>
          <w:sdtContent>
            <w:tc>
              <w:tcPr>
                <w:tcW w:w="2091" w:type="pct"/>
                <w:tcBorders>
                  <w:top w:val="single" w:color="auto" w:sz="4" w:space="0"/>
                  <w:left w:val="single" w:color="auto" w:sz="4" w:space="0"/>
                  <w:bottom w:val="single" w:color="auto" w:sz="4" w:space="0"/>
                  <w:right w:val="single" w:color="auto" w:sz="4" w:space="0"/>
                </w:tcBorders>
              </w:tcPr>
              <w:p w14:paraId="04478A7E">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期初余额</w:t>
                </w:r>
              </w:p>
            </w:tc>
          </w:sdtContent>
        </w:sdt>
        <w:tc>
          <w:tcPr>
            <w:tcW w:w="1021" w:type="pct"/>
            <w:tcBorders>
              <w:top w:val="single" w:color="auto" w:sz="4" w:space="0"/>
              <w:left w:val="single" w:color="auto" w:sz="4" w:space="0"/>
              <w:bottom w:val="single" w:color="auto" w:sz="4" w:space="0"/>
              <w:right w:val="single" w:color="auto" w:sz="4" w:space="0"/>
            </w:tcBorders>
            <w:vAlign w:val="center"/>
          </w:tcPr>
          <w:p w14:paraId="24D4B43F">
            <w:pPr>
              <w:jc w:val="right"/>
              <w:rPr>
                <w:rFonts w:cs="Times New Roman"/>
              </w:rPr>
            </w:pPr>
            <w:r>
              <w:rPr>
                <w:rFonts w:cs="Times New Roman"/>
              </w:rPr>
              <w:t>254,837,898.19</w:t>
            </w:r>
          </w:p>
        </w:tc>
        <w:tc>
          <w:tcPr>
            <w:tcW w:w="892" w:type="pct"/>
            <w:tcBorders>
              <w:top w:val="single" w:color="auto" w:sz="4" w:space="0"/>
              <w:left w:val="single" w:color="auto" w:sz="4" w:space="0"/>
              <w:bottom w:val="single" w:color="auto" w:sz="4" w:space="0"/>
              <w:right w:val="single" w:color="auto" w:sz="4" w:space="0"/>
            </w:tcBorders>
            <w:vAlign w:val="center"/>
          </w:tcPr>
          <w:p w14:paraId="4FF37D9B">
            <w:pPr>
              <w:jc w:val="right"/>
              <w:rPr>
                <w:rFonts w:cs="Times New Roman"/>
              </w:rPr>
            </w:pPr>
            <w:r>
              <w:rPr>
                <w:rFonts w:cs="Times New Roman"/>
              </w:rPr>
              <w:t>2,342,795.07</w:t>
            </w:r>
          </w:p>
        </w:tc>
        <w:tc>
          <w:tcPr>
            <w:tcW w:w="994" w:type="pct"/>
            <w:tcBorders>
              <w:top w:val="single" w:color="auto" w:sz="4" w:space="0"/>
              <w:left w:val="single" w:color="auto" w:sz="4" w:space="0"/>
              <w:bottom w:val="single" w:color="auto" w:sz="4" w:space="0"/>
              <w:right w:val="single" w:color="auto" w:sz="4" w:space="0"/>
            </w:tcBorders>
            <w:vAlign w:val="center"/>
          </w:tcPr>
          <w:p w14:paraId="48B7DEBC">
            <w:pPr>
              <w:jc w:val="right"/>
              <w:rPr>
                <w:rFonts w:cs="Times New Roman"/>
              </w:rPr>
            </w:pPr>
            <w:r>
              <w:rPr>
                <w:rFonts w:cs="Times New Roman"/>
              </w:rPr>
              <w:t>257,180,693.26</w:t>
            </w:r>
          </w:p>
        </w:tc>
      </w:tr>
      <w:tr w14:paraId="001E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3e1bff0629db41feb43d6eec30972301"/>
            <w:id w:val="-1903742279"/>
          </w:sdtPr>
          <w:sdtContent>
            <w:tc>
              <w:tcPr>
                <w:tcW w:w="2091" w:type="pct"/>
                <w:tcBorders>
                  <w:top w:val="single" w:color="auto" w:sz="4" w:space="0"/>
                  <w:left w:val="single" w:color="auto" w:sz="4" w:space="0"/>
                  <w:bottom w:val="single" w:color="auto" w:sz="4" w:space="0"/>
                  <w:right w:val="single" w:color="auto" w:sz="4" w:space="0"/>
                </w:tcBorders>
              </w:tcPr>
              <w:p w14:paraId="50BF1F32">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本期增加金额</w:t>
                </w:r>
              </w:p>
            </w:tc>
          </w:sdtContent>
        </w:sdt>
        <w:tc>
          <w:tcPr>
            <w:tcW w:w="1021" w:type="pct"/>
            <w:tcBorders>
              <w:top w:val="single" w:color="auto" w:sz="4" w:space="0"/>
              <w:left w:val="single" w:color="auto" w:sz="4" w:space="0"/>
              <w:bottom w:val="single" w:color="auto" w:sz="4" w:space="0"/>
              <w:right w:val="single" w:color="auto" w:sz="4" w:space="0"/>
            </w:tcBorders>
            <w:vAlign w:val="center"/>
          </w:tcPr>
          <w:p w14:paraId="286D07DD">
            <w:pPr>
              <w:jc w:val="right"/>
              <w:rPr>
                <w:rFonts w:cs="Times New Roman"/>
              </w:rPr>
            </w:pPr>
            <w:r>
              <w:rPr>
                <w:rFonts w:cs="Times New Roman"/>
              </w:rPr>
              <w:t>13,359,237.99</w:t>
            </w:r>
          </w:p>
        </w:tc>
        <w:tc>
          <w:tcPr>
            <w:tcW w:w="892" w:type="pct"/>
            <w:tcBorders>
              <w:top w:val="single" w:color="auto" w:sz="4" w:space="0"/>
              <w:left w:val="single" w:color="auto" w:sz="4" w:space="0"/>
              <w:bottom w:val="single" w:color="auto" w:sz="4" w:space="0"/>
              <w:right w:val="single" w:color="auto" w:sz="4" w:space="0"/>
            </w:tcBorders>
            <w:vAlign w:val="center"/>
          </w:tcPr>
          <w:p w14:paraId="221ED4C5">
            <w:pPr>
              <w:jc w:val="right"/>
              <w:rPr>
                <w:rFonts w:cs="Times New Roman"/>
              </w:rPr>
            </w:pPr>
            <w:r>
              <w:rPr>
                <w:rFonts w:cs="Times New Roman"/>
              </w:rPr>
              <w:t>163,934.22</w:t>
            </w:r>
          </w:p>
        </w:tc>
        <w:tc>
          <w:tcPr>
            <w:tcW w:w="994" w:type="pct"/>
            <w:tcBorders>
              <w:top w:val="single" w:color="auto" w:sz="4" w:space="0"/>
              <w:left w:val="single" w:color="auto" w:sz="4" w:space="0"/>
              <w:bottom w:val="single" w:color="auto" w:sz="4" w:space="0"/>
              <w:right w:val="single" w:color="auto" w:sz="4" w:space="0"/>
            </w:tcBorders>
            <w:vAlign w:val="center"/>
          </w:tcPr>
          <w:p w14:paraId="0311F417">
            <w:pPr>
              <w:jc w:val="right"/>
              <w:rPr>
                <w:rFonts w:cs="Times New Roman"/>
              </w:rPr>
            </w:pPr>
            <w:r>
              <w:rPr>
                <w:rFonts w:cs="Times New Roman"/>
              </w:rPr>
              <w:t>13,523,172.21</w:t>
            </w:r>
          </w:p>
        </w:tc>
      </w:tr>
      <w:tr w14:paraId="41D2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aede9f39a8904986a0db75860e8da677"/>
            <w:id w:val="595603767"/>
          </w:sdtPr>
          <w:sdtContent>
            <w:tc>
              <w:tcPr>
                <w:tcW w:w="2091" w:type="pct"/>
                <w:tcBorders>
                  <w:top w:val="single" w:color="auto" w:sz="4" w:space="0"/>
                  <w:left w:val="single" w:color="auto" w:sz="4" w:space="0"/>
                  <w:bottom w:val="single" w:color="auto" w:sz="4" w:space="0"/>
                  <w:right w:val="single" w:color="auto" w:sz="4" w:space="0"/>
                </w:tcBorders>
              </w:tcPr>
              <w:p w14:paraId="616B7AE2">
                <w:pPr>
                  <w:ind w:firstLine="315"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（1）计提或摊销</w:t>
                </w:r>
              </w:p>
            </w:tc>
          </w:sdtContent>
        </w:sdt>
        <w:tc>
          <w:tcPr>
            <w:tcW w:w="1021" w:type="pct"/>
            <w:tcBorders>
              <w:top w:val="single" w:color="auto" w:sz="4" w:space="0"/>
              <w:left w:val="single" w:color="auto" w:sz="4" w:space="0"/>
              <w:bottom w:val="single" w:color="auto" w:sz="4" w:space="0"/>
              <w:right w:val="single" w:color="auto" w:sz="4" w:space="0"/>
            </w:tcBorders>
            <w:vAlign w:val="center"/>
          </w:tcPr>
          <w:p w14:paraId="3002A53B">
            <w:pPr>
              <w:jc w:val="right"/>
              <w:rPr>
                <w:rFonts w:cs="Times New Roman"/>
              </w:rPr>
            </w:pPr>
            <w:r>
              <w:rPr>
                <w:rFonts w:cs="Times New Roman"/>
              </w:rPr>
              <w:t>11,971,698.51</w:t>
            </w:r>
          </w:p>
        </w:tc>
        <w:tc>
          <w:tcPr>
            <w:tcW w:w="892" w:type="pct"/>
            <w:tcBorders>
              <w:top w:val="single" w:color="auto" w:sz="4" w:space="0"/>
              <w:left w:val="single" w:color="auto" w:sz="4" w:space="0"/>
              <w:bottom w:val="single" w:color="auto" w:sz="4" w:space="0"/>
              <w:right w:val="single" w:color="auto" w:sz="4" w:space="0"/>
            </w:tcBorders>
            <w:vAlign w:val="center"/>
          </w:tcPr>
          <w:p w14:paraId="528DEFA4">
            <w:pPr>
              <w:jc w:val="right"/>
              <w:rPr>
                <w:rFonts w:cs="Times New Roman"/>
              </w:rPr>
            </w:pPr>
            <w:r>
              <w:rPr>
                <w:rFonts w:cs="Times New Roman"/>
              </w:rPr>
              <w:t>163,934.22</w:t>
            </w:r>
          </w:p>
        </w:tc>
        <w:tc>
          <w:tcPr>
            <w:tcW w:w="994" w:type="pct"/>
            <w:tcBorders>
              <w:top w:val="single" w:color="auto" w:sz="4" w:space="0"/>
              <w:left w:val="single" w:color="auto" w:sz="4" w:space="0"/>
              <w:bottom w:val="single" w:color="auto" w:sz="4" w:space="0"/>
              <w:right w:val="single" w:color="auto" w:sz="4" w:space="0"/>
            </w:tcBorders>
            <w:vAlign w:val="center"/>
          </w:tcPr>
          <w:p w14:paraId="77893ABF">
            <w:pPr>
              <w:jc w:val="right"/>
              <w:rPr>
                <w:rFonts w:cs="Times New Roman"/>
              </w:rPr>
            </w:pPr>
            <w:r>
              <w:rPr>
                <w:rFonts w:cs="Times New Roman"/>
              </w:rPr>
              <w:t>12,135,632.73</w:t>
            </w:r>
          </w:p>
        </w:tc>
      </w:tr>
      <w:sdt>
        <w:sdtPr>
          <w:rPr>
            <w:color w:val="000000" w:themeColor="text1"/>
            <w14:textFill>
              <w14:solidFill>
                <w14:schemeClr w14:val="tx1"/>
              </w14:solidFill>
            </w14:textFill>
          </w:rPr>
          <w:alias w:val="采用成本计量模式的投资性房地产累计折旧和累计摊销增加额明细"/>
          <w:tag w:val="_GBC_c54e7a9a11334e6bad615df918064ced"/>
          <w:id w:val="1337426208"/>
          <w:placeholder>
            <w:docPart w:val="{f0b382af-66aa-46d0-817e-d8e960ceb529}"/>
          </w:placeholder>
        </w:sdtPr>
        <w:sdtEndPr>
          <w:rPr>
            <w:rFonts w:cs="Times New Roman"/>
            <w:color w:val="000000" w:themeColor="text1"/>
            <w14:textFill>
              <w14:solidFill>
                <w14:schemeClr w14:val="tx1"/>
              </w14:solidFill>
            </w14:textFill>
          </w:rPr>
        </w:sdtEndPr>
        <w:sdtContent>
          <w:tr w14:paraId="0316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091" w:type="pct"/>
                <w:tcBorders>
                  <w:top w:val="single" w:color="auto" w:sz="4" w:space="0"/>
                  <w:left w:val="single" w:color="auto" w:sz="4" w:space="0"/>
                  <w:bottom w:val="single" w:color="auto" w:sz="4" w:space="0"/>
                  <w:right w:val="single" w:color="auto" w:sz="4" w:space="0"/>
                </w:tcBorders>
              </w:tcPr>
              <w:p w14:paraId="0F905FC0">
                <w:pPr>
                  <w:ind w:firstLine="420" w:firstLineChars="200"/>
                </w:pPr>
                <w:r>
                  <w:rPr>
                    <w:rFonts w:hint="eastAsia"/>
                  </w:rPr>
                  <w:t>（2）存货\固定资产\在建工程转入</w:t>
                </w:r>
              </w:p>
            </w:tc>
            <w:tc>
              <w:tcPr>
                <w:tcW w:w="1021" w:type="pct"/>
                <w:tcBorders>
                  <w:top w:val="single" w:color="auto" w:sz="4" w:space="0"/>
                  <w:left w:val="single" w:color="auto" w:sz="4" w:space="0"/>
                  <w:bottom w:val="single" w:color="auto" w:sz="4" w:space="0"/>
                  <w:right w:val="single" w:color="auto" w:sz="4" w:space="0"/>
                </w:tcBorders>
                <w:vAlign w:val="center"/>
              </w:tcPr>
              <w:p w14:paraId="4C567379">
                <w:pPr>
                  <w:jc w:val="right"/>
                  <w:rPr>
                    <w:rFonts w:cs="Times New Roman"/>
                  </w:rPr>
                </w:pPr>
                <w:r>
                  <w:rPr>
                    <w:rFonts w:hint="eastAsia" w:cs="Times New Roman"/>
                  </w:rPr>
                  <w:t>1,387,539.48</w:t>
                </w:r>
              </w:p>
            </w:tc>
            <w:tc>
              <w:tcPr>
                <w:tcW w:w="892" w:type="pct"/>
                <w:tcBorders>
                  <w:top w:val="single" w:color="auto" w:sz="4" w:space="0"/>
                  <w:left w:val="single" w:color="auto" w:sz="4" w:space="0"/>
                  <w:bottom w:val="single" w:color="auto" w:sz="4" w:space="0"/>
                  <w:right w:val="single" w:color="auto" w:sz="4" w:space="0"/>
                </w:tcBorders>
              </w:tcPr>
              <w:p w14:paraId="0334F9EE">
                <w:pPr>
                  <w:jc w:val="right"/>
                  <w:rPr>
                    <w:rFonts w:cs="Times New Roman"/>
                  </w:rPr>
                </w:pPr>
              </w:p>
            </w:tc>
            <w:tc>
              <w:tcPr>
                <w:tcW w:w="994" w:type="pct"/>
                <w:tcBorders>
                  <w:top w:val="single" w:color="auto" w:sz="4" w:space="0"/>
                  <w:left w:val="single" w:color="auto" w:sz="4" w:space="0"/>
                  <w:bottom w:val="single" w:color="auto" w:sz="4" w:space="0"/>
                  <w:right w:val="single" w:color="auto" w:sz="4" w:space="0"/>
                </w:tcBorders>
                <w:vAlign w:val="center"/>
              </w:tcPr>
              <w:p w14:paraId="22A20E6B">
                <w:pPr>
                  <w:jc w:val="right"/>
                  <w:rPr>
                    <w:rFonts w:cs="Times New Roman"/>
                  </w:rPr>
                </w:pPr>
                <w:r>
                  <w:rPr>
                    <w:rFonts w:cs="Times New Roman"/>
                  </w:rPr>
                  <w:t>1,387,539.48</w:t>
                </w:r>
              </w:p>
            </w:tc>
          </w:tr>
        </w:sdtContent>
      </w:sdt>
      <w:sdt>
        <w:sdtPr>
          <w:alias w:val="采用成本计量模式的投资性房地产累计折旧和累计摊销增加额明细"/>
          <w:tag w:val="_GBC_c54e7a9a11334e6bad615df918064ced"/>
          <w:id w:val="367274784"/>
          <w:placeholder>
            <w:docPart w:val="{f0b382af-66aa-46d0-817e-d8e960ceb529}"/>
          </w:placeholder>
        </w:sdtPr>
        <w:sdtEndPr>
          <w:rPr>
            <w:rFonts w:cs="Times New Roman"/>
          </w:rPr>
        </w:sdtEndPr>
        <w:sdtContent>
          <w:tr w14:paraId="5E27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091" w:type="pct"/>
                <w:tcBorders>
                  <w:top w:val="single" w:color="auto" w:sz="4" w:space="0"/>
                  <w:left w:val="single" w:color="auto" w:sz="4" w:space="0"/>
                  <w:bottom w:val="single" w:color="auto" w:sz="4" w:space="0"/>
                  <w:right w:val="single" w:color="auto" w:sz="4" w:space="0"/>
                </w:tcBorders>
              </w:tcPr>
              <w:p w14:paraId="3A12E967">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3.本期减少金额</w:t>
                </w:r>
              </w:p>
            </w:tc>
            <w:tc>
              <w:tcPr>
                <w:tcW w:w="1021" w:type="pct"/>
                <w:tcBorders>
                  <w:top w:val="single" w:color="auto" w:sz="4" w:space="0"/>
                  <w:left w:val="single" w:color="auto" w:sz="4" w:space="0"/>
                  <w:bottom w:val="single" w:color="auto" w:sz="4" w:space="0"/>
                  <w:right w:val="single" w:color="auto" w:sz="4" w:space="0"/>
                </w:tcBorders>
                <w:vAlign w:val="center"/>
              </w:tcPr>
              <w:p w14:paraId="405D0C17">
                <w:pPr>
                  <w:jc w:val="right"/>
                  <w:rPr>
                    <w:rFonts w:cs="Times New Roman"/>
                  </w:rPr>
                </w:pPr>
                <w:r>
                  <w:rPr>
                    <w:rFonts w:cs="Times New Roman"/>
                  </w:rPr>
                  <w:t>61,110.00</w:t>
                </w:r>
              </w:p>
            </w:tc>
            <w:tc>
              <w:tcPr>
                <w:tcW w:w="892" w:type="pct"/>
                <w:tcBorders>
                  <w:top w:val="single" w:color="auto" w:sz="4" w:space="0"/>
                  <w:left w:val="single" w:color="auto" w:sz="4" w:space="0"/>
                  <w:bottom w:val="single" w:color="auto" w:sz="4" w:space="0"/>
                  <w:right w:val="single" w:color="auto" w:sz="4" w:space="0"/>
                </w:tcBorders>
              </w:tcPr>
              <w:p w14:paraId="0888DC3F">
                <w:pPr>
                  <w:jc w:val="right"/>
                  <w:rPr>
                    <w:rFonts w:cs="Times New Roman"/>
                  </w:rPr>
                </w:pPr>
              </w:p>
            </w:tc>
            <w:tc>
              <w:tcPr>
                <w:tcW w:w="994" w:type="pct"/>
                <w:tcBorders>
                  <w:top w:val="single" w:color="auto" w:sz="4" w:space="0"/>
                  <w:left w:val="single" w:color="auto" w:sz="4" w:space="0"/>
                  <w:bottom w:val="single" w:color="auto" w:sz="4" w:space="0"/>
                  <w:right w:val="single" w:color="auto" w:sz="4" w:space="0"/>
                </w:tcBorders>
                <w:vAlign w:val="center"/>
              </w:tcPr>
              <w:p w14:paraId="7663E215">
                <w:pPr>
                  <w:jc w:val="right"/>
                  <w:rPr>
                    <w:rFonts w:cs="Times New Roman"/>
                  </w:rPr>
                </w:pPr>
                <w:r>
                  <w:rPr>
                    <w:rFonts w:cs="Times New Roman"/>
                  </w:rPr>
                  <w:t>61,110.00</w:t>
                </w:r>
              </w:p>
            </w:tc>
          </w:tr>
        </w:sdtContent>
      </w:sdt>
      <w:tr w14:paraId="1D4BA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104e913c5a6149d1be9de77ecd782953"/>
            <w:id w:val="-880007251"/>
          </w:sdtPr>
          <w:sdtContent>
            <w:tc>
              <w:tcPr>
                <w:tcW w:w="2091" w:type="pct"/>
                <w:tcBorders>
                  <w:top w:val="single" w:color="auto" w:sz="4" w:space="0"/>
                  <w:left w:val="single" w:color="auto" w:sz="4" w:space="0"/>
                  <w:bottom w:val="single" w:color="auto" w:sz="4" w:space="0"/>
                  <w:right w:val="single" w:color="auto" w:sz="4" w:space="0"/>
                </w:tcBorders>
              </w:tcPr>
              <w:p w14:paraId="33ADE60C">
                <w:pPr>
                  <w:ind w:firstLine="315"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（1）处置</w:t>
                </w:r>
              </w:p>
            </w:tc>
          </w:sdtContent>
        </w:sdt>
        <w:tc>
          <w:tcPr>
            <w:tcW w:w="1021" w:type="pct"/>
            <w:tcBorders>
              <w:top w:val="single" w:color="auto" w:sz="4" w:space="0"/>
              <w:left w:val="single" w:color="auto" w:sz="4" w:space="0"/>
              <w:bottom w:val="single" w:color="auto" w:sz="4" w:space="0"/>
              <w:right w:val="single" w:color="auto" w:sz="4" w:space="0"/>
            </w:tcBorders>
          </w:tcPr>
          <w:p w14:paraId="22571337">
            <w:pPr>
              <w:jc w:val="right"/>
              <w:rPr>
                <w:rFonts w:cs="Times New Roman"/>
              </w:rPr>
            </w:pPr>
          </w:p>
        </w:tc>
        <w:tc>
          <w:tcPr>
            <w:tcW w:w="892" w:type="pct"/>
            <w:tcBorders>
              <w:top w:val="single" w:color="auto" w:sz="4" w:space="0"/>
              <w:left w:val="single" w:color="auto" w:sz="4" w:space="0"/>
              <w:bottom w:val="single" w:color="auto" w:sz="4" w:space="0"/>
              <w:right w:val="single" w:color="auto" w:sz="4" w:space="0"/>
            </w:tcBorders>
          </w:tcPr>
          <w:p w14:paraId="12A61700">
            <w:pPr>
              <w:jc w:val="right"/>
              <w:rPr>
                <w:rFonts w:cs="Times New Roman"/>
              </w:rPr>
            </w:pPr>
          </w:p>
        </w:tc>
        <w:tc>
          <w:tcPr>
            <w:tcW w:w="994" w:type="pct"/>
            <w:tcBorders>
              <w:top w:val="single" w:color="auto" w:sz="4" w:space="0"/>
              <w:left w:val="single" w:color="auto" w:sz="4" w:space="0"/>
              <w:bottom w:val="single" w:color="auto" w:sz="4" w:space="0"/>
              <w:right w:val="single" w:color="auto" w:sz="4" w:space="0"/>
            </w:tcBorders>
          </w:tcPr>
          <w:p w14:paraId="19B0C284">
            <w:pPr>
              <w:jc w:val="right"/>
              <w:rPr>
                <w:rFonts w:cs="Times New Roman"/>
              </w:rPr>
            </w:pPr>
          </w:p>
        </w:tc>
      </w:tr>
      <w:tr w14:paraId="3B40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3151c528ede64899a4e7d1efd714409b"/>
            <w:id w:val="2021045318"/>
          </w:sdtPr>
          <w:sdtContent>
            <w:tc>
              <w:tcPr>
                <w:tcW w:w="2091" w:type="pct"/>
                <w:tcBorders>
                  <w:top w:val="single" w:color="auto" w:sz="4" w:space="0"/>
                  <w:left w:val="single" w:color="auto" w:sz="4" w:space="0"/>
                  <w:bottom w:val="single" w:color="auto" w:sz="4" w:space="0"/>
                  <w:right w:val="single" w:color="auto" w:sz="4" w:space="0"/>
                </w:tcBorders>
              </w:tcPr>
              <w:p w14:paraId="52611D7F">
                <w:pPr>
                  <w:ind w:firstLine="315"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（2）其他转出</w:t>
                </w:r>
              </w:p>
            </w:tc>
          </w:sdtContent>
        </w:sdt>
        <w:tc>
          <w:tcPr>
            <w:tcW w:w="1021" w:type="pct"/>
            <w:tcBorders>
              <w:top w:val="single" w:color="auto" w:sz="4" w:space="0"/>
              <w:left w:val="single" w:color="auto" w:sz="4" w:space="0"/>
              <w:bottom w:val="single" w:color="auto" w:sz="4" w:space="0"/>
              <w:right w:val="single" w:color="auto" w:sz="4" w:space="0"/>
            </w:tcBorders>
            <w:vAlign w:val="center"/>
          </w:tcPr>
          <w:p w14:paraId="4203B843">
            <w:pPr>
              <w:jc w:val="right"/>
              <w:rPr>
                <w:rFonts w:cs="Times New Roman"/>
              </w:rPr>
            </w:pPr>
            <w:r>
              <w:rPr>
                <w:rFonts w:cs="Times New Roman"/>
              </w:rPr>
              <w:t>61,110.00</w:t>
            </w:r>
          </w:p>
        </w:tc>
        <w:tc>
          <w:tcPr>
            <w:tcW w:w="892" w:type="pct"/>
            <w:tcBorders>
              <w:top w:val="single" w:color="auto" w:sz="4" w:space="0"/>
              <w:left w:val="single" w:color="auto" w:sz="4" w:space="0"/>
              <w:bottom w:val="single" w:color="auto" w:sz="4" w:space="0"/>
              <w:right w:val="single" w:color="auto" w:sz="4" w:space="0"/>
            </w:tcBorders>
          </w:tcPr>
          <w:p w14:paraId="7DEA220E">
            <w:pPr>
              <w:jc w:val="right"/>
              <w:rPr>
                <w:rFonts w:cs="Times New Roman"/>
              </w:rPr>
            </w:pPr>
          </w:p>
        </w:tc>
        <w:tc>
          <w:tcPr>
            <w:tcW w:w="994" w:type="pct"/>
            <w:tcBorders>
              <w:top w:val="single" w:color="auto" w:sz="4" w:space="0"/>
              <w:left w:val="single" w:color="auto" w:sz="4" w:space="0"/>
              <w:bottom w:val="single" w:color="auto" w:sz="4" w:space="0"/>
              <w:right w:val="single" w:color="auto" w:sz="4" w:space="0"/>
            </w:tcBorders>
            <w:vAlign w:val="center"/>
          </w:tcPr>
          <w:p w14:paraId="46DBD933">
            <w:pPr>
              <w:jc w:val="right"/>
              <w:rPr>
                <w:rFonts w:cs="Times New Roman"/>
              </w:rPr>
            </w:pPr>
            <w:r>
              <w:rPr>
                <w:rFonts w:cs="Times New Roman"/>
              </w:rPr>
              <w:t>61,110.00</w:t>
            </w:r>
          </w:p>
        </w:tc>
      </w:tr>
      <w:sdt>
        <w:sdtPr>
          <w:alias w:val="采用成本计量模式的投资性房地产累计折旧和累计摊销减少额明细"/>
          <w:tag w:val="_GBC_b3ebc435de8145869db922a00b30af1b"/>
          <w:id w:val="722334715"/>
          <w:placeholder>
            <w:docPart w:val="{f0b382af-66aa-46d0-817e-d8e960ceb529}"/>
          </w:placeholder>
        </w:sdtPr>
        <w:sdtEndPr>
          <w:rPr>
            <w:rFonts w:cs="Times New Roman"/>
          </w:rPr>
        </w:sdtEndPr>
        <w:sdtContent>
          <w:sdt>
            <w:sdtPr>
              <w:alias w:val="采用成本计量模式的投资性房地产累计折旧和累计摊销减少额明细"/>
              <w:tag w:val="_GBC_b3ebc435de8145869db922a00b30af1b"/>
              <w:id w:val="1025823542"/>
              <w:placeholder>
                <w:docPart w:val="{f0b382af-66aa-46d0-817e-d8e960ceb529}"/>
              </w:placeholder>
            </w:sdtPr>
            <w:sdtEndPr>
              <w:rPr>
                <w:rFonts w:cs="Times New Roman"/>
              </w:rPr>
            </w:sdtEndPr>
            <w:sdtContent>
              <w:tr w14:paraId="49EA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091" w:type="pct"/>
                    <w:tcBorders>
                      <w:top w:val="single" w:color="auto" w:sz="4" w:space="0"/>
                      <w:left w:val="single" w:color="auto" w:sz="4" w:space="0"/>
                      <w:bottom w:val="single" w:color="auto" w:sz="4" w:space="0"/>
                      <w:right w:val="single" w:color="auto" w:sz="4" w:space="0"/>
                    </w:tcBorders>
                  </w:tcPr>
                  <w:p w14:paraId="60A806FD">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4.期末余额</w:t>
                    </w:r>
                  </w:p>
                </w:tc>
                <w:tc>
                  <w:tcPr>
                    <w:tcW w:w="1021" w:type="pct"/>
                    <w:tcBorders>
                      <w:top w:val="single" w:color="auto" w:sz="4" w:space="0"/>
                      <w:left w:val="single" w:color="auto" w:sz="4" w:space="0"/>
                      <w:bottom w:val="single" w:color="auto" w:sz="4" w:space="0"/>
                      <w:right w:val="single" w:color="auto" w:sz="4" w:space="0"/>
                    </w:tcBorders>
                    <w:vAlign w:val="center"/>
                  </w:tcPr>
                  <w:p w14:paraId="37F456B9">
                    <w:pPr>
                      <w:jc w:val="right"/>
                      <w:rPr>
                        <w:rFonts w:cs="Times New Roman"/>
                      </w:rPr>
                    </w:pPr>
                    <w:r>
                      <w:rPr>
                        <w:rFonts w:cs="Times New Roman"/>
                      </w:rPr>
                      <w:t>268,136,026.18</w:t>
                    </w:r>
                  </w:p>
                </w:tc>
                <w:tc>
                  <w:tcPr>
                    <w:tcW w:w="892" w:type="pct"/>
                    <w:tcBorders>
                      <w:top w:val="single" w:color="auto" w:sz="4" w:space="0"/>
                      <w:left w:val="single" w:color="auto" w:sz="4" w:space="0"/>
                      <w:bottom w:val="single" w:color="auto" w:sz="4" w:space="0"/>
                      <w:right w:val="single" w:color="auto" w:sz="4" w:space="0"/>
                    </w:tcBorders>
                    <w:vAlign w:val="center"/>
                  </w:tcPr>
                  <w:p w14:paraId="0DAF2F76">
                    <w:pPr>
                      <w:jc w:val="right"/>
                      <w:rPr>
                        <w:rFonts w:cs="Times New Roman"/>
                      </w:rPr>
                    </w:pPr>
                    <w:r>
                      <w:rPr>
                        <w:rFonts w:cs="Times New Roman"/>
                      </w:rPr>
                      <w:t>2,506,729.29</w:t>
                    </w:r>
                  </w:p>
                </w:tc>
                <w:tc>
                  <w:tcPr>
                    <w:tcW w:w="994" w:type="pct"/>
                    <w:tcBorders>
                      <w:top w:val="single" w:color="auto" w:sz="4" w:space="0"/>
                      <w:left w:val="single" w:color="auto" w:sz="4" w:space="0"/>
                      <w:bottom w:val="single" w:color="auto" w:sz="4" w:space="0"/>
                      <w:right w:val="single" w:color="auto" w:sz="4" w:space="0"/>
                    </w:tcBorders>
                    <w:vAlign w:val="center"/>
                  </w:tcPr>
                  <w:p w14:paraId="39E7144D">
                    <w:pPr>
                      <w:jc w:val="right"/>
                      <w:rPr>
                        <w:rFonts w:cs="Times New Roman"/>
                      </w:rPr>
                    </w:pPr>
                    <w:r>
                      <w:rPr>
                        <w:rFonts w:cs="Times New Roman"/>
                      </w:rPr>
                      <w:t>270,642,755.47</w:t>
                    </w:r>
                  </w:p>
                </w:tc>
              </w:tr>
            </w:sdtContent>
          </w:sdt>
        </w:sdtContent>
      </w:sdt>
      <w:tr w14:paraId="1659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sdt>
          <w:sdtPr>
            <w:rPr>
              <w:rFonts w:cs="Times New Roman"/>
            </w:rPr>
            <w:tag w:val="_PLD_4ff260cebdf0497dab373adc76b90366"/>
            <w:id w:val="1483660060"/>
          </w:sdtPr>
          <w:sdtEndPr>
            <w:rPr>
              <w:rFonts w:cs="Times New Roman"/>
            </w:rPr>
          </w:sdtEndPr>
          <w:sdtContent>
            <w:tc>
              <w:tcPr>
                <w:tcW w:w="5000" w:type="pct"/>
                <w:gridSpan w:val="4"/>
                <w:tcBorders>
                  <w:top w:val="single" w:color="auto" w:sz="4" w:space="0"/>
                  <w:left w:val="single" w:color="auto" w:sz="4" w:space="0"/>
                  <w:bottom w:val="single" w:color="auto" w:sz="4" w:space="0"/>
                  <w:right w:val="single" w:color="auto" w:sz="4" w:space="0"/>
                </w:tcBorders>
              </w:tcPr>
              <w:p w14:paraId="0586D670">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三、减值准备</w:t>
                </w:r>
              </w:p>
            </w:tc>
          </w:sdtContent>
        </w:sdt>
      </w:tr>
      <w:tr w14:paraId="2D37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685647660ea448c692140eff28695e32"/>
            <w:id w:val="438957468"/>
          </w:sdtPr>
          <w:sdtContent>
            <w:tc>
              <w:tcPr>
                <w:tcW w:w="2091" w:type="pct"/>
                <w:tcBorders>
                  <w:top w:val="single" w:color="auto" w:sz="4" w:space="0"/>
                  <w:left w:val="single" w:color="auto" w:sz="4" w:space="0"/>
                  <w:bottom w:val="single" w:color="auto" w:sz="4" w:space="0"/>
                  <w:right w:val="single" w:color="auto" w:sz="4" w:space="0"/>
                </w:tcBorders>
              </w:tcPr>
              <w:p w14:paraId="7591F386">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期初余额</w:t>
                </w:r>
              </w:p>
            </w:tc>
          </w:sdtContent>
        </w:sdt>
        <w:tc>
          <w:tcPr>
            <w:tcW w:w="1021" w:type="pct"/>
            <w:tcBorders>
              <w:top w:val="single" w:color="auto" w:sz="4" w:space="0"/>
              <w:left w:val="single" w:color="auto" w:sz="4" w:space="0"/>
              <w:bottom w:val="single" w:color="auto" w:sz="4" w:space="0"/>
              <w:right w:val="single" w:color="auto" w:sz="4" w:space="0"/>
            </w:tcBorders>
            <w:vAlign w:val="center"/>
          </w:tcPr>
          <w:p w14:paraId="2E3081CA">
            <w:pPr>
              <w:jc w:val="right"/>
              <w:rPr>
                <w:rFonts w:cs="Times New Roman"/>
              </w:rPr>
            </w:pPr>
            <w:r>
              <w:rPr>
                <w:rFonts w:cs="Times New Roman"/>
              </w:rPr>
              <w:t>123,387,062.68</w:t>
            </w:r>
          </w:p>
        </w:tc>
        <w:tc>
          <w:tcPr>
            <w:tcW w:w="892" w:type="pct"/>
            <w:tcBorders>
              <w:top w:val="single" w:color="auto" w:sz="4" w:space="0"/>
              <w:left w:val="single" w:color="auto" w:sz="4" w:space="0"/>
              <w:bottom w:val="single" w:color="auto" w:sz="4" w:space="0"/>
              <w:right w:val="single" w:color="auto" w:sz="4" w:space="0"/>
            </w:tcBorders>
          </w:tcPr>
          <w:p w14:paraId="4B24CFA3">
            <w:pPr>
              <w:jc w:val="right"/>
              <w:rPr>
                <w:rFonts w:cs="Times New Roman"/>
              </w:rPr>
            </w:pPr>
          </w:p>
        </w:tc>
        <w:tc>
          <w:tcPr>
            <w:tcW w:w="994" w:type="pct"/>
            <w:tcBorders>
              <w:top w:val="single" w:color="auto" w:sz="4" w:space="0"/>
              <w:left w:val="single" w:color="auto" w:sz="4" w:space="0"/>
              <w:bottom w:val="single" w:color="auto" w:sz="4" w:space="0"/>
              <w:right w:val="single" w:color="auto" w:sz="4" w:space="0"/>
            </w:tcBorders>
            <w:vAlign w:val="center"/>
          </w:tcPr>
          <w:p w14:paraId="26E46C73">
            <w:pPr>
              <w:jc w:val="right"/>
              <w:rPr>
                <w:rFonts w:cs="Times New Roman"/>
              </w:rPr>
            </w:pPr>
            <w:r>
              <w:rPr>
                <w:rFonts w:cs="Times New Roman"/>
              </w:rPr>
              <w:t>123,387,062.68</w:t>
            </w:r>
          </w:p>
        </w:tc>
      </w:tr>
      <w:tr w14:paraId="6B8E2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sdt>
          <w:sdtPr>
            <w:tag w:val="_PLD_3dfd87bf97644313aa819527a1e9ca4f"/>
            <w:id w:val="-599643307"/>
          </w:sdtPr>
          <w:sdtContent>
            <w:tc>
              <w:tcPr>
                <w:tcW w:w="2091" w:type="pct"/>
                <w:tcBorders>
                  <w:top w:val="single" w:color="auto" w:sz="4" w:space="0"/>
                  <w:left w:val="single" w:color="auto" w:sz="4" w:space="0"/>
                  <w:bottom w:val="single" w:color="auto" w:sz="4" w:space="0"/>
                  <w:right w:val="single" w:color="auto" w:sz="4" w:space="0"/>
                </w:tcBorders>
              </w:tcPr>
              <w:p w14:paraId="4F0CBD0D">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本期增加金额</w:t>
                </w:r>
              </w:p>
            </w:tc>
          </w:sdtContent>
        </w:sdt>
        <w:tc>
          <w:tcPr>
            <w:tcW w:w="1021" w:type="pct"/>
            <w:tcBorders>
              <w:top w:val="single" w:color="auto" w:sz="4" w:space="0"/>
              <w:left w:val="single" w:color="auto" w:sz="4" w:space="0"/>
              <w:bottom w:val="single" w:color="auto" w:sz="4" w:space="0"/>
              <w:right w:val="single" w:color="auto" w:sz="4" w:space="0"/>
            </w:tcBorders>
          </w:tcPr>
          <w:p w14:paraId="27C3C8C5">
            <w:pPr>
              <w:jc w:val="right"/>
              <w:rPr>
                <w:rFonts w:cs="Times New Roman"/>
              </w:rPr>
            </w:pPr>
          </w:p>
        </w:tc>
        <w:tc>
          <w:tcPr>
            <w:tcW w:w="892" w:type="pct"/>
            <w:tcBorders>
              <w:top w:val="single" w:color="auto" w:sz="4" w:space="0"/>
              <w:left w:val="single" w:color="auto" w:sz="4" w:space="0"/>
              <w:bottom w:val="single" w:color="auto" w:sz="4" w:space="0"/>
              <w:right w:val="single" w:color="auto" w:sz="4" w:space="0"/>
            </w:tcBorders>
          </w:tcPr>
          <w:p w14:paraId="6007370B">
            <w:pPr>
              <w:jc w:val="right"/>
              <w:rPr>
                <w:rFonts w:cs="Times New Roman"/>
              </w:rPr>
            </w:pPr>
          </w:p>
        </w:tc>
        <w:tc>
          <w:tcPr>
            <w:tcW w:w="994" w:type="pct"/>
            <w:tcBorders>
              <w:top w:val="single" w:color="auto" w:sz="4" w:space="0"/>
              <w:left w:val="single" w:color="auto" w:sz="4" w:space="0"/>
              <w:bottom w:val="single" w:color="auto" w:sz="4" w:space="0"/>
              <w:right w:val="single" w:color="auto" w:sz="4" w:space="0"/>
            </w:tcBorders>
          </w:tcPr>
          <w:p w14:paraId="4B545F04">
            <w:pPr>
              <w:jc w:val="right"/>
              <w:rPr>
                <w:rFonts w:cs="Times New Roman"/>
              </w:rPr>
            </w:pPr>
          </w:p>
        </w:tc>
      </w:tr>
      <w:sdt>
        <w:sdtPr>
          <w:alias w:val="采用成本计量模式的投资性房地产减值准备增加额明细"/>
          <w:tag w:val="_GBC_b49a6efa005440a98b6f653494a58e73"/>
          <w:id w:val="-1192995265"/>
          <w:placeholder>
            <w:docPart w:val="{f0b382af-66aa-46d0-817e-d8e960ceb529}"/>
          </w:placeholder>
        </w:sdtPr>
        <w:sdtContent>
          <w:sdt>
            <w:sdtPr>
              <w:alias w:val="采用成本计量模式的投资性房地产减值准备增加额明细"/>
              <w:tag w:val="_GBC_b49a6efa005440a98b6f653494a58e73"/>
              <w:id w:val="-1426952875"/>
              <w:placeholder>
                <w:docPart w:val="{f0b382af-66aa-46d0-817e-d8e960ceb529}"/>
              </w:placeholder>
            </w:sdtPr>
            <w:sdtEndPr>
              <w:rPr>
                <w:rFonts w:cs="Times New Roman"/>
              </w:rPr>
            </w:sdtEndPr>
            <w:sdtContent>
              <w:tr w14:paraId="7D289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091" w:type="pct"/>
                    <w:tcBorders>
                      <w:top w:val="single" w:color="auto" w:sz="4" w:space="0"/>
                      <w:left w:val="single" w:color="auto" w:sz="4" w:space="0"/>
                      <w:bottom w:val="single" w:color="auto" w:sz="4" w:space="0"/>
                      <w:right w:val="single" w:color="auto" w:sz="4" w:space="0"/>
                    </w:tcBorders>
                  </w:tcPr>
                  <w:p w14:paraId="3D49085A">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3.本期减少金额</w:t>
                    </w:r>
                  </w:p>
                </w:tc>
                <w:tc>
                  <w:tcPr>
                    <w:tcW w:w="1021" w:type="pct"/>
                    <w:tcBorders>
                      <w:top w:val="single" w:color="auto" w:sz="4" w:space="0"/>
                      <w:left w:val="single" w:color="auto" w:sz="4" w:space="0"/>
                      <w:bottom w:val="single" w:color="auto" w:sz="4" w:space="0"/>
                      <w:right w:val="single" w:color="auto" w:sz="4" w:space="0"/>
                    </w:tcBorders>
                  </w:tcPr>
                  <w:p w14:paraId="5F5F6660">
                    <w:pPr>
                      <w:jc w:val="right"/>
                      <w:rPr>
                        <w:rFonts w:cs="Times New Roman"/>
                      </w:rPr>
                    </w:pPr>
                  </w:p>
                </w:tc>
                <w:tc>
                  <w:tcPr>
                    <w:tcW w:w="892" w:type="pct"/>
                    <w:tcBorders>
                      <w:top w:val="single" w:color="auto" w:sz="4" w:space="0"/>
                      <w:left w:val="single" w:color="auto" w:sz="4" w:space="0"/>
                      <w:bottom w:val="single" w:color="auto" w:sz="4" w:space="0"/>
                      <w:right w:val="single" w:color="auto" w:sz="4" w:space="0"/>
                    </w:tcBorders>
                  </w:tcPr>
                  <w:p w14:paraId="48851770">
                    <w:pPr>
                      <w:jc w:val="right"/>
                      <w:rPr>
                        <w:rFonts w:cs="Times New Roman"/>
                      </w:rPr>
                    </w:pPr>
                  </w:p>
                </w:tc>
                <w:tc>
                  <w:tcPr>
                    <w:tcW w:w="994" w:type="pct"/>
                    <w:tcBorders>
                      <w:top w:val="single" w:color="auto" w:sz="4" w:space="0"/>
                      <w:left w:val="single" w:color="auto" w:sz="4" w:space="0"/>
                      <w:bottom w:val="single" w:color="auto" w:sz="4" w:space="0"/>
                      <w:right w:val="single" w:color="auto" w:sz="4" w:space="0"/>
                    </w:tcBorders>
                  </w:tcPr>
                  <w:p w14:paraId="30123DAE">
                    <w:pPr>
                      <w:jc w:val="right"/>
                      <w:rPr>
                        <w:rFonts w:cs="Times New Roman"/>
                      </w:rPr>
                    </w:pPr>
                  </w:p>
                </w:tc>
              </w:tr>
            </w:sdtContent>
          </w:sdt>
        </w:sdtContent>
      </w:sdt>
      <w:sdt>
        <w:sdtPr>
          <w:alias w:val="采用成本计量模式的投资性房地产减值准备减少额明细"/>
          <w:tag w:val="_GBC_5dc34feee296443984c8f69a0b5ea708"/>
          <w:id w:val="-1683738177"/>
          <w:placeholder>
            <w:docPart w:val="{f0b382af-66aa-46d0-817e-d8e960ceb529}"/>
          </w:placeholder>
        </w:sdtPr>
        <w:sdtEndPr>
          <w:rPr>
            <w:rFonts w:cs="Times New Roman"/>
          </w:rPr>
        </w:sdtEndPr>
        <w:sdtContent>
          <w:sdt>
            <w:sdtPr>
              <w:alias w:val="采用成本计量模式的投资性房地产减值准备减少额明细"/>
              <w:tag w:val="_GBC_5dc34feee296443984c8f69a0b5ea708"/>
              <w:id w:val="-42221865"/>
              <w:placeholder>
                <w:docPart w:val="{f0b382af-66aa-46d0-817e-d8e960ceb529}"/>
              </w:placeholder>
            </w:sdtPr>
            <w:sdtEndPr>
              <w:rPr>
                <w:rFonts w:cs="Times New Roman"/>
              </w:rPr>
            </w:sdtEndPr>
            <w:sdtContent>
              <w:tr w14:paraId="390B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091" w:type="pct"/>
                    <w:tcBorders>
                      <w:top w:val="single" w:color="auto" w:sz="4" w:space="0"/>
                      <w:left w:val="single" w:color="auto" w:sz="4" w:space="0"/>
                      <w:bottom w:val="single" w:color="auto" w:sz="4" w:space="0"/>
                      <w:right w:val="single" w:color="auto" w:sz="4" w:space="0"/>
                    </w:tcBorders>
                  </w:tcPr>
                  <w:p w14:paraId="5B77A8C7">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4.期末余额</w:t>
                    </w:r>
                  </w:p>
                </w:tc>
                <w:tc>
                  <w:tcPr>
                    <w:tcW w:w="1021" w:type="pct"/>
                    <w:tcBorders>
                      <w:top w:val="single" w:color="auto" w:sz="4" w:space="0"/>
                      <w:left w:val="single" w:color="auto" w:sz="4" w:space="0"/>
                      <w:bottom w:val="single" w:color="auto" w:sz="4" w:space="0"/>
                      <w:right w:val="single" w:color="auto" w:sz="4" w:space="0"/>
                    </w:tcBorders>
                    <w:vAlign w:val="center"/>
                  </w:tcPr>
                  <w:p w14:paraId="63119065">
                    <w:pPr>
                      <w:jc w:val="right"/>
                      <w:rPr>
                        <w:rFonts w:cs="Times New Roman"/>
                      </w:rPr>
                    </w:pPr>
                    <w:r>
                      <w:rPr>
                        <w:rFonts w:cs="Times New Roman"/>
                      </w:rPr>
                      <w:t>123,387,062.68</w:t>
                    </w:r>
                  </w:p>
                </w:tc>
                <w:tc>
                  <w:tcPr>
                    <w:tcW w:w="892" w:type="pct"/>
                    <w:tcBorders>
                      <w:top w:val="single" w:color="auto" w:sz="4" w:space="0"/>
                      <w:left w:val="single" w:color="auto" w:sz="4" w:space="0"/>
                      <w:bottom w:val="single" w:color="auto" w:sz="4" w:space="0"/>
                      <w:right w:val="single" w:color="auto" w:sz="4" w:space="0"/>
                    </w:tcBorders>
                  </w:tcPr>
                  <w:p w14:paraId="418A625B">
                    <w:pPr>
                      <w:jc w:val="right"/>
                      <w:rPr>
                        <w:rFonts w:cs="Times New Roman"/>
                      </w:rPr>
                    </w:pPr>
                  </w:p>
                </w:tc>
                <w:tc>
                  <w:tcPr>
                    <w:tcW w:w="994" w:type="pct"/>
                    <w:tcBorders>
                      <w:top w:val="single" w:color="auto" w:sz="4" w:space="0"/>
                      <w:left w:val="single" w:color="auto" w:sz="4" w:space="0"/>
                      <w:bottom w:val="single" w:color="auto" w:sz="4" w:space="0"/>
                      <w:right w:val="single" w:color="auto" w:sz="4" w:space="0"/>
                    </w:tcBorders>
                    <w:vAlign w:val="center"/>
                  </w:tcPr>
                  <w:p w14:paraId="091FD543">
                    <w:pPr>
                      <w:jc w:val="right"/>
                      <w:rPr>
                        <w:rFonts w:cs="Times New Roman"/>
                      </w:rPr>
                    </w:pPr>
                    <w:r>
                      <w:rPr>
                        <w:rFonts w:cs="Times New Roman"/>
                      </w:rPr>
                      <w:t>123,387,062.68</w:t>
                    </w:r>
                  </w:p>
                </w:tc>
              </w:tr>
            </w:sdtContent>
          </w:sdt>
        </w:sdtContent>
      </w:sdt>
      <w:tr w14:paraId="6C72E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rPr>
              <w:rFonts w:cs="Times New Roman"/>
            </w:rPr>
            <w:tag w:val="_PLD_dd5ff8f664da49d38ce3a1157275c392"/>
            <w:id w:val="-812630017"/>
          </w:sdtPr>
          <w:sdtEndPr>
            <w:rPr>
              <w:rFonts w:cs="Times New Roman"/>
            </w:rPr>
          </w:sdtEndPr>
          <w:sdtContent>
            <w:tc>
              <w:tcPr>
                <w:tcW w:w="5000" w:type="pct"/>
                <w:gridSpan w:val="4"/>
                <w:tcBorders>
                  <w:top w:val="single" w:color="auto" w:sz="4" w:space="0"/>
                  <w:left w:val="single" w:color="auto" w:sz="4" w:space="0"/>
                  <w:bottom w:val="single" w:color="auto" w:sz="4" w:space="0"/>
                  <w:right w:val="single" w:color="auto" w:sz="4" w:space="0"/>
                </w:tcBorders>
              </w:tcPr>
              <w:p w14:paraId="7CC070DF">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四、账面价值</w:t>
                </w:r>
              </w:p>
            </w:tc>
          </w:sdtContent>
        </w:sdt>
      </w:tr>
      <w:tr w14:paraId="5BEF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9e2ff7b138194a18892eb08dcc0b7923"/>
            <w:id w:val="1640379662"/>
          </w:sdtPr>
          <w:sdtContent>
            <w:tc>
              <w:tcPr>
                <w:tcW w:w="2091" w:type="pct"/>
                <w:tcBorders>
                  <w:top w:val="single" w:color="auto" w:sz="4" w:space="0"/>
                  <w:left w:val="single" w:color="auto" w:sz="4" w:space="0"/>
                  <w:bottom w:val="single" w:color="auto" w:sz="4" w:space="0"/>
                  <w:right w:val="single" w:color="auto" w:sz="4" w:space="0"/>
                </w:tcBorders>
              </w:tcPr>
              <w:p w14:paraId="781823D7">
                <w:pPr>
                  <w:ind w:firstLine="315" w:firstLineChars="15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期末账面价值</w:t>
                </w:r>
              </w:p>
            </w:tc>
          </w:sdtContent>
        </w:sdt>
        <w:tc>
          <w:tcPr>
            <w:tcW w:w="1021" w:type="pct"/>
            <w:tcBorders>
              <w:top w:val="single" w:color="auto" w:sz="4" w:space="0"/>
              <w:left w:val="single" w:color="auto" w:sz="4" w:space="0"/>
              <w:bottom w:val="single" w:color="auto" w:sz="4" w:space="0"/>
              <w:right w:val="single" w:color="auto" w:sz="4" w:space="0"/>
            </w:tcBorders>
            <w:vAlign w:val="center"/>
          </w:tcPr>
          <w:p w14:paraId="20155AED">
            <w:pPr>
              <w:jc w:val="right"/>
              <w:rPr>
                <w:rFonts w:cs="Times New Roman"/>
              </w:rPr>
            </w:pPr>
            <w:r>
              <w:rPr>
                <w:rFonts w:cs="Times New Roman"/>
              </w:rPr>
              <w:t>645,151,802.33</w:t>
            </w:r>
          </w:p>
        </w:tc>
        <w:tc>
          <w:tcPr>
            <w:tcW w:w="892" w:type="pct"/>
            <w:tcBorders>
              <w:top w:val="single" w:color="auto" w:sz="4" w:space="0"/>
              <w:left w:val="single" w:color="auto" w:sz="4" w:space="0"/>
              <w:bottom w:val="single" w:color="auto" w:sz="4" w:space="0"/>
              <w:right w:val="single" w:color="auto" w:sz="4" w:space="0"/>
            </w:tcBorders>
            <w:vAlign w:val="center"/>
          </w:tcPr>
          <w:p w14:paraId="783F5B18">
            <w:pPr>
              <w:jc w:val="right"/>
              <w:rPr>
                <w:rFonts w:cs="Times New Roman"/>
              </w:rPr>
            </w:pPr>
            <w:r>
              <w:rPr>
                <w:rFonts w:cs="Times New Roman"/>
              </w:rPr>
              <w:t>12,139,987.63</w:t>
            </w:r>
          </w:p>
        </w:tc>
        <w:tc>
          <w:tcPr>
            <w:tcW w:w="994" w:type="pct"/>
            <w:tcBorders>
              <w:top w:val="single" w:color="auto" w:sz="4" w:space="0"/>
              <w:left w:val="single" w:color="auto" w:sz="4" w:space="0"/>
              <w:bottom w:val="single" w:color="auto" w:sz="4" w:space="0"/>
              <w:right w:val="single" w:color="auto" w:sz="4" w:space="0"/>
            </w:tcBorders>
            <w:vAlign w:val="center"/>
          </w:tcPr>
          <w:p w14:paraId="0B37DA3B">
            <w:pPr>
              <w:jc w:val="right"/>
              <w:rPr>
                <w:rFonts w:cs="Times New Roman"/>
              </w:rPr>
            </w:pPr>
            <w:r>
              <w:rPr>
                <w:rFonts w:cs="Times New Roman"/>
              </w:rPr>
              <w:t>657,291,789.96</w:t>
            </w:r>
          </w:p>
        </w:tc>
      </w:tr>
      <w:tr w14:paraId="1D838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sdt>
          <w:sdtPr>
            <w:tag w:val="_PLD_6e9e2eed2bfa45eb8258d1b408d860b3"/>
            <w:id w:val="-1673488656"/>
          </w:sdtPr>
          <w:sdtContent>
            <w:tc>
              <w:tcPr>
                <w:tcW w:w="2091" w:type="pct"/>
                <w:tcBorders>
                  <w:top w:val="single" w:color="auto" w:sz="4" w:space="0"/>
                  <w:left w:val="single" w:color="auto" w:sz="4" w:space="0"/>
                  <w:bottom w:val="single" w:color="auto" w:sz="4" w:space="0"/>
                  <w:right w:val="single" w:color="auto" w:sz="4" w:space="0"/>
                </w:tcBorders>
              </w:tcPr>
              <w:p w14:paraId="4F9F35F1">
                <w:pPr>
                  <w:ind w:firstLine="315" w:firstLineChars="15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期初账面价值</w:t>
                </w:r>
              </w:p>
            </w:tc>
          </w:sdtContent>
        </w:sdt>
        <w:tc>
          <w:tcPr>
            <w:tcW w:w="1021" w:type="pct"/>
            <w:tcBorders>
              <w:top w:val="single" w:color="auto" w:sz="4" w:space="0"/>
              <w:left w:val="single" w:color="auto" w:sz="4" w:space="0"/>
              <w:bottom w:val="single" w:color="auto" w:sz="4" w:space="0"/>
              <w:right w:val="single" w:color="auto" w:sz="4" w:space="0"/>
            </w:tcBorders>
            <w:vAlign w:val="center"/>
          </w:tcPr>
          <w:p w14:paraId="0BD74EF0">
            <w:pPr>
              <w:jc w:val="right"/>
              <w:rPr>
                <w:rFonts w:cs="Times New Roman"/>
              </w:rPr>
            </w:pPr>
            <w:r>
              <w:rPr>
                <w:rFonts w:cs="Times New Roman"/>
              </w:rPr>
              <w:t>648,348,082.87</w:t>
            </w:r>
          </w:p>
        </w:tc>
        <w:tc>
          <w:tcPr>
            <w:tcW w:w="892" w:type="pct"/>
            <w:tcBorders>
              <w:top w:val="single" w:color="auto" w:sz="4" w:space="0"/>
              <w:left w:val="single" w:color="auto" w:sz="4" w:space="0"/>
              <w:bottom w:val="single" w:color="auto" w:sz="4" w:space="0"/>
              <w:right w:val="single" w:color="auto" w:sz="4" w:space="0"/>
            </w:tcBorders>
            <w:vAlign w:val="center"/>
          </w:tcPr>
          <w:p w14:paraId="7E89E95E">
            <w:pPr>
              <w:jc w:val="right"/>
              <w:rPr>
                <w:rFonts w:cs="Times New Roman"/>
              </w:rPr>
            </w:pPr>
            <w:r>
              <w:rPr>
                <w:rFonts w:cs="Times New Roman"/>
              </w:rPr>
              <w:t>12,303,921.85</w:t>
            </w:r>
          </w:p>
        </w:tc>
        <w:tc>
          <w:tcPr>
            <w:tcW w:w="994" w:type="pct"/>
            <w:tcBorders>
              <w:top w:val="single" w:color="auto" w:sz="4" w:space="0"/>
              <w:left w:val="single" w:color="auto" w:sz="4" w:space="0"/>
              <w:bottom w:val="single" w:color="auto" w:sz="4" w:space="0"/>
              <w:right w:val="single" w:color="auto" w:sz="4" w:space="0"/>
            </w:tcBorders>
            <w:vAlign w:val="center"/>
          </w:tcPr>
          <w:p w14:paraId="25A0AB29">
            <w:pPr>
              <w:jc w:val="right"/>
              <w:rPr>
                <w:rFonts w:cs="Times New Roman"/>
              </w:rPr>
            </w:pPr>
            <w:r>
              <w:rPr>
                <w:rFonts w:cs="Times New Roman"/>
              </w:rPr>
              <w:t>660,652,004.72</w:t>
            </w:r>
          </w:p>
        </w:tc>
      </w:tr>
    </w:tbl>
    <w:p w14:paraId="12F656B3"/>
    <w:p w14:paraId="5419F92F">
      <w:pPr>
        <w:pStyle w:val="5"/>
        <w:numPr>
          <w:ilvl w:val="0"/>
          <w:numId w:val="69"/>
        </w:numPr>
        <w:tabs>
          <w:tab w:val="left" w:pos="616"/>
        </w:tabs>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未办妥产权证书的投资性房地产情况：</w:t>
      </w:r>
    </w:p>
    <w:p w14:paraId="77A950D6">
      <w:pPr>
        <w:rPr>
          <w:color w:val="000000" w:themeColor="text1"/>
          <w14:textFill>
            <w14:solidFill>
              <w14:schemeClr w14:val="tx1"/>
            </w14:solidFill>
          </w14:textFill>
        </w:rPr>
      </w:pPr>
      <w:sdt>
        <w:sdtPr>
          <w:rPr>
            <w:color w:val="000000" w:themeColor="text1"/>
            <w14:textFill>
              <w14:solidFill>
                <w14:schemeClr w14:val="tx1"/>
              </w14:solidFill>
            </w14:textFill>
          </w:rPr>
          <w:alias w:val="是否适用：未办妥产权证书的投资性房地产情况[双击切换]"/>
          <w:tag w:val="_GBC_6ea8ec03c59f4a3585f376319ae453c5"/>
          <w:id w:val="-442382502"/>
        </w:sdtPr>
        <w:sdtEndPr>
          <w:rPr>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sdtContent>
      </w:sdt>
    </w:p>
    <w:p w14:paraId="40A0D6DA">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未办妥产权证书的投资性房地产情况"/>
          <w:tag w:val="_GBC_89ad3edd2c8344178a82ca92ba3aa649"/>
          <w:id w:val="1003628429"/>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未办妥产权证书的投资性房地产情况"/>
          <w:tag w:val="_GBC_319e60d20ba84767896da2a6acce957a"/>
          <w:id w:val="-184145620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9"/>
        <w:gridCol w:w="1691"/>
        <w:gridCol w:w="2879"/>
      </w:tblGrid>
      <w:tr w14:paraId="08528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tag w:val="_PLD_7c52e77cefcd4f20928046fc664a738d"/>
            <w:id w:val="1383598732"/>
          </w:sdtPr>
          <w:sdtContent>
            <w:tc>
              <w:tcPr>
                <w:tcW w:w="2474" w:type="pct"/>
                <w:vAlign w:val="center"/>
              </w:tcPr>
              <w:p w14:paraId="05C75616">
                <w:pPr>
                  <w:tabs>
                    <w:tab w:val="right" w:pos="3690"/>
                    <w:tab w:val="right" w:pos="5130"/>
                    <w:tab w:val="right" w:pos="6030"/>
                    <w:tab w:val="right" w:pos="7650"/>
                    <w:tab w:val="right" w:pos="9270"/>
                  </w:tabs>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09530227fc6641b8a91deec6d447dac0"/>
            <w:id w:val="-307941127"/>
          </w:sdtPr>
          <w:sdtContent>
            <w:tc>
              <w:tcPr>
                <w:tcW w:w="934" w:type="pct"/>
                <w:vAlign w:val="center"/>
              </w:tcPr>
              <w:p w14:paraId="0658AB6F">
                <w:pPr>
                  <w:tabs>
                    <w:tab w:val="right" w:pos="3690"/>
                    <w:tab w:val="right" w:pos="5130"/>
                    <w:tab w:val="right" w:pos="6030"/>
                    <w:tab w:val="right" w:pos="7650"/>
                    <w:tab w:val="right" w:pos="9270"/>
                  </w:tabs>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账面价值</w:t>
                </w:r>
              </w:p>
            </w:tc>
          </w:sdtContent>
        </w:sdt>
        <w:sdt>
          <w:sdtPr>
            <w:tag w:val="_PLD_4af635cb01b34ef8a8351309e6df2ec0"/>
            <w:id w:val="263277325"/>
          </w:sdtPr>
          <w:sdtContent>
            <w:tc>
              <w:tcPr>
                <w:tcW w:w="1590" w:type="pct"/>
                <w:vAlign w:val="center"/>
              </w:tcPr>
              <w:p w14:paraId="14FC8737">
                <w:pPr>
                  <w:tabs>
                    <w:tab w:val="right" w:pos="3690"/>
                    <w:tab w:val="right" w:pos="5130"/>
                    <w:tab w:val="right" w:pos="6030"/>
                    <w:tab w:val="right" w:pos="7650"/>
                    <w:tab w:val="right" w:pos="9270"/>
                  </w:tabs>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未办妥产权证书原因</w:t>
                </w:r>
              </w:p>
            </w:tc>
          </w:sdtContent>
        </w:sdt>
      </w:tr>
      <w:sdt>
        <w:sdtPr>
          <w:rPr>
            <w:color w:val="000000" w:themeColor="text1"/>
            <w14:textFill>
              <w14:solidFill>
                <w14:schemeClr w14:val="tx1"/>
              </w14:solidFill>
            </w14:textFill>
          </w:rPr>
          <w:alias w:val="未办妥产权证书的投资性房地产金额及原因明细"/>
          <w:tag w:val="_TUP_b8488f9577fc4efca936aea5a22c3395"/>
          <w:id w:val="-1955936079"/>
          <w:placeholder>
            <w:docPart w:val="{7e93b215-355b-4b72-ad54-81d0c9f5305e}"/>
          </w:placeholder>
        </w:sdtPr>
        <w:sdtEndPr>
          <w:rPr>
            <w:color w:val="000000" w:themeColor="text1"/>
            <w14:textFill>
              <w14:solidFill>
                <w14:schemeClr w14:val="tx1"/>
              </w14:solidFill>
            </w14:textFill>
          </w:rPr>
        </w:sdtEndPr>
        <w:sdtContent>
          <w:tr w14:paraId="4E03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vAlign w:val="center"/>
              </w:tcPr>
              <w:p w14:paraId="339FC0B8">
                <w:pPr>
                  <w:tabs>
                    <w:tab w:val="right" w:pos="3690"/>
                    <w:tab w:val="right" w:pos="5130"/>
                    <w:tab w:val="right" w:pos="6030"/>
                    <w:tab w:val="right" w:pos="7650"/>
                    <w:tab w:val="right" w:pos="9270"/>
                  </w:tabs>
                  <w:adjustRightInd w:val="0"/>
                  <w:snapToGrid w:val="0"/>
                  <w:jc w:val="both"/>
                </w:pPr>
                <w:r>
                  <w:rPr>
                    <w:rFonts w:hint="eastAsia"/>
                  </w:rPr>
                  <w:t>重庆际华目的地中心实业有限公司房屋建筑物</w:t>
                </w:r>
              </w:p>
            </w:tc>
            <w:tc>
              <w:tcPr>
                <w:tcW w:w="934" w:type="pct"/>
                <w:vAlign w:val="center"/>
              </w:tcPr>
              <w:p w14:paraId="3BF4F5CD">
                <w:pPr>
                  <w:tabs>
                    <w:tab w:val="right" w:pos="3690"/>
                    <w:tab w:val="right" w:pos="5130"/>
                    <w:tab w:val="right" w:pos="6030"/>
                    <w:tab w:val="right" w:pos="7650"/>
                    <w:tab w:val="right" w:pos="9270"/>
                  </w:tabs>
                  <w:adjustRightInd w:val="0"/>
                  <w:snapToGrid w:val="0"/>
                  <w:jc w:val="right"/>
                </w:pPr>
                <w:r>
                  <w:rPr>
                    <w:rFonts w:hint="eastAsia"/>
                  </w:rPr>
                  <w:t>104,367,950.52</w:t>
                </w:r>
              </w:p>
            </w:tc>
            <w:tc>
              <w:tcPr>
                <w:tcW w:w="1590" w:type="pct"/>
                <w:vAlign w:val="center"/>
              </w:tcPr>
              <w:p w14:paraId="4A705575">
                <w:pPr>
                  <w:tabs>
                    <w:tab w:val="right" w:pos="3690"/>
                    <w:tab w:val="right" w:pos="5130"/>
                    <w:tab w:val="right" w:pos="6030"/>
                    <w:tab w:val="right" w:pos="7650"/>
                    <w:tab w:val="right" w:pos="9270"/>
                  </w:tabs>
                  <w:adjustRightInd w:val="0"/>
                  <w:snapToGrid w:val="0"/>
                  <w:jc w:val="both"/>
                </w:pPr>
                <w:r>
                  <w:rPr>
                    <w:rFonts w:hint="eastAsia"/>
                  </w:rPr>
                  <w:t>正在办理中</w:t>
                </w:r>
              </w:p>
            </w:tc>
          </w:tr>
        </w:sdtContent>
      </w:sdt>
      <w:sdt>
        <w:sdtPr>
          <w:rPr>
            <w:color w:val="000000" w:themeColor="text1"/>
            <w14:textFill>
              <w14:solidFill>
                <w14:schemeClr w14:val="tx1"/>
              </w14:solidFill>
            </w14:textFill>
          </w:rPr>
          <w:alias w:val="未办妥产权证书的投资性房地产金额及原因明细"/>
          <w:tag w:val="_TUP_b8488f9577fc4efca936aea5a22c3395"/>
          <w:id w:val="-1983609105"/>
          <w:placeholder>
            <w:docPart w:val="{7e93b215-355b-4b72-ad54-81d0c9f5305e}"/>
          </w:placeholder>
        </w:sdtPr>
        <w:sdtEndPr>
          <w:rPr>
            <w:color w:val="000000" w:themeColor="text1"/>
            <w14:textFill>
              <w14:solidFill>
                <w14:schemeClr w14:val="tx1"/>
              </w14:solidFill>
            </w14:textFill>
          </w:rPr>
        </w:sdtEndPr>
        <w:sdtContent>
          <w:tr w14:paraId="7731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vAlign w:val="center"/>
              </w:tcPr>
              <w:p w14:paraId="49672B17">
                <w:pPr>
                  <w:tabs>
                    <w:tab w:val="right" w:pos="3690"/>
                    <w:tab w:val="right" w:pos="5130"/>
                    <w:tab w:val="right" w:pos="6030"/>
                    <w:tab w:val="right" w:pos="7650"/>
                    <w:tab w:val="right" w:pos="9270"/>
                  </w:tabs>
                  <w:adjustRightInd w:val="0"/>
                  <w:snapToGrid w:val="0"/>
                  <w:jc w:val="both"/>
                </w:pPr>
                <w:r>
                  <w:rPr>
                    <w:rFonts w:hint="eastAsia"/>
                  </w:rPr>
                  <w:t>际华三五一三实业有限公司新兴际华大厦、九锦台和光大路门面房A段</w:t>
                </w:r>
              </w:p>
            </w:tc>
            <w:tc>
              <w:tcPr>
                <w:tcW w:w="934" w:type="pct"/>
                <w:vAlign w:val="center"/>
              </w:tcPr>
              <w:p w14:paraId="600C107D">
                <w:pPr>
                  <w:tabs>
                    <w:tab w:val="right" w:pos="3690"/>
                    <w:tab w:val="right" w:pos="5130"/>
                    <w:tab w:val="right" w:pos="6030"/>
                    <w:tab w:val="right" w:pos="7650"/>
                    <w:tab w:val="right" w:pos="9270"/>
                  </w:tabs>
                  <w:adjustRightInd w:val="0"/>
                  <w:snapToGrid w:val="0"/>
                  <w:jc w:val="right"/>
                </w:pPr>
                <w:r>
                  <w:rPr>
                    <w:rFonts w:hint="eastAsia"/>
                  </w:rPr>
                  <w:t>96,064,565.94</w:t>
                </w:r>
              </w:p>
            </w:tc>
            <w:tc>
              <w:tcPr>
                <w:tcW w:w="1590" w:type="pct"/>
                <w:vAlign w:val="center"/>
              </w:tcPr>
              <w:p w14:paraId="3D234471">
                <w:pPr>
                  <w:tabs>
                    <w:tab w:val="right" w:pos="3690"/>
                    <w:tab w:val="right" w:pos="5130"/>
                    <w:tab w:val="right" w:pos="6030"/>
                    <w:tab w:val="right" w:pos="7650"/>
                    <w:tab w:val="right" w:pos="9270"/>
                  </w:tabs>
                  <w:adjustRightInd w:val="0"/>
                  <w:snapToGrid w:val="0"/>
                  <w:jc w:val="both"/>
                </w:pPr>
                <w:r>
                  <w:rPr>
                    <w:rFonts w:hint="eastAsia"/>
                  </w:rPr>
                  <w:t>正在办理中</w:t>
                </w:r>
              </w:p>
            </w:tc>
          </w:tr>
        </w:sdtContent>
      </w:sdt>
      <w:sdt>
        <w:sdtPr>
          <w:rPr>
            <w:color w:val="000000" w:themeColor="text1"/>
            <w14:textFill>
              <w14:solidFill>
                <w14:schemeClr w14:val="tx1"/>
              </w14:solidFill>
            </w14:textFill>
          </w:rPr>
          <w:alias w:val="未办妥产权证书的投资性房地产金额及原因明细"/>
          <w:tag w:val="_TUP_b8488f9577fc4efca936aea5a22c3395"/>
          <w:id w:val="-569273458"/>
          <w:placeholder>
            <w:docPart w:val="{7e93b215-355b-4b72-ad54-81d0c9f5305e}"/>
          </w:placeholder>
        </w:sdtPr>
        <w:sdtEndPr>
          <w:rPr>
            <w:color w:val="000000" w:themeColor="text1"/>
            <w14:textFill>
              <w14:solidFill>
                <w14:schemeClr w14:val="tx1"/>
              </w14:solidFill>
            </w14:textFill>
          </w:rPr>
        </w:sdtEndPr>
        <w:sdtContent>
          <w:tr w14:paraId="0ED7B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vAlign w:val="center"/>
              </w:tcPr>
              <w:p w14:paraId="6E52C46A">
                <w:pPr>
                  <w:tabs>
                    <w:tab w:val="right" w:pos="3690"/>
                    <w:tab w:val="right" w:pos="5130"/>
                    <w:tab w:val="right" w:pos="6030"/>
                    <w:tab w:val="right" w:pos="7650"/>
                    <w:tab w:val="right" w:pos="9270"/>
                  </w:tabs>
                  <w:adjustRightInd w:val="0"/>
                  <w:snapToGrid w:val="0"/>
                  <w:jc w:val="both"/>
                </w:pPr>
                <w:r>
                  <w:rPr>
                    <w:rFonts w:hint="eastAsia"/>
                  </w:rPr>
                  <w:t>际华三五零六纺织服装有限公司同馨商务大厦(2、6、10层)</w:t>
                </w:r>
              </w:p>
            </w:tc>
            <w:tc>
              <w:tcPr>
                <w:tcW w:w="934" w:type="pct"/>
                <w:vAlign w:val="center"/>
              </w:tcPr>
              <w:p w14:paraId="17DA5AB4">
                <w:pPr>
                  <w:tabs>
                    <w:tab w:val="right" w:pos="3690"/>
                    <w:tab w:val="right" w:pos="5130"/>
                    <w:tab w:val="right" w:pos="6030"/>
                    <w:tab w:val="right" w:pos="7650"/>
                    <w:tab w:val="right" w:pos="9270"/>
                  </w:tabs>
                  <w:adjustRightInd w:val="0"/>
                  <w:snapToGrid w:val="0"/>
                  <w:jc w:val="right"/>
                </w:pPr>
                <w:r>
                  <w:rPr>
                    <w:rFonts w:hint="eastAsia"/>
                  </w:rPr>
                  <w:t>51,806,250.00</w:t>
                </w:r>
              </w:p>
            </w:tc>
            <w:tc>
              <w:tcPr>
                <w:tcW w:w="1590" w:type="pct"/>
                <w:vAlign w:val="center"/>
              </w:tcPr>
              <w:p w14:paraId="7BB0651D">
                <w:pPr>
                  <w:tabs>
                    <w:tab w:val="right" w:pos="3690"/>
                    <w:tab w:val="right" w:pos="5130"/>
                    <w:tab w:val="right" w:pos="6030"/>
                    <w:tab w:val="right" w:pos="7650"/>
                    <w:tab w:val="right" w:pos="9270"/>
                  </w:tabs>
                  <w:adjustRightInd w:val="0"/>
                  <w:snapToGrid w:val="0"/>
                  <w:jc w:val="both"/>
                </w:pPr>
                <w:r>
                  <w:rPr>
                    <w:rFonts w:hint="eastAsia"/>
                  </w:rPr>
                  <w:t>正在办理中</w:t>
                </w:r>
              </w:p>
            </w:tc>
          </w:tr>
        </w:sdtContent>
      </w:sdt>
      <w:sdt>
        <w:sdtPr>
          <w:rPr>
            <w:color w:val="000000" w:themeColor="text1"/>
            <w14:textFill>
              <w14:solidFill>
                <w14:schemeClr w14:val="tx1"/>
              </w14:solidFill>
            </w14:textFill>
          </w:rPr>
          <w:alias w:val="未办妥产权证书的投资性房地产金额及原因明细"/>
          <w:tag w:val="_TUP_b8488f9577fc4efca936aea5a22c3395"/>
          <w:id w:val="-74745675"/>
          <w:placeholder>
            <w:docPart w:val="{7e93b215-355b-4b72-ad54-81d0c9f5305e}"/>
          </w:placeholder>
        </w:sdtPr>
        <w:sdtEndPr>
          <w:rPr>
            <w:color w:val="000000" w:themeColor="text1"/>
            <w14:textFill>
              <w14:solidFill>
                <w14:schemeClr w14:val="tx1"/>
              </w14:solidFill>
            </w14:textFill>
          </w:rPr>
        </w:sdtEndPr>
        <w:sdtContent>
          <w:tr w14:paraId="6202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vAlign w:val="center"/>
              </w:tcPr>
              <w:p w14:paraId="78CA3CD3">
                <w:pPr>
                  <w:tabs>
                    <w:tab w:val="right" w:pos="3690"/>
                    <w:tab w:val="right" w:pos="5130"/>
                    <w:tab w:val="right" w:pos="6030"/>
                    <w:tab w:val="right" w:pos="7650"/>
                    <w:tab w:val="right" w:pos="9270"/>
                  </w:tabs>
                  <w:adjustRightInd w:val="0"/>
                  <w:snapToGrid w:val="0"/>
                  <w:jc w:val="both"/>
                </w:pPr>
                <w:r>
                  <w:rPr>
                    <w:rFonts w:hint="eastAsia"/>
                  </w:rPr>
                  <w:t>际华三五一二皮革服装有限公司新区行政综合楼、值班室</w:t>
                </w:r>
              </w:p>
            </w:tc>
            <w:tc>
              <w:tcPr>
                <w:tcW w:w="934" w:type="pct"/>
                <w:vAlign w:val="center"/>
              </w:tcPr>
              <w:p w14:paraId="73A05C2E">
                <w:pPr>
                  <w:tabs>
                    <w:tab w:val="right" w:pos="3690"/>
                    <w:tab w:val="right" w:pos="5130"/>
                    <w:tab w:val="right" w:pos="6030"/>
                    <w:tab w:val="right" w:pos="7650"/>
                    <w:tab w:val="right" w:pos="9270"/>
                  </w:tabs>
                  <w:adjustRightInd w:val="0"/>
                  <w:snapToGrid w:val="0"/>
                  <w:jc w:val="right"/>
                </w:pPr>
                <w:r>
                  <w:rPr>
                    <w:rFonts w:hint="eastAsia"/>
                  </w:rPr>
                  <w:t>10,830,441.94</w:t>
                </w:r>
              </w:p>
            </w:tc>
            <w:tc>
              <w:tcPr>
                <w:tcW w:w="1590" w:type="pct"/>
                <w:vAlign w:val="center"/>
              </w:tcPr>
              <w:p w14:paraId="301F1A06">
                <w:pPr>
                  <w:tabs>
                    <w:tab w:val="right" w:pos="3690"/>
                    <w:tab w:val="right" w:pos="5130"/>
                    <w:tab w:val="right" w:pos="6030"/>
                    <w:tab w:val="right" w:pos="7650"/>
                    <w:tab w:val="right" w:pos="9270"/>
                  </w:tabs>
                  <w:adjustRightInd w:val="0"/>
                  <w:snapToGrid w:val="0"/>
                  <w:jc w:val="both"/>
                </w:pPr>
                <w:r>
                  <w:rPr>
                    <w:rFonts w:hint="eastAsia"/>
                  </w:rPr>
                  <w:t>正在办理中</w:t>
                </w:r>
              </w:p>
            </w:tc>
          </w:tr>
        </w:sdtContent>
      </w:sdt>
      <w:sdt>
        <w:sdtPr>
          <w:rPr>
            <w:color w:val="000000" w:themeColor="text1"/>
            <w14:textFill>
              <w14:solidFill>
                <w14:schemeClr w14:val="tx1"/>
              </w14:solidFill>
            </w14:textFill>
          </w:rPr>
          <w:alias w:val="未办妥产权证书的投资性房地产金额及原因明细"/>
          <w:tag w:val="_TUP_b8488f9577fc4efca936aea5a22c3395"/>
          <w:id w:val="73868376"/>
          <w:placeholder>
            <w:docPart w:val="{7e93b215-355b-4b72-ad54-81d0c9f5305e}"/>
          </w:placeholder>
        </w:sdtPr>
        <w:sdtEndPr>
          <w:rPr>
            <w:color w:val="000000" w:themeColor="text1"/>
            <w14:textFill>
              <w14:solidFill>
                <w14:schemeClr w14:val="tx1"/>
              </w14:solidFill>
            </w14:textFill>
          </w:rPr>
        </w:sdtEndPr>
        <w:sdtContent>
          <w:tr w14:paraId="5999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vAlign w:val="center"/>
              </w:tcPr>
              <w:p w14:paraId="68F1EDFC">
                <w:pPr>
                  <w:tabs>
                    <w:tab w:val="right" w:pos="3690"/>
                    <w:tab w:val="right" w:pos="5130"/>
                    <w:tab w:val="right" w:pos="6030"/>
                    <w:tab w:val="right" w:pos="7650"/>
                    <w:tab w:val="right" w:pos="9270"/>
                  </w:tabs>
                  <w:adjustRightInd w:val="0"/>
                  <w:snapToGrid w:val="0"/>
                  <w:jc w:val="both"/>
                </w:pPr>
                <w:r>
                  <w:rPr>
                    <w:rFonts w:hint="eastAsia"/>
                  </w:rPr>
                  <w:t>际华三五一一实业有限公司昆明花园门面房</w:t>
                </w:r>
              </w:p>
            </w:tc>
            <w:tc>
              <w:tcPr>
                <w:tcW w:w="934" w:type="pct"/>
                <w:vAlign w:val="center"/>
              </w:tcPr>
              <w:p w14:paraId="6626D60D">
                <w:pPr>
                  <w:tabs>
                    <w:tab w:val="right" w:pos="3690"/>
                    <w:tab w:val="right" w:pos="5130"/>
                    <w:tab w:val="right" w:pos="6030"/>
                    <w:tab w:val="right" w:pos="7650"/>
                    <w:tab w:val="right" w:pos="9270"/>
                  </w:tabs>
                  <w:adjustRightInd w:val="0"/>
                  <w:snapToGrid w:val="0"/>
                  <w:jc w:val="right"/>
                </w:pPr>
                <w:r>
                  <w:rPr>
                    <w:rFonts w:hint="eastAsia"/>
                  </w:rPr>
                  <w:t>37,468,798.94</w:t>
                </w:r>
              </w:p>
            </w:tc>
            <w:tc>
              <w:tcPr>
                <w:tcW w:w="1590" w:type="pct"/>
                <w:vAlign w:val="center"/>
              </w:tcPr>
              <w:p w14:paraId="29806113">
                <w:pPr>
                  <w:tabs>
                    <w:tab w:val="right" w:pos="3690"/>
                    <w:tab w:val="right" w:pos="5130"/>
                    <w:tab w:val="right" w:pos="6030"/>
                    <w:tab w:val="right" w:pos="7650"/>
                    <w:tab w:val="right" w:pos="9270"/>
                  </w:tabs>
                  <w:adjustRightInd w:val="0"/>
                  <w:snapToGrid w:val="0"/>
                  <w:jc w:val="both"/>
                </w:pPr>
                <w:r>
                  <w:rPr>
                    <w:rFonts w:hint="eastAsia"/>
                  </w:rPr>
                  <w:t>正在办理中</w:t>
                </w:r>
              </w:p>
            </w:tc>
          </w:tr>
        </w:sdtContent>
      </w:sdt>
      <w:sdt>
        <w:sdtPr>
          <w:rPr>
            <w:color w:val="000000" w:themeColor="text1"/>
            <w14:textFill>
              <w14:solidFill>
                <w14:schemeClr w14:val="tx1"/>
              </w14:solidFill>
            </w14:textFill>
          </w:rPr>
          <w:alias w:val="未办妥产权证书的投资性房地产金额及原因明细"/>
          <w:tag w:val="_TUP_b8488f9577fc4efca936aea5a22c3395"/>
          <w:id w:val="-2057922113"/>
          <w:placeholder>
            <w:docPart w:val="{7e93b215-355b-4b72-ad54-81d0c9f5305e}"/>
          </w:placeholder>
        </w:sdtPr>
        <w:sdtEndPr>
          <w:rPr>
            <w:color w:val="000000" w:themeColor="text1"/>
            <w14:textFill>
              <w14:solidFill>
                <w14:schemeClr w14:val="tx1"/>
              </w14:solidFill>
            </w14:textFill>
          </w:rPr>
        </w:sdtEndPr>
        <w:sdtContent>
          <w:tr w14:paraId="04D3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vAlign w:val="center"/>
              </w:tcPr>
              <w:p w14:paraId="59061C08">
                <w:pPr>
                  <w:tabs>
                    <w:tab w:val="right" w:pos="3690"/>
                    <w:tab w:val="right" w:pos="5130"/>
                    <w:tab w:val="right" w:pos="6030"/>
                    <w:tab w:val="right" w:pos="7650"/>
                    <w:tab w:val="right" w:pos="9270"/>
                  </w:tabs>
                  <w:adjustRightInd w:val="0"/>
                  <w:snapToGrid w:val="0"/>
                  <w:jc w:val="both"/>
                </w:pPr>
                <w:r>
                  <w:rPr>
                    <w:rFonts w:hint="eastAsia"/>
                  </w:rPr>
                  <w:t>际华三五三四制衣有限公司9号U型工房</w:t>
                </w:r>
              </w:p>
            </w:tc>
            <w:tc>
              <w:tcPr>
                <w:tcW w:w="934" w:type="pct"/>
                <w:vAlign w:val="center"/>
              </w:tcPr>
              <w:p w14:paraId="332BE5FD">
                <w:pPr>
                  <w:tabs>
                    <w:tab w:val="right" w:pos="3690"/>
                    <w:tab w:val="right" w:pos="5130"/>
                    <w:tab w:val="right" w:pos="6030"/>
                    <w:tab w:val="right" w:pos="7650"/>
                    <w:tab w:val="right" w:pos="9270"/>
                  </w:tabs>
                  <w:adjustRightInd w:val="0"/>
                  <w:snapToGrid w:val="0"/>
                  <w:jc w:val="right"/>
                </w:pPr>
                <w:r>
                  <w:rPr>
                    <w:rFonts w:hint="eastAsia"/>
                  </w:rPr>
                  <w:t>11,518,470.36</w:t>
                </w:r>
              </w:p>
            </w:tc>
            <w:tc>
              <w:tcPr>
                <w:tcW w:w="1590" w:type="pct"/>
                <w:vAlign w:val="center"/>
              </w:tcPr>
              <w:p w14:paraId="0DEA4E87">
                <w:pPr>
                  <w:tabs>
                    <w:tab w:val="right" w:pos="3690"/>
                    <w:tab w:val="right" w:pos="5130"/>
                    <w:tab w:val="right" w:pos="6030"/>
                    <w:tab w:val="right" w:pos="7650"/>
                    <w:tab w:val="right" w:pos="9270"/>
                  </w:tabs>
                  <w:adjustRightInd w:val="0"/>
                  <w:snapToGrid w:val="0"/>
                  <w:jc w:val="both"/>
                </w:pPr>
                <w:r>
                  <w:rPr>
                    <w:rFonts w:hint="eastAsia"/>
                  </w:rPr>
                  <w:t>正在办理中</w:t>
                </w:r>
              </w:p>
            </w:tc>
          </w:tr>
        </w:sdtContent>
      </w:sdt>
      <w:sdt>
        <w:sdtPr>
          <w:rPr>
            <w:color w:val="000000" w:themeColor="text1"/>
            <w14:textFill>
              <w14:solidFill>
                <w14:schemeClr w14:val="tx1"/>
              </w14:solidFill>
            </w14:textFill>
          </w:rPr>
          <w:alias w:val="未办妥产权证书的投资性房地产金额及原因明细"/>
          <w:tag w:val="_TUP_b8488f9577fc4efca936aea5a22c3395"/>
          <w:id w:val="-1863423041"/>
          <w:placeholder>
            <w:docPart w:val="{7e93b215-355b-4b72-ad54-81d0c9f5305e}"/>
          </w:placeholder>
        </w:sdtPr>
        <w:sdtEndPr>
          <w:rPr>
            <w:color w:val="000000" w:themeColor="text1"/>
            <w14:textFill>
              <w14:solidFill>
                <w14:schemeClr w14:val="tx1"/>
              </w14:solidFill>
            </w14:textFill>
          </w:rPr>
        </w:sdtEndPr>
        <w:sdtContent>
          <w:tr w14:paraId="5A7D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14:paraId="29D5EE53">
                <w:pPr>
                  <w:tabs>
                    <w:tab w:val="right" w:pos="3690"/>
                    <w:tab w:val="right" w:pos="5130"/>
                    <w:tab w:val="right" w:pos="6030"/>
                    <w:tab w:val="right" w:pos="7650"/>
                    <w:tab w:val="right" w:pos="9270"/>
                  </w:tabs>
                  <w:adjustRightInd w:val="0"/>
                  <w:snapToGrid w:val="0"/>
                  <w:jc w:val="center"/>
                </w:pPr>
                <w:r>
                  <w:rPr>
                    <w:rFonts w:hint="eastAsia"/>
                  </w:rPr>
                  <w:t>合计</w:t>
                </w:r>
              </w:p>
            </w:tc>
            <w:tc>
              <w:tcPr>
                <w:tcW w:w="934" w:type="pct"/>
                <w:vAlign w:val="center"/>
              </w:tcPr>
              <w:p w14:paraId="0AA55EF3">
                <w:pPr>
                  <w:tabs>
                    <w:tab w:val="right" w:pos="3690"/>
                    <w:tab w:val="right" w:pos="5130"/>
                    <w:tab w:val="right" w:pos="6030"/>
                    <w:tab w:val="right" w:pos="7650"/>
                    <w:tab w:val="right" w:pos="9270"/>
                  </w:tabs>
                  <w:adjustRightInd w:val="0"/>
                  <w:snapToGrid w:val="0"/>
                  <w:jc w:val="right"/>
                </w:pPr>
                <w:r>
                  <w:rPr>
                    <w:rFonts w:hint="eastAsia"/>
                  </w:rPr>
                  <w:t>312,056,477.70</w:t>
                </w:r>
              </w:p>
            </w:tc>
            <w:tc>
              <w:tcPr>
                <w:tcW w:w="1590" w:type="pct"/>
              </w:tcPr>
              <w:p w14:paraId="65C6FB2B">
                <w:pPr>
                  <w:tabs>
                    <w:tab w:val="right" w:pos="3690"/>
                    <w:tab w:val="right" w:pos="5130"/>
                    <w:tab w:val="right" w:pos="6030"/>
                    <w:tab w:val="right" w:pos="7650"/>
                    <w:tab w:val="right" w:pos="9270"/>
                  </w:tabs>
                  <w:adjustRightInd w:val="0"/>
                  <w:snapToGrid w:val="0"/>
                </w:pPr>
              </w:p>
            </w:tc>
          </w:tr>
        </w:sdtContent>
      </w:sdt>
    </w:tbl>
    <w:p w14:paraId="79C77145"/>
    <w:p w14:paraId="50893EE4">
      <w:pPr>
        <w:pStyle w:val="5"/>
        <w:numPr>
          <w:ilvl w:val="0"/>
          <w:numId w:val="69"/>
        </w:numPr>
        <w:tabs>
          <w:tab w:val="left" w:pos="616"/>
        </w:tabs>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采用成本计量模式的投资性房地产的减值测试情况</w:t>
      </w:r>
    </w:p>
    <w:sdt>
      <w:sdtPr>
        <w:rPr>
          <w:color w:val="000000" w:themeColor="text1"/>
          <w14:textFill>
            <w14:solidFill>
              <w14:schemeClr w14:val="tx1"/>
            </w14:solidFill>
          </w14:textFill>
        </w:rPr>
        <w:alias w:val="是否适用：减值测试情况[双击切换]"/>
        <w:tag w:val="_GBC_14e138c3da48491787bccf21877f5a28"/>
        <w:id w:val="147473699"/>
        <w:placeholder>
          <w:docPart w:val="GBC22222222222222222222222222222"/>
        </w:placeholder>
      </w:sdtPr>
      <w:sdtEndPr>
        <w:rPr>
          <w:color w:val="000000" w:themeColor="text1"/>
          <w14:textFill>
            <w14:solidFill>
              <w14:schemeClr w14:val="tx1"/>
            </w14:solidFill>
          </w14:textFill>
        </w:rPr>
      </w:sdtEndPr>
      <w:sdtContent>
        <w:p w14:paraId="4F8C7E0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817BAF6">
      <w:pPr>
        <w:snapToGrid w:val="0"/>
        <w:spacing w:line="240" w:lineRule="atLeast"/>
        <w:rPr>
          <w:color w:val="000000" w:themeColor="text1"/>
          <w14:textFill>
            <w14:solidFill>
              <w14:schemeClr w14:val="tx1"/>
            </w14:solidFill>
          </w14:textFill>
        </w:rPr>
      </w:pPr>
    </w:p>
    <w:bookmarkEnd w:id="306"/>
    <w:bookmarkEnd w:id="307"/>
    <w:p w14:paraId="1CC4A14A">
      <w:pPr>
        <w:rPr>
          <w:color w:val="000000" w:themeColor="text1"/>
          <w14:textFill>
            <w14:solidFill>
              <w14:schemeClr w14:val="tx1"/>
            </w14:solidFill>
          </w14:textFill>
        </w:rPr>
      </w:pPr>
      <w:bookmarkStart w:id="308" w:name="_Hlk167895445"/>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投资性房地产的说明[双击切换]"/>
        <w:tag w:val="_GBC_b8a71f0668054d4690d61665ba8183c0"/>
        <w:id w:val="147462573"/>
        <w:placeholder>
          <w:docPart w:val="GBC22222222222222222222222222222"/>
        </w:placeholder>
      </w:sdtPr>
      <w:sdtEndPr>
        <w:rPr>
          <w:color w:val="000000" w:themeColor="text1"/>
          <w14:textFill>
            <w14:solidFill>
              <w14:schemeClr w14:val="tx1"/>
            </w14:solidFill>
          </w14:textFill>
        </w:rPr>
      </w:sdtEndPr>
      <w:sdtContent>
        <w:p w14:paraId="3DDB67A9">
          <w:pPr>
            <w:rPr>
              <w:rFonts w:cstheme="minorBidi"/>
              <w:color w:val="000000" w:themeColor="text1"/>
              <w:kern w:val="2"/>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08"/>
    <w:p w14:paraId="303B2926">
      <w:pPr>
        <w:ind w:right="283"/>
        <w:rPr>
          <w:color w:val="000000" w:themeColor="text1"/>
          <w14:textFill>
            <w14:solidFill>
              <w14:schemeClr w14:val="tx1"/>
            </w14:solidFill>
          </w14:textFill>
        </w:rPr>
      </w:pPr>
      <w:bookmarkStart w:id="309" w:name="_Hlk167895546"/>
      <w:bookmarkEnd w:id="309"/>
    </w:p>
    <w:p w14:paraId="2389DDEB">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固定资产</w:t>
      </w:r>
    </w:p>
    <w:p w14:paraId="7DDAE4A4">
      <w:pPr>
        <w:pStyle w:val="58"/>
        <w:tabs>
          <w:tab w:val="left" w:pos="588"/>
        </w:tabs>
        <w:rPr>
          <w:rFonts w:ascii="宋体" w:hAnsi="宋体"/>
          <w:color w:val="000000" w:themeColor="text1"/>
          <w14:textFill>
            <w14:solidFill>
              <w14:schemeClr w14:val="tx1"/>
            </w14:solidFill>
          </w14:textFill>
        </w:rPr>
      </w:pPr>
      <w:bookmarkStart w:id="310" w:name="_Hlk10472369"/>
      <w:r>
        <w:rPr>
          <w:rFonts w:hint="eastAsia" w:ascii="宋体" w:hAnsi="宋体"/>
          <w:color w:val="000000" w:themeColor="text1"/>
          <w14:textFill>
            <w14:solidFill>
              <w14:schemeClr w14:val="tx1"/>
            </w14:solidFill>
          </w14:textFill>
        </w:rPr>
        <w:t>项目列示</w:t>
      </w:r>
    </w:p>
    <w:sdt>
      <w:sdtPr>
        <w:rPr>
          <w:color w:val="000000" w:themeColor="text1"/>
          <w14:textFill>
            <w14:solidFill>
              <w14:schemeClr w14:val="tx1"/>
            </w14:solidFill>
          </w14:textFill>
        </w:rPr>
        <w:alias w:val="是否适用：固定资产分类列示[双击切换]"/>
        <w:tag w:val="_GBC_73d82e583dcc4330bebfeb83abd5f5bb"/>
        <w:id w:val="147455598"/>
        <w:placeholder>
          <w:docPart w:val="GBC22222222222222222222222222222"/>
        </w:placeholder>
      </w:sdtPr>
      <w:sdtEndPr>
        <w:rPr>
          <w:color w:val="000000" w:themeColor="text1"/>
          <w14:textFill>
            <w14:solidFill>
              <w14:schemeClr w14:val="tx1"/>
            </w14:solidFill>
          </w14:textFill>
        </w:rPr>
      </w:sdtEndPr>
      <w:sdtContent>
        <w:p w14:paraId="355E440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7467BCA">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固定资产分类列示"/>
          <w:tag w:val="_GBC_1ddbfde119544f109a3b12a48ffde12d"/>
          <w:id w:val="1474825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固定资产分类列示"/>
          <w:tag w:val="_GBC_fcb83ec59024431d9f3167f55c1ae7c0"/>
          <w:id w:val="1474831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8"/>
        <w:gridCol w:w="2863"/>
        <w:gridCol w:w="2878"/>
      </w:tblGrid>
      <w:tr w14:paraId="51A4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242dd3761084b5fa8943b910dbdbe45"/>
            <w:id w:val="147479576"/>
          </w:sdtPr>
          <w:sdtContent>
            <w:tc>
              <w:tcPr>
                <w:tcW w:w="1828" w:type="pct"/>
                <w:vAlign w:val="center"/>
              </w:tcPr>
              <w:p w14:paraId="5599CC8B">
                <w:pPr>
                  <w:tabs>
                    <w:tab w:val="right" w:pos="3690"/>
                    <w:tab w:val="right" w:pos="5130"/>
                    <w:tab w:val="right" w:pos="6030"/>
                    <w:tab w:val="right" w:pos="7650"/>
                    <w:tab w:val="right" w:pos="9270"/>
                  </w:tabs>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666df388ce2f4405af4694ebf5c112ca"/>
            <w:id w:val="147472621"/>
          </w:sdtPr>
          <w:sdtContent>
            <w:tc>
              <w:tcPr>
                <w:tcW w:w="1582" w:type="pct"/>
                <w:vAlign w:val="center"/>
              </w:tcPr>
              <w:p w14:paraId="1F89B22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ca4fd9ec8b6a43259f78c36475f04e58"/>
            <w:id w:val="147467429"/>
          </w:sdtPr>
          <w:sdtContent>
            <w:tc>
              <w:tcPr>
                <w:tcW w:w="1591" w:type="pct"/>
                <w:vAlign w:val="center"/>
              </w:tcPr>
              <w:p w14:paraId="6965C21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6289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tcPr>
          <w:p w14:paraId="2DEE2383">
            <w:pPr>
              <w:tabs>
                <w:tab w:val="right" w:pos="3690"/>
                <w:tab w:val="right" w:pos="5130"/>
                <w:tab w:val="right" w:pos="6030"/>
                <w:tab w:val="right" w:pos="7650"/>
                <w:tab w:val="right" w:pos="9270"/>
              </w:tabs>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固定资产</w:t>
            </w:r>
          </w:p>
        </w:tc>
        <w:tc>
          <w:tcPr>
            <w:tcW w:w="1582" w:type="pct"/>
            <w:vAlign w:val="center"/>
          </w:tcPr>
          <w:p w14:paraId="0662D0A4">
            <w:pPr>
              <w:jc w:val="right"/>
              <w:textAlignment w:val="center"/>
              <w:rPr>
                <w:rFonts w:cs="Times New Roman"/>
              </w:rPr>
            </w:pPr>
            <w:r>
              <w:rPr>
                <w:rFonts w:cs="Times New Roman"/>
                <w:color w:val="000000"/>
              </w:rPr>
              <w:t>3,956,712,504.09</w:t>
            </w:r>
          </w:p>
        </w:tc>
        <w:tc>
          <w:tcPr>
            <w:tcW w:w="1591" w:type="pct"/>
            <w:vAlign w:val="center"/>
          </w:tcPr>
          <w:p w14:paraId="3621BF24">
            <w:pPr>
              <w:jc w:val="right"/>
              <w:textAlignment w:val="center"/>
              <w:rPr>
                <w:rFonts w:cs="Times New Roman"/>
              </w:rPr>
            </w:pPr>
            <w:r>
              <w:rPr>
                <w:rFonts w:cs="Times New Roman"/>
                <w:color w:val="000000"/>
              </w:rPr>
              <w:t>4,015,619,946.00</w:t>
            </w:r>
          </w:p>
        </w:tc>
      </w:tr>
      <w:tr w14:paraId="0C324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vAlign w:val="center"/>
          </w:tcPr>
          <w:p w14:paraId="5C79114C">
            <w:pPr>
              <w:tabs>
                <w:tab w:val="right" w:pos="3690"/>
                <w:tab w:val="right" w:pos="5130"/>
                <w:tab w:val="right" w:pos="6030"/>
                <w:tab w:val="right" w:pos="7650"/>
                <w:tab w:val="right" w:pos="9270"/>
              </w:tabs>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582" w:type="pct"/>
            <w:vAlign w:val="center"/>
          </w:tcPr>
          <w:p w14:paraId="12FD2567">
            <w:pPr>
              <w:jc w:val="right"/>
              <w:textAlignment w:val="center"/>
              <w:rPr>
                <w:rFonts w:cs="Times New Roman"/>
              </w:rPr>
            </w:pPr>
            <w:r>
              <w:rPr>
                <w:rFonts w:cs="Times New Roman"/>
                <w:color w:val="000000"/>
              </w:rPr>
              <w:t>3,956,712,504.09</w:t>
            </w:r>
          </w:p>
        </w:tc>
        <w:tc>
          <w:tcPr>
            <w:tcW w:w="1591" w:type="pct"/>
            <w:vAlign w:val="center"/>
          </w:tcPr>
          <w:p w14:paraId="66C3C987">
            <w:pPr>
              <w:jc w:val="right"/>
              <w:textAlignment w:val="center"/>
              <w:rPr>
                <w:rFonts w:cs="Times New Roman"/>
              </w:rPr>
            </w:pPr>
            <w:r>
              <w:rPr>
                <w:rFonts w:cs="Times New Roman"/>
                <w:color w:val="000000"/>
              </w:rPr>
              <w:t>4,015,619,946.00</w:t>
            </w:r>
          </w:p>
        </w:tc>
      </w:tr>
      <w:bookmarkEnd w:id="310"/>
    </w:tbl>
    <w:p w14:paraId="3B9C6765">
      <w:pPr>
        <w:rPr>
          <w:color w:val="000000" w:themeColor="text1"/>
          <w14:textFill>
            <w14:solidFill>
              <w14:schemeClr w14:val="tx1"/>
            </w14:solidFill>
          </w14:textFill>
        </w:rPr>
      </w:pPr>
      <w:bookmarkStart w:id="311" w:name="_Hlk10472389"/>
      <w:bookmarkStart w:id="312" w:name="_Hlk10472397"/>
      <w:r>
        <w:rPr>
          <w:rFonts w:hint="eastAsia"/>
          <w:color w:val="000000" w:themeColor="text1"/>
          <w14:textFill>
            <w14:solidFill>
              <w14:schemeClr w14:val="tx1"/>
            </w14:solidFill>
          </w14:textFill>
        </w:rPr>
        <w:t>其他说明：</w:t>
      </w:r>
      <w:bookmarkEnd w:id="311"/>
    </w:p>
    <w:p w14:paraId="43B61BD7">
      <w:pPr>
        <w:rPr>
          <w:color w:val="000000" w:themeColor="text1"/>
          <w14:textFill>
            <w14:solidFill>
              <w14:schemeClr w14:val="tx1"/>
            </w14:solidFill>
          </w14:textFill>
        </w:rPr>
      </w:pPr>
      <w:sdt>
        <w:sdtPr>
          <w:rPr>
            <w:color w:val="000000" w:themeColor="text1"/>
            <w14:textFill>
              <w14:solidFill>
                <w14:schemeClr w14:val="tx1"/>
              </w14:solidFill>
            </w14:textFill>
          </w:rPr>
          <w:alias w:val="固定资产分类列示其他说明"/>
          <w:tag w:val="_GBC_9028bab58a12485bb8ef4d316280f591"/>
          <w:id w:val="147453990"/>
          <w:placeholder>
            <w:docPart w:val="GBC22222222222222222222222222222"/>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无</w:t>
          </w:r>
        </w:sdtContent>
      </w:sdt>
    </w:p>
    <w:bookmarkEnd w:id="312"/>
    <w:p w14:paraId="2E381F3A">
      <w:pPr>
        <w:rPr>
          <w:color w:val="000000" w:themeColor="text1"/>
          <w14:textFill>
            <w14:solidFill>
              <w14:schemeClr w14:val="tx1"/>
            </w14:solidFill>
          </w14:textFill>
        </w:rPr>
        <w:sectPr>
          <w:pgSz w:w="11906" w:h="16838"/>
          <w:pgMar w:top="1525" w:right="1276" w:bottom="1440" w:left="1797" w:header="856" w:footer="992" w:gutter="0"/>
          <w:cols w:space="425" w:num="1"/>
          <w:docGrid w:linePitch="312" w:charSpace="0"/>
        </w:sectPr>
      </w:pPr>
    </w:p>
    <w:p w14:paraId="77BE4096">
      <w:pPr>
        <w:rPr>
          <w:color w:val="000000" w:themeColor="text1"/>
          <w14:textFill>
            <w14:solidFill>
              <w14:schemeClr w14:val="tx1"/>
            </w14:solidFill>
          </w14:textFill>
        </w:rPr>
      </w:pPr>
    </w:p>
    <w:p w14:paraId="5AC442A4">
      <w:pPr>
        <w:pStyle w:val="58"/>
        <w:tabs>
          <w:tab w:val="left" w:pos="588"/>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固定资产</w:t>
      </w:r>
    </w:p>
    <w:p w14:paraId="1F47FB89">
      <w:pPr>
        <w:pStyle w:val="6"/>
        <w:numPr>
          <w:ilvl w:val="0"/>
          <w:numId w:val="70"/>
        </w:numPr>
        <w:rPr>
          <w:rFonts w:cs="宋体"/>
          <w:kern w:val="0"/>
        </w:rPr>
      </w:pPr>
      <w:r>
        <w:rPr>
          <w:rFonts w:hint="eastAsia" w:cs="宋体"/>
          <w:kern w:val="0"/>
        </w:rPr>
        <w:t>固定资产情况</w:t>
      </w:r>
    </w:p>
    <w:sdt>
      <w:sdtPr>
        <w:rPr>
          <w:color w:val="000000" w:themeColor="text1"/>
          <w14:textFill>
            <w14:solidFill>
              <w14:schemeClr w14:val="tx1"/>
            </w14:solidFill>
          </w14:textFill>
        </w:rPr>
        <w:alias w:val="是否适用：固定资产情况[双击切换]"/>
        <w:tag w:val="_GBC_dea1f620aab74d63b1372d831b5b450f"/>
        <w:id w:val="147465353"/>
        <w:placeholder>
          <w:docPart w:val="GBC22222222222222222222222222222"/>
        </w:placeholder>
      </w:sdtPr>
      <w:sdtEndPr>
        <w:rPr>
          <w:color w:val="000000" w:themeColor="text1"/>
          <w14:textFill>
            <w14:solidFill>
              <w14:schemeClr w14:val="tx1"/>
            </w14:solidFill>
          </w14:textFill>
        </w:rPr>
      </w:sdtEndPr>
      <w:sdtContent>
        <w:p w14:paraId="2C67B50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658C228">
      <w:pPr>
        <w:autoSpaceDE w:val="0"/>
        <w:autoSpaceDN w:val="0"/>
        <w:adjustRightInd w:val="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固定资产情况"/>
          <w:tag w:val="_GBC_563afa3e91c048118558af0713b1a1af"/>
          <w:id w:val="1474560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固定资产情况"/>
          <w:tag w:val="_GBC_c5ecae448dd948eca54add973afbe77b"/>
          <w:id w:val="1474739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915"/>
        <w:gridCol w:w="2068"/>
        <w:gridCol w:w="2396"/>
        <w:gridCol w:w="1981"/>
        <w:gridCol w:w="2146"/>
        <w:gridCol w:w="2427"/>
      </w:tblGrid>
      <w:tr w14:paraId="7BCE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blHeader/>
        </w:trPr>
        <w:sdt>
          <w:sdtPr>
            <w:rPr>
              <w:rFonts w:cs="Times New Roman"/>
            </w:rPr>
            <w:tag w:val="_PLD_1741958de41447b7ac4cbd15ce893c6c"/>
            <w:id w:val="147455739"/>
          </w:sdtPr>
          <w:sdtEndPr>
            <w:rPr>
              <w:rFonts w:cs="Times New Roman"/>
            </w:rPr>
          </w:sdtEndPr>
          <w:sdtContent>
            <w:tc>
              <w:tcPr>
                <w:tcW w:w="1046" w:type="pct"/>
                <w:vAlign w:val="center"/>
              </w:tcPr>
              <w:p w14:paraId="4C6F66E4">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color w:val="000000" w:themeColor="text1"/>
              <w14:textFill>
                <w14:solidFill>
                  <w14:schemeClr w14:val="tx1"/>
                </w14:solidFill>
              </w14:textFill>
            </w:rPr>
            <w:alias w:val="固定资产情况明细-项目名称"/>
            <w:tag w:val="_GBC_936a8499167f477aab1a2942b2fdbdaf"/>
            <w:id w:val="147469643"/>
            <w:text/>
          </w:sdtPr>
          <w:sdtEndPr>
            <w:rPr>
              <w:rFonts w:cs="Times New Roman"/>
              <w:color w:val="000000" w:themeColor="text1"/>
              <w14:textFill>
                <w14:solidFill>
                  <w14:schemeClr w14:val="tx1"/>
                </w14:solidFill>
              </w14:textFill>
            </w:rPr>
          </w:sdtEndPr>
          <w:sdtContent>
            <w:tc>
              <w:tcPr>
                <w:tcW w:w="742" w:type="pct"/>
                <w:vAlign w:val="center"/>
              </w:tcPr>
              <w:p w14:paraId="2CC78A8E">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房屋及建筑物</w:t>
                </w:r>
              </w:p>
            </w:tc>
          </w:sdtContent>
        </w:sdt>
        <w:sdt>
          <w:sdtPr>
            <w:rPr>
              <w:rFonts w:cs="Times New Roman"/>
            </w:rPr>
            <w:alias w:val="固定资产情况明细-项目名称"/>
            <w:tag w:val="_GBC_936a8499167f477aab1a2942b2fdbdaf"/>
            <w:id w:val="147468624"/>
            <w:text/>
          </w:sdtPr>
          <w:sdtEndPr>
            <w:rPr>
              <w:rFonts w:cs="Times New Roman"/>
            </w:rPr>
          </w:sdtEndPr>
          <w:sdtContent>
            <w:tc>
              <w:tcPr>
                <w:tcW w:w="860" w:type="pct"/>
                <w:vAlign w:val="center"/>
              </w:tcPr>
              <w:p w14:paraId="23691018">
                <w:pPr>
                  <w:jc w:val="center"/>
                  <w:rPr>
                    <w:rFonts w:cs="Times New Roman"/>
                  </w:rPr>
                </w:pPr>
                <w:r>
                  <w:rPr>
                    <w:rFonts w:cs="Times New Roman"/>
                  </w:rPr>
                  <w:t>机器设备</w:t>
                </w:r>
              </w:p>
            </w:tc>
          </w:sdtContent>
        </w:sdt>
        <w:sdt>
          <w:sdtPr>
            <w:rPr>
              <w:rFonts w:cs="Times New Roman"/>
            </w:rPr>
            <w:alias w:val="固定资产情况明细-项目名称"/>
            <w:tag w:val="_GBC_936a8499167f477aab1a2942b2fdbdaf"/>
            <w:id w:val="147479092"/>
            <w:text/>
          </w:sdtPr>
          <w:sdtEndPr>
            <w:rPr>
              <w:rFonts w:cs="Times New Roman"/>
            </w:rPr>
          </w:sdtEndPr>
          <w:sdtContent>
            <w:tc>
              <w:tcPr>
                <w:tcW w:w="711" w:type="pct"/>
                <w:vAlign w:val="center"/>
              </w:tcPr>
              <w:p w14:paraId="289A7AB6">
                <w:pPr>
                  <w:jc w:val="center"/>
                  <w:rPr>
                    <w:rFonts w:cs="Times New Roman"/>
                  </w:rPr>
                </w:pPr>
                <w:r>
                  <w:rPr>
                    <w:rFonts w:cs="Times New Roman"/>
                  </w:rPr>
                  <w:t>运输工具</w:t>
                </w:r>
              </w:p>
            </w:tc>
          </w:sdtContent>
        </w:sdt>
        <w:sdt>
          <w:sdtPr>
            <w:rPr>
              <w:rFonts w:cs="Times New Roman"/>
            </w:rPr>
            <w:alias w:val="固定资产情况明细-项目名称"/>
            <w:tag w:val="_GBC_936a8499167f477aab1a2942b2fdbdaf"/>
            <w:id w:val="147479359"/>
            <w:text/>
          </w:sdtPr>
          <w:sdtEndPr>
            <w:rPr>
              <w:rFonts w:cs="Times New Roman"/>
            </w:rPr>
          </w:sdtEndPr>
          <w:sdtContent>
            <w:tc>
              <w:tcPr>
                <w:tcW w:w="770" w:type="pct"/>
                <w:vAlign w:val="center"/>
              </w:tcPr>
              <w:p w14:paraId="333701A2">
                <w:pPr>
                  <w:jc w:val="center"/>
                  <w:rPr>
                    <w:rFonts w:cs="Times New Roman"/>
                  </w:rPr>
                </w:pPr>
                <w:r>
                  <w:rPr>
                    <w:rFonts w:cs="Times New Roman"/>
                  </w:rPr>
                  <w:t>其他</w:t>
                </w:r>
              </w:p>
            </w:tc>
          </w:sdtContent>
        </w:sdt>
        <w:sdt>
          <w:sdtPr>
            <w:rPr>
              <w:rFonts w:cs="Times New Roman"/>
            </w:rPr>
            <w:tag w:val="_PLD_0b635f975b4949dbb798f88c3dcf1d8d"/>
            <w:id w:val="147467597"/>
          </w:sdtPr>
          <w:sdtEndPr>
            <w:rPr>
              <w:rFonts w:cs="Times New Roman"/>
            </w:rPr>
          </w:sdtEndPr>
          <w:sdtContent>
            <w:tc>
              <w:tcPr>
                <w:tcW w:w="869" w:type="pct"/>
                <w:vAlign w:val="center"/>
              </w:tcPr>
              <w:p w14:paraId="41F4602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r>
      <w:tr w14:paraId="3D04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cs="Times New Roman"/>
            </w:rPr>
            <w:tag w:val="_PLD_e1d4e79d72fd45cc925f8729ecef795c"/>
            <w:id w:val="147463847"/>
          </w:sdtPr>
          <w:sdtEndPr>
            <w:rPr>
              <w:rFonts w:cs="Times New Roman"/>
            </w:rPr>
          </w:sdtEndPr>
          <w:sdtContent>
            <w:tc>
              <w:tcPr>
                <w:tcW w:w="5000" w:type="pct"/>
                <w:gridSpan w:val="6"/>
              </w:tcPr>
              <w:p w14:paraId="790561EB">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一、账面原值：</w:t>
                </w:r>
              </w:p>
            </w:tc>
          </w:sdtContent>
        </w:sdt>
      </w:tr>
      <w:tr w14:paraId="23EE3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tcPr>
          <w:p w14:paraId="57C2EF89">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1.期初余额</w:t>
            </w:r>
          </w:p>
        </w:tc>
        <w:tc>
          <w:tcPr>
            <w:tcW w:w="742" w:type="pct"/>
            <w:vAlign w:val="center"/>
          </w:tcPr>
          <w:p w14:paraId="6FF9AB58">
            <w:pPr>
              <w:jc w:val="right"/>
              <w:textAlignment w:val="center"/>
              <w:rPr>
                <w:rFonts w:cs="Times New Roman"/>
              </w:rPr>
            </w:pPr>
            <w:r>
              <w:rPr>
                <w:rFonts w:eastAsia="Arial Narrow" w:cs="Times New Roman"/>
                <w:color w:val="000000"/>
                <w:lang w:bidi="ar"/>
              </w:rPr>
              <w:t>4,825,520,872.29</w:t>
            </w:r>
          </w:p>
        </w:tc>
        <w:tc>
          <w:tcPr>
            <w:tcW w:w="860" w:type="pct"/>
            <w:vAlign w:val="center"/>
          </w:tcPr>
          <w:p w14:paraId="2C7B487A">
            <w:pPr>
              <w:jc w:val="right"/>
              <w:textAlignment w:val="center"/>
              <w:rPr>
                <w:rFonts w:cs="Times New Roman"/>
              </w:rPr>
            </w:pPr>
            <w:r>
              <w:rPr>
                <w:rFonts w:eastAsia="Arial Narrow" w:cs="Times New Roman"/>
                <w:color w:val="000000"/>
                <w:lang w:bidi="ar"/>
              </w:rPr>
              <w:t>3,010,165,497.82</w:t>
            </w:r>
          </w:p>
        </w:tc>
        <w:tc>
          <w:tcPr>
            <w:tcW w:w="711" w:type="pct"/>
            <w:vAlign w:val="center"/>
          </w:tcPr>
          <w:p w14:paraId="7EBDA59F">
            <w:pPr>
              <w:jc w:val="right"/>
              <w:textAlignment w:val="center"/>
              <w:rPr>
                <w:rFonts w:cs="Times New Roman"/>
              </w:rPr>
            </w:pPr>
            <w:r>
              <w:rPr>
                <w:rFonts w:eastAsia="Arial Narrow" w:cs="Times New Roman"/>
                <w:color w:val="000000"/>
                <w:lang w:bidi="ar"/>
              </w:rPr>
              <w:t>63,916,010.67</w:t>
            </w:r>
          </w:p>
        </w:tc>
        <w:tc>
          <w:tcPr>
            <w:tcW w:w="770" w:type="pct"/>
            <w:vAlign w:val="center"/>
          </w:tcPr>
          <w:p w14:paraId="6CDB4FDB">
            <w:pPr>
              <w:jc w:val="right"/>
              <w:textAlignment w:val="center"/>
              <w:rPr>
                <w:rFonts w:cs="Times New Roman"/>
              </w:rPr>
            </w:pPr>
            <w:r>
              <w:rPr>
                <w:rFonts w:eastAsia="Arial Narrow" w:cs="Times New Roman"/>
                <w:color w:val="000000"/>
                <w:lang w:bidi="ar"/>
              </w:rPr>
              <w:t>301,055,392.57</w:t>
            </w:r>
          </w:p>
        </w:tc>
        <w:tc>
          <w:tcPr>
            <w:tcW w:w="869" w:type="pct"/>
            <w:vAlign w:val="center"/>
          </w:tcPr>
          <w:p w14:paraId="073EB291">
            <w:pPr>
              <w:jc w:val="right"/>
              <w:textAlignment w:val="center"/>
              <w:rPr>
                <w:rFonts w:cs="Times New Roman"/>
              </w:rPr>
            </w:pPr>
            <w:r>
              <w:rPr>
                <w:rFonts w:eastAsia="Arial Narrow" w:cs="Times New Roman"/>
                <w:color w:val="000000"/>
                <w:lang w:bidi="ar"/>
              </w:rPr>
              <w:t>8,200,657,773.35</w:t>
            </w:r>
          </w:p>
        </w:tc>
      </w:tr>
      <w:tr w14:paraId="5195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tcPr>
          <w:p w14:paraId="6619C5A2">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2.本期增加金额</w:t>
            </w:r>
          </w:p>
        </w:tc>
        <w:tc>
          <w:tcPr>
            <w:tcW w:w="742" w:type="pct"/>
            <w:vAlign w:val="center"/>
          </w:tcPr>
          <w:p w14:paraId="1A8335A1">
            <w:pPr>
              <w:jc w:val="right"/>
              <w:textAlignment w:val="center"/>
              <w:rPr>
                <w:rFonts w:cs="Times New Roman"/>
              </w:rPr>
            </w:pPr>
            <w:r>
              <w:rPr>
                <w:rFonts w:eastAsia="Arial Narrow" w:cs="Times New Roman"/>
                <w:color w:val="000000"/>
                <w:lang w:bidi="ar"/>
              </w:rPr>
              <w:t>5,712,691.82</w:t>
            </w:r>
          </w:p>
        </w:tc>
        <w:tc>
          <w:tcPr>
            <w:tcW w:w="860" w:type="pct"/>
            <w:vAlign w:val="center"/>
          </w:tcPr>
          <w:p w14:paraId="480D2CDA">
            <w:pPr>
              <w:jc w:val="right"/>
              <w:textAlignment w:val="center"/>
              <w:rPr>
                <w:rFonts w:cs="Times New Roman"/>
              </w:rPr>
            </w:pPr>
            <w:r>
              <w:rPr>
                <w:rFonts w:eastAsia="Arial Narrow" w:cs="Times New Roman"/>
                <w:color w:val="000000"/>
                <w:lang w:bidi="ar"/>
              </w:rPr>
              <w:t>76,793,318.18</w:t>
            </w:r>
          </w:p>
        </w:tc>
        <w:tc>
          <w:tcPr>
            <w:tcW w:w="711" w:type="pct"/>
            <w:vAlign w:val="center"/>
          </w:tcPr>
          <w:p w14:paraId="7CA7898E">
            <w:pPr>
              <w:jc w:val="right"/>
              <w:textAlignment w:val="center"/>
              <w:rPr>
                <w:rFonts w:cs="Times New Roman"/>
              </w:rPr>
            </w:pPr>
            <w:r>
              <w:rPr>
                <w:rFonts w:eastAsia="Arial Narrow" w:cs="Times New Roman"/>
                <w:color w:val="000000"/>
                <w:lang w:bidi="ar"/>
              </w:rPr>
              <w:t>287,483.19</w:t>
            </w:r>
          </w:p>
        </w:tc>
        <w:tc>
          <w:tcPr>
            <w:tcW w:w="770" w:type="pct"/>
            <w:vAlign w:val="center"/>
          </w:tcPr>
          <w:p w14:paraId="547A984F">
            <w:pPr>
              <w:jc w:val="right"/>
              <w:textAlignment w:val="center"/>
              <w:rPr>
                <w:rFonts w:cs="Times New Roman"/>
              </w:rPr>
            </w:pPr>
            <w:r>
              <w:rPr>
                <w:rFonts w:eastAsia="Arial Narrow" w:cs="Times New Roman"/>
                <w:color w:val="000000"/>
                <w:lang w:bidi="ar"/>
              </w:rPr>
              <w:t>11,286,289.10</w:t>
            </w:r>
          </w:p>
        </w:tc>
        <w:tc>
          <w:tcPr>
            <w:tcW w:w="869" w:type="pct"/>
            <w:vAlign w:val="center"/>
          </w:tcPr>
          <w:p w14:paraId="095F02EA">
            <w:pPr>
              <w:jc w:val="right"/>
              <w:textAlignment w:val="center"/>
              <w:rPr>
                <w:rFonts w:cs="Times New Roman"/>
              </w:rPr>
            </w:pPr>
            <w:r>
              <w:rPr>
                <w:rFonts w:eastAsia="Arial Narrow" w:cs="Times New Roman"/>
                <w:color w:val="000000"/>
                <w:lang w:bidi="ar"/>
              </w:rPr>
              <w:t>94,079,782.29</w:t>
            </w:r>
          </w:p>
        </w:tc>
      </w:tr>
      <w:tr w14:paraId="0535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tcPr>
          <w:p w14:paraId="1939F7C6">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（1）购置</w:t>
            </w:r>
          </w:p>
        </w:tc>
        <w:tc>
          <w:tcPr>
            <w:tcW w:w="742" w:type="pct"/>
            <w:vAlign w:val="center"/>
          </w:tcPr>
          <w:p w14:paraId="7D5CF055">
            <w:pPr>
              <w:jc w:val="right"/>
              <w:textAlignment w:val="center"/>
              <w:rPr>
                <w:rFonts w:cs="Times New Roman"/>
              </w:rPr>
            </w:pPr>
            <w:r>
              <w:rPr>
                <w:rFonts w:eastAsia="Arial Narrow" w:cs="Times New Roman"/>
                <w:color w:val="000000"/>
                <w:lang w:bidi="ar"/>
              </w:rPr>
              <w:t>2,668,644.24</w:t>
            </w:r>
          </w:p>
        </w:tc>
        <w:tc>
          <w:tcPr>
            <w:tcW w:w="860" w:type="pct"/>
            <w:vAlign w:val="center"/>
          </w:tcPr>
          <w:p w14:paraId="038536D2">
            <w:pPr>
              <w:jc w:val="right"/>
              <w:textAlignment w:val="center"/>
              <w:rPr>
                <w:rFonts w:cs="Times New Roman"/>
              </w:rPr>
            </w:pPr>
            <w:r>
              <w:rPr>
                <w:rFonts w:eastAsia="Arial Narrow" w:cs="Times New Roman"/>
                <w:color w:val="000000"/>
                <w:lang w:bidi="ar"/>
              </w:rPr>
              <w:t>33,953,162.85</w:t>
            </w:r>
          </w:p>
        </w:tc>
        <w:tc>
          <w:tcPr>
            <w:tcW w:w="711" w:type="pct"/>
            <w:vAlign w:val="center"/>
          </w:tcPr>
          <w:p w14:paraId="6E81CC0D">
            <w:pPr>
              <w:jc w:val="right"/>
              <w:textAlignment w:val="center"/>
              <w:rPr>
                <w:rFonts w:cs="Times New Roman"/>
              </w:rPr>
            </w:pPr>
            <w:r>
              <w:rPr>
                <w:rFonts w:eastAsia="Arial Narrow" w:cs="Times New Roman"/>
                <w:color w:val="000000"/>
                <w:lang w:bidi="ar"/>
              </w:rPr>
              <w:t>287,483.19</w:t>
            </w:r>
          </w:p>
        </w:tc>
        <w:tc>
          <w:tcPr>
            <w:tcW w:w="770" w:type="pct"/>
            <w:vAlign w:val="center"/>
          </w:tcPr>
          <w:p w14:paraId="08CEDFBF">
            <w:pPr>
              <w:jc w:val="right"/>
              <w:textAlignment w:val="center"/>
              <w:rPr>
                <w:rFonts w:cs="Times New Roman"/>
              </w:rPr>
            </w:pPr>
            <w:r>
              <w:rPr>
                <w:rFonts w:eastAsia="Arial Narrow" w:cs="Times New Roman"/>
                <w:color w:val="000000"/>
                <w:lang w:bidi="ar"/>
              </w:rPr>
              <w:t>9,161,873.69</w:t>
            </w:r>
          </w:p>
        </w:tc>
        <w:tc>
          <w:tcPr>
            <w:tcW w:w="869" w:type="pct"/>
            <w:vAlign w:val="center"/>
          </w:tcPr>
          <w:p w14:paraId="2024C612">
            <w:pPr>
              <w:jc w:val="right"/>
              <w:textAlignment w:val="center"/>
              <w:rPr>
                <w:rFonts w:cs="Times New Roman"/>
              </w:rPr>
            </w:pPr>
            <w:r>
              <w:rPr>
                <w:rFonts w:eastAsia="Arial Narrow" w:cs="Times New Roman"/>
                <w:color w:val="000000"/>
                <w:lang w:bidi="ar"/>
              </w:rPr>
              <w:t>46,071,163.97</w:t>
            </w:r>
          </w:p>
        </w:tc>
      </w:tr>
      <w:tr w14:paraId="55010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tcPr>
          <w:p w14:paraId="237511A8">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（2）在建工程转入</w:t>
            </w:r>
          </w:p>
        </w:tc>
        <w:tc>
          <w:tcPr>
            <w:tcW w:w="742" w:type="pct"/>
            <w:vAlign w:val="center"/>
          </w:tcPr>
          <w:p w14:paraId="5185634E">
            <w:pPr>
              <w:jc w:val="right"/>
              <w:textAlignment w:val="center"/>
              <w:rPr>
                <w:rFonts w:cs="Times New Roman"/>
              </w:rPr>
            </w:pPr>
            <w:r>
              <w:rPr>
                <w:rFonts w:eastAsia="Arial Narrow" w:cs="Times New Roman"/>
                <w:color w:val="000000"/>
                <w:lang w:bidi="ar"/>
              </w:rPr>
              <w:t>2,981,047.58</w:t>
            </w:r>
          </w:p>
        </w:tc>
        <w:tc>
          <w:tcPr>
            <w:tcW w:w="860" w:type="pct"/>
            <w:vAlign w:val="center"/>
          </w:tcPr>
          <w:p w14:paraId="7AC77593">
            <w:pPr>
              <w:jc w:val="right"/>
              <w:textAlignment w:val="center"/>
              <w:rPr>
                <w:rFonts w:cs="Times New Roman"/>
              </w:rPr>
            </w:pPr>
            <w:r>
              <w:rPr>
                <w:rFonts w:eastAsia="Arial Narrow" w:cs="Times New Roman"/>
                <w:color w:val="000000"/>
                <w:lang w:bidi="ar"/>
              </w:rPr>
              <w:t>42,840,155.33</w:t>
            </w:r>
          </w:p>
        </w:tc>
        <w:tc>
          <w:tcPr>
            <w:tcW w:w="711" w:type="pct"/>
            <w:vAlign w:val="center"/>
          </w:tcPr>
          <w:p w14:paraId="1A2A6496">
            <w:pPr>
              <w:jc w:val="right"/>
              <w:rPr>
                <w:rFonts w:cs="Times New Roman"/>
              </w:rPr>
            </w:pPr>
          </w:p>
        </w:tc>
        <w:tc>
          <w:tcPr>
            <w:tcW w:w="770" w:type="pct"/>
            <w:vAlign w:val="center"/>
          </w:tcPr>
          <w:p w14:paraId="269AF015">
            <w:pPr>
              <w:jc w:val="right"/>
              <w:textAlignment w:val="center"/>
              <w:rPr>
                <w:rFonts w:cs="Times New Roman"/>
              </w:rPr>
            </w:pPr>
            <w:r>
              <w:rPr>
                <w:rFonts w:eastAsia="Arial Narrow" w:cs="Times New Roman"/>
                <w:color w:val="000000"/>
                <w:lang w:bidi="ar"/>
              </w:rPr>
              <w:t>1,455,986.11</w:t>
            </w:r>
          </w:p>
        </w:tc>
        <w:tc>
          <w:tcPr>
            <w:tcW w:w="869" w:type="pct"/>
            <w:vAlign w:val="center"/>
          </w:tcPr>
          <w:p w14:paraId="6588B201">
            <w:pPr>
              <w:jc w:val="right"/>
              <w:textAlignment w:val="center"/>
              <w:rPr>
                <w:rFonts w:cs="Times New Roman"/>
              </w:rPr>
            </w:pPr>
            <w:r>
              <w:rPr>
                <w:rFonts w:eastAsia="Arial Narrow" w:cs="Times New Roman"/>
                <w:color w:val="000000"/>
                <w:lang w:bidi="ar"/>
              </w:rPr>
              <w:t>47,277,189.02</w:t>
            </w:r>
          </w:p>
        </w:tc>
      </w:tr>
      <w:tr w14:paraId="6744E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tcPr>
          <w:p w14:paraId="1AF26B1A">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（3）其他增加</w:t>
            </w:r>
          </w:p>
        </w:tc>
        <w:tc>
          <w:tcPr>
            <w:tcW w:w="742" w:type="pct"/>
            <w:vAlign w:val="center"/>
          </w:tcPr>
          <w:p w14:paraId="1C4F6081">
            <w:pPr>
              <w:jc w:val="right"/>
              <w:textAlignment w:val="center"/>
              <w:rPr>
                <w:rFonts w:cs="Times New Roman"/>
              </w:rPr>
            </w:pPr>
            <w:r>
              <w:rPr>
                <w:rFonts w:eastAsia="Arial Narrow" w:cs="Times New Roman"/>
                <w:color w:val="000000"/>
                <w:lang w:bidi="ar"/>
              </w:rPr>
              <w:t>63,000.00</w:t>
            </w:r>
          </w:p>
        </w:tc>
        <w:tc>
          <w:tcPr>
            <w:tcW w:w="860" w:type="pct"/>
            <w:vAlign w:val="center"/>
          </w:tcPr>
          <w:p w14:paraId="0BA8C7CF">
            <w:pPr>
              <w:jc w:val="right"/>
              <w:rPr>
                <w:rFonts w:cs="Times New Roman"/>
              </w:rPr>
            </w:pPr>
          </w:p>
        </w:tc>
        <w:tc>
          <w:tcPr>
            <w:tcW w:w="711" w:type="pct"/>
            <w:vAlign w:val="center"/>
          </w:tcPr>
          <w:p w14:paraId="530DCDD8">
            <w:pPr>
              <w:jc w:val="right"/>
              <w:rPr>
                <w:rFonts w:cs="Times New Roman"/>
              </w:rPr>
            </w:pPr>
          </w:p>
        </w:tc>
        <w:tc>
          <w:tcPr>
            <w:tcW w:w="770" w:type="pct"/>
            <w:vAlign w:val="center"/>
          </w:tcPr>
          <w:p w14:paraId="155BD8ED">
            <w:pPr>
              <w:jc w:val="right"/>
              <w:textAlignment w:val="center"/>
              <w:rPr>
                <w:rFonts w:cs="Times New Roman"/>
              </w:rPr>
            </w:pPr>
            <w:r>
              <w:rPr>
                <w:rFonts w:eastAsia="Arial Narrow" w:cs="Times New Roman"/>
                <w:color w:val="000000"/>
                <w:lang w:bidi="ar"/>
              </w:rPr>
              <w:t>668,429.30</w:t>
            </w:r>
          </w:p>
        </w:tc>
        <w:tc>
          <w:tcPr>
            <w:tcW w:w="869" w:type="pct"/>
            <w:vAlign w:val="center"/>
          </w:tcPr>
          <w:p w14:paraId="1C31A3A6">
            <w:pPr>
              <w:jc w:val="right"/>
              <w:textAlignment w:val="center"/>
              <w:rPr>
                <w:rFonts w:cs="Times New Roman"/>
              </w:rPr>
            </w:pPr>
            <w:r>
              <w:rPr>
                <w:rFonts w:eastAsia="Arial Narrow" w:cs="Times New Roman"/>
                <w:color w:val="000000"/>
                <w:lang w:bidi="ar"/>
              </w:rPr>
              <w:t>731,429.30</w:t>
            </w:r>
          </w:p>
        </w:tc>
      </w:tr>
      <w:tr w14:paraId="50B2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tcPr>
          <w:p w14:paraId="39106699">
            <w:pPr>
              <w:ind w:firstLine="525" w:firstLineChars="25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3.本期减少金额</w:t>
            </w:r>
          </w:p>
        </w:tc>
        <w:tc>
          <w:tcPr>
            <w:tcW w:w="742" w:type="pct"/>
            <w:vAlign w:val="center"/>
          </w:tcPr>
          <w:p w14:paraId="01D9705C">
            <w:pPr>
              <w:jc w:val="right"/>
              <w:textAlignment w:val="center"/>
              <w:rPr>
                <w:rFonts w:cs="Times New Roman"/>
              </w:rPr>
            </w:pPr>
            <w:r>
              <w:rPr>
                <w:rFonts w:eastAsia="Arial Narrow" w:cs="Times New Roman"/>
                <w:color w:val="000000"/>
                <w:lang w:bidi="ar"/>
              </w:rPr>
              <w:t>8,330,054.72</w:t>
            </w:r>
          </w:p>
        </w:tc>
        <w:tc>
          <w:tcPr>
            <w:tcW w:w="860" w:type="pct"/>
            <w:vAlign w:val="center"/>
          </w:tcPr>
          <w:p w14:paraId="4A54CE65">
            <w:pPr>
              <w:jc w:val="right"/>
              <w:textAlignment w:val="center"/>
              <w:rPr>
                <w:rFonts w:cs="Times New Roman"/>
              </w:rPr>
            </w:pPr>
            <w:r>
              <w:rPr>
                <w:rFonts w:eastAsia="Arial Narrow" w:cs="Times New Roman"/>
                <w:color w:val="000000"/>
                <w:lang w:bidi="ar"/>
              </w:rPr>
              <w:t>88,470,352.51</w:t>
            </w:r>
          </w:p>
        </w:tc>
        <w:tc>
          <w:tcPr>
            <w:tcW w:w="711" w:type="pct"/>
            <w:vAlign w:val="center"/>
          </w:tcPr>
          <w:p w14:paraId="5321333B">
            <w:pPr>
              <w:jc w:val="right"/>
              <w:textAlignment w:val="center"/>
              <w:rPr>
                <w:rFonts w:cs="Times New Roman"/>
              </w:rPr>
            </w:pPr>
            <w:r>
              <w:rPr>
                <w:rFonts w:eastAsia="Arial Narrow" w:cs="Times New Roman"/>
                <w:color w:val="000000"/>
                <w:lang w:bidi="ar"/>
              </w:rPr>
              <w:t>1,815,416.91</w:t>
            </w:r>
          </w:p>
        </w:tc>
        <w:tc>
          <w:tcPr>
            <w:tcW w:w="770" w:type="pct"/>
            <w:vAlign w:val="center"/>
          </w:tcPr>
          <w:p w14:paraId="16DA14EB">
            <w:pPr>
              <w:jc w:val="right"/>
              <w:textAlignment w:val="center"/>
              <w:rPr>
                <w:rFonts w:cs="Times New Roman"/>
              </w:rPr>
            </w:pPr>
            <w:r>
              <w:rPr>
                <w:rFonts w:eastAsia="Arial Narrow" w:cs="Times New Roman"/>
                <w:color w:val="000000"/>
                <w:lang w:bidi="ar"/>
              </w:rPr>
              <w:t>1,347,544.19</w:t>
            </w:r>
          </w:p>
        </w:tc>
        <w:tc>
          <w:tcPr>
            <w:tcW w:w="869" w:type="pct"/>
            <w:vAlign w:val="center"/>
          </w:tcPr>
          <w:p w14:paraId="4D24DFE2">
            <w:pPr>
              <w:jc w:val="right"/>
              <w:textAlignment w:val="center"/>
              <w:rPr>
                <w:rFonts w:cs="Times New Roman"/>
              </w:rPr>
            </w:pPr>
            <w:r>
              <w:rPr>
                <w:rFonts w:eastAsia="Arial Narrow" w:cs="Times New Roman"/>
                <w:color w:val="000000"/>
                <w:lang w:bidi="ar"/>
              </w:rPr>
              <w:t>99,963,368.33</w:t>
            </w:r>
          </w:p>
        </w:tc>
      </w:tr>
      <w:tr w14:paraId="2DB0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tcPr>
          <w:p w14:paraId="43AE90E1">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（1）处置或报废</w:t>
            </w:r>
          </w:p>
        </w:tc>
        <w:tc>
          <w:tcPr>
            <w:tcW w:w="742" w:type="pct"/>
            <w:vAlign w:val="center"/>
          </w:tcPr>
          <w:p w14:paraId="53F36E5B">
            <w:pPr>
              <w:jc w:val="right"/>
              <w:textAlignment w:val="center"/>
              <w:rPr>
                <w:rFonts w:cs="Times New Roman"/>
              </w:rPr>
            </w:pPr>
            <w:r>
              <w:rPr>
                <w:rFonts w:eastAsia="Arial Narrow" w:cs="Times New Roman"/>
                <w:color w:val="000000"/>
                <w:lang w:bidi="ar"/>
              </w:rPr>
              <w:t>1,894,900.00</w:t>
            </w:r>
          </w:p>
        </w:tc>
        <w:tc>
          <w:tcPr>
            <w:tcW w:w="860" w:type="pct"/>
            <w:vAlign w:val="center"/>
          </w:tcPr>
          <w:p w14:paraId="1DB04DBF">
            <w:pPr>
              <w:jc w:val="right"/>
              <w:textAlignment w:val="center"/>
              <w:rPr>
                <w:rFonts w:cs="Times New Roman"/>
              </w:rPr>
            </w:pPr>
            <w:r>
              <w:rPr>
                <w:rFonts w:eastAsia="Arial Narrow" w:cs="Times New Roman"/>
                <w:color w:val="000000"/>
                <w:lang w:bidi="ar"/>
              </w:rPr>
              <w:t>86,611,945.51</w:t>
            </w:r>
          </w:p>
        </w:tc>
        <w:tc>
          <w:tcPr>
            <w:tcW w:w="711" w:type="pct"/>
            <w:vAlign w:val="center"/>
          </w:tcPr>
          <w:p w14:paraId="2BE1FAAE">
            <w:pPr>
              <w:jc w:val="right"/>
              <w:textAlignment w:val="center"/>
              <w:rPr>
                <w:rFonts w:cs="Times New Roman"/>
              </w:rPr>
            </w:pPr>
            <w:r>
              <w:rPr>
                <w:rFonts w:eastAsia="Arial Narrow" w:cs="Times New Roman"/>
                <w:color w:val="000000"/>
                <w:lang w:bidi="ar"/>
              </w:rPr>
              <w:t>1,815,416.91</w:t>
            </w:r>
          </w:p>
        </w:tc>
        <w:tc>
          <w:tcPr>
            <w:tcW w:w="770" w:type="pct"/>
            <w:vAlign w:val="center"/>
          </w:tcPr>
          <w:p w14:paraId="385D3D08">
            <w:pPr>
              <w:jc w:val="right"/>
              <w:textAlignment w:val="center"/>
              <w:rPr>
                <w:rFonts w:cs="Times New Roman"/>
              </w:rPr>
            </w:pPr>
            <w:r>
              <w:rPr>
                <w:rFonts w:eastAsia="Arial Narrow" w:cs="Times New Roman"/>
                <w:color w:val="000000"/>
                <w:lang w:bidi="ar"/>
              </w:rPr>
              <w:t>1,347,544.19</w:t>
            </w:r>
          </w:p>
        </w:tc>
        <w:tc>
          <w:tcPr>
            <w:tcW w:w="869" w:type="pct"/>
            <w:vAlign w:val="center"/>
          </w:tcPr>
          <w:p w14:paraId="549B7DFC">
            <w:pPr>
              <w:jc w:val="right"/>
              <w:textAlignment w:val="center"/>
              <w:rPr>
                <w:rFonts w:cs="Times New Roman"/>
              </w:rPr>
            </w:pPr>
            <w:r>
              <w:rPr>
                <w:rFonts w:eastAsia="Arial Narrow" w:cs="Times New Roman"/>
                <w:color w:val="000000"/>
                <w:lang w:bidi="ar"/>
              </w:rPr>
              <w:t>91,669,806.61</w:t>
            </w:r>
          </w:p>
        </w:tc>
      </w:tr>
      <w:tr w14:paraId="41C4F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vAlign w:val="center"/>
          </w:tcPr>
          <w:p w14:paraId="060DB239">
            <w:pPr>
              <w:ind w:firstLine="630" w:firstLineChars="300"/>
              <w:rPr>
                <w:rFonts w:cs="Times New Roman"/>
              </w:rPr>
            </w:pPr>
            <w:r>
              <w:rPr>
                <w:rFonts w:cs="Times New Roman"/>
              </w:rPr>
              <w:t>（2）转入投资性房地产</w:t>
            </w:r>
          </w:p>
        </w:tc>
        <w:tc>
          <w:tcPr>
            <w:tcW w:w="742" w:type="pct"/>
            <w:vAlign w:val="center"/>
          </w:tcPr>
          <w:p w14:paraId="673578DA">
            <w:pPr>
              <w:jc w:val="right"/>
              <w:textAlignment w:val="center"/>
              <w:rPr>
                <w:rFonts w:cs="Times New Roman"/>
              </w:rPr>
            </w:pPr>
            <w:r>
              <w:rPr>
                <w:rFonts w:eastAsia="Arial Narrow" w:cs="Times New Roman"/>
                <w:color w:val="000000"/>
                <w:lang w:bidi="ar"/>
              </w:rPr>
              <w:t>1,869,551.00</w:t>
            </w:r>
          </w:p>
        </w:tc>
        <w:tc>
          <w:tcPr>
            <w:tcW w:w="860" w:type="pct"/>
            <w:vAlign w:val="center"/>
          </w:tcPr>
          <w:p w14:paraId="355FC948">
            <w:pPr>
              <w:jc w:val="right"/>
              <w:rPr>
                <w:rFonts w:cs="Times New Roman"/>
              </w:rPr>
            </w:pPr>
          </w:p>
        </w:tc>
        <w:tc>
          <w:tcPr>
            <w:tcW w:w="711" w:type="pct"/>
            <w:vAlign w:val="center"/>
          </w:tcPr>
          <w:p w14:paraId="47A7ED1E">
            <w:pPr>
              <w:jc w:val="right"/>
              <w:rPr>
                <w:rFonts w:cs="Times New Roman"/>
              </w:rPr>
            </w:pPr>
          </w:p>
        </w:tc>
        <w:tc>
          <w:tcPr>
            <w:tcW w:w="770" w:type="pct"/>
            <w:vAlign w:val="center"/>
          </w:tcPr>
          <w:p w14:paraId="0BDC68B9">
            <w:pPr>
              <w:jc w:val="right"/>
              <w:rPr>
                <w:rFonts w:cs="Times New Roman"/>
              </w:rPr>
            </w:pPr>
          </w:p>
        </w:tc>
        <w:tc>
          <w:tcPr>
            <w:tcW w:w="869" w:type="pct"/>
            <w:vAlign w:val="center"/>
          </w:tcPr>
          <w:p w14:paraId="4D6DBEEA">
            <w:pPr>
              <w:jc w:val="right"/>
              <w:textAlignment w:val="center"/>
              <w:rPr>
                <w:rFonts w:cs="Times New Roman"/>
              </w:rPr>
            </w:pPr>
            <w:r>
              <w:rPr>
                <w:rFonts w:eastAsia="Arial Narrow" w:cs="Times New Roman"/>
                <w:color w:val="000000"/>
                <w:lang w:bidi="ar"/>
              </w:rPr>
              <w:t>1,869,551.00</w:t>
            </w:r>
          </w:p>
        </w:tc>
      </w:tr>
      <w:tr w14:paraId="4697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vAlign w:val="center"/>
          </w:tcPr>
          <w:p w14:paraId="7476B032">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（3）其他减少</w:t>
            </w:r>
          </w:p>
        </w:tc>
        <w:tc>
          <w:tcPr>
            <w:tcW w:w="742" w:type="pct"/>
            <w:vAlign w:val="center"/>
          </w:tcPr>
          <w:p w14:paraId="33EE9EC2">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4,565,603.72</w:t>
            </w:r>
          </w:p>
        </w:tc>
        <w:tc>
          <w:tcPr>
            <w:tcW w:w="860" w:type="pct"/>
            <w:vAlign w:val="center"/>
          </w:tcPr>
          <w:p w14:paraId="70187041">
            <w:pPr>
              <w:jc w:val="right"/>
              <w:textAlignment w:val="center"/>
              <w:rPr>
                <w:rFonts w:cs="Times New Roman"/>
              </w:rPr>
            </w:pPr>
            <w:r>
              <w:rPr>
                <w:rFonts w:eastAsia="Arial Narrow" w:cs="Times New Roman"/>
                <w:color w:val="000000"/>
                <w:lang w:bidi="ar"/>
              </w:rPr>
              <w:t>1,858,407.00</w:t>
            </w:r>
          </w:p>
        </w:tc>
        <w:tc>
          <w:tcPr>
            <w:tcW w:w="711" w:type="pct"/>
            <w:vAlign w:val="center"/>
          </w:tcPr>
          <w:p w14:paraId="75F3A593">
            <w:pPr>
              <w:jc w:val="right"/>
              <w:rPr>
                <w:rFonts w:cs="Times New Roman"/>
              </w:rPr>
            </w:pPr>
          </w:p>
        </w:tc>
        <w:tc>
          <w:tcPr>
            <w:tcW w:w="770" w:type="pct"/>
            <w:vAlign w:val="center"/>
          </w:tcPr>
          <w:p w14:paraId="0353741F">
            <w:pPr>
              <w:jc w:val="right"/>
              <w:rPr>
                <w:rFonts w:cs="Times New Roman"/>
              </w:rPr>
            </w:pPr>
          </w:p>
        </w:tc>
        <w:tc>
          <w:tcPr>
            <w:tcW w:w="869" w:type="pct"/>
            <w:vAlign w:val="center"/>
          </w:tcPr>
          <w:p w14:paraId="74D2BE2F">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6,424,010.72</w:t>
            </w:r>
          </w:p>
        </w:tc>
      </w:tr>
      <w:tr w14:paraId="47253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tcPr>
          <w:p w14:paraId="2FDEA467">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4.期末余额</w:t>
            </w:r>
          </w:p>
        </w:tc>
        <w:tc>
          <w:tcPr>
            <w:tcW w:w="742" w:type="pct"/>
            <w:vAlign w:val="center"/>
          </w:tcPr>
          <w:p w14:paraId="2F07B5A2">
            <w:pPr>
              <w:jc w:val="right"/>
              <w:textAlignment w:val="center"/>
              <w:rPr>
                <w:rFonts w:cs="Times New Roman"/>
              </w:rPr>
            </w:pPr>
            <w:r>
              <w:rPr>
                <w:rFonts w:eastAsia="Arial Narrow" w:cs="Times New Roman"/>
                <w:color w:val="000000"/>
                <w:lang w:bidi="ar"/>
              </w:rPr>
              <w:t>4,822,903,509.39</w:t>
            </w:r>
          </w:p>
        </w:tc>
        <w:tc>
          <w:tcPr>
            <w:tcW w:w="860" w:type="pct"/>
            <w:vAlign w:val="center"/>
          </w:tcPr>
          <w:p w14:paraId="04E37AC0">
            <w:pPr>
              <w:jc w:val="right"/>
              <w:textAlignment w:val="center"/>
              <w:rPr>
                <w:rFonts w:cs="Times New Roman"/>
              </w:rPr>
            </w:pPr>
            <w:r>
              <w:rPr>
                <w:rFonts w:eastAsia="Arial Narrow" w:cs="Times New Roman"/>
                <w:color w:val="000000"/>
                <w:lang w:bidi="ar"/>
              </w:rPr>
              <w:t>2,998,488,463.49</w:t>
            </w:r>
          </w:p>
        </w:tc>
        <w:tc>
          <w:tcPr>
            <w:tcW w:w="711" w:type="pct"/>
            <w:vAlign w:val="center"/>
          </w:tcPr>
          <w:p w14:paraId="58A69D09">
            <w:pPr>
              <w:jc w:val="right"/>
              <w:textAlignment w:val="center"/>
              <w:rPr>
                <w:rFonts w:cs="Times New Roman"/>
              </w:rPr>
            </w:pPr>
            <w:r>
              <w:rPr>
                <w:rFonts w:eastAsia="Arial Narrow" w:cs="Times New Roman"/>
                <w:color w:val="000000"/>
                <w:lang w:bidi="ar"/>
              </w:rPr>
              <w:t>62,388,076.95</w:t>
            </w:r>
          </w:p>
        </w:tc>
        <w:tc>
          <w:tcPr>
            <w:tcW w:w="770" w:type="pct"/>
            <w:vAlign w:val="center"/>
          </w:tcPr>
          <w:p w14:paraId="4184A680">
            <w:pPr>
              <w:jc w:val="right"/>
              <w:textAlignment w:val="center"/>
              <w:rPr>
                <w:rFonts w:cs="Times New Roman"/>
              </w:rPr>
            </w:pPr>
            <w:r>
              <w:rPr>
                <w:rFonts w:eastAsia="Arial Narrow" w:cs="Times New Roman"/>
                <w:color w:val="000000"/>
                <w:lang w:bidi="ar"/>
              </w:rPr>
              <w:t>310,994,137.48</w:t>
            </w:r>
          </w:p>
        </w:tc>
        <w:tc>
          <w:tcPr>
            <w:tcW w:w="869" w:type="pct"/>
            <w:vAlign w:val="center"/>
          </w:tcPr>
          <w:p w14:paraId="7436FF7C">
            <w:pPr>
              <w:jc w:val="right"/>
              <w:textAlignment w:val="center"/>
              <w:rPr>
                <w:rFonts w:cs="Times New Roman"/>
              </w:rPr>
            </w:pPr>
            <w:r>
              <w:rPr>
                <w:rFonts w:eastAsia="Arial Narrow" w:cs="Times New Roman"/>
                <w:color w:val="000000"/>
                <w:lang w:bidi="ar"/>
              </w:rPr>
              <w:t>8,194,774,187.31</w:t>
            </w:r>
          </w:p>
        </w:tc>
      </w:tr>
      <w:tr w14:paraId="18FD0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cs="Times New Roman"/>
            </w:rPr>
            <w:tag w:val="_PLD_3b9a984e6e834331844252acd1c6a321"/>
            <w:id w:val="147463899"/>
          </w:sdtPr>
          <w:sdtEndPr>
            <w:rPr>
              <w:rFonts w:cs="Times New Roman"/>
            </w:rPr>
          </w:sdtEndPr>
          <w:sdtContent>
            <w:tc>
              <w:tcPr>
                <w:tcW w:w="5000" w:type="pct"/>
                <w:gridSpan w:val="6"/>
              </w:tcPr>
              <w:p w14:paraId="43F811F8">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二、累计折旧</w:t>
                </w:r>
              </w:p>
            </w:tc>
          </w:sdtContent>
        </w:sdt>
      </w:tr>
      <w:tr w14:paraId="13CC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tcPr>
          <w:p w14:paraId="183D4971">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1.期初余额</w:t>
            </w:r>
          </w:p>
        </w:tc>
        <w:tc>
          <w:tcPr>
            <w:tcW w:w="742" w:type="pct"/>
            <w:vAlign w:val="center"/>
          </w:tcPr>
          <w:p w14:paraId="212F39E2">
            <w:pPr>
              <w:jc w:val="right"/>
              <w:textAlignment w:val="center"/>
              <w:rPr>
                <w:rFonts w:cs="Times New Roman"/>
              </w:rPr>
            </w:pPr>
            <w:r>
              <w:rPr>
                <w:rFonts w:eastAsia="Arial Narrow" w:cs="Times New Roman"/>
                <w:color w:val="000000"/>
                <w:lang w:bidi="ar"/>
              </w:rPr>
              <w:t>1,324,777,938.46</w:t>
            </w:r>
          </w:p>
        </w:tc>
        <w:tc>
          <w:tcPr>
            <w:tcW w:w="860" w:type="pct"/>
            <w:vAlign w:val="center"/>
          </w:tcPr>
          <w:p w14:paraId="650C70E7">
            <w:pPr>
              <w:jc w:val="right"/>
              <w:textAlignment w:val="center"/>
              <w:rPr>
                <w:rFonts w:cs="Times New Roman"/>
              </w:rPr>
            </w:pPr>
            <w:r>
              <w:rPr>
                <w:rFonts w:eastAsia="Arial Narrow" w:cs="Times New Roman"/>
                <w:color w:val="000000"/>
                <w:lang w:bidi="ar"/>
              </w:rPr>
              <w:t>2,041,235,236.41</w:t>
            </w:r>
          </w:p>
        </w:tc>
        <w:tc>
          <w:tcPr>
            <w:tcW w:w="711" w:type="pct"/>
            <w:vAlign w:val="center"/>
          </w:tcPr>
          <w:p w14:paraId="3DFDECF2">
            <w:pPr>
              <w:jc w:val="right"/>
              <w:textAlignment w:val="center"/>
              <w:rPr>
                <w:rFonts w:cs="Times New Roman"/>
              </w:rPr>
            </w:pPr>
            <w:r>
              <w:rPr>
                <w:rFonts w:eastAsia="Arial Narrow" w:cs="Times New Roman"/>
                <w:color w:val="000000"/>
                <w:lang w:bidi="ar"/>
              </w:rPr>
              <w:t>50,702,329.09</w:t>
            </w:r>
          </w:p>
        </w:tc>
        <w:tc>
          <w:tcPr>
            <w:tcW w:w="770" w:type="pct"/>
            <w:vAlign w:val="center"/>
          </w:tcPr>
          <w:p w14:paraId="1CB830B3">
            <w:pPr>
              <w:jc w:val="right"/>
              <w:textAlignment w:val="center"/>
              <w:rPr>
                <w:rFonts w:cs="Times New Roman"/>
              </w:rPr>
            </w:pPr>
            <w:r>
              <w:rPr>
                <w:rFonts w:eastAsia="Arial Narrow" w:cs="Times New Roman"/>
                <w:color w:val="000000"/>
                <w:lang w:bidi="ar"/>
              </w:rPr>
              <w:t>137,918,490.20</w:t>
            </w:r>
          </w:p>
        </w:tc>
        <w:tc>
          <w:tcPr>
            <w:tcW w:w="869" w:type="pct"/>
            <w:vAlign w:val="center"/>
          </w:tcPr>
          <w:p w14:paraId="18FD3E1B">
            <w:pPr>
              <w:jc w:val="right"/>
              <w:textAlignment w:val="center"/>
              <w:rPr>
                <w:rFonts w:cs="Times New Roman"/>
              </w:rPr>
            </w:pPr>
            <w:r>
              <w:rPr>
                <w:rFonts w:eastAsia="Arial Narrow" w:cs="Times New Roman"/>
                <w:color w:val="000000"/>
                <w:lang w:bidi="ar"/>
              </w:rPr>
              <w:t>3,554,633,994.16</w:t>
            </w:r>
          </w:p>
        </w:tc>
      </w:tr>
      <w:tr w14:paraId="51015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tcPr>
          <w:p w14:paraId="49286FBC">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2.本期增加金额</w:t>
            </w:r>
          </w:p>
        </w:tc>
        <w:tc>
          <w:tcPr>
            <w:tcW w:w="742" w:type="pct"/>
            <w:vAlign w:val="center"/>
          </w:tcPr>
          <w:p w14:paraId="6FB8F158">
            <w:pPr>
              <w:jc w:val="right"/>
              <w:textAlignment w:val="center"/>
              <w:rPr>
                <w:rFonts w:cs="Times New Roman"/>
              </w:rPr>
            </w:pPr>
            <w:r>
              <w:rPr>
                <w:rFonts w:eastAsia="Arial Narrow" w:cs="Times New Roman"/>
                <w:color w:val="000000"/>
                <w:lang w:bidi="ar"/>
              </w:rPr>
              <w:t>64,507,634.62</w:t>
            </w:r>
          </w:p>
        </w:tc>
        <w:tc>
          <w:tcPr>
            <w:tcW w:w="860" w:type="pct"/>
            <w:vAlign w:val="center"/>
          </w:tcPr>
          <w:p w14:paraId="368C961F">
            <w:pPr>
              <w:jc w:val="right"/>
              <w:textAlignment w:val="center"/>
              <w:rPr>
                <w:rFonts w:cs="Times New Roman"/>
              </w:rPr>
            </w:pPr>
            <w:r>
              <w:rPr>
                <w:rFonts w:eastAsia="Arial Narrow" w:cs="Times New Roman"/>
                <w:color w:val="000000"/>
                <w:lang w:bidi="ar"/>
              </w:rPr>
              <w:t>74,048,421.74</w:t>
            </w:r>
          </w:p>
        </w:tc>
        <w:tc>
          <w:tcPr>
            <w:tcW w:w="711" w:type="pct"/>
            <w:vAlign w:val="center"/>
          </w:tcPr>
          <w:p w14:paraId="78ECE912">
            <w:pPr>
              <w:jc w:val="right"/>
              <w:textAlignment w:val="center"/>
              <w:rPr>
                <w:rFonts w:cs="Times New Roman"/>
              </w:rPr>
            </w:pPr>
            <w:r>
              <w:rPr>
                <w:rFonts w:eastAsia="Arial Narrow" w:cs="Times New Roman"/>
                <w:color w:val="000000"/>
                <w:lang w:bidi="ar"/>
              </w:rPr>
              <w:t>1,520,990.14</w:t>
            </w:r>
          </w:p>
        </w:tc>
        <w:tc>
          <w:tcPr>
            <w:tcW w:w="770" w:type="pct"/>
            <w:vAlign w:val="center"/>
          </w:tcPr>
          <w:p w14:paraId="065EAA74">
            <w:pPr>
              <w:jc w:val="right"/>
              <w:textAlignment w:val="center"/>
              <w:rPr>
                <w:rFonts w:cs="Times New Roman"/>
              </w:rPr>
            </w:pPr>
            <w:r>
              <w:rPr>
                <w:rFonts w:eastAsia="Arial Narrow" w:cs="Times New Roman"/>
                <w:color w:val="000000"/>
                <w:lang w:bidi="ar"/>
              </w:rPr>
              <w:t>6,420,713.68</w:t>
            </w:r>
          </w:p>
        </w:tc>
        <w:tc>
          <w:tcPr>
            <w:tcW w:w="869" w:type="pct"/>
            <w:vAlign w:val="center"/>
          </w:tcPr>
          <w:p w14:paraId="6E9798A8">
            <w:pPr>
              <w:jc w:val="right"/>
              <w:textAlignment w:val="center"/>
              <w:rPr>
                <w:rFonts w:cs="Times New Roman"/>
              </w:rPr>
            </w:pPr>
            <w:r>
              <w:rPr>
                <w:rFonts w:eastAsia="Arial Narrow" w:cs="Times New Roman"/>
                <w:color w:val="000000"/>
                <w:lang w:bidi="ar"/>
              </w:rPr>
              <w:t>146,497,760.18</w:t>
            </w:r>
          </w:p>
        </w:tc>
      </w:tr>
      <w:tr w14:paraId="1D0B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tcPr>
          <w:p w14:paraId="0C28017B">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（1）计提</w:t>
            </w:r>
          </w:p>
        </w:tc>
        <w:tc>
          <w:tcPr>
            <w:tcW w:w="742" w:type="pct"/>
            <w:vAlign w:val="center"/>
          </w:tcPr>
          <w:p w14:paraId="6DB97E7E">
            <w:pPr>
              <w:jc w:val="right"/>
              <w:textAlignment w:val="center"/>
              <w:rPr>
                <w:rFonts w:cs="Times New Roman"/>
              </w:rPr>
            </w:pPr>
            <w:r>
              <w:rPr>
                <w:rFonts w:eastAsia="Arial Narrow" w:cs="Times New Roman"/>
                <w:color w:val="000000"/>
                <w:lang w:bidi="ar"/>
              </w:rPr>
              <w:t>64,446,524.62</w:t>
            </w:r>
          </w:p>
        </w:tc>
        <w:tc>
          <w:tcPr>
            <w:tcW w:w="860" w:type="pct"/>
            <w:vAlign w:val="center"/>
          </w:tcPr>
          <w:p w14:paraId="3065E373">
            <w:pPr>
              <w:jc w:val="right"/>
              <w:textAlignment w:val="center"/>
              <w:rPr>
                <w:rFonts w:cs="Times New Roman"/>
              </w:rPr>
            </w:pPr>
            <w:r>
              <w:rPr>
                <w:rFonts w:eastAsia="Arial Narrow" w:cs="Times New Roman"/>
                <w:color w:val="000000"/>
                <w:lang w:bidi="ar"/>
              </w:rPr>
              <w:t>74,048,421.74</w:t>
            </w:r>
          </w:p>
        </w:tc>
        <w:tc>
          <w:tcPr>
            <w:tcW w:w="711" w:type="pct"/>
            <w:vAlign w:val="center"/>
          </w:tcPr>
          <w:p w14:paraId="3C3346C7">
            <w:pPr>
              <w:jc w:val="right"/>
              <w:textAlignment w:val="center"/>
              <w:rPr>
                <w:rFonts w:cs="Times New Roman"/>
              </w:rPr>
            </w:pPr>
            <w:r>
              <w:rPr>
                <w:rFonts w:eastAsia="Arial Narrow" w:cs="Times New Roman"/>
                <w:color w:val="000000"/>
                <w:lang w:bidi="ar"/>
              </w:rPr>
              <w:t>1,520,990.14</w:t>
            </w:r>
          </w:p>
        </w:tc>
        <w:tc>
          <w:tcPr>
            <w:tcW w:w="770" w:type="pct"/>
            <w:vAlign w:val="center"/>
          </w:tcPr>
          <w:p w14:paraId="2C866611">
            <w:pPr>
              <w:jc w:val="right"/>
              <w:textAlignment w:val="center"/>
              <w:rPr>
                <w:rFonts w:cs="Times New Roman"/>
              </w:rPr>
            </w:pPr>
            <w:r>
              <w:rPr>
                <w:rFonts w:eastAsia="Arial Narrow" w:cs="Times New Roman"/>
                <w:color w:val="000000"/>
                <w:lang w:bidi="ar"/>
              </w:rPr>
              <w:t>6,420,713.68</w:t>
            </w:r>
          </w:p>
        </w:tc>
        <w:tc>
          <w:tcPr>
            <w:tcW w:w="869" w:type="pct"/>
            <w:vAlign w:val="center"/>
          </w:tcPr>
          <w:p w14:paraId="3FE4589E">
            <w:pPr>
              <w:jc w:val="right"/>
              <w:textAlignment w:val="center"/>
              <w:rPr>
                <w:rFonts w:cs="Times New Roman"/>
              </w:rPr>
            </w:pPr>
            <w:r>
              <w:rPr>
                <w:rFonts w:eastAsia="Arial Narrow" w:cs="Times New Roman"/>
                <w:color w:val="000000"/>
                <w:lang w:bidi="ar"/>
              </w:rPr>
              <w:t>146,436,650.18</w:t>
            </w:r>
          </w:p>
        </w:tc>
      </w:tr>
      <w:tr w14:paraId="5369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tcPr>
          <w:p w14:paraId="29DEE53D">
            <w:pPr>
              <w:ind w:firstLine="630" w:firstLineChars="300"/>
              <w:rPr>
                <w:rFonts w:cs="Times New Roman"/>
              </w:rPr>
            </w:pPr>
            <w:r>
              <w:rPr>
                <w:rFonts w:cs="Times New Roman"/>
                <w:color w:val="000000" w:themeColor="text1"/>
                <w14:textFill>
                  <w14:solidFill>
                    <w14:schemeClr w14:val="tx1"/>
                  </w14:solidFill>
                </w14:textFill>
              </w:rPr>
              <w:t>（2）其他增加</w:t>
            </w:r>
          </w:p>
        </w:tc>
        <w:tc>
          <w:tcPr>
            <w:tcW w:w="742" w:type="pct"/>
            <w:vAlign w:val="center"/>
          </w:tcPr>
          <w:p w14:paraId="45D43D9E">
            <w:pPr>
              <w:jc w:val="right"/>
              <w:textAlignment w:val="center"/>
              <w:rPr>
                <w:rFonts w:cs="Times New Roman"/>
              </w:rPr>
            </w:pPr>
            <w:r>
              <w:rPr>
                <w:rFonts w:eastAsia="Arial Narrow" w:cs="Times New Roman"/>
                <w:color w:val="000000"/>
                <w:lang w:bidi="ar"/>
              </w:rPr>
              <w:t>61,110.00</w:t>
            </w:r>
          </w:p>
        </w:tc>
        <w:tc>
          <w:tcPr>
            <w:tcW w:w="860" w:type="pct"/>
            <w:vAlign w:val="center"/>
          </w:tcPr>
          <w:p w14:paraId="66797E01">
            <w:pPr>
              <w:jc w:val="right"/>
              <w:rPr>
                <w:rFonts w:cs="Times New Roman"/>
              </w:rPr>
            </w:pPr>
          </w:p>
        </w:tc>
        <w:tc>
          <w:tcPr>
            <w:tcW w:w="711" w:type="pct"/>
            <w:vAlign w:val="center"/>
          </w:tcPr>
          <w:p w14:paraId="71CD1E17">
            <w:pPr>
              <w:jc w:val="right"/>
              <w:rPr>
                <w:rFonts w:cs="Times New Roman"/>
              </w:rPr>
            </w:pPr>
          </w:p>
        </w:tc>
        <w:tc>
          <w:tcPr>
            <w:tcW w:w="770" w:type="pct"/>
            <w:vAlign w:val="center"/>
          </w:tcPr>
          <w:p w14:paraId="7B6EB808">
            <w:pPr>
              <w:jc w:val="right"/>
              <w:rPr>
                <w:rFonts w:cs="Times New Roman"/>
              </w:rPr>
            </w:pPr>
          </w:p>
        </w:tc>
        <w:tc>
          <w:tcPr>
            <w:tcW w:w="869" w:type="pct"/>
            <w:vAlign w:val="center"/>
          </w:tcPr>
          <w:p w14:paraId="1309B5A9">
            <w:pPr>
              <w:jc w:val="right"/>
              <w:textAlignment w:val="center"/>
              <w:rPr>
                <w:rFonts w:cs="Times New Roman"/>
              </w:rPr>
            </w:pPr>
            <w:r>
              <w:rPr>
                <w:rFonts w:eastAsia="Arial Narrow" w:cs="Times New Roman"/>
                <w:color w:val="000000"/>
                <w:lang w:bidi="ar"/>
              </w:rPr>
              <w:t>61,110.00</w:t>
            </w:r>
          </w:p>
        </w:tc>
      </w:tr>
      <w:tr w14:paraId="150F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tcPr>
          <w:p w14:paraId="74CA972D">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3.本期减少金额</w:t>
            </w:r>
          </w:p>
        </w:tc>
        <w:tc>
          <w:tcPr>
            <w:tcW w:w="742" w:type="pct"/>
            <w:vAlign w:val="center"/>
          </w:tcPr>
          <w:p w14:paraId="06A076CF">
            <w:pPr>
              <w:jc w:val="right"/>
              <w:textAlignment w:val="center"/>
              <w:rPr>
                <w:rFonts w:cs="Times New Roman"/>
              </w:rPr>
            </w:pPr>
            <w:r>
              <w:rPr>
                <w:rFonts w:eastAsia="Arial Narrow" w:cs="Times New Roman"/>
                <w:color w:val="000000"/>
                <w:lang w:bidi="ar"/>
              </w:rPr>
              <w:t>7,074,108.99</w:t>
            </w:r>
          </w:p>
        </w:tc>
        <w:tc>
          <w:tcPr>
            <w:tcW w:w="860" w:type="pct"/>
            <w:vAlign w:val="center"/>
          </w:tcPr>
          <w:p w14:paraId="06AD92F1">
            <w:pPr>
              <w:jc w:val="right"/>
              <w:textAlignment w:val="center"/>
              <w:rPr>
                <w:rFonts w:cs="Times New Roman"/>
              </w:rPr>
            </w:pPr>
            <w:r>
              <w:rPr>
                <w:rFonts w:eastAsia="Arial Narrow" w:cs="Times New Roman"/>
                <w:color w:val="000000"/>
                <w:lang w:bidi="ar"/>
              </w:rPr>
              <w:t>83,308,602.78</w:t>
            </w:r>
          </w:p>
        </w:tc>
        <w:tc>
          <w:tcPr>
            <w:tcW w:w="711" w:type="pct"/>
            <w:vAlign w:val="center"/>
          </w:tcPr>
          <w:p w14:paraId="5F9E11DB">
            <w:pPr>
              <w:jc w:val="right"/>
              <w:textAlignment w:val="center"/>
              <w:rPr>
                <w:rFonts w:cs="Times New Roman"/>
              </w:rPr>
            </w:pPr>
            <w:r>
              <w:rPr>
                <w:rFonts w:eastAsia="Arial Narrow" w:cs="Times New Roman"/>
                <w:color w:val="000000"/>
                <w:lang w:bidi="ar"/>
              </w:rPr>
              <w:t>1,754,373.88</w:t>
            </w:r>
          </w:p>
        </w:tc>
        <w:tc>
          <w:tcPr>
            <w:tcW w:w="770" w:type="pct"/>
            <w:vAlign w:val="center"/>
          </w:tcPr>
          <w:p w14:paraId="2CE80CE9">
            <w:pPr>
              <w:jc w:val="right"/>
              <w:textAlignment w:val="center"/>
              <w:rPr>
                <w:rFonts w:cs="Times New Roman"/>
              </w:rPr>
            </w:pPr>
            <w:r>
              <w:rPr>
                <w:rFonts w:eastAsia="Arial Narrow" w:cs="Times New Roman"/>
                <w:color w:val="000000"/>
                <w:lang w:bidi="ar"/>
              </w:rPr>
              <w:t>1,323,245.81</w:t>
            </w:r>
          </w:p>
        </w:tc>
        <w:tc>
          <w:tcPr>
            <w:tcW w:w="869" w:type="pct"/>
            <w:vAlign w:val="center"/>
          </w:tcPr>
          <w:p w14:paraId="4A991BC0">
            <w:pPr>
              <w:jc w:val="right"/>
              <w:textAlignment w:val="center"/>
              <w:rPr>
                <w:rFonts w:cs="Times New Roman"/>
              </w:rPr>
            </w:pPr>
            <w:r>
              <w:rPr>
                <w:rFonts w:eastAsia="Arial Narrow" w:cs="Times New Roman"/>
                <w:color w:val="000000"/>
                <w:lang w:bidi="ar"/>
              </w:rPr>
              <w:t>93,460,331.46</w:t>
            </w:r>
          </w:p>
        </w:tc>
      </w:tr>
      <w:tr w14:paraId="21E5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tcPr>
          <w:p w14:paraId="6ED1303C">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（1）处置或报废</w:t>
            </w:r>
          </w:p>
        </w:tc>
        <w:tc>
          <w:tcPr>
            <w:tcW w:w="742" w:type="pct"/>
            <w:vAlign w:val="center"/>
          </w:tcPr>
          <w:p w14:paraId="2A9E2FCD">
            <w:pPr>
              <w:jc w:val="right"/>
              <w:textAlignment w:val="center"/>
              <w:rPr>
                <w:rFonts w:cs="Times New Roman"/>
              </w:rPr>
            </w:pPr>
            <w:r>
              <w:rPr>
                <w:rFonts w:eastAsia="Arial Narrow" w:cs="Times New Roman"/>
                <w:color w:val="000000"/>
                <w:lang w:bidi="ar"/>
              </w:rPr>
              <w:t>1,811,904.80</w:t>
            </w:r>
          </w:p>
        </w:tc>
        <w:tc>
          <w:tcPr>
            <w:tcW w:w="860" w:type="pct"/>
            <w:vAlign w:val="center"/>
          </w:tcPr>
          <w:p w14:paraId="38C226CE">
            <w:pPr>
              <w:jc w:val="right"/>
              <w:textAlignment w:val="center"/>
              <w:rPr>
                <w:rFonts w:cs="Times New Roman"/>
              </w:rPr>
            </w:pPr>
            <w:r>
              <w:rPr>
                <w:rFonts w:eastAsia="Arial Narrow" w:cs="Times New Roman"/>
                <w:color w:val="000000"/>
                <w:lang w:bidi="ar"/>
              </w:rPr>
              <w:t>82,879,954.70</w:t>
            </w:r>
          </w:p>
        </w:tc>
        <w:tc>
          <w:tcPr>
            <w:tcW w:w="711" w:type="pct"/>
            <w:vAlign w:val="center"/>
          </w:tcPr>
          <w:p w14:paraId="6A355871">
            <w:pPr>
              <w:jc w:val="right"/>
              <w:textAlignment w:val="center"/>
              <w:rPr>
                <w:rFonts w:cs="Times New Roman"/>
              </w:rPr>
            </w:pPr>
            <w:r>
              <w:rPr>
                <w:rFonts w:eastAsia="Arial Narrow" w:cs="Times New Roman"/>
                <w:color w:val="000000"/>
                <w:lang w:bidi="ar"/>
              </w:rPr>
              <w:t>1,754,373.88</w:t>
            </w:r>
          </w:p>
        </w:tc>
        <w:tc>
          <w:tcPr>
            <w:tcW w:w="770" w:type="pct"/>
            <w:vAlign w:val="center"/>
          </w:tcPr>
          <w:p w14:paraId="210D4437">
            <w:pPr>
              <w:jc w:val="right"/>
              <w:textAlignment w:val="center"/>
              <w:rPr>
                <w:rFonts w:cs="Times New Roman"/>
              </w:rPr>
            </w:pPr>
            <w:r>
              <w:rPr>
                <w:rFonts w:eastAsia="Arial Narrow" w:cs="Times New Roman"/>
                <w:color w:val="000000"/>
                <w:lang w:bidi="ar"/>
              </w:rPr>
              <w:t>1,323,245.81</w:t>
            </w:r>
          </w:p>
        </w:tc>
        <w:tc>
          <w:tcPr>
            <w:tcW w:w="869" w:type="pct"/>
            <w:vAlign w:val="center"/>
          </w:tcPr>
          <w:p w14:paraId="5EC3CE8B">
            <w:pPr>
              <w:jc w:val="right"/>
              <w:textAlignment w:val="center"/>
              <w:rPr>
                <w:rFonts w:cs="Times New Roman"/>
              </w:rPr>
            </w:pPr>
            <w:r>
              <w:rPr>
                <w:rFonts w:eastAsia="Arial Narrow" w:cs="Times New Roman"/>
                <w:color w:val="000000"/>
                <w:lang w:bidi="ar"/>
              </w:rPr>
              <w:t>87,769,479.19</w:t>
            </w:r>
          </w:p>
        </w:tc>
      </w:tr>
      <w:tr w14:paraId="5AF9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vAlign w:val="center"/>
          </w:tcPr>
          <w:p w14:paraId="3E27B134">
            <w:pPr>
              <w:ind w:firstLine="630" w:firstLineChars="300"/>
              <w:rPr>
                <w:rFonts w:cs="Times New Roman"/>
              </w:rPr>
            </w:pPr>
            <w:r>
              <w:rPr>
                <w:rFonts w:cs="Times New Roman"/>
              </w:rPr>
              <w:t>（2）转入投资性房地产</w:t>
            </w:r>
          </w:p>
        </w:tc>
        <w:tc>
          <w:tcPr>
            <w:tcW w:w="742" w:type="pct"/>
            <w:vAlign w:val="center"/>
          </w:tcPr>
          <w:p w14:paraId="63D790DE">
            <w:pPr>
              <w:jc w:val="right"/>
              <w:textAlignment w:val="center"/>
              <w:rPr>
                <w:rFonts w:cs="Times New Roman"/>
              </w:rPr>
            </w:pPr>
            <w:r>
              <w:rPr>
                <w:rFonts w:eastAsia="Arial Narrow" w:cs="Times New Roman"/>
                <w:color w:val="000000"/>
                <w:lang w:bidi="ar"/>
              </w:rPr>
              <w:t>1,387,539.48</w:t>
            </w:r>
          </w:p>
        </w:tc>
        <w:tc>
          <w:tcPr>
            <w:tcW w:w="860" w:type="pct"/>
            <w:vAlign w:val="center"/>
          </w:tcPr>
          <w:p w14:paraId="051EEDFD">
            <w:pPr>
              <w:jc w:val="right"/>
              <w:rPr>
                <w:rFonts w:cs="Times New Roman"/>
              </w:rPr>
            </w:pPr>
          </w:p>
        </w:tc>
        <w:tc>
          <w:tcPr>
            <w:tcW w:w="711" w:type="pct"/>
            <w:vAlign w:val="center"/>
          </w:tcPr>
          <w:p w14:paraId="3798187D">
            <w:pPr>
              <w:jc w:val="right"/>
              <w:rPr>
                <w:rFonts w:cs="Times New Roman"/>
              </w:rPr>
            </w:pPr>
          </w:p>
        </w:tc>
        <w:tc>
          <w:tcPr>
            <w:tcW w:w="770" w:type="pct"/>
            <w:vAlign w:val="center"/>
          </w:tcPr>
          <w:p w14:paraId="393083CB">
            <w:pPr>
              <w:jc w:val="right"/>
              <w:rPr>
                <w:rFonts w:cs="Times New Roman"/>
              </w:rPr>
            </w:pPr>
          </w:p>
        </w:tc>
        <w:tc>
          <w:tcPr>
            <w:tcW w:w="869" w:type="pct"/>
            <w:vAlign w:val="center"/>
          </w:tcPr>
          <w:p w14:paraId="2C4A2DCA">
            <w:pPr>
              <w:jc w:val="right"/>
              <w:textAlignment w:val="center"/>
              <w:rPr>
                <w:rFonts w:cs="Times New Roman"/>
              </w:rPr>
            </w:pPr>
            <w:r>
              <w:rPr>
                <w:rFonts w:eastAsia="Arial Narrow" w:cs="Times New Roman"/>
                <w:color w:val="000000"/>
                <w:lang w:bidi="ar"/>
              </w:rPr>
              <w:t>1,387,539.48</w:t>
            </w:r>
          </w:p>
        </w:tc>
      </w:tr>
      <w:tr w14:paraId="1A1C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vAlign w:val="center"/>
          </w:tcPr>
          <w:p w14:paraId="66001DC7">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（3）其他减少</w:t>
            </w:r>
          </w:p>
        </w:tc>
        <w:tc>
          <w:tcPr>
            <w:tcW w:w="742" w:type="pct"/>
            <w:vAlign w:val="center"/>
          </w:tcPr>
          <w:p w14:paraId="2195AB0F">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3,874,664.71</w:t>
            </w:r>
          </w:p>
        </w:tc>
        <w:tc>
          <w:tcPr>
            <w:tcW w:w="860" w:type="pct"/>
            <w:vAlign w:val="center"/>
          </w:tcPr>
          <w:p w14:paraId="6866211F">
            <w:pPr>
              <w:jc w:val="right"/>
              <w:textAlignment w:val="center"/>
              <w:rPr>
                <w:rFonts w:cs="Times New Roman"/>
              </w:rPr>
            </w:pPr>
            <w:r>
              <w:rPr>
                <w:rFonts w:eastAsia="Arial Narrow" w:cs="Times New Roman"/>
                <w:color w:val="000000"/>
                <w:lang w:bidi="ar"/>
              </w:rPr>
              <w:t>428,648.08</w:t>
            </w:r>
          </w:p>
        </w:tc>
        <w:tc>
          <w:tcPr>
            <w:tcW w:w="711" w:type="pct"/>
            <w:vAlign w:val="center"/>
          </w:tcPr>
          <w:p w14:paraId="6431B20F">
            <w:pPr>
              <w:jc w:val="right"/>
              <w:rPr>
                <w:rFonts w:cs="Times New Roman"/>
              </w:rPr>
            </w:pPr>
          </w:p>
        </w:tc>
        <w:tc>
          <w:tcPr>
            <w:tcW w:w="770" w:type="pct"/>
            <w:vAlign w:val="center"/>
          </w:tcPr>
          <w:p w14:paraId="62C7817A">
            <w:pPr>
              <w:jc w:val="right"/>
              <w:rPr>
                <w:rFonts w:cs="Times New Roman"/>
              </w:rPr>
            </w:pPr>
          </w:p>
        </w:tc>
        <w:tc>
          <w:tcPr>
            <w:tcW w:w="869" w:type="pct"/>
            <w:vAlign w:val="center"/>
          </w:tcPr>
          <w:p w14:paraId="0952951A">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4,303,312.79</w:t>
            </w:r>
          </w:p>
        </w:tc>
      </w:tr>
      <w:tr w14:paraId="7122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tcPr>
          <w:p w14:paraId="3FF3E9CD">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4.期末余额</w:t>
            </w:r>
          </w:p>
        </w:tc>
        <w:tc>
          <w:tcPr>
            <w:tcW w:w="742" w:type="pct"/>
            <w:vAlign w:val="center"/>
          </w:tcPr>
          <w:p w14:paraId="34E3B184">
            <w:pPr>
              <w:jc w:val="right"/>
              <w:textAlignment w:val="center"/>
              <w:rPr>
                <w:rFonts w:cs="Times New Roman"/>
              </w:rPr>
            </w:pPr>
            <w:r>
              <w:rPr>
                <w:rFonts w:eastAsia="Arial Narrow" w:cs="Times New Roman"/>
                <w:color w:val="000000"/>
                <w:lang w:bidi="ar"/>
              </w:rPr>
              <w:t>1,382,211,464.09</w:t>
            </w:r>
          </w:p>
        </w:tc>
        <w:tc>
          <w:tcPr>
            <w:tcW w:w="860" w:type="pct"/>
            <w:vAlign w:val="center"/>
          </w:tcPr>
          <w:p w14:paraId="0CE9B027">
            <w:pPr>
              <w:jc w:val="right"/>
              <w:textAlignment w:val="center"/>
              <w:rPr>
                <w:rFonts w:cs="Times New Roman"/>
              </w:rPr>
            </w:pPr>
            <w:r>
              <w:rPr>
                <w:rFonts w:eastAsia="Arial Narrow" w:cs="Times New Roman"/>
                <w:color w:val="000000"/>
                <w:lang w:bidi="ar"/>
              </w:rPr>
              <w:t>2,031,975,055.37</w:t>
            </w:r>
          </w:p>
        </w:tc>
        <w:tc>
          <w:tcPr>
            <w:tcW w:w="711" w:type="pct"/>
            <w:vAlign w:val="center"/>
          </w:tcPr>
          <w:p w14:paraId="0FDC5BE7">
            <w:pPr>
              <w:jc w:val="right"/>
              <w:textAlignment w:val="center"/>
              <w:rPr>
                <w:rFonts w:cs="Times New Roman"/>
              </w:rPr>
            </w:pPr>
            <w:r>
              <w:rPr>
                <w:rFonts w:eastAsia="Arial Narrow" w:cs="Times New Roman"/>
                <w:color w:val="000000"/>
                <w:lang w:bidi="ar"/>
              </w:rPr>
              <w:t>50,468,945.35</w:t>
            </w:r>
          </w:p>
        </w:tc>
        <w:tc>
          <w:tcPr>
            <w:tcW w:w="770" w:type="pct"/>
            <w:vAlign w:val="center"/>
          </w:tcPr>
          <w:p w14:paraId="2D9192EB">
            <w:pPr>
              <w:jc w:val="right"/>
              <w:textAlignment w:val="center"/>
              <w:rPr>
                <w:rFonts w:cs="Times New Roman"/>
              </w:rPr>
            </w:pPr>
            <w:r>
              <w:rPr>
                <w:rFonts w:eastAsia="Arial Narrow" w:cs="Times New Roman"/>
                <w:color w:val="000000"/>
                <w:lang w:bidi="ar"/>
              </w:rPr>
              <w:t>143,015,958.07</w:t>
            </w:r>
          </w:p>
        </w:tc>
        <w:tc>
          <w:tcPr>
            <w:tcW w:w="869" w:type="pct"/>
            <w:vAlign w:val="center"/>
          </w:tcPr>
          <w:p w14:paraId="7234570B">
            <w:pPr>
              <w:jc w:val="right"/>
              <w:textAlignment w:val="center"/>
              <w:rPr>
                <w:rFonts w:cs="Times New Roman"/>
              </w:rPr>
            </w:pPr>
            <w:r>
              <w:rPr>
                <w:rFonts w:eastAsia="Arial Narrow" w:cs="Times New Roman"/>
                <w:color w:val="000000"/>
                <w:lang w:bidi="ar"/>
              </w:rPr>
              <w:t>3,607,671,422.88</w:t>
            </w:r>
          </w:p>
        </w:tc>
      </w:tr>
      <w:tr w14:paraId="1797E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cs="Times New Roman"/>
            </w:rPr>
            <w:tag w:val="_PLD_662c84047b6d41648e46d047cc9b134a"/>
            <w:id w:val="147472648"/>
          </w:sdtPr>
          <w:sdtEndPr>
            <w:rPr>
              <w:rFonts w:cs="Times New Roman"/>
            </w:rPr>
          </w:sdtEndPr>
          <w:sdtContent>
            <w:tc>
              <w:tcPr>
                <w:tcW w:w="5000" w:type="pct"/>
                <w:gridSpan w:val="6"/>
              </w:tcPr>
              <w:p w14:paraId="7FB8ACBC">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三、减值准备</w:t>
                </w:r>
              </w:p>
            </w:tc>
          </w:sdtContent>
        </w:sdt>
      </w:tr>
      <w:tr w14:paraId="3845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tcPr>
          <w:p w14:paraId="5AB7631B">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1.期初余额</w:t>
            </w:r>
          </w:p>
        </w:tc>
        <w:tc>
          <w:tcPr>
            <w:tcW w:w="742" w:type="pct"/>
            <w:vAlign w:val="center"/>
          </w:tcPr>
          <w:p w14:paraId="71781804">
            <w:pPr>
              <w:jc w:val="right"/>
              <w:textAlignment w:val="center"/>
              <w:rPr>
                <w:rFonts w:cs="Times New Roman"/>
              </w:rPr>
            </w:pPr>
            <w:r>
              <w:rPr>
                <w:rFonts w:eastAsia="Arial Narrow" w:cs="Times New Roman"/>
                <w:color w:val="000000"/>
                <w:lang w:bidi="ar"/>
              </w:rPr>
              <w:t>453,950,406.96</w:t>
            </w:r>
          </w:p>
        </w:tc>
        <w:tc>
          <w:tcPr>
            <w:tcW w:w="860" w:type="pct"/>
            <w:vAlign w:val="center"/>
          </w:tcPr>
          <w:p w14:paraId="4DC6936D">
            <w:pPr>
              <w:jc w:val="right"/>
              <w:textAlignment w:val="center"/>
              <w:rPr>
                <w:rFonts w:cs="Times New Roman"/>
              </w:rPr>
            </w:pPr>
            <w:r>
              <w:rPr>
                <w:rFonts w:eastAsia="Arial Narrow" w:cs="Times New Roman"/>
                <w:color w:val="000000"/>
                <w:lang w:bidi="ar"/>
              </w:rPr>
              <w:t>72,759,797.97</w:t>
            </w:r>
          </w:p>
        </w:tc>
        <w:tc>
          <w:tcPr>
            <w:tcW w:w="711" w:type="pct"/>
            <w:vAlign w:val="center"/>
          </w:tcPr>
          <w:p w14:paraId="1283CEF1">
            <w:pPr>
              <w:jc w:val="right"/>
              <w:textAlignment w:val="center"/>
              <w:rPr>
                <w:rFonts w:cs="Times New Roman"/>
              </w:rPr>
            </w:pPr>
            <w:r>
              <w:rPr>
                <w:rFonts w:eastAsia="Arial Narrow" w:cs="Times New Roman"/>
                <w:color w:val="000000"/>
                <w:lang w:bidi="ar"/>
              </w:rPr>
              <w:t>111,411.62</w:t>
            </w:r>
          </w:p>
        </w:tc>
        <w:tc>
          <w:tcPr>
            <w:tcW w:w="770" w:type="pct"/>
            <w:vAlign w:val="center"/>
          </w:tcPr>
          <w:p w14:paraId="0D580C3B">
            <w:pPr>
              <w:jc w:val="right"/>
              <w:textAlignment w:val="center"/>
              <w:rPr>
                <w:rFonts w:cs="Times New Roman"/>
              </w:rPr>
            </w:pPr>
            <w:r>
              <w:rPr>
                <w:rFonts w:eastAsia="Arial Narrow" w:cs="Times New Roman"/>
                <w:color w:val="000000"/>
                <w:lang w:bidi="ar"/>
              </w:rPr>
              <w:t>103,582,216.64</w:t>
            </w:r>
          </w:p>
        </w:tc>
        <w:tc>
          <w:tcPr>
            <w:tcW w:w="869" w:type="pct"/>
            <w:vAlign w:val="center"/>
          </w:tcPr>
          <w:p w14:paraId="23272455">
            <w:pPr>
              <w:jc w:val="right"/>
              <w:textAlignment w:val="center"/>
              <w:rPr>
                <w:rFonts w:cs="Times New Roman"/>
              </w:rPr>
            </w:pPr>
            <w:r>
              <w:rPr>
                <w:rFonts w:eastAsia="Arial Narrow" w:cs="Times New Roman"/>
                <w:color w:val="000000"/>
                <w:lang w:bidi="ar"/>
              </w:rPr>
              <w:t>630,403,833.19</w:t>
            </w:r>
          </w:p>
        </w:tc>
      </w:tr>
      <w:tr w14:paraId="6BF1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tcPr>
          <w:p w14:paraId="556813FA">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2.本期增加金额</w:t>
            </w:r>
          </w:p>
        </w:tc>
        <w:tc>
          <w:tcPr>
            <w:tcW w:w="742" w:type="pct"/>
            <w:vAlign w:val="center"/>
          </w:tcPr>
          <w:p w14:paraId="6BFC11AC">
            <w:pPr>
              <w:jc w:val="right"/>
              <w:rPr>
                <w:rFonts w:cs="Times New Roman"/>
              </w:rPr>
            </w:pPr>
          </w:p>
        </w:tc>
        <w:tc>
          <w:tcPr>
            <w:tcW w:w="860" w:type="pct"/>
            <w:vAlign w:val="center"/>
          </w:tcPr>
          <w:p w14:paraId="5BD50204">
            <w:pPr>
              <w:jc w:val="right"/>
              <w:rPr>
                <w:rFonts w:cs="Times New Roman"/>
              </w:rPr>
            </w:pPr>
          </w:p>
        </w:tc>
        <w:tc>
          <w:tcPr>
            <w:tcW w:w="711" w:type="pct"/>
            <w:vAlign w:val="center"/>
          </w:tcPr>
          <w:p w14:paraId="56FD5E6C">
            <w:pPr>
              <w:jc w:val="right"/>
              <w:rPr>
                <w:rFonts w:cs="Times New Roman"/>
              </w:rPr>
            </w:pPr>
          </w:p>
        </w:tc>
        <w:tc>
          <w:tcPr>
            <w:tcW w:w="770" w:type="pct"/>
            <w:vAlign w:val="center"/>
          </w:tcPr>
          <w:p w14:paraId="05E16A4F">
            <w:pPr>
              <w:jc w:val="right"/>
              <w:rPr>
                <w:rFonts w:cs="Times New Roman"/>
              </w:rPr>
            </w:pPr>
          </w:p>
        </w:tc>
        <w:tc>
          <w:tcPr>
            <w:tcW w:w="869" w:type="pct"/>
            <w:vAlign w:val="center"/>
          </w:tcPr>
          <w:p w14:paraId="40BC1A4A">
            <w:pPr>
              <w:jc w:val="right"/>
              <w:rPr>
                <w:rFonts w:cs="Times New Roman"/>
              </w:rPr>
            </w:pPr>
          </w:p>
        </w:tc>
      </w:tr>
      <w:tr w14:paraId="2A13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tcPr>
          <w:p w14:paraId="547F41D5">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3.本期减少金额</w:t>
            </w:r>
          </w:p>
        </w:tc>
        <w:tc>
          <w:tcPr>
            <w:tcW w:w="742" w:type="pct"/>
            <w:vAlign w:val="center"/>
          </w:tcPr>
          <w:p w14:paraId="09C0A54F">
            <w:pPr>
              <w:jc w:val="right"/>
              <w:rPr>
                <w:rFonts w:cs="Times New Roman"/>
              </w:rPr>
            </w:pPr>
          </w:p>
        </w:tc>
        <w:tc>
          <w:tcPr>
            <w:tcW w:w="860" w:type="pct"/>
            <w:vAlign w:val="center"/>
          </w:tcPr>
          <w:p w14:paraId="7C4B6A52">
            <w:pPr>
              <w:jc w:val="right"/>
              <w:rPr>
                <w:rFonts w:cs="Times New Roman"/>
              </w:rPr>
            </w:pPr>
          </w:p>
        </w:tc>
        <w:tc>
          <w:tcPr>
            <w:tcW w:w="711" w:type="pct"/>
            <w:vAlign w:val="center"/>
          </w:tcPr>
          <w:p w14:paraId="395D8AD2">
            <w:pPr>
              <w:jc w:val="right"/>
              <w:textAlignment w:val="center"/>
              <w:rPr>
                <w:rFonts w:cs="Times New Roman"/>
              </w:rPr>
            </w:pPr>
            <w:r>
              <w:rPr>
                <w:rFonts w:eastAsia="Arial Narrow" w:cs="Times New Roman"/>
                <w:color w:val="000000"/>
                <w:lang w:bidi="ar"/>
              </w:rPr>
              <w:t>13,572.85</w:t>
            </w:r>
          </w:p>
        </w:tc>
        <w:tc>
          <w:tcPr>
            <w:tcW w:w="770" w:type="pct"/>
            <w:vAlign w:val="center"/>
          </w:tcPr>
          <w:p w14:paraId="7ADEB497">
            <w:pPr>
              <w:jc w:val="right"/>
              <w:rPr>
                <w:rFonts w:cs="Times New Roman"/>
              </w:rPr>
            </w:pPr>
          </w:p>
        </w:tc>
        <w:tc>
          <w:tcPr>
            <w:tcW w:w="869" w:type="pct"/>
            <w:vAlign w:val="center"/>
          </w:tcPr>
          <w:p w14:paraId="3BA449DD">
            <w:pPr>
              <w:jc w:val="right"/>
              <w:textAlignment w:val="center"/>
              <w:rPr>
                <w:rFonts w:cs="Times New Roman"/>
              </w:rPr>
            </w:pPr>
            <w:r>
              <w:rPr>
                <w:rFonts w:eastAsia="Arial Narrow" w:cs="Times New Roman"/>
                <w:color w:val="000000"/>
                <w:lang w:bidi="ar"/>
              </w:rPr>
              <w:t>13,572.85</w:t>
            </w:r>
          </w:p>
        </w:tc>
      </w:tr>
      <w:tr w14:paraId="34D2C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tcPr>
          <w:p w14:paraId="7F85EEE1">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（1）处置或报废</w:t>
            </w:r>
          </w:p>
        </w:tc>
        <w:tc>
          <w:tcPr>
            <w:tcW w:w="742" w:type="pct"/>
            <w:vAlign w:val="center"/>
          </w:tcPr>
          <w:p w14:paraId="04508FCF">
            <w:pPr>
              <w:jc w:val="right"/>
              <w:rPr>
                <w:rFonts w:cs="Times New Roman"/>
              </w:rPr>
            </w:pPr>
          </w:p>
        </w:tc>
        <w:tc>
          <w:tcPr>
            <w:tcW w:w="860" w:type="pct"/>
            <w:vAlign w:val="center"/>
          </w:tcPr>
          <w:p w14:paraId="1EA93E76">
            <w:pPr>
              <w:jc w:val="right"/>
              <w:rPr>
                <w:rFonts w:cs="Times New Roman"/>
              </w:rPr>
            </w:pPr>
          </w:p>
        </w:tc>
        <w:tc>
          <w:tcPr>
            <w:tcW w:w="711" w:type="pct"/>
            <w:vAlign w:val="center"/>
          </w:tcPr>
          <w:p w14:paraId="78AF67A7">
            <w:pPr>
              <w:jc w:val="right"/>
              <w:textAlignment w:val="center"/>
              <w:rPr>
                <w:rFonts w:cs="Times New Roman"/>
              </w:rPr>
            </w:pPr>
            <w:r>
              <w:rPr>
                <w:rFonts w:eastAsia="Arial Narrow" w:cs="Times New Roman"/>
                <w:color w:val="000000"/>
                <w:lang w:bidi="ar"/>
              </w:rPr>
              <w:t>13,572.85</w:t>
            </w:r>
          </w:p>
        </w:tc>
        <w:tc>
          <w:tcPr>
            <w:tcW w:w="770" w:type="pct"/>
            <w:vAlign w:val="center"/>
          </w:tcPr>
          <w:p w14:paraId="4ED90600">
            <w:pPr>
              <w:jc w:val="right"/>
              <w:rPr>
                <w:rFonts w:cs="Times New Roman"/>
              </w:rPr>
            </w:pPr>
          </w:p>
        </w:tc>
        <w:tc>
          <w:tcPr>
            <w:tcW w:w="869" w:type="pct"/>
            <w:vAlign w:val="center"/>
          </w:tcPr>
          <w:p w14:paraId="39BB14C6">
            <w:pPr>
              <w:jc w:val="right"/>
              <w:textAlignment w:val="center"/>
              <w:rPr>
                <w:rFonts w:cs="Times New Roman"/>
              </w:rPr>
            </w:pPr>
            <w:r>
              <w:rPr>
                <w:rFonts w:eastAsia="Arial Narrow" w:cs="Times New Roman"/>
                <w:color w:val="000000"/>
                <w:lang w:bidi="ar"/>
              </w:rPr>
              <w:t>13,572.85</w:t>
            </w:r>
          </w:p>
        </w:tc>
      </w:tr>
      <w:tr w14:paraId="1911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tcPr>
          <w:p w14:paraId="229E0AFA">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4.期末余额</w:t>
            </w:r>
          </w:p>
        </w:tc>
        <w:tc>
          <w:tcPr>
            <w:tcW w:w="742" w:type="pct"/>
            <w:vAlign w:val="center"/>
          </w:tcPr>
          <w:p w14:paraId="09C7F88C">
            <w:pPr>
              <w:jc w:val="right"/>
              <w:textAlignment w:val="center"/>
              <w:rPr>
                <w:rFonts w:cs="Times New Roman"/>
              </w:rPr>
            </w:pPr>
            <w:r>
              <w:rPr>
                <w:rFonts w:eastAsia="Arial Narrow" w:cs="Times New Roman"/>
                <w:color w:val="000000"/>
                <w:lang w:bidi="ar"/>
              </w:rPr>
              <w:t>453,950,406.96</w:t>
            </w:r>
          </w:p>
        </w:tc>
        <w:tc>
          <w:tcPr>
            <w:tcW w:w="860" w:type="pct"/>
            <w:vAlign w:val="center"/>
          </w:tcPr>
          <w:p w14:paraId="04475249">
            <w:pPr>
              <w:jc w:val="right"/>
              <w:textAlignment w:val="center"/>
              <w:rPr>
                <w:rFonts w:cs="Times New Roman"/>
              </w:rPr>
            </w:pPr>
            <w:r>
              <w:rPr>
                <w:rFonts w:eastAsia="Arial Narrow" w:cs="Times New Roman"/>
                <w:color w:val="000000"/>
                <w:lang w:bidi="ar"/>
              </w:rPr>
              <w:t>72,759,797.97</w:t>
            </w:r>
          </w:p>
        </w:tc>
        <w:tc>
          <w:tcPr>
            <w:tcW w:w="711" w:type="pct"/>
            <w:vAlign w:val="center"/>
          </w:tcPr>
          <w:p w14:paraId="145CFDD7">
            <w:pPr>
              <w:jc w:val="right"/>
              <w:textAlignment w:val="center"/>
              <w:rPr>
                <w:rFonts w:cs="Times New Roman"/>
              </w:rPr>
            </w:pPr>
            <w:r>
              <w:rPr>
                <w:rFonts w:eastAsia="Arial Narrow" w:cs="Times New Roman"/>
                <w:color w:val="000000"/>
                <w:lang w:bidi="ar"/>
              </w:rPr>
              <w:t>97,838.77</w:t>
            </w:r>
          </w:p>
        </w:tc>
        <w:tc>
          <w:tcPr>
            <w:tcW w:w="770" w:type="pct"/>
            <w:vAlign w:val="center"/>
          </w:tcPr>
          <w:p w14:paraId="337C314C">
            <w:pPr>
              <w:jc w:val="right"/>
              <w:textAlignment w:val="center"/>
              <w:rPr>
                <w:rFonts w:cs="Times New Roman"/>
              </w:rPr>
            </w:pPr>
            <w:r>
              <w:rPr>
                <w:rFonts w:eastAsia="Arial Narrow" w:cs="Times New Roman"/>
                <w:color w:val="000000"/>
                <w:lang w:bidi="ar"/>
              </w:rPr>
              <w:t>103,582,216.64</w:t>
            </w:r>
          </w:p>
        </w:tc>
        <w:tc>
          <w:tcPr>
            <w:tcW w:w="869" w:type="pct"/>
            <w:vAlign w:val="center"/>
          </w:tcPr>
          <w:p w14:paraId="167DE03E">
            <w:pPr>
              <w:jc w:val="right"/>
              <w:textAlignment w:val="center"/>
              <w:rPr>
                <w:rFonts w:cs="Times New Roman"/>
              </w:rPr>
            </w:pPr>
            <w:r>
              <w:rPr>
                <w:rFonts w:eastAsia="Arial Narrow" w:cs="Times New Roman"/>
                <w:color w:val="000000"/>
                <w:lang w:bidi="ar"/>
              </w:rPr>
              <w:t>630,390,260.34</w:t>
            </w:r>
          </w:p>
        </w:tc>
      </w:tr>
      <w:tr w14:paraId="03543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cs="Times New Roman"/>
            </w:rPr>
            <w:tag w:val="_PLD_bea29c32f5204124a483fa6e274ca7df"/>
            <w:id w:val="147477369"/>
          </w:sdtPr>
          <w:sdtEndPr>
            <w:rPr>
              <w:rFonts w:cs="Times New Roman"/>
            </w:rPr>
          </w:sdtEndPr>
          <w:sdtContent>
            <w:tc>
              <w:tcPr>
                <w:tcW w:w="5000" w:type="pct"/>
                <w:gridSpan w:val="6"/>
              </w:tcPr>
              <w:p w14:paraId="25625860">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四、账面价值</w:t>
                </w:r>
              </w:p>
            </w:tc>
          </w:sdtContent>
        </w:sdt>
      </w:tr>
      <w:tr w14:paraId="3E7E4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tcPr>
          <w:p w14:paraId="5954CD2B">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1.期末账面价值</w:t>
            </w:r>
          </w:p>
        </w:tc>
        <w:tc>
          <w:tcPr>
            <w:tcW w:w="742" w:type="pct"/>
            <w:vAlign w:val="center"/>
          </w:tcPr>
          <w:p w14:paraId="0E6B80A7">
            <w:pPr>
              <w:jc w:val="right"/>
              <w:textAlignment w:val="center"/>
              <w:rPr>
                <w:rFonts w:cs="Times New Roman"/>
              </w:rPr>
            </w:pPr>
            <w:r>
              <w:rPr>
                <w:rFonts w:eastAsia="Arial Narrow" w:cs="Times New Roman"/>
                <w:color w:val="000000"/>
                <w:lang w:bidi="ar"/>
              </w:rPr>
              <w:t>2,986,741,638.34</w:t>
            </w:r>
          </w:p>
        </w:tc>
        <w:tc>
          <w:tcPr>
            <w:tcW w:w="860" w:type="pct"/>
            <w:vAlign w:val="center"/>
          </w:tcPr>
          <w:p w14:paraId="582E1B37">
            <w:pPr>
              <w:jc w:val="right"/>
              <w:textAlignment w:val="center"/>
              <w:rPr>
                <w:rFonts w:cs="Times New Roman"/>
              </w:rPr>
            </w:pPr>
            <w:r>
              <w:rPr>
                <w:rFonts w:eastAsia="Arial Narrow" w:cs="Times New Roman"/>
                <w:color w:val="000000"/>
                <w:lang w:bidi="ar"/>
              </w:rPr>
              <w:t>893,753,610.15</w:t>
            </w:r>
          </w:p>
        </w:tc>
        <w:tc>
          <w:tcPr>
            <w:tcW w:w="711" w:type="pct"/>
            <w:vAlign w:val="center"/>
          </w:tcPr>
          <w:p w14:paraId="07F1BCF7">
            <w:pPr>
              <w:jc w:val="right"/>
              <w:textAlignment w:val="center"/>
              <w:rPr>
                <w:rFonts w:cs="Times New Roman"/>
              </w:rPr>
            </w:pPr>
            <w:r>
              <w:rPr>
                <w:rFonts w:eastAsia="Arial Narrow" w:cs="Times New Roman"/>
                <w:color w:val="000000"/>
                <w:lang w:bidi="ar"/>
              </w:rPr>
              <w:t>11,821,292.83</w:t>
            </w:r>
          </w:p>
        </w:tc>
        <w:tc>
          <w:tcPr>
            <w:tcW w:w="770" w:type="pct"/>
            <w:vAlign w:val="center"/>
          </w:tcPr>
          <w:p w14:paraId="1BA5939A">
            <w:pPr>
              <w:jc w:val="right"/>
              <w:textAlignment w:val="center"/>
              <w:rPr>
                <w:rFonts w:cs="Times New Roman"/>
              </w:rPr>
            </w:pPr>
            <w:r>
              <w:rPr>
                <w:rFonts w:eastAsia="Arial Narrow" w:cs="Times New Roman"/>
                <w:color w:val="000000"/>
                <w:lang w:bidi="ar"/>
              </w:rPr>
              <w:t>64,395,962.77</w:t>
            </w:r>
          </w:p>
        </w:tc>
        <w:tc>
          <w:tcPr>
            <w:tcW w:w="869" w:type="pct"/>
            <w:vAlign w:val="center"/>
          </w:tcPr>
          <w:p w14:paraId="4F61EBCF">
            <w:pPr>
              <w:jc w:val="right"/>
              <w:textAlignment w:val="center"/>
              <w:rPr>
                <w:rFonts w:cs="Times New Roman"/>
              </w:rPr>
            </w:pPr>
            <w:r>
              <w:rPr>
                <w:rFonts w:eastAsia="Arial Narrow" w:cs="Times New Roman"/>
                <w:color w:val="000000"/>
                <w:lang w:bidi="ar"/>
              </w:rPr>
              <w:t>3,956,712,504.09</w:t>
            </w:r>
          </w:p>
        </w:tc>
      </w:tr>
      <w:tr w14:paraId="2A82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46" w:type="pct"/>
          </w:tcPr>
          <w:p w14:paraId="256C9667">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2.期初账面价值</w:t>
            </w:r>
          </w:p>
        </w:tc>
        <w:tc>
          <w:tcPr>
            <w:tcW w:w="742" w:type="pct"/>
            <w:vAlign w:val="center"/>
          </w:tcPr>
          <w:p w14:paraId="5C63FB9A">
            <w:pPr>
              <w:jc w:val="right"/>
              <w:textAlignment w:val="center"/>
              <w:rPr>
                <w:rFonts w:cs="Times New Roman"/>
              </w:rPr>
            </w:pPr>
            <w:r>
              <w:rPr>
                <w:rFonts w:eastAsia="Arial Narrow" w:cs="Times New Roman"/>
                <w:color w:val="000000"/>
                <w:lang w:bidi="ar"/>
              </w:rPr>
              <w:t>3,046,792,526.87</w:t>
            </w:r>
          </w:p>
        </w:tc>
        <w:tc>
          <w:tcPr>
            <w:tcW w:w="860" w:type="pct"/>
            <w:vAlign w:val="center"/>
          </w:tcPr>
          <w:p w14:paraId="0DDF8CF5">
            <w:pPr>
              <w:jc w:val="right"/>
              <w:textAlignment w:val="center"/>
              <w:rPr>
                <w:rFonts w:cs="Times New Roman"/>
              </w:rPr>
            </w:pPr>
            <w:r>
              <w:rPr>
                <w:rFonts w:eastAsia="Arial Narrow" w:cs="Times New Roman"/>
                <w:color w:val="000000"/>
                <w:lang w:bidi="ar"/>
              </w:rPr>
              <w:t>896,170,463.44</w:t>
            </w:r>
          </w:p>
        </w:tc>
        <w:tc>
          <w:tcPr>
            <w:tcW w:w="711" w:type="pct"/>
            <w:vAlign w:val="center"/>
          </w:tcPr>
          <w:p w14:paraId="688A201C">
            <w:pPr>
              <w:jc w:val="right"/>
              <w:textAlignment w:val="center"/>
              <w:rPr>
                <w:rFonts w:cs="Times New Roman"/>
              </w:rPr>
            </w:pPr>
            <w:r>
              <w:rPr>
                <w:rFonts w:eastAsia="Arial Narrow" w:cs="Times New Roman"/>
                <w:color w:val="000000"/>
                <w:lang w:bidi="ar"/>
              </w:rPr>
              <w:t>13,102,269.96</w:t>
            </w:r>
          </w:p>
        </w:tc>
        <w:tc>
          <w:tcPr>
            <w:tcW w:w="770" w:type="pct"/>
            <w:vAlign w:val="center"/>
          </w:tcPr>
          <w:p w14:paraId="6D1F791F">
            <w:pPr>
              <w:jc w:val="right"/>
              <w:textAlignment w:val="center"/>
              <w:rPr>
                <w:rFonts w:cs="Times New Roman"/>
              </w:rPr>
            </w:pPr>
            <w:r>
              <w:rPr>
                <w:rFonts w:eastAsia="Arial Narrow" w:cs="Times New Roman"/>
                <w:color w:val="000000"/>
                <w:lang w:bidi="ar"/>
              </w:rPr>
              <w:t>59,554,685.73</w:t>
            </w:r>
          </w:p>
        </w:tc>
        <w:tc>
          <w:tcPr>
            <w:tcW w:w="869" w:type="pct"/>
            <w:vAlign w:val="center"/>
          </w:tcPr>
          <w:p w14:paraId="24B0D0BB">
            <w:pPr>
              <w:jc w:val="right"/>
              <w:textAlignment w:val="center"/>
              <w:rPr>
                <w:rFonts w:cs="Times New Roman"/>
              </w:rPr>
            </w:pPr>
            <w:r>
              <w:rPr>
                <w:rFonts w:eastAsia="Arial Narrow" w:cs="Times New Roman"/>
                <w:color w:val="000000"/>
                <w:lang w:bidi="ar"/>
              </w:rPr>
              <w:t>4,015,619,946.00</w:t>
            </w:r>
          </w:p>
        </w:tc>
      </w:tr>
    </w:tbl>
    <w:p w14:paraId="47DC5E20">
      <w:pPr>
        <w:rPr>
          <w:color w:val="000000" w:themeColor="text1"/>
          <w14:textFill>
            <w14:solidFill>
              <w14:schemeClr w14:val="tx1"/>
            </w14:solidFill>
          </w14:textFill>
        </w:rPr>
        <w:sectPr>
          <w:pgSz w:w="16838" w:h="11906" w:orient="landscape"/>
          <w:pgMar w:top="1797" w:right="1525" w:bottom="1276" w:left="1440" w:header="856" w:footer="992" w:gutter="0"/>
          <w:cols w:space="425" w:num="1"/>
          <w:docGrid w:linePitch="312" w:charSpace="0"/>
        </w:sectPr>
      </w:pPr>
    </w:p>
    <w:p w14:paraId="331BA990">
      <w:pPr>
        <w:pStyle w:val="6"/>
        <w:numPr>
          <w:ilvl w:val="0"/>
          <w:numId w:val="70"/>
        </w:numPr>
        <w:rPr>
          <w:rFonts w:cs="宋体"/>
          <w:kern w:val="0"/>
        </w:rPr>
      </w:pPr>
      <w:r>
        <w:rPr>
          <w:rFonts w:hint="eastAsia" w:cs="宋体"/>
          <w:kern w:val="0"/>
        </w:rPr>
        <w:t>暂时闲置的固定资产情况</w:t>
      </w:r>
    </w:p>
    <w:sdt>
      <w:sdtPr>
        <w:rPr>
          <w:color w:val="000000" w:themeColor="text1"/>
          <w14:textFill>
            <w14:solidFill>
              <w14:schemeClr w14:val="tx1"/>
            </w14:solidFill>
          </w14:textFill>
        </w:rPr>
        <w:alias w:val="是否适用：暂时闲置的固定资产情况[双击切换]"/>
        <w:tag w:val="_GBC_ca31f29118c7481f95f99a2655f8c1e1"/>
        <w:id w:val="-434752481"/>
      </w:sdtPr>
      <w:sdtEndPr>
        <w:rPr>
          <w:color w:val="000000" w:themeColor="text1"/>
          <w14:textFill>
            <w14:solidFill>
              <w14:schemeClr w14:val="tx1"/>
            </w14:solidFill>
          </w14:textFill>
        </w:rPr>
      </w:sdtEndPr>
      <w:sdtContent>
        <w:p w14:paraId="108C6F3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6670473E">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暂时闲置的固定资产情况"/>
          <w:tag w:val="_GBC_c0d208db81a447e9b9949f2b175cba30"/>
          <w:id w:val="-831986974"/>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暂时闲置的固定资产情况"/>
          <w:tag w:val="_GBC_fbf07452daf745ea899de2cbc824ee75"/>
          <w:id w:val="173613134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1889"/>
        <w:gridCol w:w="1777"/>
        <w:gridCol w:w="1837"/>
        <w:gridCol w:w="1879"/>
      </w:tblGrid>
      <w:tr w14:paraId="2704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479b4fdefbf45068660c7df7422a5de"/>
            <w:id w:val="-766542040"/>
          </w:sdtPr>
          <w:sdtContent>
            <w:tc>
              <w:tcPr>
                <w:tcW w:w="919" w:type="pct"/>
                <w:tcBorders>
                  <w:top w:val="single" w:color="auto" w:sz="4" w:space="0"/>
                  <w:left w:val="single" w:color="auto" w:sz="4" w:space="0"/>
                  <w:bottom w:val="single" w:color="auto" w:sz="4" w:space="0"/>
                  <w:right w:val="single" w:color="auto" w:sz="4" w:space="0"/>
                </w:tcBorders>
                <w:vAlign w:val="center"/>
              </w:tcPr>
              <w:p w14:paraId="60BE9D5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36daf085717e46eeb45863dfb97acc67"/>
            <w:id w:val="2141451040"/>
          </w:sdtPr>
          <w:sdtContent>
            <w:tc>
              <w:tcPr>
                <w:tcW w:w="1044" w:type="pct"/>
                <w:tcBorders>
                  <w:top w:val="single" w:color="auto" w:sz="4" w:space="0"/>
                  <w:left w:val="single" w:color="auto" w:sz="4" w:space="0"/>
                  <w:bottom w:val="single" w:color="auto" w:sz="4" w:space="0"/>
                  <w:right w:val="single" w:color="auto" w:sz="4" w:space="0"/>
                </w:tcBorders>
                <w:vAlign w:val="center"/>
              </w:tcPr>
              <w:p w14:paraId="156B52D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账面原值</w:t>
                </w:r>
              </w:p>
            </w:tc>
          </w:sdtContent>
        </w:sdt>
        <w:sdt>
          <w:sdtPr>
            <w:tag w:val="_PLD_c01cccda6baa4a75a8e3f067e68a603e"/>
            <w:id w:val="-2082672125"/>
          </w:sdtPr>
          <w:sdtContent>
            <w:tc>
              <w:tcPr>
                <w:tcW w:w="982" w:type="pct"/>
                <w:tcBorders>
                  <w:top w:val="single" w:color="auto" w:sz="4" w:space="0"/>
                  <w:left w:val="single" w:color="auto" w:sz="4" w:space="0"/>
                  <w:bottom w:val="single" w:color="auto" w:sz="4" w:space="0"/>
                  <w:right w:val="single" w:color="auto" w:sz="4" w:space="0"/>
                </w:tcBorders>
                <w:vAlign w:val="center"/>
              </w:tcPr>
              <w:p w14:paraId="6B09060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累计折旧</w:t>
                </w:r>
              </w:p>
            </w:tc>
          </w:sdtContent>
        </w:sdt>
        <w:sdt>
          <w:sdtPr>
            <w:tag w:val="_PLD_3bce2223595140b489f9e15ef462c5ba"/>
            <w:id w:val="-644966745"/>
          </w:sdtPr>
          <w:sdtContent>
            <w:tc>
              <w:tcPr>
                <w:tcW w:w="1015" w:type="pct"/>
                <w:tcBorders>
                  <w:top w:val="single" w:color="auto" w:sz="4" w:space="0"/>
                  <w:left w:val="single" w:color="auto" w:sz="4" w:space="0"/>
                  <w:bottom w:val="single" w:color="auto" w:sz="4" w:space="0"/>
                  <w:right w:val="single" w:color="auto" w:sz="4" w:space="0"/>
                </w:tcBorders>
                <w:vAlign w:val="center"/>
              </w:tcPr>
              <w:p w14:paraId="07F609C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减值准备</w:t>
                </w:r>
              </w:p>
            </w:tc>
          </w:sdtContent>
        </w:sdt>
        <w:sdt>
          <w:sdtPr>
            <w:tag w:val="_PLD_363b3c8e5d5d43a580d7bab508a70591"/>
            <w:id w:val="-475907887"/>
          </w:sdtPr>
          <w:sdtContent>
            <w:tc>
              <w:tcPr>
                <w:tcW w:w="1038" w:type="pct"/>
                <w:tcBorders>
                  <w:top w:val="single" w:color="auto" w:sz="4" w:space="0"/>
                  <w:left w:val="single" w:color="auto" w:sz="4" w:space="0"/>
                  <w:bottom w:val="single" w:color="auto" w:sz="4" w:space="0"/>
                  <w:right w:val="single" w:color="auto" w:sz="4" w:space="0"/>
                </w:tcBorders>
                <w:vAlign w:val="center"/>
              </w:tcPr>
              <w:p w14:paraId="1A33E07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账面价值</w:t>
                </w:r>
              </w:p>
            </w:tc>
          </w:sdtContent>
        </w:sdt>
      </w:tr>
      <w:sdt>
        <w:sdtPr>
          <w:rPr>
            <w:rFonts w:hint="eastAsia"/>
            <w:color w:val="000000" w:themeColor="text1"/>
            <w14:textFill>
              <w14:solidFill>
                <w14:schemeClr w14:val="tx1"/>
              </w14:solidFill>
            </w14:textFill>
          </w:rPr>
          <w:alias w:val="暂时闲置的固定资产明细"/>
          <w:tag w:val="_GBC_62ededd5d71043b28231a5afe44f6376"/>
          <w:id w:val="-220757804"/>
          <w:placeholder>
            <w:docPart w:val="{33a79c4d-434e-484b-b287-76db1c31fa9d}"/>
          </w:placeholder>
        </w:sdtPr>
        <w:sdtEndPr>
          <w:rPr>
            <w:rFonts w:hint="default" w:cs="Times New Roman"/>
            <w:color w:val="000000" w:themeColor="text1"/>
            <w14:textFill>
              <w14:solidFill>
                <w14:schemeClr w14:val="tx1"/>
              </w14:solidFill>
            </w14:textFill>
          </w:rPr>
        </w:sdtEndPr>
        <w:sdtContent>
          <w:tr w14:paraId="5D90F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vAlign w:val="center"/>
              </w:tcPr>
              <w:p w14:paraId="44DA73E5">
                <w:r>
                  <w:rPr>
                    <w:rFonts w:hint="eastAsia"/>
                  </w:rPr>
                  <w:t>机器设备</w:t>
                </w:r>
              </w:p>
            </w:tc>
            <w:tc>
              <w:tcPr>
                <w:tcW w:w="1044" w:type="pct"/>
                <w:tcBorders>
                  <w:top w:val="single" w:color="auto" w:sz="4" w:space="0"/>
                  <w:left w:val="single" w:color="auto" w:sz="4" w:space="0"/>
                  <w:bottom w:val="single" w:color="auto" w:sz="4" w:space="0"/>
                  <w:right w:val="single" w:color="auto" w:sz="4" w:space="0"/>
                </w:tcBorders>
                <w:vAlign w:val="center"/>
              </w:tcPr>
              <w:p w14:paraId="75F76957">
                <w:pPr>
                  <w:jc w:val="right"/>
                  <w:rPr>
                    <w:rFonts w:cs="Times New Roman"/>
                  </w:rPr>
                </w:pPr>
                <w:r>
                  <w:rPr>
                    <w:rFonts w:cs="Times New Roman"/>
                  </w:rPr>
                  <w:t>10,567,191.07</w:t>
                </w:r>
              </w:p>
            </w:tc>
            <w:tc>
              <w:tcPr>
                <w:tcW w:w="982" w:type="pct"/>
                <w:tcBorders>
                  <w:top w:val="single" w:color="auto" w:sz="4" w:space="0"/>
                  <w:left w:val="single" w:color="auto" w:sz="4" w:space="0"/>
                  <w:bottom w:val="single" w:color="auto" w:sz="4" w:space="0"/>
                  <w:right w:val="single" w:color="auto" w:sz="4" w:space="0"/>
                </w:tcBorders>
                <w:vAlign w:val="center"/>
              </w:tcPr>
              <w:p w14:paraId="50376A8F">
                <w:pPr>
                  <w:jc w:val="right"/>
                  <w:rPr>
                    <w:rFonts w:cs="Times New Roman"/>
                  </w:rPr>
                </w:pPr>
                <w:r>
                  <w:rPr>
                    <w:rFonts w:cs="Times New Roman"/>
                  </w:rPr>
                  <w:t>6,540,773.71</w:t>
                </w:r>
              </w:p>
            </w:tc>
            <w:tc>
              <w:tcPr>
                <w:tcW w:w="1015" w:type="pct"/>
                <w:tcBorders>
                  <w:top w:val="single" w:color="auto" w:sz="4" w:space="0"/>
                  <w:left w:val="single" w:color="auto" w:sz="4" w:space="0"/>
                  <w:bottom w:val="single" w:color="auto" w:sz="4" w:space="0"/>
                  <w:right w:val="single" w:color="auto" w:sz="4" w:space="0"/>
                </w:tcBorders>
                <w:vAlign w:val="center"/>
              </w:tcPr>
              <w:p w14:paraId="218549A4">
                <w:pPr>
                  <w:jc w:val="right"/>
                  <w:rPr>
                    <w:rFonts w:cs="Times New Roman"/>
                  </w:rPr>
                </w:pPr>
                <w:r>
                  <w:rPr>
                    <w:rFonts w:cs="Times New Roman"/>
                  </w:rPr>
                  <w:t>2,942,550.36</w:t>
                </w:r>
              </w:p>
            </w:tc>
            <w:tc>
              <w:tcPr>
                <w:tcW w:w="1038" w:type="pct"/>
                <w:tcBorders>
                  <w:top w:val="single" w:color="auto" w:sz="4" w:space="0"/>
                  <w:left w:val="single" w:color="auto" w:sz="4" w:space="0"/>
                  <w:bottom w:val="single" w:color="auto" w:sz="4" w:space="0"/>
                  <w:right w:val="single" w:color="auto" w:sz="4" w:space="0"/>
                </w:tcBorders>
                <w:vAlign w:val="center"/>
              </w:tcPr>
              <w:p w14:paraId="218187B0">
                <w:pPr>
                  <w:jc w:val="right"/>
                  <w:rPr>
                    <w:rFonts w:cs="Times New Roman"/>
                  </w:rPr>
                </w:pPr>
                <w:r>
                  <w:rPr>
                    <w:rFonts w:cs="Times New Roman"/>
                  </w:rPr>
                  <w:t>1,083,867.00</w:t>
                </w:r>
              </w:p>
            </w:tc>
          </w:tr>
        </w:sdtContent>
      </w:sdt>
      <w:sdt>
        <w:sdtPr>
          <w:rPr>
            <w:rFonts w:hint="eastAsia"/>
            <w:color w:val="000000" w:themeColor="text1"/>
            <w14:textFill>
              <w14:solidFill>
                <w14:schemeClr w14:val="tx1"/>
              </w14:solidFill>
            </w14:textFill>
          </w:rPr>
          <w:alias w:val="暂时闲置的固定资产明细"/>
          <w:tag w:val="_GBC_62ededd5d71043b28231a5afe44f6376"/>
          <w:id w:val="-1582832475"/>
          <w:placeholder>
            <w:docPart w:val="{33a79c4d-434e-484b-b287-76db1c31fa9d}"/>
          </w:placeholder>
        </w:sdtPr>
        <w:sdtEndPr>
          <w:rPr>
            <w:rFonts w:hint="default" w:cs="Times New Roman"/>
            <w:color w:val="000000" w:themeColor="text1"/>
            <w14:textFill>
              <w14:solidFill>
                <w14:schemeClr w14:val="tx1"/>
              </w14:solidFill>
            </w14:textFill>
          </w:rPr>
        </w:sdtEndPr>
        <w:sdtContent>
          <w:tr w14:paraId="6E46E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vAlign w:val="center"/>
              </w:tcPr>
              <w:p w14:paraId="620866B0">
                <w:r>
                  <w:rPr>
                    <w:rFonts w:hint="eastAsia"/>
                  </w:rPr>
                  <w:t>合计</w:t>
                </w:r>
              </w:p>
            </w:tc>
            <w:tc>
              <w:tcPr>
                <w:tcW w:w="1044" w:type="pct"/>
                <w:tcBorders>
                  <w:top w:val="single" w:color="auto" w:sz="4" w:space="0"/>
                  <w:left w:val="single" w:color="auto" w:sz="4" w:space="0"/>
                  <w:bottom w:val="single" w:color="auto" w:sz="4" w:space="0"/>
                  <w:right w:val="single" w:color="auto" w:sz="4" w:space="0"/>
                </w:tcBorders>
                <w:vAlign w:val="center"/>
              </w:tcPr>
              <w:p w14:paraId="3DDE6AA4">
                <w:pPr>
                  <w:jc w:val="right"/>
                  <w:rPr>
                    <w:rFonts w:cs="Times New Roman"/>
                  </w:rPr>
                </w:pPr>
                <w:r>
                  <w:rPr>
                    <w:rFonts w:cs="Times New Roman"/>
                  </w:rPr>
                  <w:t>10,567,191.07</w:t>
                </w:r>
              </w:p>
            </w:tc>
            <w:tc>
              <w:tcPr>
                <w:tcW w:w="982" w:type="pct"/>
                <w:tcBorders>
                  <w:top w:val="single" w:color="auto" w:sz="4" w:space="0"/>
                  <w:left w:val="single" w:color="auto" w:sz="4" w:space="0"/>
                  <w:bottom w:val="single" w:color="auto" w:sz="4" w:space="0"/>
                  <w:right w:val="single" w:color="auto" w:sz="4" w:space="0"/>
                </w:tcBorders>
                <w:vAlign w:val="center"/>
              </w:tcPr>
              <w:p w14:paraId="66622E2A">
                <w:pPr>
                  <w:jc w:val="right"/>
                  <w:rPr>
                    <w:rFonts w:cs="Times New Roman"/>
                  </w:rPr>
                </w:pPr>
                <w:r>
                  <w:rPr>
                    <w:rFonts w:cs="Times New Roman"/>
                  </w:rPr>
                  <w:t>6,540,773.71</w:t>
                </w:r>
              </w:p>
            </w:tc>
            <w:tc>
              <w:tcPr>
                <w:tcW w:w="1015" w:type="pct"/>
                <w:tcBorders>
                  <w:top w:val="single" w:color="auto" w:sz="4" w:space="0"/>
                  <w:left w:val="single" w:color="auto" w:sz="4" w:space="0"/>
                  <w:bottom w:val="single" w:color="auto" w:sz="4" w:space="0"/>
                  <w:right w:val="single" w:color="auto" w:sz="4" w:space="0"/>
                </w:tcBorders>
                <w:vAlign w:val="center"/>
              </w:tcPr>
              <w:p w14:paraId="5C3A5390">
                <w:pPr>
                  <w:jc w:val="right"/>
                  <w:rPr>
                    <w:rFonts w:cs="Times New Roman"/>
                  </w:rPr>
                </w:pPr>
                <w:r>
                  <w:rPr>
                    <w:rFonts w:cs="Times New Roman"/>
                  </w:rPr>
                  <w:t>2,942,550.36</w:t>
                </w:r>
              </w:p>
            </w:tc>
            <w:tc>
              <w:tcPr>
                <w:tcW w:w="1038" w:type="pct"/>
                <w:tcBorders>
                  <w:top w:val="single" w:color="auto" w:sz="4" w:space="0"/>
                  <w:left w:val="single" w:color="auto" w:sz="4" w:space="0"/>
                  <w:bottom w:val="single" w:color="auto" w:sz="4" w:space="0"/>
                  <w:right w:val="single" w:color="auto" w:sz="4" w:space="0"/>
                </w:tcBorders>
                <w:vAlign w:val="center"/>
              </w:tcPr>
              <w:p w14:paraId="4743BF4E">
                <w:pPr>
                  <w:jc w:val="right"/>
                  <w:rPr>
                    <w:rFonts w:cs="Times New Roman"/>
                  </w:rPr>
                </w:pPr>
                <w:r>
                  <w:rPr>
                    <w:rFonts w:cs="Times New Roman"/>
                  </w:rPr>
                  <w:t>1,083,867.00</w:t>
                </w:r>
              </w:p>
            </w:tc>
          </w:tr>
        </w:sdtContent>
      </w:sdt>
    </w:tbl>
    <w:p w14:paraId="4048769E">
      <w:pPr>
        <w:rPr>
          <w:color w:val="000000" w:themeColor="text1"/>
          <w14:textFill>
            <w14:solidFill>
              <w14:schemeClr w14:val="tx1"/>
            </w14:solidFill>
          </w14:textFill>
        </w:rPr>
      </w:pPr>
    </w:p>
    <w:p w14:paraId="0991AEAA">
      <w:pPr>
        <w:pStyle w:val="6"/>
        <w:numPr>
          <w:ilvl w:val="0"/>
          <w:numId w:val="70"/>
        </w:numPr>
        <w:rPr>
          <w:rFonts w:cs="宋体"/>
          <w:kern w:val="0"/>
        </w:rPr>
      </w:pPr>
      <w:bookmarkStart w:id="313" w:name="OLE_LINK2"/>
      <w:r>
        <w:rPr>
          <w:rFonts w:hint="eastAsia" w:cs="宋体"/>
          <w:kern w:val="0"/>
        </w:rPr>
        <w:t>通过经营租赁租出的固定资产</w:t>
      </w:r>
      <w:bookmarkEnd w:id="313"/>
    </w:p>
    <w:sdt>
      <w:sdtPr>
        <w:rPr>
          <w:color w:val="000000" w:themeColor="text1"/>
          <w14:textFill>
            <w14:solidFill>
              <w14:schemeClr w14:val="tx1"/>
            </w14:solidFill>
          </w14:textFill>
        </w:rPr>
        <w:alias w:val="是否适用：通过经营租赁租出的固定资产[双击切换]"/>
        <w:tag w:val="_GBC_251e1c74f40b47869d759974b0f6a463"/>
        <w:id w:val="147471154"/>
        <w:placeholder>
          <w:docPart w:val="GBC22222222222222222222222222222"/>
        </w:placeholder>
      </w:sdtPr>
      <w:sdtEndPr>
        <w:rPr>
          <w:color w:val="000000" w:themeColor="text1"/>
          <w14:textFill>
            <w14:solidFill>
              <w14:schemeClr w14:val="tx1"/>
            </w14:solidFill>
          </w14:textFill>
        </w:rPr>
      </w:sdtEndPr>
      <w:sdtContent>
        <w:p w14:paraId="47AC71FE">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0CAF931">
      <w:pPr>
        <w:rPr>
          <w:color w:val="000000" w:themeColor="text1"/>
          <w14:textFill>
            <w14:solidFill>
              <w14:schemeClr w14:val="tx1"/>
            </w14:solidFill>
          </w14:textFill>
        </w:rPr>
      </w:pPr>
    </w:p>
    <w:p w14:paraId="09B6508D">
      <w:pPr>
        <w:pStyle w:val="6"/>
        <w:numPr>
          <w:ilvl w:val="0"/>
          <w:numId w:val="70"/>
        </w:numPr>
        <w:rPr>
          <w:rFonts w:cs="宋体"/>
          <w:kern w:val="0"/>
        </w:rPr>
      </w:pPr>
      <w:r>
        <w:rPr>
          <w:rFonts w:hint="eastAsia" w:cs="宋体"/>
          <w:kern w:val="0"/>
        </w:rPr>
        <w:t>未办妥产权证书的固定资产情况</w:t>
      </w:r>
    </w:p>
    <w:sdt>
      <w:sdtPr>
        <w:rPr>
          <w:color w:val="000000" w:themeColor="text1"/>
          <w14:textFill>
            <w14:solidFill>
              <w14:schemeClr w14:val="tx1"/>
            </w14:solidFill>
          </w14:textFill>
        </w:rPr>
        <w:alias w:val="是否适用：未办妥产权证书的固定资产情况[双击切换]"/>
        <w:tag w:val="_GBC_a26aa363313e4c8fbedf9041cd41bfc9"/>
        <w:id w:val="-135266323"/>
      </w:sdtPr>
      <w:sdtEndPr>
        <w:rPr>
          <w:color w:val="000000" w:themeColor="text1"/>
          <w14:textFill>
            <w14:solidFill>
              <w14:schemeClr w14:val="tx1"/>
            </w14:solidFill>
          </w14:textFill>
        </w:rPr>
      </w:sdtEndPr>
      <w:sdtContent>
        <w:p w14:paraId="49DACE4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3B537F09">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未办妥产权证书的固定资产情况"/>
          <w:tag w:val="_GBC_b7780eb99c5c47be9731dc6ebe1dea77"/>
          <w:id w:val="-1563320509"/>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未办妥产权证书的固定资产情况"/>
          <w:tag w:val="_GBC_07d37ddbabe745a3b375a7706f9047dc"/>
          <w:id w:val="88329090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6"/>
        <w:gridCol w:w="2051"/>
        <w:gridCol w:w="2432"/>
      </w:tblGrid>
      <w:tr w14:paraId="76AA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347e8d2222c4d13aa7c3569cd05e439"/>
            <w:id w:val="328640136"/>
          </w:sdtPr>
          <w:sdtContent>
            <w:tc>
              <w:tcPr>
                <w:tcW w:w="2522" w:type="pct"/>
                <w:vAlign w:val="center"/>
              </w:tcPr>
              <w:p w14:paraId="13A9B36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e14c4b6f9d874d4c86e835843a896497"/>
            <w:id w:val="246847636"/>
          </w:sdtPr>
          <w:sdtContent>
            <w:tc>
              <w:tcPr>
                <w:tcW w:w="1133" w:type="pct"/>
                <w:vAlign w:val="center"/>
              </w:tcPr>
              <w:p w14:paraId="4DC0058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账面价值</w:t>
                </w:r>
              </w:p>
            </w:tc>
          </w:sdtContent>
        </w:sdt>
        <w:sdt>
          <w:sdtPr>
            <w:tag w:val="_PLD_0735ea1c6b5c4a2395fde5f63b614530"/>
            <w:id w:val="-784810666"/>
          </w:sdtPr>
          <w:sdtContent>
            <w:tc>
              <w:tcPr>
                <w:tcW w:w="1343" w:type="pct"/>
                <w:vAlign w:val="center"/>
              </w:tcPr>
              <w:p w14:paraId="7B202BC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未办妥产权证书的原因</w:t>
                </w:r>
              </w:p>
            </w:tc>
          </w:sdtContent>
        </w:sdt>
      </w:tr>
      <w:sdt>
        <w:sdtPr>
          <w:rPr>
            <w:rFonts w:hint="eastAsia"/>
            <w:color w:val="000000" w:themeColor="text1"/>
            <w14:textFill>
              <w14:solidFill>
                <w14:schemeClr w14:val="tx1"/>
              </w14:solidFill>
            </w14:textFill>
          </w:rPr>
          <w:alias w:val="未办妥产权证书的固定资产情况明细"/>
          <w:tag w:val="_GBC_197aee8b2edc4ea19721e86529111007"/>
          <w:id w:val="-450706020"/>
          <w:placeholder>
            <w:docPart w:val="{14b795c2-6743-44fe-abc0-425cd7151248}"/>
          </w:placeholder>
        </w:sdtPr>
        <w:sdtEndPr>
          <w:rPr>
            <w:rFonts w:hint="eastAsia"/>
            <w:color w:val="000000" w:themeColor="text1"/>
            <w14:textFill>
              <w14:solidFill>
                <w14:schemeClr w14:val="tx1"/>
              </w14:solidFill>
            </w14:textFill>
          </w:rPr>
        </w:sdtEndPr>
        <w:sdtContent>
          <w:tr w14:paraId="4B041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pct"/>
                <w:vAlign w:val="center"/>
              </w:tcPr>
              <w:p w14:paraId="0D30C005">
                <w:r>
                  <w:rPr>
                    <w:rFonts w:hint="eastAsia"/>
                  </w:rPr>
                  <w:t>际华橡胶工业有限公司房屋建筑物</w:t>
                </w:r>
              </w:p>
            </w:tc>
            <w:tc>
              <w:tcPr>
                <w:tcW w:w="1133" w:type="pct"/>
                <w:vAlign w:val="center"/>
              </w:tcPr>
              <w:p w14:paraId="66629B18">
                <w:pPr>
                  <w:jc w:val="right"/>
                </w:pPr>
                <w:r>
                  <w:rPr>
                    <w:rFonts w:hint="eastAsia"/>
                  </w:rPr>
                  <w:t>229,958,917.59</w:t>
                </w:r>
              </w:p>
            </w:tc>
            <w:tc>
              <w:tcPr>
                <w:tcW w:w="1343" w:type="pct"/>
                <w:vAlign w:val="center"/>
              </w:tcPr>
              <w:p w14:paraId="7996F97D">
                <w:pPr>
                  <w:jc w:val="center"/>
                </w:pPr>
                <w:r>
                  <w:rPr>
                    <w:rFonts w:hint="eastAsia"/>
                  </w:rPr>
                  <w:t>正在办理中</w:t>
                </w:r>
              </w:p>
            </w:tc>
          </w:tr>
        </w:sdtContent>
      </w:sdt>
      <w:sdt>
        <w:sdtPr>
          <w:rPr>
            <w:rFonts w:hint="eastAsia"/>
            <w:color w:val="000000" w:themeColor="text1"/>
            <w14:textFill>
              <w14:solidFill>
                <w14:schemeClr w14:val="tx1"/>
              </w14:solidFill>
            </w14:textFill>
          </w:rPr>
          <w:alias w:val="未办妥产权证书的固定资产情况明细"/>
          <w:tag w:val="_GBC_197aee8b2edc4ea19721e86529111007"/>
          <w:id w:val="1700197323"/>
          <w:placeholder>
            <w:docPart w:val="{14b795c2-6743-44fe-abc0-425cd7151248}"/>
          </w:placeholder>
        </w:sdtPr>
        <w:sdtEndPr>
          <w:rPr>
            <w:rFonts w:hint="eastAsia"/>
            <w:color w:val="000000" w:themeColor="text1"/>
            <w14:textFill>
              <w14:solidFill>
                <w14:schemeClr w14:val="tx1"/>
              </w14:solidFill>
            </w14:textFill>
          </w:rPr>
        </w:sdtEndPr>
        <w:sdtContent>
          <w:tr w14:paraId="616FD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pct"/>
                <w:vAlign w:val="center"/>
              </w:tcPr>
              <w:p w14:paraId="5B0FB2BF">
                <w:r>
                  <w:rPr>
                    <w:rFonts w:hint="eastAsia"/>
                  </w:rPr>
                  <w:t>际华制鞋工业有限公司房屋建筑物</w:t>
                </w:r>
              </w:p>
            </w:tc>
            <w:tc>
              <w:tcPr>
                <w:tcW w:w="1133" w:type="pct"/>
                <w:vAlign w:val="center"/>
              </w:tcPr>
              <w:p w14:paraId="657132F9">
                <w:pPr>
                  <w:jc w:val="right"/>
                </w:pPr>
                <w:r>
                  <w:rPr>
                    <w:rFonts w:hint="eastAsia"/>
                  </w:rPr>
                  <w:t>12,149,227.22</w:t>
                </w:r>
              </w:p>
            </w:tc>
            <w:tc>
              <w:tcPr>
                <w:tcW w:w="1343" w:type="pct"/>
                <w:vAlign w:val="center"/>
              </w:tcPr>
              <w:p w14:paraId="7F958FEB">
                <w:pPr>
                  <w:jc w:val="center"/>
                </w:pPr>
                <w:r>
                  <w:rPr>
                    <w:rFonts w:hint="eastAsia"/>
                  </w:rPr>
                  <w:t>正在办理中</w:t>
                </w:r>
              </w:p>
            </w:tc>
          </w:tr>
        </w:sdtContent>
      </w:sdt>
      <w:sdt>
        <w:sdtPr>
          <w:rPr>
            <w:rFonts w:hint="eastAsia"/>
            <w:color w:val="000000" w:themeColor="text1"/>
            <w14:textFill>
              <w14:solidFill>
                <w14:schemeClr w14:val="tx1"/>
              </w14:solidFill>
            </w14:textFill>
          </w:rPr>
          <w:alias w:val="未办妥产权证书的固定资产情况明细"/>
          <w:tag w:val="_GBC_197aee8b2edc4ea19721e86529111007"/>
          <w:id w:val="367569713"/>
          <w:placeholder>
            <w:docPart w:val="{14b795c2-6743-44fe-abc0-425cd7151248}"/>
          </w:placeholder>
        </w:sdtPr>
        <w:sdtEndPr>
          <w:rPr>
            <w:rFonts w:hint="eastAsia"/>
            <w:color w:val="000000" w:themeColor="text1"/>
            <w14:textFill>
              <w14:solidFill>
                <w14:schemeClr w14:val="tx1"/>
              </w14:solidFill>
            </w14:textFill>
          </w:rPr>
        </w:sdtEndPr>
        <w:sdtContent>
          <w:tr w14:paraId="6ADC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pct"/>
                <w:vAlign w:val="center"/>
              </w:tcPr>
              <w:p w14:paraId="28E3E9AA">
                <w:r>
                  <w:rPr>
                    <w:rFonts w:hint="eastAsia"/>
                  </w:rPr>
                  <w:t>际华三五三六实业有限公司房屋建筑物</w:t>
                </w:r>
              </w:p>
            </w:tc>
            <w:tc>
              <w:tcPr>
                <w:tcW w:w="1133" w:type="pct"/>
                <w:vAlign w:val="center"/>
              </w:tcPr>
              <w:p w14:paraId="639222DB">
                <w:pPr>
                  <w:jc w:val="right"/>
                </w:pPr>
                <w:r>
                  <w:rPr>
                    <w:rFonts w:hint="eastAsia"/>
                  </w:rPr>
                  <w:t>93,824,294.57</w:t>
                </w:r>
              </w:p>
            </w:tc>
            <w:tc>
              <w:tcPr>
                <w:tcW w:w="1343" w:type="pct"/>
                <w:vAlign w:val="center"/>
              </w:tcPr>
              <w:p w14:paraId="5BC65558">
                <w:pPr>
                  <w:jc w:val="center"/>
                </w:pPr>
                <w:r>
                  <w:rPr>
                    <w:rFonts w:hint="eastAsia"/>
                  </w:rPr>
                  <w:t>正在办理中</w:t>
                </w:r>
              </w:p>
            </w:tc>
          </w:tr>
        </w:sdtContent>
      </w:sdt>
      <w:sdt>
        <w:sdtPr>
          <w:rPr>
            <w:rFonts w:hint="eastAsia"/>
            <w:color w:val="000000" w:themeColor="text1"/>
            <w14:textFill>
              <w14:solidFill>
                <w14:schemeClr w14:val="tx1"/>
              </w14:solidFill>
            </w14:textFill>
          </w:rPr>
          <w:alias w:val="未办妥产权证书的固定资产情况明细"/>
          <w:tag w:val="_GBC_197aee8b2edc4ea19721e86529111007"/>
          <w:id w:val="-648216685"/>
          <w:placeholder>
            <w:docPart w:val="{14b795c2-6743-44fe-abc0-425cd7151248}"/>
          </w:placeholder>
        </w:sdtPr>
        <w:sdtEndPr>
          <w:rPr>
            <w:rFonts w:hint="eastAsia"/>
            <w:color w:val="000000" w:themeColor="text1"/>
            <w14:textFill>
              <w14:solidFill>
                <w14:schemeClr w14:val="tx1"/>
              </w14:solidFill>
            </w14:textFill>
          </w:rPr>
        </w:sdtEndPr>
        <w:sdtContent>
          <w:tr w14:paraId="0648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pct"/>
                <w:vAlign w:val="center"/>
              </w:tcPr>
              <w:p w14:paraId="6BCE4D67">
                <w:r>
                  <w:rPr>
                    <w:rFonts w:hint="eastAsia"/>
                  </w:rPr>
                  <w:t>际华三五一三实业有限公司房屋建筑物</w:t>
                </w:r>
              </w:p>
            </w:tc>
            <w:tc>
              <w:tcPr>
                <w:tcW w:w="1133" w:type="pct"/>
                <w:vAlign w:val="center"/>
              </w:tcPr>
              <w:p w14:paraId="1527B7FE">
                <w:pPr>
                  <w:jc w:val="right"/>
                </w:pPr>
                <w:r>
                  <w:rPr>
                    <w:rFonts w:hint="eastAsia"/>
                  </w:rPr>
                  <w:t>88,236,084.32</w:t>
                </w:r>
              </w:p>
            </w:tc>
            <w:tc>
              <w:tcPr>
                <w:tcW w:w="1343" w:type="pct"/>
                <w:vAlign w:val="center"/>
              </w:tcPr>
              <w:p w14:paraId="5952330A">
                <w:pPr>
                  <w:jc w:val="center"/>
                </w:pPr>
                <w:r>
                  <w:rPr>
                    <w:rFonts w:hint="eastAsia"/>
                  </w:rPr>
                  <w:t>正在办理中</w:t>
                </w:r>
              </w:p>
            </w:tc>
          </w:tr>
        </w:sdtContent>
      </w:sdt>
      <w:sdt>
        <w:sdtPr>
          <w:rPr>
            <w:rFonts w:hint="eastAsia"/>
            <w:color w:val="000000" w:themeColor="text1"/>
            <w14:textFill>
              <w14:solidFill>
                <w14:schemeClr w14:val="tx1"/>
              </w14:solidFill>
            </w14:textFill>
          </w:rPr>
          <w:alias w:val="未办妥产权证书的固定资产情况明细"/>
          <w:tag w:val="_GBC_197aee8b2edc4ea19721e86529111007"/>
          <w:id w:val="749704714"/>
          <w:placeholder>
            <w:docPart w:val="{14b795c2-6743-44fe-abc0-425cd7151248}"/>
          </w:placeholder>
        </w:sdtPr>
        <w:sdtEndPr>
          <w:rPr>
            <w:rFonts w:hint="eastAsia"/>
            <w:color w:val="000000" w:themeColor="text1"/>
            <w14:textFill>
              <w14:solidFill>
                <w14:schemeClr w14:val="tx1"/>
              </w14:solidFill>
            </w14:textFill>
          </w:rPr>
        </w:sdtEndPr>
        <w:sdtContent>
          <w:tr w14:paraId="2209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pct"/>
                <w:vAlign w:val="center"/>
              </w:tcPr>
              <w:p w14:paraId="75C23E80">
                <w:r>
                  <w:rPr>
                    <w:rFonts w:hint="eastAsia"/>
                  </w:rPr>
                  <w:t>际华三五一二皮革服装有限公司新区厂房</w:t>
                </w:r>
              </w:p>
            </w:tc>
            <w:tc>
              <w:tcPr>
                <w:tcW w:w="1133" w:type="pct"/>
                <w:vAlign w:val="center"/>
              </w:tcPr>
              <w:p w14:paraId="758D96F4">
                <w:pPr>
                  <w:jc w:val="right"/>
                </w:pPr>
                <w:r>
                  <w:rPr>
                    <w:rFonts w:hint="eastAsia"/>
                  </w:rPr>
                  <w:t>27,293,610.47</w:t>
                </w:r>
              </w:p>
            </w:tc>
            <w:tc>
              <w:tcPr>
                <w:tcW w:w="1343" w:type="pct"/>
                <w:vAlign w:val="center"/>
              </w:tcPr>
              <w:p w14:paraId="5A2B6C57">
                <w:pPr>
                  <w:jc w:val="center"/>
                </w:pPr>
                <w:r>
                  <w:rPr>
                    <w:rFonts w:hint="eastAsia"/>
                  </w:rPr>
                  <w:t>正在办理中</w:t>
                </w:r>
              </w:p>
            </w:tc>
          </w:tr>
        </w:sdtContent>
      </w:sdt>
      <w:sdt>
        <w:sdtPr>
          <w:rPr>
            <w:rFonts w:hint="eastAsia"/>
            <w:color w:val="000000" w:themeColor="text1"/>
            <w14:textFill>
              <w14:solidFill>
                <w14:schemeClr w14:val="tx1"/>
              </w14:solidFill>
            </w14:textFill>
          </w:rPr>
          <w:alias w:val="未办妥产权证书的固定资产情况明细"/>
          <w:tag w:val="_GBC_197aee8b2edc4ea19721e86529111007"/>
          <w:id w:val="1807346820"/>
          <w:placeholder>
            <w:docPart w:val="{14b795c2-6743-44fe-abc0-425cd7151248}"/>
          </w:placeholder>
        </w:sdtPr>
        <w:sdtEndPr>
          <w:rPr>
            <w:rFonts w:hint="eastAsia"/>
            <w:color w:val="000000" w:themeColor="text1"/>
            <w14:textFill>
              <w14:solidFill>
                <w14:schemeClr w14:val="tx1"/>
              </w14:solidFill>
            </w14:textFill>
          </w:rPr>
        </w:sdtEndPr>
        <w:sdtContent>
          <w:tr w14:paraId="77F58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pct"/>
                <w:vAlign w:val="center"/>
              </w:tcPr>
              <w:p w14:paraId="41E0CD0D">
                <w:r>
                  <w:rPr>
                    <w:rFonts w:hint="eastAsia"/>
                  </w:rPr>
                  <w:t>重庆际华目的地中心实业有限公司房屋建筑物</w:t>
                </w:r>
              </w:p>
            </w:tc>
            <w:tc>
              <w:tcPr>
                <w:tcW w:w="1133" w:type="pct"/>
                <w:vAlign w:val="center"/>
              </w:tcPr>
              <w:p w14:paraId="06D19AE1">
                <w:pPr>
                  <w:jc w:val="right"/>
                </w:pPr>
                <w:r>
                  <w:rPr>
                    <w:rFonts w:hint="eastAsia"/>
                  </w:rPr>
                  <w:t>45,252,263.60</w:t>
                </w:r>
              </w:p>
            </w:tc>
            <w:tc>
              <w:tcPr>
                <w:tcW w:w="1343" w:type="pct"/>
                <w:vAlign w:val="center"/>
              </w:tcPr>
              <w:p w14:paraId="30AACB72">
                <w:pPr>
                  <w:jc w:val="center"/>
                </w:pPr>
                <w:r>
                  <w:rPr>
                    <w:rFonts w:hint="eastAsia"/>
                  </w:rPr>
                  <w:t>正在办理中</w:t>
                </w:r>
              </w:p>
            </w:tc>
          </w:tr>
        </w:sdtContent>
      </w:sdt>
      <w:sdt>
        <w:sdtPr>
          <w:rPr>
            <w:rFonts w:hint="eastAsia"/>
            <w:color w:val="000000" w:themeColor="text1"/>
            <w14:textFill>
              <w14:solidFill>
                <w14:schemeClr w14:val="tx1"/>
              </w14:solidFill>
            </w14:textFill>
          </w:rPr>
          <w:alias w:val="未办妥产权证书的固定资产情况明细"/>
          <w:tag w:val="_GBC_197aee8b2edc4ea19721e86529111007"/>
          <w:id w:val="-577745614"/>
          <w:placeholder>
            <w:docPart w:val="{14b795c2-6743-44fe-abc0-425cd7151248}"/>
          </w:placeholder>
        </w:sdtPr>
        <w:sdtEndPr>
          <w:rPr>
            <w:rFonts w:hint="eastAsia"/>
            <w:color w:val="000000" w:themeColor="text1"/>
            <w14:textFill>
              <w14:solidFill>
                <w14:schemeClr w14:val="tx1"/>
              </w14:solidFill>
            </w14:textFill>
          </w:rPr>
        </w:sdtEndPr>
        <w:sdtContent>
          <w:tr w14:paraId="65526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pct"/>
                <w:vAlign w:val="center"/>
              </w:tcPr>
              <w:p w14:paraId="21629CD2">
                <w:r>
                  <w:rPr>
                    <w:rFonts w:hint="eastAsia"/>
                  </w:rPr>
                  <w:t>际华三五四三针织服饰有限公司房屋建筑物</w:t>
                </w:r>
              </w:p>
            </w:tc>
            <w:tc>
              <w:tcPr>
                <w:tcW w:w="1133" w:type="pct"/>
                <w:vAlign w:val="center"/>
              </w:tcPr>
              <w:p w14:paraId="7CC9461D">
                <w:pPr>
                  <w:jc w:val="right"/>
                </w:pPr>
                <w:r>
                  <w:rPr>
                    <w:rFonts w:hint="eastAsia"/>
                  </w:rPr>
                  <w:t>35,227,122.87</w:t>
                </w:r>
              </w:p>
            </w:tc>
            <w:tc>
              <w:tcPr>
                <w:tcW w:w="1343" w:type="pct"/>
                <w:vAlign w:val="center"/>
              </w:tcPr>
              <w:p w14:paraId="17331493">
                <w:pPr>
                  <w:jc w:val="center"/>
                </w:pPr>
                <w:r>
                  <w:rPr>
                    <w:rFonts w:hint="eastAsia"/>
                  </w:rPr>
                  <w:t>正在办理中</w:t>
                </w:r>
              </w:p>
            </w:tc>
          </w:tr>
        </w:sdtContent>
      </w:sdt>
      <w:sdt>
        <w:sdtPr>
          <w:rPr>
            <w:rFonts w:hint="eastAsia"/>
            <w:color w:val="000000" w:themeColor="text1"/>
            <w14:textFill>
              <w14:solidFill>
                <w14:schemeClr w14:val="tx1"/>
              </w14:solidFill>
            </w14:textFill>
          </w:rPr>
          <w:alias w:val="未办妥产权证书的固定资产情况明细"/>
          <w:tag w:val="_GBC_197aee8b2edc4ea19721e86529111007"/>
          <w:id w:val="-1014918158"/>
          <w:placeholder>
            <w:docPart w:val="{14b795c2-6743-44fe-abc0-425cd7151248}"/>
          </w:placeholder>
        </w:sdtPr>
        <w:sdtEndPr>
          <w:rPr>
            <w:rFonts w:hint="eastAsia"/>
            <w:color w:val="000000" w:themeColor="text1"/>
            <w14:textFill>
              <w14:solidFill>
                <w14:schemeClr w14:val="tx1"/>
              </w14:solidFill>
            </w14:textFill>
          </w:rPr>
        </w:sdtEndPr>
        <w:sdtContent>
          <w:tr w14:paraId="088F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pct"/>
                <w:vAlign w:val="center"/>
              </w:tcPr>
              <w:p w14:paraId="6B89D9C2">
                <w:r>
                  <w:rPr>
                    <w:rFonts w:hint="eastAsia"/>
                  </w:rPr>
                  <w:t>长春际华投资建设有限公司房屋建筑物</w:t>
                </w:r>
              </w:p>
            </w:tc>
            <w:tc>
              <w:tcPr>
                <w:tcW w:w="1133" w:type="pct"/>
                <w:vAlign w:val="center"/>
              </w:tcPr>
              <w:p w14:paraId="3682A73E">
                <w:pPr>
                  <w:jc w:val="right"/>
                </w:pPr>
                <w:r>
                  <w:rPr>
                    <w:rFonts w:hint="eastAsia"/>
                  </w:rPr>
                  <w:t>20,150,645.05</w:t>
                </w:r>
              </w:p>
            </w:tc>
            <w:tc>
              <w:tcPr>
                <w:tcW w:w="1343" w:type="pct"/>
                <w:vAlign w:val="center"/>
              </w:tcPr>
              <w:p w14:paraId="005704E5">
                <w:pPr>
                  <w:jc w:val="center"/>
                </w:pPr>
                <w:r>
                  <w:rPr>
                    <w:rFonts w:hint="eastAsia"/>
                  </w:rPr>
                  <w:t>正在办理中</w:t>
                </w:r>
              </w:p>
            </w:tc>
          </w:tr>
        </w:sdtContent>
      </w:sdt>
      <w:sdt>
        <w:sdtPr>
          <w:rPr>
            <w:rFonts w:hint="eastAsia"/>
            <w:color w:val="000000" w:themeColor="text1"/>
            <w14:textFill>
              <w14:solidFill>
                <w14:schemeClr w14:val="tx1"/>
              </w14:solidFill>
            </w14:textFill>
          </w:rPr>
          <w:alias w:val="未办妥产权证书的固定资产情况明细"/>
          <w:tag w:val="_GBC_197aee8b2edc4ea19721e86529111007"/>
          <w:id w:val="50199071"/>
          <w:placeholder>
            <w:docPart w:val="{14b795c2-6743-44fe-abc0-425cd7151248}"/>
          </w:placeholder>
        </w:sdtPr>
        <w:sdtEndPr>
          <w:rPr>
            <w:rFonts w:hint="eastAsia"/>
            <w:color w:val="000000" w:themeColor="text1"/>
            <w14:textFill>
              <w14:solidFill>
                <w14:schemeClr w14:val="tx1"/>
              </w14:solidFill>
            </w14:textFill>
          </w:rPr>
        </w:sdtEndPr>
        <w:sdtContent>
          <w:tr w14:paraId="0FD8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pct"/>
                <w:vAlign w:val="center"/>
              </w:tcPr>
              <w:p w14:paraId="009652AA">
                <w:r>
                  <w:rPr>
                    <w:rFonts w:hint="eastAsia"/>
                  </w:rPr>
                  <w:t>际华三五零二职业装有限公司房屋建筑物</w:t>
                </w:r>
              </w:p>
            </w:tc>
            <w:tc>
              <w:tcPr>
                <w:tcW w:w="1133" w:type="pct"/>
                <w:vAlign w:val="center"/>
              </w:tcPr>
              <w:p w14:paraId="1027A410">
                <w:pPr>
                  <w:jc w:val="right"/>
                </w:pPr>
                <w:r>
                  <w:rPr>
                    <w:rFonts w:hint="eastAsia"/>
                  </w:rPr>
                  <w:t>11,996,726.64</w:t>
                </w:r>
              </w:p>
            </w:tc>
            <w:tc>
              <w:tcPr>
                <w:tcW w:w="1343" w:type="pct"/>
                <w:vAlign w:val="center"/>
              </w:tcPr>
              <w:p w14:paraId="624E181C">
                <w:pPr>
                  <w:jc w:val="center"/>
                </w:pPr>
                <w:r>
                  <w:rPr>
                    <w:rFonts w:hint="eastAsia"/>
                  </w:rPr>
                  <w:t>正在办理中</w:t>
                </w:r>
              </w:p>
            </w:tc>
          </w:tr>
        </w:sdtContent>
      </w:sdt>
      <w:sdt>
        <w:sdtPr>
          <w:rPr>
            <w:rFonts w:hint="eastAsia"/>
            <w:color w:val="000000" w:themeColor="text1"/>
            <w14:textFill>
              <w14:solidFill>
                <w14:schemeClr w14:val="tx1"/>
              </w14:solidFill>
            </w14:textFill>
          </w:rPr>
          <w:alias w:val="未办妥产权证书的固定资产情况明细"/>
          <w:tag w:val="_GBC_197aee8b2edc4ea19721e86529111007"/>
          <w:id w:val="-549927485"/>
          <w:placeholder>
            <w:docPart w:val="{14b795c2-6743-44fe-abc0-425cd7151248}"/>
          </w:placeholder>
        </w:sdtPr>
        <w:sdtEndPr>
          <w:rPr>
            <w:rFonts w:hint="eastAsia"/>
            <w:color w:val="000000" w:themeColor="text1"/>
            <w14:textFill>
              <w14:solidFill>
                <w14:schemeClr w14:val="tx1"/>
              </w14:solidFill>
            </w14:textFill>
          </w:rPr>
        </w:sdtEndPr>
        <w:sdtContent>
          <w:tr w14:paraId="0F37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pct"/>
                <w:vAlign w:val="center"/>
              </w:tcPr>
              <w:p w14:paraId="0A0DCDCE">
                <w:r>
                  <w:rPr>
                    <w:rFonts w:hint="eastAsia"/>
                  </w:rPr>
                  <w:t>际华三五一四制革制鞋有限公司房屋建筑物</w:t>
                </w:r>
              </w:p>
            </w:tc>
            <w:tc>
              <w:tcPr>
                <w:tcW w:w="1133" w:type="pct"/>
                <w:vAlign w:val="center"/>
              </w:tcPr>
              <w:p w14:paraId="7F240CF2">
                <w:pPr>
                  <w:jc w:val="right"/>
                </w:pPr>
                <w:r>
                  <w:rPr>
                    <w:rFonts w:hint="eastAsia"/>
                  </w:rPr>
                  <w:t>5,624,868.72</w:t>
                </w:r>
              </w:p>
            </w:tc>
            <w:tc>
              <w:tcPr>
                <w:tcW w:w="1343" w:type="pct"/>
                <w:vAlign w:val="center"/>
              </w:tcPr>
              <w:p w14:paraId="0AAB61D0">
                <w:pPr>
                  <w:jc w:val="center"/>
                </w:pPr>
                <w:r>
                  <w:rPr>
                    <w:rFonts w:hint="eastAsia"/>
                  </w:rPr>
                  <w:t>正在办理中</w:t>
                </w:r>
              </w:p>
            </w:tc>
          </w:tr>
        </w:sdtContent>
      </w:sdt>
      <w:sdt>
        <w:sdtPr>
          <w:rPr>
            <w:rFonts w:hint="eastAsia"/>
            <w:color w:val="000000" w:themeColor="text1"/>
            <w14:textFill>
              <w14:solidFill>
                <w14:schemeClr w14:val="tx1"/>
              </w14:solidFill>
            </w14:textFill>
          </w:rPr>
          <w:alias w:val="未办妥产权证书的固定资产情况明细"/>
          <w:tag w:val="_GBC_197aee8b2edc4ea19721e86529111007"/>
          <w:id w:val="1044336765"/>
          <w:placeholder>
            <w:docPart w:val="{14b795c2-6743-44fe-abc0-425cd7151248}"/>
          </w:placeholder>
        </w:sdtPr>
        <w:sdtEndPr>
          <w:rPr>
            <w:rFonts w:hint="eastAsia"/>
            <w:color w:val="000000" w:themeColor="text1"/>
            <w14:textFill>
              <w14:solidFill>
                <w14:schemeClr w14:val="tx1"/>
              </w14:solidFill>
            </w14:textFill>
          </w:rPr>
        </w:sdtEndPr>
        <w:sdtContent>
          <w:tr w14:paraId="550A2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pct"/>
                <w:vAlign w:val="center"/>
              </w:tcPr>
              <w:p w14:paraId="61444ABA">
                <w:pPr>
                  <w:jc w:val="center"/>
                </w:pPr>
                <w:r>
                  <w:rPr>
                    <w:rFonts w:hint="eastAsia"/>
                  </w:rPr>
                  <w:t>合计</w:t>
                </w:r>
              </w:p>
            </w:tc>
            <w:tc>
              <w:tcPr>
                <w:tcW w:w="1133" w:type="pct"/>
                <w:vAlign w:val="center"/>
              </w:tcPr>
              <w:p w14:paraId="604A2461">
                <w:pPr>
                  <w:jc w:val="right"/>
                </w:pPr>
                <w:r>
                  <w:rPr>
                    <w:rFonts w:hint="eastAsia"/>
                  </w:rPr>
                  <w:t>569,713,761.05</w:t>
                </w:r>
              </w:p>
            </w:tc>
            <w:tc>
              <w:tcPr>
                <w:tcW w:w="1343" w:type="pct"/>
                <w:vAlign w:val="center"/>
              </w:tcPr>
              <w:p w14:paraId="04971AEF"/>
            </w:tc>
          </w:tr>
        </w:sdtContent>
      </w:sdt>
    </w:tbl>
    <w:p w14:paraId="2FA79B09">
      <w:pPr>
        <w:rPr>
          <w:color w:val="000000" w:themeColor="text1"/>
          <w14:textFill>
            <w14:solidFill>
              <w14:schemeClr w14:val="tx1"/>
            </w14:solidFill>
          </w14:textFill>
        </w:rPr>
      </w:pPr>
    </w:p>
    <w:p w14:paraId="588873EE">
      <w:pPr>
        <w:rPr>
          <w:color w:val="000000" w:themeColor="text1"/>
          <w14:textFill>
            <w14:solidFill>
              <w14:schemeClr w14:val="tx1"/>
            </w14:solidFill>
          </w14:textFill>
        </w:rPr>
      </w:pPr>
    </w:p>
    <w:p w14:paraId="35B79DFB">
      <w:pPr>
        <w:pStyle w:val="6"/>
        <w:numPr>
          <w:ilvl w:val="0"/>
          <w:numId w:val="70"/>
        </w:numPr>
        <w:rPr>
          <w:rFonts w:cs="宋体"/>
          <w:kern w:val="0"/>
        </w:rPr>
      </w:pPr>
      <w:bookmarkStart w:id="314" w:name="_Hlk153460880"/>
      <w:bookmarkStart w:id="315" w:name="_Hlk167957241"/>
      <w:r>
        <w:rPr>
          <w:rFonts w:hint="eastAsia" w:cs="宋体"/>
          <w:kern w:val="0"/>
        </w:rPr>
        <w:t>固定资产的减值测试情况</w:t>
      </w:r>
    </w:p>
    <w:sdt>
      <w:sdtPr>
        <w:rPr>
          <w:color w:val="000000" w:themeColor="text1"/>
          <w14:textFill>
            <w14:solidFill>
              <w14:schemeClr w14:val="tx1"/>
            </w14:solidFill>
          </w14:textFill>
        </w:rPr>
        <w:alias w:val="是否适用：减值测试情况[双击切换]"/>
        <w:tag w:val="_GBC_9a66caee6756422c9cb01da54631670e"/>
        <w:id w:val="147454697"/>
        <w:placeholder>
          <w:docPart w:val="GBC22222222222222222222222222222"/>
        </w:placeholder>
      </w:sdtPr>
      <w:sdtEndPr>
        <w:rPr>
          <w:color w:val="000000" w:themeColor="text1"/>
          <w14:textFill>
            <w14:solidFill>
              <w14:schemeClr w14:val="tx1"/>
            </w14:solidFill>
          </w14:textFill>
        </w:rPr>
      </w:sdtEndPr>
      <w:sdtContent>
        <w:p w14:paraId="116CD61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BEA30BB">
      <w:pPr>
        <w:snapToGrid w:val="0"/>
        <w:spacing w:line="240" w:lineRule="atLeast"/>
        <w:rPr>
          <w:color w:val="000000" w:themeColor="text1"/>
          <w14:textFill>
            <w14:solidFill>
              <w14:schemeClr w14:val="tx1"/>
            </w14:solidFill>
          </w14:textFill>
        </w:rPr>
      </w:pPr>
    </w:p>
    <w:bookmarkEnd w:id="314"/>
    <w:bookmarkEnd w:id="315"/>
    <w:p w14:paraId="23F32BDF">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固定资产的说明[双击切换]"/>
        <w:tag w:val="_GBC_e2fd7087594d4949ada40807334de5fb"/>
        <w:id w:val="147482804"/>
        <w:placeholder>
          <w:docPart w:val="GBC22222222222222222222222222222"/>
        </w:placeholder>
      </w:sdtPr>
      <w:sdtEndPr>
        <w:rPr>
          <w:color w:val="000000" w:themeColor="text1"/>
          <w14:textFill>
            <w14:solidFill>
              <w14:schemeClr w14:val="tx1"/>
            </w14:solidFill>
          </w14:textFill>
        </w:rPr>
      </w:sdtEndPr>
      <w:sdtContent>
        <w:p w14:paraId="2EF750A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C11826E">
      <w:pPr>
        <w:rPr>
          <w:color w:val="000000" w:themeColor="text1"/>
          <w14:textFill>
            <w14:solidFill>
              <w14:schemeClr w14:val="tx1"/>
            </w14:solidFill>
          </w14:textFill>
        </w:rPr>
      </w:pPr>
    </w:p>
    <w:p w14:paraId="7C740443">
      <w:pPr>
        <w:pStyle w:val="58"/>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固定资产清理</w:t>
      </w:r>
    </w:p>
    <w:sdt>
      <w:sdtPr>
        <w:rPr>
          <w:color w:val="000000" w:themeColor="text1"/>
          <w14:textFill>
            <w14:solidFill>
              <w14:schemeClr w14:val="tx1"/>
            </w14:solidFill>
          </w14:textFill>
        </w:rPr>
        <w:alias w:val="是否适用：固定资产清理[双击切换]"/>
        <w:tag w:val="_GBC_d005d220fbda4cd2a58ced6d0d7a1404"/>
        <w:id w:val="147465590"/>
        <w:placeholder>
          <w:docPart w:val="GBC22222222222222222222222222222"/>
        </w:placeholder>
      </w:sdtPr>
      <w:sdtEndPr>
        <w:rPr>
          <w:color w:val="000000" w:themeColor="text1"/>
          <w14:textFill>
            <w14:solidFill>
              <w14:schemeClr w14:val="tx1"/>
            </w14:solidFill>
          </w14:textFill>
        </w:rPr>
      </w:sdtEndPr>
      <w:sdtContent>
        <w:p w14:paraId="7143132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66DEA66">
      <w:pPr>
        <w:rPr>
          <w:color w:val="000000" w:themeColor="text1"/>
          <w14:textFill>
            <w14:solidFill>
              <w14:schemeClr w14:val="tx1"/>
            </w14:solidFill>
          </w14:textFill>
        </w:rPr>
      </w:pPr>
    </w:p>
    <w:p w14:paraId="785218D9">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在建工程</w:t>
      </w:r>
    </w:p>
    <w:p w14:paraId="03142AB9">
      <w:pPr>
        <w:pStyle w:val="58"/>
        <w:rPr>
          <w:rFonts w:ascii="宋体" w:hAnsi="宋体"/>
          <w:color w:val="000000" w:themeColor="text1"/>
          <w14:textFill>
            <w14:solidFill>
              <w14:schemeClr w14:val="tx1"/>
            </w14:solidFill>
          </w14:textFill>
        </w:rPr>
      </w:pPr>
      <w:bookmarkStart w:id="316" w:name="_Hlk10472757"/>
      <w:r>
        <w:rPr>
          <w:rFonts w:hint="eastAsia" w:ascii="宋体" w:hAnsi="宋体"/>
          <w:color w:val="000000" w:themeColor="text1"/>
          <w14:textFill>
            <w14:solidFill>
              <w14:schemeClr w14:val="tx1"/>
            </w14:solidFill>
          </w14:textFill>
        </w:rPr>
        <w:t>项目列示</w:t>
      </w:r>
    </w:p>
    <w:sdt>
      <w:sdtPr>
        <w:rPr>
          <w:color w:val="000000" w:themeColor="text1"/>
          <w14:textFill>
            <w14:solidFill>
              <w14:schemeClr w14:val="tx1"/>
            </w14:solidFill>
          </w14:textFill>
        </w:rPr>
        <w:alias w:val="是否适用：在建工程分类列示[双击切换]"/>
        <w:tag w:val="_GBC_bcbd4315343844fc923825dd150041e5"/>
        <w:id w:val="147457749"/>
        <w:placeholder>
          <w:docPart w:val="GBC22222222222222222222222222222"/>
        </w:placeholder>
      </w:sdtPr>
      <w:sdtEndPr>
        <w:rPr>
          <w:color w:val="000000" w:themeColor="text1"/>
          <w14:textFill>
            <w14:solidFill>
              <w14:schemeClr w14:val="tx1"/>
            </w14:solidFill>
          </w14:textFill>
        </w:rPr>
      </w:sdtEndPr>
      <w:sdtContent>
        <w:p w14:paraId="4CD7594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1281069">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在建工程分类列示"/>
          <w:tag w:val="_GBC_9df8e16a6fb54a76b384d11e7a6dd52d"/>
          <w:id w:val="1474799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在建工程分类列示"/>
          <w:tag w:val="_GBC_17b0bdb7b5f24e599fcea2e90510306a"/>
          <w:id w:val="1474571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96"/>
        <w:gridCol w:w="2939"/>
        <w:gridCol w:w="2924"/>
      </w:tblGrid>
      <w:tr w14:paraId="05177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a34a6496ee4454093b17b19ba9b805d"/>
            <w:id w:val="147478723"/>
          </w:sdtPr>
          <w:sdtContent>
            <w:tc>
              <w:tcPr>
                <w:tcW w:w="1764" w:type="pct"/>
                <w:vAlign w:val="center"/>
              </w:tcPr>
              <w:p w14:paraId="2BC7E9A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88973d2835334cdbb31181ad26b55912"/>
            <w:id w:val="147457870"/>
          </w:sdtPr>
          <w:sdtContent>
            <w:tc>
              <w:tcPr>
                <w:tcW w:w="1622" w:type="pct"/>
                <w:vAlign w:val="center"/>
              </w:tcPr>
              <w:p w14:paraId="2DCE356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55f5bd8851c54b7897a165bee2df0273"/>
            <w:id w:val="147472727"/>
          </w:sdtPr>
          <w:sdtContent>
            <w:tc>
              <w:tcPr>
                <w:tcW w:w="1614" w:type="pct"/>
                <w:vAlign w:val="center"/>
              </w:tcPr>
              <w:p w14:paraId="43479FD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68C2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14:paraId="2F1CE426">
            <w:pPr>
              <w:tabs>
                <w:tab w:val="right" w:pos="3690"/>
                <w:tab w:val="right" w:pos="5130"/>
                <w:tab w:val="right" w:pos="6030"/>
                <w:tab w:val="right" w:pos="7650"/>
                <w:tab w:val="right" w:pos="9270"/>
              </w:tabs>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在建工程</w:t>
            </w:r>
          </w:p>
        </w:tc>
        <w:tc>
          <w:tcPr>
            <w:tcW w:w="2939" w:type="dxa"/>
            <w:vAlign w:val="center"/>
          </w:tcPr>
          <w:p w14:paraId="6EE6DD46">
            <w:pPr>
              <w:jc w:val="right"/>
              <w:textAlignment w:val="center"/>
              <w:rPr>
                <w:rFonts w:cs="Times New Roman"/>
              </w:rPr>
            </w:pPr>
            <w:r>
              <w:rPr>
                <w:rFonts w:eastAsia="Arial Narrow" w:cs="Times New Roman"/>
                <w:color w:val="000000"/>
                <w:lang w:bidi="ar"/>
              </w:rPr>
              <w:t>399,635,284.93</w:t>
            </w:r>
          </w:p>
        </w:tc>
        <w:tc>
          <w:tcPr>
            <w:tcW w:w="2924" w:type="dxa"/>
            <w:vAlign w:val="center"/>
          </w:tcPr>
          <w:p w14:paraId="001AAA0F">
            <w:pPr>
              <w:jc w:val="right"/>
              <w:textAlignment w:val="center"/>
              <w:rPr>
                <w:rFonts w:cs="Times New Roman"/>
              </w:rPr>
            </w:pPr>
            <w:r>
              <w:rPr>
                <w:rFonts w:eastAsia="Arial Narrow" w:cs="Times New Roman"/>
                <w:color w:val="000000"/>
                <w:lang w:bidi="ar"/>
              </w:rPr>
              <w:t>275,601,526.58</w:t>
            </w:r>
          </w:p>
        </w:tc>
      </w:tr>
      <w:tr w14:paraId="3031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vAlign w:val="center"/>
          </w:tcPr>
          <w:p w14:paraId="12FF82C3">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2939" w:type="dxa"/>
            <w:vAlign w:val="center"/>
          </w:tcPr>
          <w:p w14:paraId="299C0D47">
            <w:pPr>
              <w:jc w:val="right"/>
              <w:textAlignment w:val="center"/>
              <w:rPr>
                <w:rFonts w:cs="Times New Roman"/>
              </w:rPr>
            </w:pPr>
            <w:r>
              <w:rPr>
                <w:rFonts w:eastAsia="Arial Narrow" w:cs="Times New Roman"/>
                <w:color w:val="000000"/>
                <w:lang w:bidi="ar"/>
              </w:rPr>
              <w:t>399,635,284.93</w:t>
            </w:r>
          </w:p>
        </w:tc>
        <w:tc>
          <w:tcPr>
            <w:tcW w:w="2924" w:type="dxa"/>
            <w:vAlign w:val="center"/>
          </w:tcPr>
          <w:p w14:paraId="02A905C4">
            <w:pPr>
              <w:jc w:val="right"/>
              <w:textAlignment w:val="center"/>
              <w:rPr>
                <w:rFonts w:cs="Times New Roman"/>
              </w:rPr>
            </w:pPr>
            <w:r>
              <w:rPr>
                <w:rFonts w:eastAsia="Arial Narrow" w:cs="Times New Roman"/>
                <w:color w:val="000000"/>
                <w:lang w:bidi="ar"/>
              </w:rPr>
              <w:t>275,601,526.58</w:t>
            </w:r>
          </w:p>
        </w:tc>
      </w:tr>
      <w:bookmarkEnd w:id="316"/>
    </w:tbl>
    <w:p w14:paraId="44FD0514">
      <w:pPr>
        <w:rPr>
          <w:color w:val="000000" w:themeColor="text1"/>
          <w14:textFill>
            <w14:solidFill>
              <w14:schemeClr w14:val="tx1"/>
            </w14:solidFill>
          </w14:textFill>
        </w:rPr>
      </w:pPr>
      <w:bookmarkStart w:id="317" w:name="_Hlk10472837"/>
      <w:bookmarkStart w:id="318" w:name="_Hlk10472848"/>
      <w:r>
        <w:rPr>
          <w:rFonts w:hint="eastAsia"/>
          <w:color w:val="000000" w:themeColor="text1"/>
          <w14:textFill>
            <w14:solidFill>
              <w14:schemeClr w14:val="tx1"/>
            </w14:solidFill>
          </w14:textFill>
        </w:rPr>
        <w:t>其他说明：</w:t>
      </w:r>
      <w:bookmarkEnd w:id="317"/>
    </w:p>
    <w:p w14:paraId="78EA0290">
      <w:pPr>
        <w:rPr>
          <w:color w:val="000000" w:themeColor="text1"/>
          <w14:textFill>
            <w14:solidFill>
              <w14:schemeClr w14:val="tx1"/>
            </w14:solidFill>
          </w14:textFill>
        </w:rPr>
      </w:pPr>
      <w:sdt>
        <w:sdtPr>
          <w:rPr>
            <w:color w:val="000000" w:themeColor="text1"/>
            <w14:textFill>
              <w14:solidFill>
                <w14:schemeClr w14:val="tx1"/>
              </w14:solidFill>
            </w14:textFill>
          </w:rPr>
          <w:alias w:val="在建工程分类列示其他说明"/>
          <w:tag w:val="_GBC_ebe1a06b82914095a2c469c32c78af71"/>
          <w:id w:val="147467150"/>
          <w:placeholder>
            <w:docPart w:val="GBC22222222222222222222222222222"/>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无</w:t>
          </w:r>
        </w:sdtContent>
      </w:sdt>
    </w:p>
    <w:bookmarkEnd w:id="318"/>
    <w:p w14:paraId="1906F02F">
      <w:pPr>
        <w:rPr>
          <w:color w:val="000000" w:themeColor="text1"/>
          <w14:textFill>
            <w14:solidFill>
              <w14:schemeClr w14:val="tx1"/>
            </w14:solidFill>
          </w14:textFill>
        </w:rPr>
      </w:pPr>
    </w:p>
    <w:p w14:paraId="5886D8EF">
      <w:pPr>
        <w:pStyle w:val="58"/>
        <w:rPr>
          <w:rFonts w:ascii="宋体" w:hAnsi="宋体"/>
          <w:color w:val="000000" w:themeColor="text1"/>
          <w14:textFill>
            <w14:solidFill>
              <w14:schemeClr w14:val="tx1"/>
            </w14:solidFill>
          </w14:textFill>
        </w:rPr>
        <w:sectPr>
          <w:pgSz w:w="11906" w:h="16838"/>
          <w:pgMar w:top="1525" w:right="1276" w:bottom="1440" w:left="1797" w:header="856" w:footer="992" w:gutter="0"/>
          <w:cols w:space="425" w:num="1"/>
          <w:docGrid w:linePitch="312" w:charSpace="0"/>
        </w:sectPr>
      </w:pPr>
    </w:p>
    <w:p w14:paraId="5AEBE029">
      <w:pPr>
        <w:pStyle w:val="58"/>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在建工程</w:t>
      </w:r>
    </w:p>
    <w:p w14:paraId="2D84D467">
      <w:pPr>
        <w:pStyle w:val="59"/>
        <w:numPr>
          <w:ilvl w:val="0"/>
          <w:numId w:val="71"/>
        </w:numPr>
      </w:pPr>
      <w:r>
        <w:rPr>
          <w:rFonts w:hint="eastAsia"/>
        </w:rPr>
        <w:t>在建工程情况</w:t>
      </w:r>
    </w:p>
    <w:sdt>
      <w:sdtPr>
        <w:rPr>
          <w:color w:val="000000" w:themeColor="text1"/>
          <w14:textFill>
            <w14:solidFill>
              <w14:schemeClr w14:val="tx1"/>
            </w14:solidFill>
          </w14:textFill>
        </w:rPr>
        <w:alias w:val="是否适用：在建工程情况[双击切换]"/>
        <w:tag w:val="_GBC_d9828cc7ad534f26902e1979f9d67530"/>
        <w:id w:val="349296145"/>
      </w:sdtPr>
      <w:sdtEndPr>
        <w:rPr>
          <w:color w:val="000000" w:themeColor="text1"/>
          <w14:textFill>
            <w14:solidFill>
              <w14:schemeClr w14:val="tx1"/>
            </w14:solidFill>
          </w14:textFill>
        </w:rPr>
      </w:sdtEndPr>
      <w:sdtContent>
        <w:p w14:paraId="4599813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796AAE81">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在建工程"/>
          <w:tag w:val="_GBC_d20598ce3f5b4d21a9055de674936a9a"/>
          <w:id w:val="-1560317658"/>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在建工程"/>
          <w:tag w:val="_GBC_9e96d736daa247dd96af144329fff105"/>
          <w:id w:val="56800732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4394"/>
        <w:gridCol w:w="1849"/>
        <w:gridCol w:w="1542"/>
        <w:gridCol w:w="1709"/>
        <w:gridCol w:w="1511"/>
        <w:gridCol w:w="1508"/>
        <w:gridCol w:w="1422"/>
      </w:tblGrid>
      <w:tr w14:paraId="3943F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blHeader/>
        </w:trPr>
        <w:tc>
          <w:tcPr>
            <w:tcW w:w="1576" w:type="pct"/>
            <w:vMerge w:val="restart"/>
            <w:vAlign w:val="center"/>
          </w:tcPr>
          <w:p w14:paraId="4E06680A">
            <w:pPr>
              <w:jc w:val="center"/>
              <w:rPr>
                <w:color w:val="000000" w:themeColor="text1"/>
                <w14:textFill>
                  <w14:solidFill>
                    <w14:schemeClr w14:val="tx1"/>
                  </w14:solidFill>
                </w14:textFill>
              </w:rPr>
            </w:pPr>
            <w:sdt>
              <w:sdtPr>
                <w:tag w:val="_PLD_27b31695edfd49cb9cafa333777d18c3"/>
                <w:id w:val="765110978"/>
              </w:sdtPr>
              <w:sdtContent>
                <w:r>
                  <w:rPr>
                    <w:rFonts w:hint="eastAsia"/>
                    <w:color w:val="000000" w:themeColor="text1"/>
                    <w14:textFill>
                      <w14:solidFill>
                        <w14:schemeClr w14:val="tx1"/>
                      </w14:solidFill>
                    </w14:textFill>
                  </w:rPr>
                  <w:t>项目</w:t>
                </w:r>
              </w:sdtContent>
            </w:sdt>
          </w:p>
        </w:tc>
        <w:sdt>
          <w:sdtPr>
            <w:tag w:val="_PLD_a5273bde7b2f4c6c8fbe3ea2d7a7eb84"/>
            <w:id w:val="1107319543"/>
          </w:sdtPr>
          <w:sdtContent>
            <w:tc>
              <w:tcPr>
                <w:tcW w:w="1829" w:type="pct"/>
                <w:gridSpan w:val="3"/>
                <w:vAlign w:val="center"/>
              </w:tcPr>
              <w:p w14:paraId="59D09E2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ac57490b080449c8b91be5a872e19f79"/>
            <w:id w:val="64313124"/>
          </w:sdtPr>
          <w:sdtContent>
            <w:tc>
              <w:tcPr>
                <w:tcW w:w="1593" w:type="pct"/>
                <w:gridSpan w:val="3"/>
                <w:vAlign w:val="center"/>
              </w:tcPr>
              <w:p w14:paraId="692C6EF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113C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blHeader/>
        </w:trPr>
        <w:tc>
          <w:tcPr>
            <w:tcW w:w="1576" w:type="pct"/>
            <w:vMerge w:val="continue"/>
            <w:vAlign w:val="center"/>
          </w:tcPr>
          <w:p w14:paraId="6C1A878C">
            <w:pPr>
              <w:tabs>
                <w:tab w:val="left" w:pos="420"/>
              </w:tabs>
              <w:ind w:left="420" w:hanging="420"/>
              <w:jc w:val="center"/>
              <w:rPr>
                <w:color w:val="000000" w:themeColor="text1"/>
                <w14:textFill>
                  <w14:solidFill>
                    <w14:schemeClr w14:val="tx1"/>
                  </w14:solidFill>
                </w14:textFill>
              </w:rPr>
            </w:pPr>
          </w:p>
        </w:tc>
        <w:sdt>
          <w:sdtPr>
            <w:tag w:val="_PLD_1d60491359e245e7bc54655c8c8c15fd"/>
            <w:id w:val="1282989181"/>
          </w:sdtPr>
          <w:sdtContent>
            <w:tc>
              <w:tcPr>
                <w:tcW w:w="663" w:type="pct"/>
                <w:vAlign w:val="center"/>
              </w:tcPr>
              <w:p w14:paraId="41A43A82">
                <w:pPr>
                  <w:tabs>
                    <w:tab w:val="left" w:pos="420"/>
                  </w:tabs>
                  <w:ind w:left="420" w:hanging="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账面余额</w:t>
                </w:r>
              </w:p>
            </w:tc>
          </w:sdtContent>
        </w:sdt>
        <w:sdt>
          <w:sdtPr>
            <w:tag w:val="_PLD_d5d8fa5186d44c82b146ad7151830389"/>
            <w:id w:val="39635888"/>
          </w:sdtPr>
          <w:sdtContent>
            <w:tc>
              <w:tcPr>
                <w:tcW w:w="553" w:type="pct"/>
                <w:vAlign w:val="center"/>
              </w:tcPr>
              <w:p w14:paraId="6F765990">
                <w:pPr>
                  <w:tabs>
                    <w:tab w:val="left" w:pos="420"/>
                  </w:tabs>
                  <w:ind w:left="420" w:hanging="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减值准备</w:t>
                </w:r>
              </w:p>
            </w:tc>
          </w:sdtContent>
        </w:sdt>
        <w:sdt>
          <w:sdtPr>
            <w:tag w:val="_PLD_49aa1c2d25814b789479d76afb6fc844"/>
            <w:id w:val="-1841685719"/>
          </w:sdtPr>
          <w:sdtContent>
            <w:tc>
              <w:tcPr>
                <w:tcW w:w="613" w:type="pct"/>
                <w:vAlign w:val="center"/>
              </w:tcPr>
              <w:p w14:paraId="73519DE7">
                <w:pPr>
                  <w:tabs>
                    <w:tab w:val="left" w:pos="420"/>
                  </w:tabs>
                  <w:ind w:left="420" w:hanging="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账面价值</w:t>
                </w:r>
              </w:p>
            </w:tc>
          </w:sdtContent>
        </w:sdt>
        <w:sdt>
          <w:sdtPr>
            <w:tag w:val="_PLD_4bba2db5e5a549ecafbf4e94a7af2e35"/>
            <w:id w:val="824016737"/>
          </w:sdtPr>
          <w:sdtContent>
            <w:tc>
              <w:tcPr>
                <w:tcW w:w="542" w:type="pct"/>
                <w:vAlign w:val="center"/>
              </w:tcPr>
              <w:p w14:paraId="4900CFE6">
                <w:pPr>
                  <w:tabs>
                    <w:tab w:val="left" w:pos="420"/>
                  </w:tabs>
                  <w:ind w:left="420" w:hanging="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账面余额</w:t>
                </w:r>
              </w:p>
            </w:tc>
          </w:sdtContent>
        </w:sdt>
        <w:sdt>
          <w:sdtPr>
            <w:tag w:val="_PLD_e054d8cd1e1b4672ae08a495b587bdce"/>
            <w:id w:val="52125299"/>
          </w:sdtPr>
          <w:sdtContent>
            <w:tc>
              <w:tcPr>
                <w:tcW w:w="541" w:type="pct"/>
                <w:vAlign w:val="center"/>
              </w:tcPr>
              <w:p w14:paraId="6143159F">
                <w:pPr>
                  <w:tabs>
                    <w:tab w:val="left" w:pos="420"/>
                  </w:tabs>
                  <w:ind w:left="420" w:hanging="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减值准备</w:t>
                </w:r>
              </w:p>
            </w:tc>
          </w:sdtContent>
        </w:sdt>
        <w:sdt>
          <w:sdtPr>
            <w:tag w:val="_PLD_bd3055c2713a44fa9cbd3fd973d34c6a"/>
            <w:id w:val="-1214121155"/>
          </w:sdtPr>
          <w:sdtContent>
            <w:tc>
              <w:tcPr>
                <w:tcW w:w="510" w:type="pct"/>
                <w:vAlign w:val="center"/>
              </w:tcPr>
              <w:p w14:paraId="357BB306">
                <w:pPr>
                  <w:tabs>
                    <w:tab w:val="left" w:pos="420"/>
                  </w:tabs>
                  <w:ind w:left="420" w:hanging="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账面价值</w:t>
                </w:r>
              </w:p>
            </w:tc>
          </w:sdtContent>
        </w:sdt>
      </w:tr>
      <w:tr w14:paraId="605AD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247417F5">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长春目的地中心</w:t>
            </w:r>
          </w:p>
        </w:tc>
        <w:tc>
          <w:tcPr>
            <w:tcW w:w="663" w:type="pct"/>
            <w:vAlign w:val="center"/>
          </w:tcPr>
          <w:p w14:paraId="25CC2F64">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775,853,575.34</w:t>
            </w:r>
          </w:p>
        </w:tc>
        <w:tc>
          <w:tcPr>
            <w:tcW w:w="553" w:type="pct"/>
            <w:vAlign w:val="center"/>
          </w:tcPr>
          <w:p w14:paraId="0E4496B7">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700,103,655.93</w:t>
            </w:r>
          </w:p>
        </w:tc>
        <w:tc>
          <w:tcPr>
            <w:tcW w:w="613" w:type="pct"/>
            <w:vAlign w:val="center"/>
          </w:tcPr>
          <w:p w14:paraId="482EACB7">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75,749,919.41</w:t>
            </w:r>
          </w:p>
        </w:tc>
        <w:tc>
          <w:tcPr>
            <w:tcW w:w="542" w:type="pct"/>
            <w:vAlign w:val="center"/>
          </w:tcPr>
          <w:p w14:paraId="226A3AD2">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775,853,575.34</w:t>
            </w:r>
          </w:p>
        </w:tc>
        <w:tc>
          <w:tcPr>
            <w:tcW w:w="541" w:type="pct"/>
            <w:vAlign w:val="center"/>
          </w:tcPr>
          <w:p w14:paraId="7B71617A">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700,103,655.93</w:t>
            </w:r>
          </w:p>
        </w:tc>
        <w:tc>
          <w:tcPr>
            <w:tcW w:w="510" w:type="pct"/>
            <w:vAlign w:val="center"/>
          </w:tcPr>
          <w:p w14:paraId="076A9EA0">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75,749,919.41</w:t>
            </w:r>
          </w:p>
        </w:tc>
      </w:tr>
      <w:tr w14:paraId="48E5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07360C94">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际华三五一五皮革皮鞋有限公司新区建设项目</w:t>
            </w:r>
          </w:p>
        </w:tc>
        <w:tc>
          <w:tcPr>
            <w:tcW w:w="663" w:type="pct"/>
            <w:vAlign w:val="center"/>
          </w:tcPr>
          <w:p w14:paraId="4D8A2332">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54,728,846.55</w:t>
            </w:r>
          </w:p>
        </w:tc>
        <w:tc>
          <w:tcPr>
            <w:tcW w:w="553" w:type="pct"/>
            <w:vAlign w:val="center"/>
          </w:tcPr>
          <w:p w14:paraId="6412AA6B">
            <w:pPr>
              <w:jc w:val="right"/>
              <w:rPr>
                <w:rFonts w:cs="Times New Roman"/>
                <w:color w:val="000000" w:themeColor="text1"/>
                <w14:textFill>
                  <w14:solidFill>
                    <w14:schemeClr w14:val="tx1"/>
                  </w14:solidFill>
                </w14:textFill>
              </w:rPr>
            </w:pPr>
          </w:p>
        </w:tc>
        <w:tc>
          <w:tcPr>
            <w:tcW w:w="613" w:type="pct"/>
            <w:vAlign w:val="center"/>
          </w:tcPr>
          <w:p w14:paraId="7B3090B5">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54,728,846.55</w:t>
            </w:r>
          </w:p>
        </w:tc>
        <w:tc>
          <w:tcPr>
            <w:tcW w:w="542" w:type="pct"/>
            <w:vAlign w:val="center"/>
          </w:tcPr>
          <w:p w14:paraId="29E62015">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49,931,611.23</w:t>
            </w:r>
          </w:p>
        </w:tc>
        <w:tc>
          <w:tcPr>
            <w:tcW w:w="541" w:type="pct"/>
            <w:vAlign w:val="center"/>
          </w:tcPr>
          <w:p w14:paraId="44FF6EE7">
            <w:pPr>
              <w:jc w:val="right"/>
              <w:rPr>
                <w:rFonts w:cs="Times New Roman"/>
                <w:color w:val="000000" w:themeColor="text1"/>
                <w14:textFill>
                  <w14:solidFill>
                    <w14:schemeClr w14:val="tx1"/>
                  </w14:solidFill>
                </w14:textFill>
              </w:rPr>
            </w:pPr>
          </w:p>
        </w:tc>
        <w:tc>
          <w:tcPr>
            <w:tcW w:w="510" w:type="pct"/>
            <w:vAlign w:val="center"/>
          </w:tcPr>
          <w:p w14:paraId="741ECDA5">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49,931,611.23</w:t>
            </w:r>
          </w:p>
        </w:tc>
      </w:tr>
      <w:tr w14:paraId="55AF5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12E8530B">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三五零二职业装研发中心项目</w:t>
            </w:r>
          </w:p>
        </w:tc>
        <w:tc>
          <w:tcPr>
            <w:tcW w:w="663" w:type="pct"/>
            <w:vAlign w:val="center"/>
          </w:tcPr>
          <w:p w14:paraId="44A2EAE4">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1,956,834.10</w:t>
            </w:r>
          </w:p>
        </w:tc>
        <w:tc>
          <w:tcPr>
            <w:tcW w:w="553" w:type="pct"/>
            <w:vAlign w:val="center"/>
          </w:tcPr>
          <w:p w14:paraId="78811A35">
            <w:pPr>
              <w:jc w:val="right"/>
              <w:rPr>
                <w:rFonts w:cs="Times New Roman"/>
                <w:color w:val="000000" w:themeColor="text1"/>
                <w14:textFill>
                  <w14:solidFill>
                    <w14:schemeClr w14:val="tx1"/>
                  </w14:solidFill>
                </w14:textFill>
              </w:rPr>
            </w:pPr>
          </w:p>
        </w:tc>
        <w:tc>
          <w:tcPr>
            <w:tcW w:w="613" w:type="pct"/>
            <w:vAlign w:val="center"/>
          </w:tcPr>
          <w:p w14:paraId="7E86EDDC">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1,956,834.10</w:t>
            </w:r>
          </w:p>
        </w:tc>
        <w:tc>
          <w:tcPr>
            <w:tcW w:w="542" w:type="pct"/>
            <w:vAlign w:val="center"/>
          </w:tcPr>
          <w:p w14:paraId="45F3E582">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18,255,124.28</w:t>
            </w:r>
          </w:p>
        </w:tc>
        <w:tc>
          <w:tcPr>
            <w:tcW w:w="541" w:type="pct"/>
            <w:vAlign w:val="center"/>
          </w:tcPr>
          <w:p w14:paraId="22E61CE7">
            <w:pPr>
              <w:jc w:val="right"/>
              <w:rPr>
                <w:rFonts w:cs="Times New Roman"/>
                <w:color w:val="000000" w:themeColor="text1"/>
                <w14:textFill>
                  <w14:solidFill>
                    <w14:schemeClr w14:val="tx1"/>
                  </w14:solidFill>
                </w14:textFill>
              </w:rPr>
            </w:pPr>
          </w:p>
        </w:tc>
        <w:tc>
          <w:tcPr>
            <w:tcW w:w="510" w:type="pct"/>
            <w:vAlign w:val="center"/>
          </w:tcPr>
          <w:p w14:paraId="4B81860B">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18,255,124.28</w:t>
            </w:r>
          </w:p>
        </w:tc>
      </w:tr>
      <w:tr w14:paraId="4507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1C4AB403">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际华三五三四制衣有限公司服装智能升级改造</w:t>
            </w:r>
          </w:p>
        </w:tc>
        <w:tc>
          <w:tcPr>
            <w:tcW w:w="663" w:type="pct"/>
            <w:vAlign w:val="center"/>
          </w:tcPr>
          <w:p w14:paraId="6C330CB4">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17,826,377.16</w:t>
            </w:r>
          </w:p>
        </w:tc>
        <w:tc>
          <w:tcPr>
            <w:tcW w:w="553" w:type="pct"/>
            <w:vAlign w:val="center"/>
          </w:tcPr>
          <w:p w14:paraId="1843D402">
            <w:pPr>
              <w:jc w:val="right"/>
              <w:rPr>
                <w:rFonts w:cs="Times New Roman"/>
                <w:color w:val="000000" w:themeColor="text1"/>
                <w14:textFill>
                  <w14:solidFill>
                    <w14:schemeClr w14:val="tx1"/>
                  </w14:solidFill>
                </w14:textFill>
              </w:rPr>
            </w:pPr>
          </w:p>
        </w:tc>
        <w:tc>
          <w:tcPr>
            <w:tcW w:w="613" w:type="pct"/>
            <w:vAlign w:val="center"/>
          </w:tcPr>
          <w:p w14:paraId="75796E46">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17,826,377.16</w:t>
            </w:r>
          </w:p>
        </w:tc>
        <w:tc>
          <w:tcPr>
            <w:tcW w:w="542" w:type="pct"/>
            <w:vAlign w:val="center"/>
          </w:tcPr>
          <w:p w14:paraId="7A7C534E">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17,561,064.35</w:t>
            </w:r>
          </w:p>
        </w:tc>
        <w:tc>
          <w:tcPr>
            <w:tcW w:w="541" w:type="pct"/>
            <w:vAlign w:val="center"/>
          </w:tcPr>
          <w:p w14:paraId="255CB015">
            <w:pPr>
              <w:jc w:val="right"/>
              <w:rPr>
                <w:rFonts w:cs="Times New Roman"/>
                <w:color w:val="000000" w:themeColor="text1"/>
                <w14:textFill>
                  <w14:solidFill>
                    <w14:schemeClr w14:val="tx1"/>
                  </w14:solidFill>
                </w14:textFill>
              </w:rPr>
            </w:pPr>
          </w:p>
        </w:tc>
        <w:tc>
          <w:tcPr>
            <w:tcW w:w="510" w:type="pct"/>
            <w:vAlign w:val="center"/>
          </w:tcPr>
          <w:p w14:paraId="38E35485">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17,561,064.35</w:t>
            </w:r>
          </w:p>
        </w:tc>
      </w:tr>
      <w:tr w14:paraId="0AB84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723D99E9">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三五零二西服设备</w:t>
            </w:r>
          </w:p>
        </w:tc>
        <w:tc>
          <w:tcPr>
            <w:tcW w:w="663" w:type="pct"/>
            <w:vAlign w:val="center"/>
          </w:tcPr>
          <w:p w14:paraId="720CF873">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1,334,177.51</w:t>
            </w:r>
          </w:p>
        </w:tc>
        <w:tc>
          <w:tcPr>
            <w:tcW w:w="553" w:type="pct"/>
            <w:vAlign w:val="center"/>
          </w:tcPr>
          <w:p w14:paraId="490981E4">
            <w:pPr>
              <w:jc w:val="right"/>
              <w:rPr>
                <w:rFonts w:cs="Times New Roman"/>
                <w:color w:val="000000" w:themeColor="text1"/>
                <w14:textFill>
                  <w14:solidFill>
                    <w14:schemeClr w14:val="tx1"/>
                  </w14:solidFill>
                </w14:textFill>
              </w:rPr>
            </w:pPr>
          </w:p>
        </w:tc>
        <w:tc>
          <w:tcPr>
            <w:tcW w:w="613" w:type="pct"/>
            <w:vAlign w:val="center"/>
          </w:tcPr>
          <w:p w14:paraId="602CCCED">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1,334,177.51</w:t>
            </w:r>
          </w:p>
        </w:tc>
        <w:tc>
          <w:tcPr>
            <w:tcW w:w="542" w:type="pct"/>
            <w:vAlign w:val="center"/>
          </w:tcPr>
          <w:p w14:paraId="282C6016">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16,395,840.71</w:t>
            </w:r>
          </w:p>
        </w:tc>
        <w:tc>
          <w:tcPr>
            <w:tcW w:w="541" w:type="pct"/>
            <w:vAlign w:val="center"/>
          </w:tcPr>
          <w:p w14:paraId="303A9041">
            <w:pPr>
              <w:jc w:val="right"/>
              <w:rPr>
                <w:rFonts w:cs="Times New Roman"/>
                <w:color w:val="000000" w:themeColor="text1"/>
                <w14:textFill>
                  <w14:solidFill>
                    <w14:schemeClr w14:val="tx1"/>
                  </w14:solidFill>
                </w14:textFill>
              </w:rPr>
            </w:pPr>
          </w:p>
        </w:tc>
        <w:tc>
          <w:tcPr>
            <w:tcW w:w="510" w:type="pct"/>
            <w:vAlign w:val="center"/>
          </w:tcPr>
          <w:p w14:paraId="2A8F4D1C">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16,395,840.71</w:t>
            </w:r>
          </w:p>
        </w:tc>
      </w:tr>
      <w:tr w14:paraId="2DF77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75D1BACB">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际华三五一四制革制鞋SWYS030鞋靴生产集约化智能化项目</w:t>
            </w:r>
          </w:p>
        </w:tc>
        <w:tc>
          <w:tcPr>
            <w:tcW w:w="663" w:type="pct"/>
            <w:vAlign w:val="center"/>
          </w:tcPr>
          <w:p w14:paraId="52DED12E">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11,023,008.85</w:t>
            </w:r>
          </w:p>
        </w:tc>
        <w:tc>
          <w:tcPr>
            <w:tcW w:w="553" w:type="pct"/>
            <w:vAlign w:val="center"/>
          </w:tcPr>
          <w:p w14:paraId="21832808">
            <w:pPr>
              <w:jc w:val="right"/>
              <w:rPr>
                <w:rFonts w:cs="Times New Roman"/>
                <w:color w:val="000000" w:themeColor="text1"/>
                <w14:textFill>
                  <w14:solidFill>
                    <w14:schemeClr w14:val="tx1"/>
                  </w14:solidFill>
                </w14:textFill>
              </w:rPr>
            </w:pPr>
          </w:p>
        </w:tc>
        <w:tc>
          <w:tcPr>
            <w:tcW w:w="613" w:type="pct"/>
            <w:vAlign w:val="center"/>
          </w:tcPr>
          <w:p w14:paraId="3E6820C7">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11,023,008.85</w:t>
            </w:r>
          </w:p>
        </w:tc>
        <w:tc>
          <w:tcPr>
            <w:tcW w:w="542" w:type="pct"/>
            <w:vAlign w:val="center"/>
          </w:tcPr>
          <w:p w14:paraId="1C0E1BF4">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11,023,008.85</w:t>
            </w:r>
          </w:p>
        </w:tc>
        <w:tc>
          <w:tcPr>
            <w:tcW w:w="541" w:type="pct"/>
            <w:vAlign w:val="center"/>
          </w:tcPr>
          <w:p w14:paraId="7040BD07">
            <w:pPr>
              <w:jc w:val="right"/>
              <w:rPr>
                <w:rFonts w:cs="Times New Roman"/>
                <w:color w:val="000000" w:themeColor="text1"/>
                <w14:textFill>
                  <w14:solidFill>
                    <w14:schemeClr w14:val="tx1"/>
                  </w14:solidFill>
                </w14:textFill>
              </w:rPr>
            </w:pPr>
          </w:p>
        </w:tc>
        <w:tc>
          <w:tcPr>
            <w:tcW w:w="510" w:type="pct"/>
            <w:vAlign w:val="center"/>
          </w:tcPr>
          <w:p w14:paraId="04411BF6">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11,023,008.85</w:t>
            </w:r>
          </w:p>
        </w:tc>
      </w:tr>
      <w:tr w14:paraId="724BF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1844E515">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三五二一际华玻纤复合滤料生产线</w:t>
            </w:r>
          </w:p>
        </w:tc>
        <w:tc>
          <w:tcPr>
            <w:tcW w:w="663" w:type="pct"/>
            <w:vAlign w:val="center"/>
          </w:tcPr>
          <w:p w14:paraId="20332CB9">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8,420,086.73</w:t>
            </w:r>
          </w:p>
        </w:tc>
        <w:tc>
          <w:tcPr>
            <w:tcW w:w="553" w:type="pct"/>
            <w:vAlign w:val="center"/>
          </w:tcPr>
          <w:p w14:paraId="4E20CB5F">
            <w:pPr>
              <w:jc w:val="right"/>
              <w:rPr>
                <w:rFonts w:cs="Times New Roman"/>
                <w:color w:val="000000" w:themeColor="text1"/>
                <w14:textFill>
                  <w14:solidFill>
                    <w14:schemeClr w14:val="tx1"/>
                  </w14:solidFill>
                </w14:textFill>
              </w:rPr>
            </w:pPr>
          </w:p>
        </w:tc>
        <w:tc>
          <w:tcPr>
            <w:tcW w:w="613" w:type="pct"/>
            <w:vAlign w:val="center"/>
          </w:tcPr>
          <w:p w14:paraId="5D99E204">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8,420,086.73</w:t>
            </w:r>
          </w:p>
        </w:tc>
        <w:tc>
          <w:tcPr>
            <w:tcW w:w="542" w:type="pct"/>
            <w:vAlign w:val="center"/>
          </w:tcPr>
          <w:p w14:paraId="64285CF3">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8,420,086.73</w:t>
            </w:r>
          </w:p>
        </w:tc>
        <w:tc>
          <w:tcPr>
            <w:tcW w:w="541" w:type="pct"/>
            <w:vAlign w:val="center"/>
          </w:tcPr>
          <w:p w14:paraId="3E200A31">
            <w:pPr>
              <w:jc w:val="right"/>
              <w:rPr>
                <w:rFonts w:cs="Times New Roman"/>
                <w:color w:val="000000" w:themeColor="text1"/>
                <w14:textFill>
                  <w14:solidFill>
                    <w14:schemeClr w14:val="tx1"/>
                  </w14:solidFill>
                </w14:textFill>
              </w:rPr>
            </w:pPr>
          </w:p>
        </w:tc>
        <w:tc>
          <w:tcPr>
            <w:tcW w:w="510" w:type="pct"/>
            <w:vAlign w:val="center"/>
          </w:tcPr>
          <w:p w14:paraId="452869FC">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8,420,086.73</w:t>
            </w:r>
          </w:p>
        </w:tc>
      </w:tr>
      <w:tr w14:paraId="0A3CB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372C7A9F">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重庆际华目的地中心一期项目工程</w:t>
            </w:r>
          </w:p>
        </w:tc>
        <w:tc>
          <w:tcPr>
            <w:tcW w:w="663" w:type="pct"/>
            <w:vAlign w:val="center"/>
          </w:tcPr>
          <w:p w14:paraId="6ACC4059">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13,677,460.22</w:t>
            </w:r>
          </w:p>
        </w:tc>
        <w:tc>
          <w:tcPr>
            <w:tcW w:w="553" w:type="pct"/>
            <w:vAlign w:val="center"/>
          </w:tcPr>
          <w:p w14:paraId="71358CA8">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6,110,602.68</w:t>
            </w:r>
          </w:p>
        </w:tc>
        <w:tc>
          <w:tcPr>
            <w:tcW w:w="613" w:type="pct"/>
            <w:vAlign w:val="center"/>
          </w:tcPr>
          <w:p w14:paraId="329CC6AC">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7,566,857.54</w:t>
            </w:r>
          </w:p>
        </w:tc>
        <w:tc>
          <w:tcPr>
            <w:tcW w:w="542" w:type="pct"/>
            <w:vAlign w:val="center"/>
          </w:tcPr>
          <w:p w14:paraId="13E14945">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13,677,460.22</w:t>
            </w:r>
          </w:p>
        </w:tc>
        <w:tc>
          <w:tcPr>
            <w:tcW w:w="541" w:type="pct"/>
            <w:vAlign w:val="center"/>
          </w:tcPr>
          <w:p w14:paraId="41D32CD5">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6,110,602.68</w:t>
            </w:r>
          </w:p>
        </w:tc>
        <w:tc>
          <w:tcPr>
            <w:tcW w:w="510" w:type="pct"/>
            <w:vAlign w:val="center"/>
          </w:tcPr>
          <w:p w14:paraId="396C8165">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7,566,857.54</w:t>
            </w:r>
          </w:p>
        </w:tc>
      </w:tr>
      <w:tr w14:paraId="6BB5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0AC7DA63">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三五二一际华滨江二期项目过渡</w:t>
            </w:r>
          </w:p>
        </w:tc>
        <w:tc>
          <w:tcPr>
            <w:tcW w:w="663" w:type="pct"/>
            <w:vAlign w:val="center"/>
          </w:tcPr>
          <w:p w14:paraId="63088EF5">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3,706,706.30</w:t>
            </w:r>
          </w:p>
        </w:tc>
        <w:tc>
          <w:tcPr>
            <w:tcW w:w="553" w:type="pct"/>
            <w:vAlign w:val="center"/>
          </w:tcPr>
          <w:p w14:paraId="207FE785">
            <w:pPr>
              <w:jc w:val="right"/>
              <w:rPr>
                <w:rFonts w:cs="Times New Roman"/>
                <w:color w:val="000000" w:themeColor="text1"/>
                <w14:textFill>
                  <w14:solidFill>
                    <w14:schemeClr w14:val="tx1"/>
                  </w14:solidFill>
                </w14:textFill>
              </w:rPr>
            </w:pPr>
          </w:p>
        </w:tc>
        <w:tc>
          <w:tcPr>
            <w:tcW w:w="613" w:type="pct"/>
            <w:vAlign w:val="center"/>
          </w:tcPr>
          <w:p w14:paraId="612018B8">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3,706,706.30</w:t>
            </w:r>
          </w:p>
        </w:tc>
        <w:tc>
          <w:tcPr>
            <w:tcW w:w="542" w:type="pct"/>
            <w:vAlign w:val="center"/>
          </w:tcPr>
          <w:p w14:paraId="2E5C8DAA">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2,479,595.16</w:t>
            </w:r>
          </w:p>
        </w:tc>
        <w:tc>
          <w:tcPr>
            <w:tcW w:w="541" w:type="pct"/>
            <w:vAlign w:val="center"/>
          </w:tcPr>
          <w:p w14:paraId="034E495A">
            <w:pPr>
              <w:jc w:val="right"/>
              <w:rPr>
                <w:rFonts w:cs="Times New Roman"/>
                <w:color w:val="000000" w:themeColor="text1"/>
                <w14:textFill>
                  <w14:solidFill>
                    <w14:schemeClr w14:val="tx1"/>
                  </w14:solidFill>
                </w14:textFill>
              </w:rPr>
            </w:pPr>
          </w:p>
        </w:tc>
        <w:tc>
          <w:tcPr>
            <w:tcW w:w="510" w:type="pct"/>
            <w:vAlign w:val="center"/>
          </w:tcPr>
          <w:p w14:paraId="2D8BE1C5">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2,479,595.16</w:t>
            </w:r>
          </w:p>
        </w:tc>
      </w:tr>
      <w:tr w14:paraId="33374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6F727FFF">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三五二一际华防护装具研发中心建筑项目</w:t>
            </w:r>
          </w:p>
        </w:tc>
        <w:tc>
          <w:tcPr>
            <w:tcW w:w="663" w:type="pct"/>
            <w:vAlign w:val="center"/>
          </w:tcPr>
          <w:p w14:paraId="3FDFCFF8">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7,442,245.48</w:t>
            </w:r>
          </w:p>
        </w:tc>
        <w:tc>
          <w:tcPr>
            <w:tcW w:w="553" w:type="pct"/>
            <w:vAlign w:val="center"/>
          </w:tcPr>
          <w:p w14:paraId="26BA0571">
            <w:pPr>
              <w:jc w:val="right"/>
              <w:rPr>
                <w:rFonts w:cs="Times New Roman"/>
                <w:color w:val="000000" w:themeColor="text1"/>
                <w14:textFill>
                  <w14:solidFill>
                    <w14:schemeClr w14:val="tx1"/>
                  </w14:solidFill>
                </w14:textFill>
              </w:rPr>
            </w:pPr>
          </w:p>
        </w:tc>
        <w:tc>
          <w:tcPr>
            <w:tcW w:w="613" w:type="pct"/>
            <w:vAlign w:val="center"/>
          </w:tcPr>
          <w:p w14:paraId="6B388616">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7,442,245.48</w:t>
            </w:r>
          </w:p>
        </w:tc>
        <w:tc>
          <w:tcPr>
            <w:tcW w:w="542" w:type="pct"/>
            <w:vAlign w:val="center"/>
          </w:tcPr>
          <w:p w14:paraId="324FAFCF">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1,651,623.05</w:t>
            </w:r>
          </w:p>
        </w:tc>
        <w:tc>
          <w:tcPr>
            <w:tcW w:w="541" w:type="pct"/>
            <w:vAlign w:val="center"/>
          </w:tcPr>
          <w:p w14:paraId="2D11C0AF">
            <w:pPr>
              <w:jc w:val="right"/>
              <w:rPr>
                <w:rFonts w:cs="Times New Roman"/>
                <w:color w:val="000000" w:themeColor="text1"/>
                <w14:textFill>
                  <w14:solidFill>
                    <w14:schemeClr w14:val="tx1"/>
                  </w14:solidFill>
                </w14:textFill>
              </w:rPr>
            </w:pPr>
          </w:p>
        </w:tc>
        <w:tc>
          <w:tcPr>
            <w:tcW w:w="510" w:type="pct"/>
            <w:vAlign w:val="center"/>
          </w:tcPr>
          <w:p w14:paraId="070AD42E">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1,651,623.05</w:t>
            </w:r>
          </w:p>
        </w:tc>
      </w:tr>
      <w:tr w14:paraId="7DD4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2AA1AC42">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际华三五一三实业有限公司-零购设备</w:t>
            </w:r>
          </w:p>
        </w:tc>
        <w:tc>
          <w:tcPr>
            <w:tcW w:w="663" w:type="pct"/>
            <w:vAlign w:val="center"/>
          </w:tcPr>
          <w:p w14:paraId="58946DB7">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8,445,625.85</w:t>
            </w:r>
          </w:p>
        </w:tc>
        <w:tc>
          <w:tcPr>
            <w:tcW w:w="553" w:type="pct"/>
            <w:vAlign w:val="center"/>
          </w:tcPr>
          <w:p w14:paraId="29B1656C">
            <w:pPr>
              <w:jc w:val="right"/>
              <w:rPr>
                <w:rFonts w:cs="Times New Roman"/>
                <w:color w:val="000000" w:themeColor="text1"/>
                <w14:textFill>
                  <w14:solidFill>
                    <w14:schemeClr w14:val="tx1"/>
                  </w14:solidFill>
                </w14:textFill>
              </w:rPr>
            </w:pPr>
          </w:p>
        </w:tc>
        <w:tc>
          <w:tcPr>
            <w:tcW w:w="613" w:type="pct"/>
            <w:vAlign w:val="center"/>
          </w:tcPr>
          <w:p w14:paraId="1183A158">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8,445,625.85</w:t>
            </w:r>
          </w:p>
        </w:tc>
        <w:tc>
          <w:tcPr>
            <w:tcW w:w="542" w:type="pct"/>
            <w:vAlign w:val="center"/>
          </w:tcPr>
          <w:p w14:paraId="31FE1F80">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3,843,733.92</w:t>
            </w:r>
          </w:p>
        </w:tc>
        <w:tc>
          <w:tcPr>
            <w:tcW w:w="541" w:type="pct"/>
            <w:vAlign w:val="center"/>
          </w:tcPr>
          <w:p w14:paraId="171EF684">
            <w:pPr>
              <w:jc w:val="right"/>
              <w:rPr>
                <w:rFonts w:cs="Times New Roman"/>
                <w:color w:val="000000" w:themeColor="text1"/>
                <w14:textFill>
                  <w14:solidFill>
                    <w14:schemeClr w14:val="tx1"/>
                  </w14:solidFill>
                </w14:textFill>
              </w:rPr>
            </w:pPr>
          </w:p>
        </w:tc>
        <w:tc>
          <w:tcPr>
            <w:tcW w:w="510" w:type="pct"/>
            <w:vAlign w:val="center"/>
          </w:tcPr>
          <w:p w14:paraId="74780736">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3,843,733.92</w:t>
            </w:r>
          </w:p>
        </w:tc>
      </w:tr>
      <w:tr w14:paraId="025F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08E65D70">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三五四三自动输送料项目</w:t>
            </w:r>
          </w:p>
        </w:tc>
        <w:tc>
          <w:tcPr>
            <w:tcW w:w="663" w:type="pct"/>
            <w:vAlign w:val="center"/>
          </w:tcPr>
          <w:p w14:paraId="551DAB57">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3,683,752.01</w:t>
            </w:r>
          </w:p>
        </w:tc>
        <w:tc>
          <w:tcPr>
            <w:tcW w:w="553" w:type="pct"/>
            <w:vAlign w:val="center"/>
          </w:tcPr>
          <w:p w14:paraId="05D97C20">
            <w:pPr>
              <w:jc w:val="right"/>
              <w:rPr>
                <w:rFonts w:cs="Times New Roman"/>
                <w:color w:val="000000" w:themeColor="text1"/>
                <w14:textFill>
                  <w14:solidFill>
                    <w14:schemeClr w14:val="tx1"/>
                  </w14:solidFill>
                </w14:textFill>
              </w:rPr>
            </w:pPr>
          </w:p>
        </w:tc>
        <w:tc>
          <w:tcPr>
            <w:tcW w:w="613" w:type="pct"/>
            <w:vAlign w:val="center"/>
          </w:tcPr>
          <w:p w14:paraId="3457F6F1">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3,683,752.01</w:t>
            </w:r>
          </w:p>
        </w:tc>
        <w:tc>
          <w:tcPr>
            <w:tcW w:w="542" w:type="pct"/>
            <w:vAlign w:val="center"/>
          </w:tcPr>
          <w:p w14:paraId="68A3D3F0">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3,577,557.32</w:t>
            </w:r>
          </w:p>
        </w:tc>
        <w:tc>
          <w:tcPr>
            <w:tcW w:w="541" w:type="pct"/>
            <w:vAlign w:val="center"/>
          </w:tcPr>
          <w:p w14:paraId="449176BC">
            <w:pPr>
              <w:jc w:val="right"/>
              <w:rPr>
                <w:rFonts w:cs="Times New Roman"/>
                <w:color w:val="000000" w:themeColor="text1"/>
                <w14:textFill>
                  <w14:solidFill>
                    <w14:schemeClr w14:val="tx1"/>
                  </w14:solidFill>
                </w14:textFill>
              </w:rPr>
            </w:pPr>
          </w:p>
        </w:tc>
        <w:tc>
          <w:tcPr>
            <w:tcW w:w="510" w:type="pct"/>
            <w:vAlign w:val="center"/>
          </w:tcPr>
          <w:p w14:paraId="384D420E">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3,577,557.32</w:t>
            </w:r>
          </w:p>
        </w:tc>
      </w:tr>
      <w:tr w14:paraId="2C49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2C91AA70">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际华三五一三实业有限公司产线改造升级</w:t>
            </w:r>
          </w:p>
        </w:tc>
        <w:tc>
          <w:tcPr>
            <w:tcW w:w="663" w:type="pct"/>
            <w:vAlign w:val="center"/>
          </w:tcPr>
          <w:p w14:paraId="47AC0790">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3,172,920.35</w:t>
            </w:r>
          </w:p>
        </w:tc>
        <w:tc>
          <w:tcPr>
            <w:tcW w:w="553" w:type="pct"/>
            <w:vAlign w:val="center"/>
          </w:tcPr>
          <w:p w14:paraId="16A1B4ED">
            <w:pPr>
              <w:jc w:val="right"/>
              <w:rPr>
                <w:rFonts w:cs="Times New Roman"/>
                <w:color w:val="000000" w:themeColor="text1"/>
                <w14:textFill>
                  <w14:solidFill>
                    <w14:schemeClr w14:val="tx1"/>
                  </w14:solidFill>
                </w14:textFill>
              </w:rPr>
            </w:pPr>
          </w:p>
        </w:tc>
        <w:tc>
          <w:tcPr>
            <w:tcW w:w="613" w:type="pct"/>
            <w:vAlign w:val="center"/>
          </w:tcPr>
          <w:p w14:paraId="2DC4CC0B">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3,172,920.35</w:t>
            </w:r>
          </w:p>
        </w:tc>
        <w:tc>
          <w:tcPr>
            <w:tcW w:w="542" w:type="pct"/>
            <w:vAlign w:val="center"/>
          </w:tcPr>
          <w:p w14:paraId="6F2FFDD9">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3,172,920.35</w:t>
            </w:r>
          </w:p>
        </w:tc>
        <w:tc>
          <w:tcPr>
            <w:tcW w:w="541" w:type="pct"/>
            <w:vAlign w:val="center"/>
          </w:tcPr>
          <w:p w14:paraId="3647FDF1">
            <w:pPr>
              <w:jc w:val="right"/>
              <w:rPr>
                <w:rFonts w:cs="Times New Roman"/>
                <w:color w:val="000000" w:themeColor="text1"/>
                <w14:textFill>
                  <w14:solidFill>
                    <w14:schemeClr w14:val="tx1"/>
                  </w14:solidFill>
                </w14:textFill>
              </w:rPr>
            </w:pPr>
          </w:p>
        </w:tc>
        <w:tc>
          <w:tcPr>
            <w:tcW w:w="510" w:type="pct"/>
            <w:vAlign w:val="center"/>
          </w:tcPr>
          <w:p w14:paraId="2A259544">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3,172,920.35</w:t>
            </w:r>
          </w:p>
        </w:tc>
      </w:tr>
      <w:tr w14:paraId="5FBC7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4C4868B6">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际华三五三四制衣有限公司空港物流园项目</w:t>
            </w:r>
          </w:p>
        </w:tc>
        <w:tc>
          <w:tcPr>
            <w:tcW w:w="663" w:type="pct"/>
            <w:vAlign w:val="center"/>
          </w:tcPr>
          <w:p w14:paraId="56304E0D">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3,028,433.97</w:t>
            </w:r>
          </w:p>
        </w:tc>
        <w:tc>
          <w:tcPr>
            <w:tcW w:w="553" w:type="pct"/>
            <w:vAlign w:val="center"/>
          </w:tcPr>
          <w:p w14:paraId="0F98F040">
            <w:pPr>
              <w:jc w:val="right"/>
              <w:rPr>
                <w:rFonts w:cs="Times New Roman"/>
                <w:color w:val="000000" w:themeColor="text1"/>
                <w14:textFill>
                  <w14:solidFill>
                    <w14:schemeClr w14:val="tx1"/>
                  </w14:solidFill>
                </w14:textFill>
              </w:rPr>
            </w:pPr>
          </w:p>
        </w:tc>
        <w:tc>
          <w:tcPr>
            <w:tcW w:w="613" w:type="pct"/>
            <w:vAlign w:val="center"/>
          </w:tcPr>
          <w:p w14:paraId="10112912">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3,028,433.97</w:t>
            </w:r>
          </w:p>
        </w:tc>
        <w:tc>
          <w:tcPr>
            <w:tcW w:w="542" w:type="pct"/>
            <w:vAlign w:val="center"/>
          </w:tcPr>
          <w:p w14:paraId="6111A7C9">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2,723,001.20</w:t>
            </w:r>
          </w:p>
        </w:tc>
        <w:tc>
          <w:tcPr>
            <w:tcW w:w="541" w:type="pct"/>
            <w:vAlign w:val="center"/>
          </w:tcPr>
          <w:p w14:paraId="3BED52A2">
            <w:pPr>
              <w:jc w:val="right"/>
              <w:rPr>
                <w:rFonts w:cs="Times New Roman"/>
                <w:color w:val="000000" w:themeColor="text1"/>
                <w14:textFill>
                  <w14:solidFill>
                    <w14:schemeClr w14:val="tx1"/>
                  </w14:solidFill>
                </w14:textFill>
              </w:rPr>
            </w:pPr>
          </w:p>
        </w:tc>
        <w:tc>
          <w:tcPr>
            <w:tcW w:w="510" w:type="pct"/>
            <w:vAlign w:val="center"/>
          </w:tcPr>
          <w:p w14:paraId="5DCF2CB2">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2,723,001.20</w:t>
            </w:r>
          </w:p>
        </w:tc>
      </w:tr>
      <w:tr w14:paraId="2856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7F0C5169">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际华三五三六实业有限公司功能性工装智能生产线改造项目</w:t>
            </w:r>
          </w:p>
        </w:tc>
        <w:tc>
          <w:tcPr>
            <w:tcW w:w="663" w:type="pct"/>
            <w:vAlign w:val="center"/>
          </w:tcPr>
          <w:p w14:paraId="53D28E98">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4,511,361.21</w:t>
            </w:r>
          </w:p>
        </w:tc>
        <w:tc>
          <w:tcPr>
            <w:tcW w:w="553" w:type="pct"/>
            <w:vAlign w:val="center"/>
          </w:tcPr>
          <w:p w14:paraId="45D396F4">
            <w:pPr>
              <w:jc w:val="right"/>
              <w:rPr>
                <w:rFonts w:cs="Times New Roman"/>
                <w:color w:val="000000" w:themeColor="text1"/>
                <w14:textFill>
                  <w14:solidFill>
                    <w14:schemeClr w14:val="tx1"/>
                  </w14:solidFill>
                </w14:textFill>
              </w:rPr>
            </w:pPr>
          </w:p>
        </w:tc>
        <w:tc>
          <w:tcPr>
            <w:tcW w:w="613" w:type="pct"/>
            <w:vAlign w:val="center"/>
          </w:tcPr>
          <w:p w14:paraId="1DB2338D">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4,511,361.21</w:t>
            </w:r>
          </w:p>
        </w:tc>
        <w:tc>
          <w:tcPr>
            <w:tcW w:w="542" w:type="pct"/>
            <w:vAlign w:val="center"/>
          </w:tcPr>
          <w:p w14:paraId="3757DF48">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2,682,142.05</w:t>
            </w:r>
          </w:p>
        </w:tc>
        <w:tc>
          <w:tcPr>
            <w:tcW w:w="541" w:type="pct"/>
            <w:vAlign w:val="center"/>
          </w:tcPr>
          <w:p w14:paraId="4750E265">
            <w:pPr>
              <w:jc w:val="right"/>
              <w:rPr>
                <w:rFonts w:cs="Times New Roman"/>
                <w:color w:val="000000" w:themeColor="text1"/>
                <w14:textFill>
                  <w14:solidFill>
                    <w14:schemeClr w14:val="tx1"/>
                  </w14:solidFill>
                </w14:textFill>
              </w:rPr>
            </w:pPr>
          </w:p>
        </w:tc>
        <w:tc>
          <w:tcPr>
            <w:tcW w:w="510" w:type="pct"/>
            <w:vAlign w:val="center"/>
          </w:tcPr>
          <w:p w14:paraId="65DB9C06">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2,682,142.05</w:t>
            </w:r>
          </w:p>
        </w:tc>
      </w:tr>
      <w:tr w14:paraId="20F9B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367B07A8">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三五四三电脑商标机</w:t>
            </w:r>
          </w:p>
        </w:tc>
        <w:tc>
          <w:tcPr>
            <w:tcW w:w="663" w:type="pct"/>
            <w:vAlign w:val="center"/>
          </w:tcPr>
          <w:p w14:paraId="223123F2">
            <w:pPr>
              <w:jc w:val="right"/>
              <w:rPr>
                <w:rFonts w:cs="Times New Roman"/>
                <w:color w:val="000000" w:themeColor="text1"/>
                <w14:textFill>
                  <w14:solidFill>
                    <w14:schemeClr w14:val="tx1"/>
                  </w14:solidFill>
                </w14:textFill>
              </w:rPr>
            </w:pPr>
          </w:p>
        </w:tc>
        <w:tc>
          <w:tcPr>
            <w:tcW w:w="553" w:type="pct"/>
            <w:vAlign w:val="center"/>
          </w:tcPr>
          <w:p w14:paraId="228F211C">
            <w:pPr>
              <w:jc w:val="right"/>
              <w:rPr>
                <w:rFonts w:cs="Times New Roman"/>
                <w:color w:val="000000" w:themeColor="text1"/>
                <w14:textFill>
                  <w14:solidFill>
                    <w14:schemeClr w14:val="tx1"/>
                  </w14:solidFill>
                </w14:textFill>
              </w:rPr>
            </w:pPr>
          </w:p>
        </w:tc>
        <w:tc>
          <w:tcPr>
            <w:tcW w:w="613" w:type="pct"/>
            <w:vAlign w:val="center"/>
          </w:tcPr>
          <w:p w14:paraId="50A2E33D">
            <w:pPr>
              <w:jc w:val="right"/>
              <w:rPr>
                <w:rFonts w:cs="Times New Roman"/>
                <w:color w:val="000000" w:themeColor="text1"/>
                <w14:textFill>
                  <w14:solidFill>
                    <w14:schemeClr w14:val="tx1"/>
                  </w14:solidFill>
                </w14:textFill>
              </w:rPr>
            </w:pPr>
          </w:p>
        </w:tc>
        <w:tc>
          <w:tcPr>
            <w:tcW w:w="542" w:type="pct"/>
            <w:vAlign w:val="center"/>
          </w:tcPr>
          <w:p w14:paraId="160CB760">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1,732,743.36</w:t>
            </w:r>
          </w:p>
        </w:tc>
        <w:tc>
          <w:tcPr>
            <w:tcW w:w="541" w:type="pct"/>
            <w:vAlign w:val="center"/>
          </w:tcPr>
          <w:p w14:paraId="10C30530">
            <w:pPr>
              <w:jc w:val="right"/>
              <w:rPr>
                <w:rFonts w:cs="Times New Roman"/>
                <w:color w:val="000000" w:themeColor="text1"/>
                <w14:textFill>
                  <w14:solidFill>
                    <w14:schemeClr w14:val="tx1"/>
                  </w14:solidFill>
                </w14:textFill>
              </w:rPr>
            </w:pPr>
          </w:p>
        </w:tc>
        <w:tc>
          <w:tcPr>
            <w:tcW w:w="510" w:type="pct"/>
            <w:vAlign w:val="center"/>
          </w:tcPr>
          <w:p w14:paraId="6CC91ADD">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1,732,743.36</w:t>
            </w:r>
          </w:p>
        </w:tc>
      </w:tr>
      <w:tr w14:paraId="6B899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42097673">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新疆华锦生态纺织印染项目</w:t>
            </w:r>
          </w:p>
        </w:tc>
        <w:tc>
          <w:tcPr>
            <w:tcW w:w="663" w:type="pct"/>
            <w:vAlign w:val="center"/>
          </w:tcPr>
          <w:p w14:paraId="3C4DD87B">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38,311,006.25</w:t>
            </w:r>
          </w:p>
        </w:tc>
        <w:tc>
          <w:tcPr>
            <w:tcW w:w="553" w:type="pct"/>
            <w:vAlign w:val="center"/>
          </w:tcPr>
          <w:p w14:paraId="28661A60">
            <w:pPr>
              <w:jc w:val="right"/>
              <w:rPr>
                <w:rFonts w:cs="Times New Roman"/>
                <w:color w:val="000000" w:themeColor="text1"/>
                <w14:textFill>
                  <w14:solidFill>
                    <w14:schemeClr w14:val="tx1"/>
                  </w14:solidFill>
                </w14:textFill>
              </w:rPr>
            </w:pPr>
          </w:p>
        </w:tc>
        <w:tc>
          <w:tcPr>
            <w:tcW w:w="613" w:type="pct"/>
            <w:vAlign w:val="center"/>
          </w:tcPr>
          <w:p w14:paraId="30E52F0A">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38,311,006.25</w:t>
            </w:r>
          </w:p>
        </w:tc>
        <w:tc>
          <w:tcPr>
            <w:tcW w:w="542" w:type="pct"/>
            <w:vAlign w:val="center"/>
          </w:tcPr>
          <w:p w14:paraId="2BA6AC2D">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1,037,622.23</w:t>
            </w:r>
          </w:p>
        </w:tc>
        <w:tc>
          <w:tcPr>
            <w:tcW w:w="541" w:type="pct"/>
            <w:vAlign w:val="center"/>
          </w:tcPr>
          <w:p w14:paraId="2D26B855">
            <w:pPr>
              <w:jc w:val="right"/>
              <w:rPr>
                <w:rFonts w:cs="Times New Roman"/>
                <w:color w:val="000000" w:themeColor="text1"/>
                <w14:textFill>
                  <w14:solidFill>
                    <w14:schemeClr w14:val="tx1"/>
                  </w14:solidFill>
                </w14:textFill>
              </w:rPr>
            </w:pPr>
          </w:p>
        </w:tc>
        <w:tc>
          <w:tcPr>
            <w:tcW w:w="510" w:type="pct"/>
            <w:vAlign w:val="center"/>
          </w:tcPr>
          <w:p w14:paraId="7236470E">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1,037,622.23</w:t>
            </w:r>
          </w:p>
        </w:tc>
      </w:tr>
      <w:tr w14:paraId="50891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7DD21A0F">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三五四二公司研发大楼及实验室</w:t>
            </w:r>
          </w:p>
        </w:tc>
        <w:tc>
          <w:tcPr>
            <w:tcW w:w="663" w:type="pct"/>
            <w:vAlign w:val="center"/>
          </w:tcPr>
          <w:p w14:paraId="2BB0D482">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41,954,299.30</w:t>
            </w:r>
          </w:p>
        </w:tc>
        <w:tc>
          <w:tcPr>
            <w:tcW w:w="553" w:type="pct"/>
            <w:vAlign w:val="center"/>
          </w:tcPr>
          <w:p w14:paraId="76EDBB61">
            <w:pPr>
              <w:jc w:val="right"/>
              <w:rPr>
                <w:rFonts w:cs="Times New Roman"/>
                <w:color w:val="000000" w:themeColor="text1"/>
                <w14:textFill>
                  <w14:solidFill>
                    <w14:schemeClr w14:val="tx1"/>
                  </w14:solidFill>
                </w14:textFill>
              </w:rPr>
            </w:pPr>
          </w:p>
        </w:tc>
        <w:tc>
          <w:tcPr>
            <w:tcW w:w="613" w:type="pct"/>
            <w:vAlign w:val="center"/>
          </w:tcPr>
          <w:p w14:paraId="4BE885F4">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41,954,299.30</w:t>
            </w:r>
          </w:p>
        </w:tc>
        <w:tc>
          <w:tcPr>
            <w:tcW w:w="542" w:type="pct"/>
            <w:vAlign w:val="center"/>
          </w:tcPr>
          <w:p w14:paraId="5B1C2D8E">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40,847,725.77</w:t>
            </w:r>
          </w:p>
        </w:tc>
        <w:tc>
          <w:tcPr>
            <w:tcW w:w="541" w:type="pct"/>
            <w:vAlign w:val="center"/>
          </w:tcPr>
          <w:p w14:paraId="4AD98148">
            <w:pPr>
              <w:jc w:val="right"/>
              <w:rPr>
                <w:rFonts w:cs="Times New Roman"/>
                <w:color w:val="000000" w:themeColor="text1"/>
                <w14:textFill>
                  <w14:solidFill>
                    <w14:schemeClr w14:val="tx1"/>
                  </w14:solidFill>
                </w14:textFill>
              </w:rPr>
            </w:pPr>
          </w:p>
        </w:tc>
        <w:tc>
          <w:tcPr>
            <w:tcW w:w="510" w:type="pct"/>
            <w:vAlign w:val="center"/>
          </w:tcPr>
          <w:p w14:paraId="496CA445">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40,847,725.77</w:t>
            </w:r>
          </w:p>
        </w:tc>
      </w:tr>
      <w:tr w14:paraId="63949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1513FF66">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三五四二公司年产2500吨特种尼龙 66长丝中试线建设项目</w:t>
            </w:r>
          </w:p>
        </w:tc>
        <w:tc>
          <w:tcPr>
            <w:tcW w:w="663" w:type="pct"/>
            <w:vAlign w:val="center"/>
          </w:tcPr>
          <w:p w14:paraId="0274CC08">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29,677,771.29</w:t>
            </w:r>
          </w:p>
        </w:tc>
        <w:tc>
          <w:tcPr>
            <w:tcW w:w="553" w:type="pct"/>
            <w:vAlign w:val="center"/>
          </w:tcPr>
          <w:p w14:paraId="7A7933D7">
            <w:pPr>
              <w:jc w:val="right"/>
              <w:rPr>
                <w:rFonts w:cs="Times New Roman"/>
                <w:color w:val="000000" w:themeColor="text1"/>
                <w14:textFill>
                  <w14:solidFill>
                    <w14:schemeClr w14:val="tx1"/>
                  </w14:solidFill>
                </w14:textFill>
              </w:rPr>
            </w:pPr>
          </w:p>
        </w:tc>
        <w:tc>
          <w:tcPr>
            <w:tcW w:w="613" w:type="pct"/>
            <w:vAlign w:val="center"/>
          </w:tcPr>
          <w:p w14:paraId="5A8036D2">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29,677,771.29</w:t>
            </w:r>
          </w:p>
        </w:tc>
        <w:tc>
          <w:tcPr>
            <w:tcW w:w="542" w:type="pct"/>
            <w:vAlign w:val="center"/>
          </w:tcPr>
          <w:p w14:paraId="45FFA141">
            <w:pPr>
              <w:jc w:val="right"/>
              <w:rPr>
                <w:rFonts w:cs="Times New Roman"/>
                <w:color w:val="000000" w:themeColor="text1"/>
                <w14:textFill>
                  <w14:solidFill>
                    <w14:schemeClr w14:val="tx1"/>
                  </w14:solidFill>
                </w14:textFill>
              </w:rPr>
            </w:pPr>
          </w:p>
        </w:tc>
        <w:tc>
          <w:tcPr>
            <w:tcW w:w="541" w:type="pct"/>
            <w:vAlign w:val="center"/>
          </w:tcPr>
          <w:p w14:paraId="4CED8DC0">
            <w:pPr>
              <w:jc w:val="right"/>
              <w:rPr>
                <w:rFonts w:cs="Times New Roman"/>
                <w:color w:val="000000" w:themeColor="text1"/>
                <w14:textFill>
                  <w14:solidFill>
                    <w14:schemeClr w14:val="tx1"/>
                  </w14:solidFill>
                </w14:textFill>
              </w:rPr>
            </w:pPr>
          </w:p>
        </w:tc>
        <w:tc>
          <w:tcPr>
            <w:tcW w:w="510" w:type="pct"/>
            <w:vAlign w:val="center"/>
          </w:tcPr>
          <w:p w14:paraId="2F0BEB1A">
            <w:pPr>
              <w:jc w:val="right"/>
              <w:rPr>
                <w:rFonts w:cs="Times New Roman"/>
                <w:color w:val="000000" w:themeColor="text1"/>
                <w14:textFill>
                  <w14:solidFill>
                    <w14:schemeClr w14:val="tx1"/>
                  </w14:solidFill>
                </w14:textFill>
              </w:rPr>
            </w:pPr>
          </w:p>
        </w:tc>
      </w:tr>
      <w:tr w14:paraId="0983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398B78A7">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三五零二公司智能分拣流水线项目</w:t>
            </w:r>
          </w:p>
        </w:tc>
        <w:tc>
          <w:tcPr>
            <w:tcW w:w="663" w:type="pct"/>
            <w:vAlign w:val="center"/>
          </w:tcPr>
          <w:p w14:paraId="6D42CEA6">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7,547,833.09</w:t>
            </w:r>
          </w:p>
        </w:tc>
        <w:tc>
          <w:tcPr>
            <w:tcW w:w="553" w:type="pct"/>
            <w:vAlign w:val="center"/>
          </w:tcPr>
          <w:p w14:paraId="607CE575">
            <w:pPr>
              <w:jc w:val="right"/>
              <w:rPr>
                <w:rFonts w:cs="Times New Roman"/>
                <w:color w:val="000000" w:themeColor="text1"/>
                <w14:textFill>
                  <w14:solidFill>
                    <w14:schemeClr w14:val="tx1"/>
                  </w14:solidFill>
                </w14:textFill>
              </w:rPr>
            </w:pPr>
          </w:p>
        </w:tc>
        <w:tc>
          <w:tcPr>
            <w:tcW w:w="613" w:type="pct"/>
            <w:vAlign w:val="center"/>
          </w:tcPr>
          <w:p w14:paraId="2365742F">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7,547,833.09</w:t>
            </w:r>
          </w:p>
        </w:tc>
        <w:tc>
          <w:tcPr>
            <w:tcW w:w="542" w:type="pct"/>
            <w:vAlign w:val="center"/>
          </w:tcPr>
          <w:p w14:paraId="34B37EEE">
            <w:pPr>
              <w:jc w:val="right"/>
              <w:rPr>
                <w:rFonts w:cs="Times New Roman"/>
                <w:color w:val="000000" w:themeColor="text1"/>
                <w14:textFill>
                  <w14:solidFill>
                    <w14:schemeClr w14:val="tx1"/>
                  </w14:solidFill>
                </w14:textFill>
              </w:rPr>
            </w:pPr>
          </w:p>
        </w:tc>
        <w:tc>
          <w:tcPr>
            <w:tcW w:w="541" w:type="pct"/>
            <w:vAlign w:val="center"/>
          </w:tcPr>
          <w:p w14:paraId="65B3E09E">
            <w:pPr>
              <w:jc w:val="right"/>
              <w:rPr>
                <w:rFonts w:cs="Times New Roman"/>
                <w:color w:val="000000" w:themeColor="text1"/>
                <w14:textFill>
                  <w14:solidFill>
                    <w14:schemeClr w14:val="tx1"/>
                  </w14:solidFill>
                </w14:textFill>
              </w:rPr>
            </w:pPr>
          </w:p>
        </w:tc>
        <w:tc>
          <w:tcPr>
            <w:tcW w:w="510" w:type="pct"/>
            <w:vAlign w:val="center"/>
          </w:tcPr>
          <w:p w14:paraId="4CE53C50">
            <w:pPr>
              <w:jc w:val="right"/>
              <w:rPr>
                <w:rFonts w:cs="Times New Roman"/>
                <w:color w:val="000000" w:themeColor="text1"/>
                <w14:textFill>
                  <w14:solidFill>
                    <w14:schemeClr w14:val="tx1"/>
                  </w14:solidFill>
                </w14:textFill>
              </w:rPr>
            </w:pPr>
          </w:p>
        </w:tc>
      </w:tr>
      <w:tr w14:paraId="424DC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6BB88E30">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三五零二际华华北特种防护装备生产研发基地</w:t>
            </w:r>
          </w:p>
        </w:tc>
        <w:tc>
          <w:tcPr>
            <w:tcW w:w="663" w:type="pct"/>
            <w:vAlign w:val="center"/>
          </w:tcPr>
          <w:p w14:paraId="6B17C26D">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4,226,589.22</w:t>
            </w:r>
          </w:p>
        </w:tc>
        <w:tc>
          <w:tcPr>
            <w:tcW w:w="553" w:type="pct"/>
            <w:vAlign w:val="center"/>
          </w:tcPr>
          <w:p w14:paraId="1EB01310">
            <w:pPr>
              <w:jc w:val="right"/>
              <w:rPr>
                <w:rFonts w:cs="Times New Roman"/>
                <w:color w:val="000000" w:themeColor="text1"/>
                <w14:textFill>
                  <w14:solidFill>
                    <w14:schemeClr w14:val="tx1"/>
                  </w14:solidFill>
                </w14:textFill>
              </w:rPr>
            </w:pPr>
          </w:p>
        </w:tc>
        <w:tc>
          <w:tcPr>
            <w:tcW w:w="613" w:type="pct"/>
            <w:vAlign w:val="center"/>
          </w:tcPr>
          <w:p w14:paraId="63EDE9A4">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4,226,589.22</w:t>
            </w:r>
          </w:p>
        </w:tc>
        <w:tc>
          <w:tcPr>
            <w:tcW w:w="542" w:type="pct"/>
            <w:vAlign w:val="center"/>
          </w:tcPr>
          <w:p w14:paraId="7E860E73">
            <w:pPr>
              <w:jc w:val="right"/>
              <w:rPr>
                <w:rFonts w:cs="Times New Roman"/>
                <w:color w:val="000000" w:themeColor="text1"/>
                <w14:textFill>
                  <w14:solidFill>
                    <w14:schemeClr w14:val="tx1"/>
                  </w14:solidFill>
                </w14:textFill>
              </w:rPr>
            </w:pPr>
          </w:p>
        </w:tc>
        <w:tc>
          <w:tcPr>
            <w:tcW w:w="541" w:type="pct"/>
            <w:vAlign w:val="center"/>
          </w:tcPr>
          <w:p w14:paraId="24972996">
            <w:pPr>
              <w:jc w:val="right"/>
              <w:rPr>
                <w:rFonts w:cs="Times New Roman"/>
                <w:color w:val="000000" w:themeColor="text1"/>
                <w14:textFill>
                  <w14:solidFill>
                    <w14:schemeClr w14:val="tx1"/>
                  </w14:solidFill>
                </w14:textFill>
              </w:rPr>
            </w:pPr>
          </w:p>
        </w:tc>
        <w:tc>
          <w:tcPr>
            <w:tcW w:w="510" w:type="pct"/>
            <w:vAlign w:val="center"/>
          </w:tcPr>
          <w:p w14:paraId="521063CC">
            <w:pPr>
              <w:jc w:val="right"/>
              <w:rPr>
                <w:rFonts w:cs="Times New Roman"/>
                <w:color w:val="000000" w:themeColor="text1"/>
                <w14:textFill>
                  <w14:solidFill>
                    <w14:schemeClr w14:val="tx1"/>
                  </w14:solidFill>
                </w14:textFill>
              </w:rPr>
            </w:pPr>
          </w:p>
        </w:tc>
      </w:tr>
      <w:tr w14:paraId="4C83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0D582F85">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2.83万锭智能纺纱生产线改造项目</w:t>
            </w:r>
          </w:p>
        </w:tc>
        <w:tc>
          <w:tcPr>
            <w:tcW w:w="663" w:type="pct"/>
            <w:vAlign w:val="center"/>
          </w:tcPr>
          <w:p w14:paraId="5086BE60">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23,946,902.66</w:t>
            </w:r>
          </w:p>
        </w:tc>
        <w:tc>
          <w:tcPr>
            <w:tcW w:w="553" w:type="pct"/>
            <w:vAlign w:val="center"/>
          </w:tcPr>
          <w:p w14:paraId="13256485">
            <w:pPr>
              <w:jc w:val="right"/>
              <w:rPr>
                <w:rFonts w:cs="Times New Roman"/>
                <w:color w:val="000000" w:themeColor="text1"/>
                <w14:textFill>
                  <w14:solidFill>
                    <w14:schemeClr w14:val="tx1"/>
                  </w14:solidFill>
                </w14:textFill>
              </w:rPr>
            </w:pPr>
          </w:p>
        </w:tc>
        <w:tc>
          <w:tcPr>
            <w:tcW w:w="613" w:type="pct"/>
            <w:vAlign w:val="center"/>
          </w:tcPr>
          <w:p w14:paraId="49C24D02">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23,946,902.66</w:t>
            </w:r>
          </w:p>
        </w:tc>
        <w:tc>
          <w:tcPr>
            <w:tcW w:w="542" w:type="pct"/>
            <w:vAlign w:val="center"/>
          </w:tcPr>
          <w:p w14:paraId="60B3220B">
            <w:pPr>
              <w:jc w:val="right"/>
              <w:rPr>
                <w:rFonts w:cs="Times New Roman"/>
                <w:color w:val="000000" w:themeColor="text1"/>
                <w14:textFill>
                  <w14:solidFill>
                    <w14:schemeClr w14:val="tx1"/>
                  </w14:solidFill>
                </w14:textFill>
              </w:rPr>
            </w:pPr>
          </w:p>
        </w:tc>
        <w:tc>
          <w:tcPr>
            <w:tcW w:w="541" w:type="pct"/>
            <w:vAlign w:val="center"/>
          </w:tcPr>
          <w:p w14:paraId="6460D02B">
            <w:pPr>
              <w:jc w:val="right"/>
              <w:rPr>
                <w:rFonts w:cs="Times New Roman"/>
                <w:color w:val="000000" w:themeColor="text1"/>
                <w14:textFill>
                  <w14:solidFill>
                    <w14:schemeClr w14:val="tx1"/>
                  </w14:solidFill>
                </w14:textFill>
              </w:rPr>
            </w:pPr>
          </w:p>
        </w:tc>
        <w:tc>
          <w:tcPr>
            <w:tcW w:w="510" w:type="pct"/>
            <w:vAlign w:val="center"/>
          </w:tcPr>
          <w:p w14:paraId="02D7EE21">
            <w:pPr>
              <w:jc w:val="right"/>
              <w:rPr>
                <w:rFonts w:cs="Times New Roman"/>
                <w:color w:val="000000" w:themeColor="text1"/>
                <w14:textFill>
                  <w14:solidFill>
                    <w14:schemeClr w14:val="tx1"/>
                  </w14:solidFill>
                </w14:textFill>
              </w:rPr>
            </w:pPr>
          </w:p>
        </w:tc>
      </w:tr>
      <w:tr w14:paraId="25B5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60E8680C">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汉川梭织基地数智化织机改造项目</w:t>
            </w:r>
          </w:p>
        </w:tc>
        <w:tc>
          <w:tcPr>
            <w:tcW w:w="663" w:type="pct"/>
            <w:vAlign w:val="center"/>
          </w:tcPr>
          <w:p w14:paraId="5A460E20">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24,979,028.11</w:t>
            </w:r>
          </w:p>
        </w:tc>
        <w:tc>
          <w:tcPr>
            <w:tcW w:w="553" w:type="pct"/>
            <w:vAlign w:val="center"/>
          </w:tcPr>
          <w:p w14:paraId="75B0D221">
            <w:pPr>
              <w:jc w:val="right"/>
              <w:rPr>
                <w:rFonts w:cs="Times New Roman"/>
                <w:color w:val="000000" w:themeColor="text1"/>
                <w14:textFill>
                  <w14:solidFill>
                    <w14:schemeClr w14:val="tx1"/>
                  </w14:solidFill>
                </w14:textFill>
              </w:rPr>
            </w:pPr>
          </w:p>
        </w:tc>
        <w:tc>
          <w:tcPr>
            <w:tcW w:w="613" w:type="pct"/>
            <w:vAlign w:val="center"/>
          </w:tcPr>
          <w:p w14:paraId="4C305A66">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24,979,028.11</w:t>
            </w:r>
          </w:p>
        </w:tc>
        <w:tc>
          <w:tcPr>
            <w:tcW w:w="542" w:type="pct"/>
            <w:vAlign w:val="center"/>
          </w:tcPr>
          <w:p w14:paraId="1C6EFAB3">
            <w:pPr>
              <w:jc w:val="right"/>
              <w:rPr>
                <w:rFonts w:cs="Times New Roman"/>
                <w:color w:val="000000" w:themeColor="text1"/>
                <w14:textFill>
                  <w14:solidFill>
                    <w14:schemeClr w14:val="tx1"/>
                  </w14:solidFill>
                </w14:textFill>
              </w:rPr>
            </w:pPr>
          </w:p>
        </w:tc>
        <w:tc>
          <w:tcPr>
            <w:tcW w:w="541" w:type="pct"/>
            <w:vAlign w:val="center"/>
          </w:tcPr>
          <w:p w14:paraId="6D117FCF">
            <w:pPr>
              <w:jc w:val="right"/>
              <w:rPr>
                <w:rFonts w:cs="Times New Roman"/>
                <w:color w:val="000000" w:themeColor="text1"/>
                <w14:textFill>
                  <w14:solidFill>
                    <w14:schemeClr w14:val="tx1"/>
                  </w14:solidFill>
                </w14:textFill>
              </w:rPr>
            </w:pPr>
          </w:p>
        </w:tc>
        <w:tc>
          <w:tcPr>
            <w:tcW w:w="510" w:type="pct"/>
            <w:vAlign w:val="center"/>
          </w:tcPr>
          <w:p w14:paraId="656D52D7">
            <w:pPr>
              <w:jc w:val="right"/>
              <w:rPr>
                <w:rFonts w:cs="Times New Roman"/>
                <w:color w:val="000000" w:themeColor="text1"/>
                <w14:textFill>
                  <w14:solidFill>
                    <w14:schemeClr w14:val="tx1"/>
                  </w14:solidFill>
                </w14:textFill>
              </w:rPr>
            </w:pPr>
          </w:p>
        </w:tc>
      </w:tr>
      <w:tr w14:paraId="4BEBD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4E8560D3">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橡胶工业公租房项目</w:t>
            </w:r>
          </w:p>
        </w:tc>
        <w:tc>
          <w:tcPr>
            <w:tcW w:w="663" w:type="pct"/>
            <w:vAlign w:val="center"/>
          </w:tcPr>
          <w:p w14:paraId="6A53E6ED">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8,242,971.51</w:t>
            </w:r>
          </w:p>
        </w:tc>
        <w:tc>
          <w:tcPr>
            <w:tcW w:w="553" w:type="pct"/>
            <w:vAlign w:val="center"/>
          </w:tcPr>
          <w:p w14:paraId="5F9F400E">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8,242,971.51</w:t>
            </w:r>
          </w:p>
        </w:tc>
        <w:tc>
          <w:tcPr>
            <w:tcW w:w="613" w:type="pct"/>
            <w:vAlign w:val="center"/>
          </w:tcPr>
          <w:p w14:paraId="7BD83456">
            <w:pPr>
              <w:jc w:val="right"/>
              <w:rPr>
                <w:rFonts w:cs="Times New Roman"/>
                <w:color w:val="000000" w:themeColor="text1"/>
                <w14:textFill>
                  <w14:solidFill>
                    <w14:schemeClr w14:val="tx1"/>
                  </w14:solidFill>
                </w14:textFill>
              </w:rPr>
            </w:pPr>
          </w:p>
        </w:tc>
        <w:tc>
          <w:tcPr>
            <w:tcW w:w="542" w:type="pct"/>
            <w:vAlign w:val="center"/>
          </w:tcPr>
          <w:p w14:paraId="2617DC72">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8,242,971.51</w:t>
            </w:r>
          </w:p>
        </w:tc>
        <w:tc>
          <w:tcPr>
            <w:tcW w:w="541" w:type="pct"/>
            <w:vAlign w:val="center"/>
          </w:tcPr>
          <w:p w14:paraId="4D4CE9A2">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8,242,971.51</w:t>
            </w:r>
          </w:p>
        </w:tc>
        <w:tc>
          <w:tcPr>
            <w:tcW w:w="510" w:type="pct"/>
            <w:vAlign w:val="center"/>
          </w:tcPr>
          <w:p w14:paraId="0BDA6679">
            <w:pPr>
              <w:jc w:val="right"/>
              <w:rPr>
                <w:rFonts w:cs="Times New Roman"/>
                <w:color w:val="000000" w:themeColor="text1"/>
                <w14:textFill>
                  <w14:solidFill>
                    <w14:schemeClr w14:val="tx1"/>
                  </w14:solidFill>
                </w14:textFill>
              </w:rPr>
            </w:pPr>
          </w:p>
        </w:tc>
      </w:tr>
      <w:tr w14:paraId="1A3D0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0D08D239">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三五一五公司PUTPU30工位圆盘注射机</w:t>
            </w:r>
          </w:p>
        </w:tc>
        <w:tc>
          <w:tcPr>
            <w:tcW w:w="663" w:type="pct"/>
            <w:vAlign w:val="center"/>
          </w:tcPr>
          <w:p w14:paraId="199F0EC3">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6,185,840.70</w:t>
            </w:r>
          </w:p>
        </w:tc>
        <w:tc>
          <w:tcPr>
            <w:tcW w:w="553" w:type="pct"/>
            <w:vAlign w:val="center"/>
          </w:tcPr>
          <w:p w14:paraId="3789762D">
            <w:pPr>
              <w:jc w:val="right"/>
              <w:rPr>
                <w:rFonts w:cs="Times New Roman"/>
                <w:color w:val="000000" w:themeColor="text1"/>
                <w14:textFill>
                  <w14:solidFill>
                    <w14:schemeClr w14:val="tx1"/>
                  </w14:solidFill>
                </w14:textFill>
              </w:rPr>
            </w:pPr>
          </w:p>
        </w:tc>
        <w:tc>
          <w:tcPr>
            <w:tcW w:w="613" w:type="pct"/>
            <w:vAlign w:val="center"/>
          </w:tcPr>
          <w:p w14:paraId="23840F06">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6,185,840.70</w:t>
            </w:r>
          </w:p>
        </w:tc>
        <w:tc>
          <w:tcPr>
            <w:tcW w:w="542" w:type="pct"/>
            <w:vAlign w:val="center"/>
          </w:tcPr>
          <w:p w14:paraId="3A0EBB1F">
            <w:pPr>
              <w:jc w:val="right"/>
              <w:rPr>
                <w:rFonts w:cs="Times New Roman"/>
                <w:color w:val="000000" w:themeColor="text1"/>
                <w14:textFill>
                  <w14:solidFill>
                    <w14:schemeClr w14:val="tx1"/>
                  </w14:solidFill>
                </w14:textFill>
              </w:rPr>
            </w:pPr>
          </w:p>
        </w:tc>
        <w:tc>
          <w:tcPr>
            <w:tcW w:w="541" w:type="pct"/>
            <w:vAlign w:val="center"/>
          </w:tcPr>
          <w:p w14:paraId="18E4AB46">
            <w:pPr>
              <w:jc w:val="right"/>
              <w:rPr>
                <w:rFonts w:cs="Times New Roman"/>
                <w:color w:val="000000" w:themeColor="text1"/>
                <w14:textFill>
                  <w14:solidFill>
                    <w14:schemeClr w14:val="tx1"/>
                  </w14:solidFill>
                </w14:textFill>
              </w:rPr>
            </w:pPr>
          </w:p>
        </w:tc>
        <w:tc>
          <w:tcPr>
            <w:tcW w:w="510" w:type="pct"/>
            <w:vAlign w:val="center"/>
          </w:tcPr>
          <w:p w14:paraId="55F123BF">
            <w:pPr>
              <w:jc w:val="right"/>
              <w:rPr>
                <w:rFonts w:cs="Times New Roman"/>
                <w:color w:val="000000" w:themeColor="text1"/>
                <w14:textFill>
                  <w14:solidFill>
                    <w14:schemeClr w14:val="tx1"/>
                  </w14:solidFill>
                </w14:textFill>
              </w:rPr>
            </w:pPr>
          </w:p>
        </w:tc>
      </w:tr>
      <w:tr w14:paraId="75783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1A75523D">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三五一五专家楼建设项目</w:t>
            </w:r>
          </w:p>
        </w:tc>
        <w:tc>
          <w:tcPr>
            <w:tcW w:w="663" w:type="pct"/>
            <w:vAlign w:val="center"/>
          </w:tcPr>
          <w:p w14:paraId="44B24EA0">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1,061,987.03</w:t>
            </w:r>
          </w:p>
        </w:tc>
        <w:tc>
          <w:tcPr>
            <w:tcW w:w="553" w:type="pct"/>
            <w:vAlign w:val="center"/>
          </w:tcPr>
          <w:p w14:paraId="4705DC30">
            <w:pPr>
              <w:jc w:val="right"/>
              <w:rPr>
                <w:rFonts w:cs="Times New Roman"/>
                <w:color w:val="000000" w:themeColor="text1"/>
                <w14:textFill>
                  <w14:solidFill>
                    <w14:schemeClr w14:val="tx1"/>
                  </w14:solidFill>
                </w14:textFill>
              </w:rPr>
            </w:pPr>
          </w:p>
        </w:tc>
        <w:tc>
          <w:tcPr>
            <w:tcW w:w="613" w:type="pct"/>
            <w:vAlign w:val="center"/>
          </w:tcPr>
          <w:p w14:paraId="5B721CEB">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1,061,987.03</w:t>
            </w:r>
          </w:p>
        </w:tc>
        <w:tc>
          <w:tcPr>
            <w:tcW w:w="542" w:type="pct"/>
            <w:vAlign w:val="center"/>
          </w:tcPr>
          <w:p w14:paraId="4276A737">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49,867.92</w:t>
            </w:r>
          </w:p>
        </w:tc>
        <w:tc>
          <w:tcPr>
            <w:tcW w:w="541" w:type="pct"/>
            <w:vAlign w:val="center"/>
          </w:tcPr>
          <w:p w14:paraId="04CF30D4">
            <w:pPr>
              <w:jc w:val="right"/>
              <w:rPr>
                <w:rFonts w:cs="Times New Roman"/>
                <w:color w:val="000000" w:themeColor="text1"/>
                <w14:textFill>
                  <w14:solidFill>
                    <w14:schemeClr w14:val="tx1"/>
                  </w14:solidFill>
                </w14:textFill>
              </w:rPr>
            </w:pPr>
          </w:p>
        </w:tc>
        <w:tc>
          <w:tcPr>
            <w:tcW w:w="510" w:type="pct"/>
            <w:vAlign w:val="center"/>
          </w:tcPr>
          <w:p w14:paraId="185ACF90">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49,867.92</w:t>
            </w:r>
          </w:p>
        </w:tc>
      </w:tr>
      <w:tr w14:paraId="68CF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576" w:type="pct"/>
            <w:vAlign w:val="center"/>
          </w:tcPr>
          <w:p w14:paraId="4F73E9CE">
            <w:pP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其他</w:t>
            </w:r>
          </w:p>
        </w:tc>
        <w:tc>
          <w:tcPr>
            <w:tcW w:w="663" w:type="pct"/>
            <w:vAlign w:val="center"/>
          </w:tcPr>
          <w:p w14:paraId="27CDD94E">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11,518,576.94</w:t>
            </w:r>
          </w:p>
        </w:tc>
        <w:tc>
          <w:tcPr>
            <w:tcW w:w="553" w:type="pct"/>
            <w:vAlign w:val="center"/>
          </w:tcPr>
          <w:p w14:paraId="308F5151">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2,371,702.68</w:t>
            </w:r>
          </w:p>
        </w:tc>
        <w:tc>
          <w:tcPr>
            <w:tcW w:w="613" w:type="pct"/>
            <w:vAlign w:val="center"/>
          </w:tcPr>
          <w:p w14:paraId="39BCAD72">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9,146,874.26</w:t>
            </w:r>
          </w:p>
        </w:tc>
        <w:tc>
          <w:tcPr>
            <w:tcW w:w="542" w:type="pct"/>
            <w:vAlign w:val="center"/>
          </w:tcPr>
          <w:p w14:paraId="31015C3D">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9,271,183.83</w:t>
            </w:r>
          </w:p>
        </w:tc>
        <w:tc>
          <w:tcPr>
            <w:tcW w:w="541" w:type="pct"/>
            <w:vAlign w:val="center"/>
          </w:tcPr>
          <w:p w14:paraId="6769E25D">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2,371,702.68</w:t>
            </w:r>
          </w:p>
        </w:tc>
        <w:tc>
          <w:tcPr>
            <w:tcW w:w="510" w:type="pct"/>
            <w:vAlign w:val="center"/>
          </w:tcPr>
          <w:p w14:paraId="4469C837">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6,899,481.15</w:t>
            </w:r>
          </w:p>
        </w:tc>
      </w:tr>
      <w:tr w14:paraId="3E33D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fb8a9351bc5144ab907a84376899a536"/>
            <w:id w:val="-993416673"/>
          </w:sdtPr>
          <w:sdtContent>
            <w:tc>
              <w:tcPr>
                <w:tcW w:w="1576" w:type="pct"/>
                <w:vAlign w:val="center"/>
              </w:tcPr>
              <w:p w14:paraId="25D860B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sdtContent>
        </w:sdt>
        <w:tc>
          <w:tcPr>
            <w:tcW w:w="663" w:type="pct"/>
            <w:vAlign w:val="center"/>
          </w:tcPr>
          <w:p w14:paraId="0C2007AB">
            <w:pPr>
              <w:jc w:val="right"/>
              <w:textAlignment w:val="center"/>
              <w:rPr>
                <w:rFonts w:cs="Times New Roman"/>
              </w:rPr>
            </w:pPr>
            <w:r>
              <w:rPr>
                <w:rFonts w:eastAsia="Arial Narrow" w:cs="Times New Roman"/>
                <w:color w:val="000000"/>
                <w:lang w:bidi="ar"/>
              </w:rPr>
              <w:t>1,116,464,217.73</w:t>
            </w:r>
          </w:p>
        </w:tc>
        <w:tc>
          <w:tcPr>
            <w:tcW w:w="553" w:type="pct"/>
            <w:vAlign w:val="center"/>
          </w:tcPr>
          <w:p w14:paraId="28C3F80F">
            <w:pPr>
              <w:jc w:val="right"/>
              <w:textAlignment w:val="center"/>
              <w:rPr>
                <w:rFonts w:cs="Times New Roman"/>
              </w:rPr>
            </w:pPr>
            <w:r>
              <w:rPr>
                <w:rFonts w:eastAsia="Arial Narrow" w:cs="Times New Roman"/>
                <w:color w:val="000000"/>
                <w:lang w:bidi="ar"/>
              </w:rPr>
              <w:t>716,828,932.80</w:t>
            </w:r>
          </w:p>
        </w:tc>
        <w:tc>
          <w:tcPr>
            <w:tcW w:w="613" w:type="pct"/>
            <w:vAlign w:val="center"/>
          </w:tcPr>
          <w:p w14:paraId="3615F748">
            <w:pPr>
              <w:jc w:val="right"/>
              <w:textAlignment w:val="center"/>
              <w:rPr>
                <w:rFonts w:cs="Times New Roman"/>
              </w:rPr>
            </w:pPr>
            <w:r>
              <w:rPr>
                <w:rFonts w:eastAsia="Arial Narrow" w:cs="Times New Roman"/>
                <w:color w:val="000000"/>
                <w:lang w:bidi="ar"/>
              </w:rPr>
              <w:t>399,635,284.93</w:t>
            </w:r>
          </w:p>
        </w:tc>
        <w:tc>
          <w:tcPr>
            <w:tcW w:w="542" w:type="pct"/>
            <w:vAlign w:val="center"/>
          </w:tcPr>
          <w:p w14:paraId="53B55E7F">
            <w:pPr>
              <w:jc w:val="right"/>
              <w:textAlignment w:val="center"/>
              <w:rPr>
                <w:rFonts w:cs="Times New Roman"/>
              </w:rPr>
            </w:pPr>
            <w:r>
              <w:rPr>
                <w:rFonts w:eastAsia="Arial Narrow" w:cs="Times New Roman"/>
                <w:color w:val="000000"/>
                <w:lang w:bidi="ar"/>
              </w:rPr>
              <w:t>992,430,459.38</w:t>
            </w:r>
          </w:p>
        </w:tc>
        <w:tc>
          <w:tcPr>
            <w:tcW w:w="541" w:type="pct"/>
            <w:vAlign w:val="center"/>
          </w:tcPr>
          <w:p w14:paraId="390F9E6D">
            <w:pPr>
              <w:jc w:val="right"/>
              <w:textAlignment w:val="center"/>
              <w:rPr>
                <w:rFonts w:cs="Times New Roman"/>
              </w:rPr>
            </w:pPr>
            <w:r>
              <w:rPr>
                <w:rFonts w:eastAsia="Arial Narrow" w:cs="Times New Roman"/>
                <w:color w:val="000000"/>
                <w:lang w:bidi="ar"/>
              </w:rPr>
              <w:t>716,828,932.80</w:t>
            </w:r>
          </w:p>
        </w:tc>
        <w:tc>
          <w:tcPr>
            <w:tcW w:w="510" w:type="pct"/>
            <w:vAlign w:val="center"/>
          </w:tcPr>
          <w:p w14:paraId="20E941E2">
            <w:pPr>
              <w:jc w:val="right"/>
              <w:textAlignment w:val="center"/>
              <w:rPr>
                <w:rFonts w:cs="Times New Roman"/>
              </w:rPr>
            </w:pPr>
            <w:r>
              <w:rPr>
                <w:rFonts w:eastAsia="Arial Narrow" w:cs="Times New Roman"/>
                <w:color w:val="000000"/>
                <w:lang w:bidi="ar"/>
              </w:rPr>
              <w:t>275,601,526.58</w:t>
            </w:r>
          </w:p>
        </w:tc>
      </w:tr>
    </w:tbl>
    <w:p w14:paraId="745D254A"/>
    <w:p w14:paraId="334DB4CA">
      <w:pPr>
        <w:pStyle w:val="59"/>
        <w:numPr>
          <w:ilvl w:val="0"/>
          <w:numId w:val="71"/>
        </w:numPr>
      </w:pPr>
      <w:r>
        <w:rPr>
          <w:rFonts w:hint="eastAsia"/>
        </w:rPr>
        <w:t>重要在建工程项目本期变动情况</w:t>
      </w:r>
    </w:p>
    <w:sdt>
      <w:sdtPr>
        <w:rPr>
          <w:color w:val="000000" w:themeColor="text1"/>
          <w14:textFill>
            <w14:solidFill>
              <w14:schemeClr w14:val="tx1"/>
            </w14:solidFill>
          </w14:textFill>
        </w:rPr>
        <w:alias w:val="是否适用：重要在建工程项目本期变动情况[双击切换]"/>
        <w:tag w:val="_GBC_ec2dd768673145d4bb9d3c31a6fa701a"/>
        <w:id w:val="-1156527259"/>
      </w:sdtPr>
      <w:sdtEndPr>
        <w:rPr>
          <w:color w:val="000000" w:themeColor="text1"/>
          <w14:textFill>
            <w14:solidFill>
              <w14:schemeClr w14:val="tx1"/>
            </w14:solidFill>
          </w14:textFill>
        </w:rPr>
      </w:sdtEndPr>
      <w:sdtContent>
        <w:p w14:paraId="4FBFC1C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30D9CBC9">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在建工程项目变动情况"/>
          <w:tag w:val="_GBC_29f36690ce0d4e8bbec5f76711e80456"/>
          <w:id w:val="1094365489"/>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万元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在建工程项目变动情况"/>
          <w:tag w:val="_GBC_6fab639954e742c1bd6f75b3c51ecaf8"/>
          <w:id w:val="41228041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2007"/>
        <w:gridCol w:w="1452"/>
        <w:gridCol w:w="1536"/>
        <w:gridCol w:w="1405"/>
        <w:gridCol w:w="1405"/>
        <w:gridCol w:w="1511"/>
        <w:gridCol w:w="1547"/>
        <w:gridCol w:w="1542"/>
        <w:gridCol w:w="1522"/>
      </w:tblGrid>
      <w:tr w14:paraId="2481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911d5911af294d4f9d2b6b16b5f6c08b"/>
            <w:id w:val="1983805886"/>
          </w:sdtPr>
          <w:sdtContent>
            <w:tc>
              <w:tcPr>
                <w:tcW w:w="720" w:type="pct"/>
                <w:vAlign w:val="center"/>
              </w:tcPr>
              <w:p w14:paraId="657CC1EE">
                <w:pPr>
                  <w:ind w:right="10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项目名称</w:t>
                </w:r>
              </w:p>
            </w:tc>
          </w:sdtContent>
        </w:sdt>
        <w:sdt>
          <w:sdtPr>
            <w:tag w:val="_PLD_667404be40294d63b853abf58a9d185f"/>
            <w:id w:val="-937592410"/>
          </w:sdtPr>
          <w:sdtContent>
            <w:tc>
              <w:tcPr>
                <w:tcW w:w="521" w:type="pct"/>
                <w:vAlign w:val="center"/>
              </w:tcPr>
              <w:p w14:paraId="227392FD">
                <w:pPr>
                  <w:ind w:right="10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预算数</w:t>
                </w:r>
              </w:p>
            </w:tc>
          </w:sdtContent>
        </w:sdt>
        <w:sdt>
          <w:sdtPr>
            <w:tag w:val="_PLD_25c75ebdcb434964b5f5e8b512151b0b"/>
            <w:id w:val="748626905"/>
          </w:sdtPr>
          <w:sdtContent>
            <w:tc>
              <w:tcPr>
                <w:tcW w:w="551" w:type="pct"/>
                <w:vAlign w:val="center"/>
              </w:tcPr>
              <w:p w14:paraId="5040AA65">
                <w:pPr>
                  <w:ind w:right="10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sdt>
          <w:sdtPr>
            <w:tag w:val="_PLD_0117182ae7e24536a0996423ddcfa5f0"/>
            <w:id w:val="-2069100228"/>
          </w:sdtPr>
          <w:sdtContent>
            <w:tc>
              <w:tcPr>
                <w:tcW w:w="504" w:type="pct"/>
                <w:vAlign w:val="center"/>
              </w:tcPr>
              <w:p w14:paraId="1E1DEC04">
                <w:pPr>
                  <w:ind w:right="10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本期增加</w:t>
                </w:r>
              </w:p>
              <w:p w14:paraId="038A7AB4">
                <w:pPr>
                  <w:ind w:right="10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金额</w:t>
                </w:r>
              </w:p>
            </w:tc>
          </w:sdtContent>
        </w:sdt>
        <w:sdt>
          <w:sdtPr>
            <w:tag w:val="_PLD_6db4feaec90f4eeeb4ed5fb04d298657"/>
            <w:id w:val="-1772922661"/>
          </w:sdtPr>
          <w:sdtContent>
            <w:tc>
              <w:tcPr>
                <w:tcW w:w="504" w:type="pct"/>
                <w:vAlign w:val="center"/>
              </w:tcPr>
              <w:p w14:paraId="0D19180D">
                <w:pPr>
                  <w:ind w:right="7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本期转入固定资产金额</w:t>
                </w:r>
              </w:p>
            </w:tc>
          </w:sdtContent>
        </w:sdt>
        <w:sdt>
          <w:sdtPr>
            <w:tag w:val="_PLD_7954fe4b89f644d29865af249dfe8c3f"/>
            <w:id w:val="436032319"/>
          </w:sdtPr>
          <w:sdtContent>
            <w:tc>
              <w:tcPr>
                <w:tcW w:w="542" w:type="pct"/>
                <w:vAlign w:val="center"/>
              </w:tcPr>
              <w:p w14:paraId="035F61D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d9aa12b28eda4362b90372032218ea1a"/>
            <w:id w:val="-255369960"/>
          </w:sdtPr>
          <w:sdtContent>
            <w:tc>
              <w:tcPr>
                <w:tcW w:w="555" w:type="pct"/>
                <w:vAlign w:val="center"/>
              </w:tcPr>
              <w:p w14:paraId="3B15891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工程累计投入占预算比例(%)</w:t>
                </w:r>
              </w:p>
            </w:tc>
          </w:sdtContent>
        </w:sdt>
        <w:sdt>
          <w:sdtPr>
            <w:tag w:val="_PLD_9e610c25eba14177abc9b359511cb935"/>
            <w:id w:val="-1355107922"/>
          </w:sdtPr>
          <w:sdtContent>
            <w:tc>
              <w:tcPr>
                <w:tcW w:w="553" w:type="pct"/>
                <w:vAlign w:val="center"/>
              </w:tcPr>
              <w:p w14:paraId="1235F01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工程进度</w:t>
                </w:r>
              </w:p>
            </w:tc>
          </w:sdtContent>
        </w:sdt>
        <w:sdt>
          <w:sdtPr>
            <w:tag w:val="_PLD_39440674746d4382a4f99328187752a9"/>
            <w:id w:val="-766388081"/>
          </w:sdtPr>
          <w:sdtContent>
            <w:tc>
              <w:tcPr>
                <w:tcW w:w="546" w:type="pct"/>
                <w:vAlign w:val="center"/>
              </w:tcPr>
              <w:p w14:paraId="4A16AD9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资金来源</w:t>
                </w:r>
              </w:p>
            </w:tc>
          </w:sdtContent>
        </w:sdt>
      </w:tr>
      <w:sdt>
        <w:sdtPr>
          <w:rPr>
            <w:rFonts w:hint="eastAsia"/>
            <w:color w:val="000000" w:themeColor="text1"/>
            <w14:textFill>
              <w14:solidFill>
                <w14:schemeClr w14:val="tx1"/>
              </w14:solidFill>
            </w14:textFill>
          </w:rPr>
          <w:alias w:val="在建工程明细"/>
          <w:tag w:val="_GBC_b84d9018f52b45beabeca7c2371cdc18"/>
          <w:id w:val="1323778071"/>
          <w:placeholder>
            <w:docPart w:val="{3f5a80b8-9fdb-4bf0-8ff3-8b04cdbaa619}"/>
          </w:placeholder>
        </w:sdtPr>
        <w:sdtEndPr>
          <w:rPr>
            <w:rFonts w:hint="eastAsia"/>
            <w:color w:val="000000" w:themeColor="text1"/>
            <w14:textFill>
              <w14:solidFill>
                <w14:schemeClr w14:val="tx1"/>
              </w14:solidFill>
            </w14:textFill>
          </w:rPr>
        </w:sdtEndPr>
        <w:sdtContent>
          <w:tr w14:paraId="542B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606" w:hRule="atLeast"/>
            </w:trPr>
            <w:tc>
              <w:tcPr>
                <w:tcW w:w="720" w:type="pct"/>
                <w:vAlign w:val="center"/>
              </w:tcPr>
              <w:p w14:paraId="29B7E5BB">
                <w:pPr>
                  <w:ind w:right="105"/>
                  <w:jc w:val="both"/>
                </w:pPr>
                <w:r>
                  <w:rPr>
                    <w:rFonts w:hint="eastAsia"/>
                  </w:rPr>
                  <w:t>长春目的地中心</w:t>
                </w:r>
              </w:p>
            </w:tc>
            <w:tc>
              <w:tcPr>
                <w:tcW w:w="521" w:type="pct"/>
                <w:vAlign w:val="center"/>
              </w:tcPr>
              <w:p w14:paraId="5101EDFC">
                <w:pPr>
                  <w:ind w:right="105"/>
                  <w:jc w:val="right"/>
                  <w:rPr>
                    <w:rFonts w:cs="Times New Roman"/>
                  </w:rPr>
                </w:pPr>
                <w:r>
                  <w:rPr>
                    <w:rFonts w:cs="Times New Roman"/>
                  </w:rPr>
                  <w:t>158,630</w:t>
                </w:r>
              </w:p>
            </w:tc>
            <w:tc>
              <w:tcPr>
                <w:tcW w:w="551" w:type="pct"/>
                <w:vAlign w:val="center"/>
              </w:tcPr>
              <w:p w14:paraId="6967FB55">
                <w:pPr>
                  <w:jc w:val="right"/>
                  <w:rPr>
                    <w:rFonts w:cs="Times New Roman"/>
                  </w:rPr>
                </w:pPr>
                <w:r>
                  <w:rPr>
                    <w:rFonts w:cs="Times New Roman"/>
                  </w:rPr>
                  <w:t>77,585.36</w:t>
                </w:r>
              </w:p>
            </w:tc>
            <w:tc>
              <w:tcPr>
                <w:tcW w:w="504" w:type="pct"/>
              </w:tcPr>
              <w:p w14:paraId="69D865C3">
                <w:pPr>
                  <w:ind w:right="73"/>
                  <w:jc w:val="right"/>
                  <w:rPr>
                    <w:rFonts w:cs="Times New Roman"/>
                  </w:rPr>
                </w:pPr>
              </w:p>
            </w:tc>
            <w:tc>
              <w:tcPr>
                <w:tcW w:w="504" w:type="pct"/>
              </w:tcPr>
              <w:p w14:paraId="26809682">
                <w:pPr>
                  <w:ind w:right="73"/>
                  <w:jc w:val="right"/>
                  <w:rPr>
                    <w:rFonts w:cs="Times New Roman"/>
                  </w:rPr>
                </w:pPr>
              </w:p>
            </w:tc>
            <w:tc>
              <w:tcPr>
                <w:tcW w:w="542" w:type="pct"/>
                <w:vAlign w:val="center"/>
              </w:tcPr>
              <w:p w14:paraId="02C7405E">
                <w:pPr>
                  <w:jc w:val="right"/>
                  <w:rPr>
                    <w:rFonts w:cs="Times New Roman"/>
                  </w:rPr>
                </w:pPr>
                <w:r>
                  <w:rPr>
                    <w:rFonts w:cs="Times New Roman"/>
                  </w:rPr>
                  <w:t>77,585.36</w:t>
                </w:r>
              </w:p>
            </w:tc>
            <w:tc>
              <w:tcPr>
                <w:tcW w:w="555" w:type="pct"/>
                <w:vAlign w:val="center"/>
              </w:tcPr>
              <w:p w14:paraId="193F366A">
                <w:pPr>
                  <w:jc w:val="right"/>
                  <w:rPr>
                    <w:rFonts w:cs="Times New Roman"/>
                  </w:rPr>
                </w:pPr>
                <w:r>
                  <w:rPr>
                    <w:rFonts w:cs="Times New Roman"/>
                  </w:rPr>
                  <w:t>87.37</w:t>
                </w:r>
              </w:p>
            </w:tc>
            <w:tc>
              <w:tcPr>
                <w:tcW w:w="553" w:type="pct"/>
                <w:vAlign w:val="center"/>
              </w:tcPr>
              <w:p w14:paraId="0F929AB8">
                <w:pPr>
                  <w:jc w:val="right"/>
                  <w:rPr>
                    <w:rFonts w:cs="Times New Roman"/>
                  </w:rPr>
                </w:pPr>
                <w:r>
                  <w:rPr>
                    <w:rFonts w:cs="Times New Roman"/>
                  </w:rPr>
                  <w:t>99.65</w:t>
                </w:r>
              </w:p>
            </w:tc>
            <w:tc>
              <w:tcPr>
                <w:tcW w:w="546" w:type="pct"/>
                <w:vAlign w:val="center"/>
              </w:tcPr>
              <w:p w14:paraId="5F23F6D0">
                <w:pPr>
                  <w:ind w:right="10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自有资金</w:t>
                </w:r>
              </w:p>
              <w:p w14:paraId="33216156">
                <w:pPr>
                  <w:ind w:right="10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募集资金</w:t>
                </w:r>
              </w:p>
            </w:tc>
          </w:tr>
        </w:sdtContent>
      </w:sdt>
      <w:sdt>
        <w:sdtPr>
          <w:rPr>
            <w:rFonts w:hint="eastAsia"/>
            <w:color w:val="000000" w:themeColor="text1"/>
            <w14:textFill>
              <w14:solidFill>
                <w14:schemeClr w14:val="tx1"/>
              </w14:solidFill>
            </w14:textFill>
          </w:rPr>
          <w:alias w:val="在建工程明细"/>
          <w:tag w:val="_GBC_b84d9018f52b45beabeca7c2371cdc18"/>
          <w:id w:val="394240584"/>
          <w:placeholder>
            <w:docPart w:val="{3f5a80b8-9fdb-4bf0-8ff3-8b04cdbaa619}"/>
          </w:placeholder>
        </w:sdtPr>
        <w:sdtEndPr>
          <w:rPr>
            <w:rFonts w:hint="eastAsia"/>
            <w:color w:val="000000" w:themeColor="text1"/>
            <w14:textFill>
              <w14:solidFill>
                <w14:schemeClr w14:val="tx1"/>
              </w14:solidFill>
            </w14:textFill>
          </w:rPr>
        </w:sdtEndPr>
        <w:sdtContent>
          <w:tr w14:paraId="491F6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20" w:type="pct"/>
                <w:vAlign w:val="center"/>
              </w:tcPr>
              <w:p w14:paraId="5F78010A">
                <w:pPr>
                  <w:ind w:right="105"/>
                  <w:jc w:val="both"/>
                </w:pPr>
                <w:r>
                  <w:rPr>
                    <w:rFonts w:hint="eastAsia"/>
                  </w:rPr>
                  <w:t>际华三五一五皮革皮鞋有限公司新区建设项目</w:t>
                </w:r>
              </w:p>
            </w:tc>
            <w:tc>
              <w:tcPr>
                <w:tcW w:w="521" w:type="pct"/>
                <w:vAlign w:val="center"/>
              </w:tcPr>
              <w:p w14:paraId="39B02791">
                <w:pPr>
                  <w:ind w:right="105"/>
                  <w:jc w:val="right"/>
                  <w:rPr>
                    <w:rFonts w:cs="Times New Roman"/>
                  </w:rPr>
                </w:pPr>
                <w:r>
                  <w:rPr>
                    <w:rFonts w:cs="Times New Roman"/>
                  </w:rPr>
                  <w:t>9,750</w:t>
                </w:r>
              </w:p>
            </w:tc>
            <w:tc>
              <w:tcPr>
                <w:tcW w:w="551" w:type="pct"/>
                <w:vAlign w:val="center"/>
              </w:tcPr>
              <w:p w14:paraId="2E04F97A">
                <w:pPr>
                  <w:jc w:val="right"/>
                  <w:rPr>
                    <w:rFonts w:cs="Times New Roman"/>
                  </w:rPr>
                </w:pPr>
                <w:r>
                  <w:rPr>
                    <w:rFonts w:cs="Times New Roman"/>
                  </w:rPr>
                  <w:t>4,993.16</w:t>
                </w:r>
              </w:p>
            </w:tc>
            <w:tc>
              <w:tcPr>
                <w:tcW w:w="504" w:type="pct"/>
                <w:vAlign w:val="center"/>
              </w:tcPr>
              <w:p w14:paraId="38D6184B">
                <w:pPr>
                  <w:ind w:right="73"/>
                  <w:jc w:val="right"/>
                  <w:rPr>
                    <w:rFonts w:cs="Times New Roman"/>
                  </w:rPr>
                </w:pPr>
                <w:r>
                  <w:rPr>
                    <w:rFonts w:cs="Times New Roman"/>
                  </w:rPr>
                  <w:t>489.71</w:t>
                </w:r>
              </w:p>
            </w:tc>
            <w:tc>
              <w:tcPr>
                <w:tcW w:w="504" w:type="pct"/>
                <w:vAlign w:val="center"/>
              </w:tcPr>
              <w:p w14:paraId="49813968">
                <w:pPr>
                  <w:ind w:right="73"/>
                  <w:jc w:val="right"/>
                  <w:rPr>
                    <w:rFonts w:cs="Times New Roman"/>
                  </w:rPr>
                </w:pPr>
                <w:r>
                  <w:rPr>
                    <w:rFonts w:cs="Times New Roman"/>
                  </w:rPr>
                  <w:t>9.99</w:t>
                </w:r>
              </w:p>
            </w:tc>
            <w:tc>
              <w:tcPr>
                <w:tcW w:w="542" w:type="pct"/>
                <w:vAlign w:val="center"/>
              </w:tcPr>
              <w:p w14:paraId="59B90503">
                <w:pPr>
                  <w:jc w:val="right"/>
                  <w:rPr>
                    <w:rFonts w:cs="Times New Roman"/>
                  </w:rPr>
                </w:pPr>
                <w:r>
                  <w:rPr>
                    <w:rFonts w:cs="Times New Roman"/>
                  </w:rPr>
                  <w:t>5,472.88</w:t>
                </w:r>
              </w:p>
            </w:tc>
            <w:tc>
              <w:tcPr>
                <w:tcW w:w="555" w:type="pct"/>
                <w:vAlign w:val="center"/>
              </w:tcPr>
              <w:p w14:paraId="19814DA7">
                <w:pPr>
                  <w:jc w:val="right"/>
                  <w:rPr>
                    <w:rFonts w:cs="Times New Roman"/>
                  </w:rPr>
                </w:pPr>
                <w:r>
                  <w:rPr>
                    <w:rFonts w:hint="eastAsia" w:cs="Times New Roman"/>
                  </w:rPr>
                  <w:t>88.00</w:t>
                </w:r>
              </w:p>
            </w:tc>
            <w:tc>
              <w:tcPr>
                <w:tcW w:w="553" w:type="pct"/>
                <w:vAlign w:val="center"/>
              </w:tcPr>
              <w:p w14:paraId="5206F5C6">
                <w:pPr>
                  <w:jc w:val="right"/>
                  <w:rPr>
                    <w:rFonts w:cs="Times New Roman"/>
                  </w:rPr>
                </w:pPr>
                <w:r>
                  <w:rPr>
                    <w:rFonts w:cs="Times New Roman"/>
                  </w:rPr>
                  <w:t>98.00</w:t>
                </w:r>
              </w:p>
            </w:tc>
            <w:tc>
              <w:tcPr>
                <w:tcW w:w="546" w:type="pct"/>
                <w:vAlign w:val="center"/>
              </w:tcPr>
              <w:p w14:paraId="438044C3">
                <w:pPr>
                  <w:ind w:right="10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自有资金</w:t>
                </w:r>
              </w:p>
            </w:tc>
          </w:tr>
        </w:sdtContent>
      </w:sdt>
      <w:sdt>
        <w:sdtPr>
          <w:rPr>
            <w:rFonts w:hint="eastAsia"/>
            <w:color w:val="000000" w:themeColor="text1"/>
            <w14:textFill>
              <w14:solidFill>
                <w14:schemeClr w14:val="tx1"/>
              </w14:solidFill>
            </w14:textFill>
          </w:rPr>
          <w:alias w:val="在建工程明细"/>
          <w:tag w:val="_GBC_b84d9018f52b45beabeca7c2371cdc18"/>
          <w:id w:val="417905440"/>
          <w:placeholder>
            <w:docPart w:val="{3f5a80b8-9fdb-4bf0-8ff3-8b04cdbaa619}"/>
          </w:placeholder>
        </w:sdtPr>
        <w:sdtEndPr>
          <w:rPr>
            <w:rFonts w:hint="eastAsia"/>
            <w:color w:val="000000" w:themeColor="text1"/>
            <w14:textFill>
              <w14:solidFill>
                <w14:schemeClr w14:val="tx1"/>
              </w14:solidFill>
            </w14:textFill>
          </w:rPr>
        </w:sdtEndPr>
        <w:sdtContent>
          <w:tr w14:paraId="2771A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606" w:hRule="atLeast"/>
            </w:trPr>
            <w:tc>
              <w:tcPr>
                <w:tcW w:w="720" w:type="pct"/>
                <w:vAlign w:val="center"/>
              </w:tcPr>
              <w:p w14:paraId="17826365">
                <w:pPr>
                  <w:ind w:right="105"/>
                  <w:jc w:val="both"/>
                </w:pPr>
                <w:r>
                  <w:rPr>
                    <w:rFonts w:hint="eastAsia"/>
                  </w:rPr>
                  <w:t>三五四二公司研发大楼及实验室</w:t>
                </w:r>
              </w:p>
            </w:tc>
            <w:tc>
              <w:tcPr>
                <w:tcW w:w="521" w:type="pct"/>
                <w:vAlign w:val="center"/>
              </w:tcPr>
              <w:p w14:paraId="7EF39C95">
                <w:pPr>
                  <w:ind w:right="105"/>
                  <w:jc w:val="right"/>
                  <w:rPr>
                    <w:rFonts w:cs="Times New Roman"/>
                  </w:rPr>
                </w:pPr>
                <w:r>
                  <w:rPr>
                    <w:rFonts w:cs="Times New Roman"/>
                  </w:rPr>
                  <w:t>7,739.6</w:t>
                </w:r>
              </w:p>
            </w:tc>
            <w:tc>
              <w:tcPr>
                <w:tcW w:w="551" w:type="pct"/>
                <w:vAlign w:val="center"/>
              </w:tcPr>
              <w:p w14:paraId="2C58FA10">
                <w:pPr>
                  <w:jc w:val="right"/>
                  <w:rPr>
                    <w:rFonts w:cs="Times New Roman"/>
                  </w:rPr>
                </w:pPr>
                <w:r>
                  <w:rPr>
                    <w:rFonts w:cs="Times New Roman"/>
                  </w:rPr>
                  <w:t>4,084.77</w:t>
                </w:r>
              </w:p>
            </w:tc>
            <w:tc>
              <w:tcPr>
                <w:tcW w:w="504" w:type="pct"/>
                <w:vAlign w:val="center"/>
              </w:tcPr>
              <w:p w14:paraId="015A1DDA">
                <w:pPr>
                  <w:ind w:right="73"/>
                  <w:jc w:val="right"/>
                  <w:rPr>
                    <w:rFonts w:cs="Times New Roman"/>
                  </w:rPr>
                </w:pPr>
                <w:r>
                  <w:rPr>
                    <w:rFonts w:cs="Times New Roman"/>
                  </w:rPr>
                  <w:t>110.66</w:t>
                </w:r>
              </w:p>
            </w:tc>
            <w:tc>
              <w:tcPr>
                <w:tcW w:w="504" w:type="pct"/>
                <w:vAlign w:val="center"/>
              </w:tcPr>
              <w:p w14:paraId="4A2C57D2">
                <w:pPr>
                  <w:ind w:right="73"/>
                  <w:jc w:val="right"/>
                  <w:rPr>
                    <w:rFonts w:cs="Times New Roman"/>
                  </w:rPr>
                </w:pPr>
              </w:p>
            </w:tc>
            <w:tc>
              <w:tcPr>
                <w:tcW w:w="542" w:type="pct"/>
                <w:vAlign w:val="center"/>
              </w:tcPr>
              <w:p w14:paraId="4D0789EB">
                <w:pPr>
                  <w:jc w:val="right"/>
                  <w:rPr>
                    <w:rFonts w:cs="Times New Roman"/>
                  </w:rPr>
                </w:pPr>
                <w:r>
                  <w:rPr>
                    <w:rFonts w:hint="eastAsia" w:cs="Times New Roman"/>
                  </w:rPr>
                  <w:t>4,195.43</w:t>
                </w:r>
              </w:p>
            </w:tc>
            <w:tc>
              <w:tcPr>
                <w:tcW w:w="555" w:type="pct"/>
                <w:vAlign w:val="center"/>
              </w:tcPr>
              <w:p w14:paraId="1A305FD2">
                <w:pPr>
                  <w:jc w:val="right"/>
                  <w:rPr>
                    <w:rFonts w:cs="Times New Roman"/>
                  </w:rPr>
                </w:pPr>
                <w:r>
                  <w:rPr>
                    <w:rFonts w:hint="eastAsia" w:cs="Times New Roman"/>
                  </w:rPr>
                  <w:t>55.93</w:t>
                </w:r>
              </w:p>
            </w:tc>
            <w:tc>
              <w:tcPr>
                <w:tcW w:w="553" w:type="pct"/>
                <w:vAlign w:val="center"/>
              </w:tcPr>
              <w:p w14:paraId="3A912E40">
                <w:pPr>
                  <w:jc w:val="right"/>
                  <w:rPr>
                    <w:rFonts w:cs="Times New Roman"/>
                  </w:rPr>
                </w:pPr>
                <w:r>
                  <w:rPr>
                    <w:rFonts w:cs="Times New Roman"/>
                  </w:rPr>
                  <w:t>97.00</w:t>
                </w:r>
              </w:p>
            </w:tc>
            <w:tc>
              <w:tcPr>
                <w:tcW w:w="546" w:type="pct"/>
                <w:vAlign w:val="center"/>
              </w:tcPr>
              <w:p w14:paraId="68334265">
                <w:pPr>
                  <w:ind w:right="10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自有资金</w:t>
                </w:r>
              </w:p>
              <w:p w14:paraId="3046BDA1">
                <w:pPr>
                  <w:ind w:right="10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募集资金</w:t>
                </w:r>
              </w:p>
            </w:tc>
          </w:tr>
        </w:sdtContent>
      </w:sdt>
      <w:sdt>
        <w:sdtPr>
          <w:rPr>
            <w:rFonts w:hint="eastAsia"/>
            <w:color w:val="000000" w:themeColor="text1"/>
            <w14:textFill>
              <w14:solidFill>
                <w14:schemeClr w14:val="tx1"/>
              </w14:solidFill>
            </w14:textFill>
          </w:rPr>
          <w:alias w:val="在建工程明细"/>
          <w:tag w:val="_GBC_b84d9018f52b45beabeca7c2371cdc18"/>
          <w:id w:val="432023542"/>
          <w:placeholder>
            <w:docPart w:val="{3f5a80b8-9fdb-4bf0-8ff3-8b04cdbaa619}"/>
          </w:placeholder>
        </w:sdtPr>
        <w:sdtEndPr>
          <w:rPr>
            <w:rFonts w:hint="eastAsia"/>
            <w:color w:val="000000" w:themeColor="text1"/>
            <w14:textFill>
              <w14:solidFill>
                <w14:schemeClr w14:val="tx1"/>
              </w14:solidFill>
            </w14:textFill>
          </w:rPr>
        </w:sdtEndPr>
        <w:sdtContent>
          <w:tr w14:paraId="0810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618" w:hRule="atLeast"/>
            </w:trPr>
            <w:tc>
              <w:tcPr>
                <w:tcW w:w="720" w:type="pct"/>
                <w:vAlign w:val="center"/>
              </w:tcPr>
              <w:p w14:paraId="0672CAC2">
                <w:pPr>
                  <w:ind w:right="105"/>
                  <w:jc w:val="both"/>
                </w:pPr>
                <w:r>
                  <w:rPr>
                    <w:rFonts w:hint="eastAsia"/>
                  </w:rPr>
                  <w:t>新疆华锦面料生产基地项目</w:t>
                </w:r>
              </w:p>
            </w:tc>
            <w:tc>
              <w:tcPr>
                <w:tcW w:w="521" w:type="pct"/>
                <w:vAlign w:val="center"/>
              </w:tcPr>
              <w:p w14:paraId="34ADE5A9">
                <w:pPr>
                  <w:ind w:right="105"/>
                  <w:jc w:val="right"/>
                  <w:rPr>
                    <w:rFonts w:cs="Times New Roman"/>
                  </w:rPr>
                </w:pPr>
                <w:r>
                  <w:rPr>
                    <w:rFonts w:cs="Times New Roman"/>
                  </w:rPr>
                  <w:t>36,175.84</w:t>
                </w:r>
              </w:p>
            </w:tc>
            <w:tc>
              <w:tcPr>
                <w:tcW w:w="551" w:type="pct"/>
                <w:vAlign w:val="center"/>
              </w:tcPr>
              <w:p w14:paraId="5A018FC3">
                <w:pPr>
                  <w:jc w:val="right"/>
                  <w:rPr>
                    <w:rFonts w:cs="Times New Roman"/>
                  </w:rPr>
                </w:pPr>
                <w:r>
                  <w:rPr>
                    <w:rFonts w:cs="Times New Roman"/>
                  </w:rPr>
                  <w:t>103.76</w:t>
                </w:r>
              </w:p>
            </w:tc>
            <w:tc>
              <w:tcPr>
                <w:tcW w:w="504" w:type="pct"/>
                <w:vAlign w:val="center"/>
              </w:tcPr>
              <w:p w14:paraId="56CFDA33">
                <w:pPr>
                  <w:ind w:right="73"/>
                  <w:jc w:val="right"/>
                  <w:rPr>
                    <w:rFonts w:cs="Times New Roman"/>
                  </w:rPr>
                </w:pPr>
                <w:r>
                  <w:rPr>
                    <w:rFonts w:cs="Times New Roman"/>
                  </w:rPr>
                  <w:t>3,727.34</w:t>
                </w:r>
              </w:p>
            </w:tc>
            <w:tc>
              <w:tcPr>
                <w:tcW w:w="504" w:type="pct"/>
                <w:vAlign w:val="center"/>
              </w:tcPr>
              <w:p w14:paraId="73E9FB26">
                <w:pPr>
                  <w:ind w:right="73"/>
                  <w:jc w:val="right"/>
                  <w:rPr>
                    <w:rFonts w:cs="Times New Roman"/>
                  </w:rPr>
                </w:pPr>
              </w:p>
            </w:tc>
            <w:tc>
              <w:tcPr>
                <w:tcW w:w="542" w:type="pct"/>
                <w:vAlign w:val="center"/>
              </w:tcPr>
              <w:p w14:paraId="644985FE">
                <w:pPr>
                  <w:jc w:val="right"/>
                  <w:rPr>
                    <w:rFonts w:cs="Times New Roman"/>
                  </w:rPr>
                </w:pPr>
                <w:r>
                  <w:rPr>
                    <w:rFonts w:hint="eastAsia" w:cs="Times New Roman"/>
                  </w:rPr>
                  <w:t>3,831.10</w:t>
                </w:r>
              </w:p>
            </w:tc>
            <w:tc>
              <w:tcPr>
                <w:tcW w:w="555" w:type="pct"/>
                <w:vAlign w:val="center"/>
              </w:tcPr>
              <w:p w14:paraId="66CB13DD">
                <w:pPr>
                  <w:jc w:val="right"/>
                  <w:rPr>
                    <w:rFonts w:cs="Times New Roman"/>
                  </w:rPr>
                </w:pPr>
                <w:r>
                  <w:rPr>
                    <w:rFonts w:hint="eastAsia" w:cs="Times New Roman"/>
                  </w:rPr>
                  <w:t>10.30</w:t>
                </w:r>
              </w:p>
            </w:tc>
            <w:tc>
              <w:tcPr>
                <w:tcW w:w="553" w:type="pct"/>
                <w:vAlign w:val="center"/>
              </w:tcPr>
              <w:p w14:paraId="6BAC1EBB">
                <w:pPr>
                  <w:jc w:val="right"/>
                  <w:rPr>
                    <w:rFonts w:cs="Times New Roman"/>
                  </w:rPr>
                </w:pPr>
                <w:r>
                  <w:rPr>
                    <w:rFonts w:hint="eastAsia" w:cs="Times New Roman"/>
                  </w:rPr>
                  <w:t>50.00</w:t>
                </w:r>
              </w:p>
            </w:tc>
            <w:tc>
              <w:tcPr>
                <w:tcW w:w="546" w:type="pct"/>
                <w:vAlign w:val="center"/>
              </w:tcPr>
              <w:p w14:paraId="1DFE3BBD">
                <w:pPr>
                  <w:ind w:right="10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自有资金、</w:t>
                </w:r>
              </w:p>
              <w:p w14:paraId="71114848">
                <w:pPr>
                  <w:ind w:right="10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借款</w:t>
                </w:r>
              </w:p>
            </w:tc>
          </w:tr>
        </w:sdtContent>
      </w:sdt>
      <w:tr w14:paraId="4944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488" w:hRule="atLeast"/>
        </w:trPr>
        <w:sdt>
          <w:sdtPr>
            <w:tag w:val="_PLD_942a3001646f41f087960bab251b2bbb"/>
            <w:id w:val="1712924619"/>
          </w:sdtPr>
          <w:sdtContent>
            <w:tc>
              <w:tcPr>
                <w:tcW w:w="720" w:type="pct"/>
                <w:vAlign w:val="center"/>
              </w:tcPr>
              <w:p w14:paraId="2CF0D54D">
                <w:pPr>
                  <w:ind w:right="10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sdtContent>
        </w:sdt>
        <w:tc>
          <w:tcPr>
            <w:tcW w:w="521" w:type="pct"/>
            <w:vAlign w:val="center"/>
          </w:tcPr>
          <w:p w14:paraId="4DC96B0E">
            <w:pPr>
              <w:ind w:right="105"/>
              <w:jc w:val="right"/>
              <w:rPr>
                <w:rFonts w:cs="Times New Roman"/>
              </w:rPr>
            </w:pPr>
            <w:r>
              <w:rPr>
                <w:rFonts w:cs="Times New Roman"/>
              </w:rPr>
              <w:t>212,295.44</w:t>
            </w:r>
          </w:p>
        </w:tc>
        <w:tc>
          <w:tcPr>
            <w:tcW w:w="551" w:type="pct"/>
            <w:vAlign w:val="center"/>
          </w:tcPr>
          <w:p w14:paraId="6E2340D2">
            <w:pPr>
              <w:jc w:val="right"/>
              <w:rPr>
                <w:rFonts w:cs="Times New Roman"/>
              </w:rPr>
            </w:pPr>
            <w:r>
              <w:rPr>
                <w:rFonts w:cs="Times New Roman"/>
              </w:rPr>
              <w:t>86,767.05</w:t>
            </w:r>
          </w:p>
        </w:tc>
        <w:tc>
          <w:tcPr>
            <w:tcW w:w="504" w:type="pct"/>
            <w:vAlign w:val="center"/>
          </w:tcPr>
          <w:p w14:paraId="15AEA809">
            <w:pPr>
              <w:ind w:right="73"/>
              <w:jc w:val="right"/>
              <w:rPr>
                <w:rFonts w:cs="Times New Roman"/>
              </w:rPr>
            </w:pPr>
            <w:r>
              <w:rPr>
                <w:rFonts w:cs="Times New Roman"/>
              </w:rPr>
              <w:t>4,327.71</w:t>
            </w:r>
          </w:p>
        </w:tc>
        <w:tc>
          <w:tcPr>
            <w:tcW w:w="504" w:type="pct"/>
            <w:vAlign w:val="center"/>
          </w:tcPr>
          <w:p w14:paraId="2EBE2908">
            <w:pPr>
              <w:ind w:right="73"/>
              <w:jc w:val="right"/>
              <w:rPr>
                <w:rFonts w:cs="Times New Roman"/>
              </w:rPr>
            </w:pPr>
            <w:r>
              <w:rPr>
                <w:rFonts w:hint="eastAsia" w:cs="Times New Roman"/>
              </w:rPr>
              <w:t>9.99</w:t>
            </w:r>
          </w:p>
        </w:tc>
        <w:tc>
          <w:tcPr>
            <w:tcW w:w="542" w:type="pct"/>
            <w:vAlign w:val="center"/>
          </w:tcPr>
          <w:p w14:paraId="138F59B0">
            <w:pPr>
              <w:jc w:val="right"/>
              <w:rPr>
                <w:rFonts w:cs="Times New Roman"/>
              </w:rPr>
            </w:pPr>
            <w:r>
              <w:rPr>
                <w:rFonts w:cs="Times New Roman"/>
              </w:rPr>
              <w:t>91,084.77</w:t>
            </w:r>
          </w:p>
        </w:tc>
        <w:tc>
          <w:tcPr>
            <w:tcW w:w="555" w:type="pct"/>
            <w:vAlign w:val="center"/>
          </w:tcPr>
          <w:p w14:paraId="4FD0171C">
            <w:pPr>
              <w:ind w:right="174"/>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553" w:type="pct"/>
            <w:vAlign w:val="center"/>
          </w:tcPr>
          <w:p w14:paraId="476425DB">
            <w:pPr>
              <w:ind w:right="174"/>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546" w:type="pct"/>
            <w:vAlign w:val="center"/>
          </w:tcPr>
          <w:p w14:paraId="5B1C5625">
            <w:pPr>
              <w:ind w:right="174"/>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bl>
    <w:p w14:paraId="5534F381">
      <w:pPr>
        <w:snapToGrid w:val="0"/>
        <w:spacing w:line="240" w:lineRule="atLeast"/>
        <w:rPr>
          <w:color w:val="000000" w:themeColor="text1"/>
          <w14:textFill>
            <w14:solidFill>
              <w14:schemeClr w14:val="tx1"/>
            </w14:solidFill>
          </w14:textFill>
        </w:rPr>
      </w:pPr>
    </w:p>
    <w:p w14:paraId="24AA3069">
      <w:pPr>
        <w:snapToGrid w:val="0"/>
        <w:spacing w:line="240" w:lineRule="atLeast"/>
        <w:rPr>
          <w:color w:val="000000" w:themeColor="text1"/>
          <w14:textFill>
            <w14:solidFill>
              <w14:schemeClr w14:val="tx1"/>
            </w14:solidFill>
          </w14:textFill>
        </w:rPr>
      </w:pPr>
    </w:p>
    <w:p w14:paraId="7CE1444E">
      <w:pPr>
        <w:snapToGrid w:val="0"/>
        <w:spacing w:line="240" w:lineRule="atLeast"/>
        <w:rPr>
          <w:color w:val="000000" w:themeColor="text1"/>
          <w14:textFill>
            <w14:solidFill>
              <w14:schemeClr w14:val="tx1"/>
            </w14:solidFill>
          </w14:textFill>
        </w:rPr>
        <w:sectPr>
          <w:pgSz w:w="16838" w:h="11906" w:orient="landscape"/>
          <w:pgMar w:top="1797" w:right="1525" w:bottom="1276" w:left="1440" w:header="856" w:footer="992" w:gutter="0"/>
          <w:cols w:space="425" w:num="1"/>
          <w:docGrid w:linePitch="312" w:charSpace="0"/>
        </w:sectPr>
      </w:pPr>
    </w:p>
    <w:p w14:paraId="333B9B39">
      <w:pPr>
        <w:snapToGrid w:val="0"/>
        <w:spacing w:line="240" w:lineRule="atLeast"/>
        <w:rPr>
          <w:color w:val="000000" w:themeColor="text1"/>
          <w14:textFill>
            <w14:solidFill>
              <w14:schemeClr w14:val="tx1"/>
            </w14:solidFill>
          </w14:textFill>
        </w:rPr>
      </w:pPr>
    </w:p>
    <w:p w14:paraId="60070FD3">
      <w:pPr>
        <w:pStyle w:val="59"/>
        <w:numPr>
          <w:ilvl w:val="0"/>
          <w:numId w:val="71"/>
        </w:numPr>
      </w:pPr>
      <w:bookmarkStart w:id="319" w:name="_Hlk167958414"/>
      <w:r>
        <w:rPr>
          <w:rFonts w:hint="eastAsia"/>
        </w:rPr>
        <w:t>本期计提在建工程减值准备情况</w:t>
      </w:r>
    </w:p>
    <w:sdt>
      <w:sdtPr>
        <w:rPr>
          <w:color w:val="000000" w:themeColor="text1"/>
          <w14:textFill>
            <w14:solidFill>
              <w14:schemeClr w14:val="tx1"/>
            </w14:solidFill>
          </w14:textFill>
        </w:rPr>
        <w:alias w:val="是否适用：本期计提在建工程减值准备情况[双击切换]"/>
        <w:tag w:val="_GBC_7dd31cf4784347cd87139a8c2548b22d"/>
        <w:id w:val="147453589"/>
        <w:placeholder>
          <w:docPart w:val="GBC22222222222222222222222222222"/>
        </w:placeholder>
      </w:sdtPr>
      <w:sdtEndPr>
        <w:rPr>
          <w:color w:val="000000" w:themeColor="text1"/>
          <w14:textFill>
            <w14:solidFill>
              <w14:schemeClr w14:val="tx1"/>
            </w14:solidFill>
          </w14:textFill>
        </w:rPr>
      </w:sdtEndPr>
      <w:sdtContent>
        <w:p w14:paraId="43DA097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A27F94F">
      <w:pPr>
        <w:rPr>
          <w:color w:val="000000" w:themeColor="text1"/>
          <w14:textFill>
            <w14:solidFill>
              <w14:schemeClr w14:val="tx1"/>
            </w14:solidFill>
          </w14:textFill>
        </w:rPr>
      </w:pPr>
    </w:p>
    <w:p w14:paraId="6E5CBD79">
      <w:pPr>
        <w:pStyle w:val="59"/>
        <w:numPr>
          <w:ilvl w:val="0"/>
          <w:numId w:val="71"/>
        </w:numPr>
      </w:pPr>
      <w:bookmarkStart w:id="320" w:name="_Hlk153461314"/>
      <w:r>
        <w:rPr>
          <w:rFonts w:hint="eastAsia"/>
        </w:rPr>
        <w:t>在建工程的减值测试情况</w:t>
      </w:r>
    </w:p>
    <w:sdt>
      <w:sdtPr>
        <w:rPr>
          <w:color w:val="000000" w:themeColor="text1"/>
          <w14:textFill>
            <w14:solidFill>
              <w14:schemeClr w14:val="tx1"/>
            </w14:solidFill>
          </w14:textFill>
        </w:rPr>
        <w:alias w:val="是否适用：减值测试情况[双击切换]"/>
        <w:tag w:val="_GBC_f6d4bcf1dee14a709974326281981b12"/>
        <w:id w:val="147475170"/>
        <w:placeholder>
          <w:docPart w:val="GBC22222222222222222222222222222"/>
        </w:placeholder>
      </w:sdtPr>
      <w:sdtEndPr>
        <w:rPr>
          <w:color w:val="000000" w:themeColor="text1"/>
          <w14:textFill>
            <w14:solidFill>
              <w14:schemeClr w14:val="tx1"/>
            </w14:solidFill>
          </w14:textFill>
        </w:rPr>
      </w:sdtEndPr>
      <w:sdtContent>
        <w:p w14:paraId="3D21D11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E74F7D0">
      <w:pPr>
        <w:snapToGrid w:val="0"/>
        <w:spacing w:line="240" w:lineRule="atLeast"/>
        <w:rPr>
          <w:color w:val="000000" w:themeColor="text1"/>
          <w14:textFill>
            <w14:solidFill>
              <w14:schemeClr w14:val="tx1"/>
            </w14:solidFill>
          </w14:textFill>
        </w:rPr>
      </w:pPr>
    </w:p>
    <w:bookmarkEnd w:id="319"/>
    <w:bookmarkEnd w:id="320"/>
    <w:p w14:paraId="56275CEF">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在建工程的说明[双击切换]"/>
        <w:tag w:val="_GBC_c0ffdfbb304348758da855627ba6d858"/>
        <w:id w:val="147463571"/>
        <w:placeholder>
          <w:docPart w:val="GBC22222222222222222222222222222"/>
        </w:placeholder>
      </w:sdtPr>
      <w:sdtEndPr>
        <w:rPr>
          <w:color w:val="000000" w:themeColor="text1"/>
          <w14:textFill>
            <w14:solidFill>
              <w14:schemeClr w14:val="tx1"/>
            </w14:solidFill>
          </w14:textFill>
        </w:rPr>
      </w:sdtEndPr>
      <w:sdtContent>
        <w:p w14:paraId="679FCB3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54D6DCE">
      <w:pPr>
        <w:rPr>
          <w:color w:val="000000" w:themeColor="text1"/>
          <w14:textFill>
            <w14:solidFill>
              <w14:schemeClr w14:val="tx1"/>
            </w14:solidFill>
          </w14:textFill>
        </w:rPr>
      </w:pPr>
    </w:p>
    <w:p w14:paraId="38A30D57">
      <w:pPr>
        <w:pStyle w:val="58"/>
        <w:rPr>
          <w:rFonts w:ascii="宋体" w:hAnsi="宋体"/>
          <w:color w:val="000000" w:themeColor="text1"/>
          <w14:textFill>
            <w14:solidFill>
              <w14:schemeClr w14:val="tx1"/>
            </w14:solidFill>
          </w14:textFill>
        </w:rPr>
      </w:pPr>
      <w:bookmarkStart w:id="321" w:name="_Hlk11683481"/>
      <w:r>
        <w:rPr>
          <w:rFonts w:hint="eastAsia" w:ascii="宋体" w:hAnsi="宋体"/>
          <w:color w:val="000000" w:themeColor="text1"/>
          <w14:textFill>
            <w14:solidFill>
              <w14:schemeClr w14:val="tx1"/>
            </w14:solidFill>
          </w14:textFill>
        </w:rPr>
        <w:t>工程物资</w:t>
      </w:r>
    </w:p>
    <w:sdt>
      <w:sdtPr>
        <w:rPr>
          <w:color w:val="000000" w:themeColor="text1"/>
          <w14:textFill>
            <w14:solidFill>
              <w14:schemeClr w14:val="tx1"/>
            </w14:solidFill>
          </w14:textFill>
        </w:rPr>
        <w:alias w:val="是否适用：工程物资[双击切换]"/>
        <w:tag w:val="_GBC_0d711628566c4b08b883151766986b20"/>
        <w:id w:val="147482565"/>
        <w:placeholder>
          <w:docPart w:val="GBC22222222222222222222222222222"/>
        </w:placeholder>
      </w:sdtPr>
      <w:sdtEndPr>
        <w:rPr>
          <w:color w:val="000000" w:themeColor="text1"/>
          <w14:textFill>
            <w14:solidFill>
              <w14:schemeClr w14:val="tx1"/>
            </w14:solidFill>
          </w14:textFill>
        </w:rPr>
      </w:sdtEndPr>
      <w:sdtContent>
        <w:p w14:paraId="32F0FC6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21"/>
    <w:p w14:paraId="292F08D5">
      <w:pPr>
        <w:rPr>
          <w:color w:val="000000" w:themeColor="text1"/>
          <w14:textFill>
            <w14:solidFill>
              <w14:schemeClr w14:val="tx1"/>
            </w14:solidFill>
          </w14:textFill>
        </w:rPr>
      </w:pPr>
    </w:p>
    <w:p w14:paraId="3F55E04F">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生产性生物资产</w:t>
      </w:r>
    </w:p>
    <w:p w14:paraId="6E3809CA">
      <w:pPr>
        <w:pStyle w:val="58"/>
        <w:numPr>
          <w:ilvl w:val="0"/>
          <w:numId w:val="72"/>
        </w:numPr>
        <w:tabs>
          <w:tab w:val="left" w:pos="602"/>
          <w:tab w:val="left" w:pos="798"/>
        </w:tabs>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采用成本计量模式的生产性生物资产</w:t>
      </w:r>
    </w:p>
    <w:sdt>
      <w:sdtPr>
        <w:rPr>
          <w:rFonts w:hint="eastAsia"/>
          <w:color w:val="000000" w:themeColor="text1"/>
          <w14:textFill>
            <w14:solidFill>
              <w14:schemeClr w14:val="tx1"/>
            </w14:solidFill>
          </w14:textFill>
        </w:rPr>
        <w:alias w:val="是否适用：财务附注：以成本计量的生产性生物资产[双击切换]"/>
        <w:tag w:val="_GBC_fca5101d9b46492484acd605f0ade969"/>
        <w:id w:val="147463970"/>
        <w:placeholder>
          <w:docPart w:val="GBC22222222222222222222222222222"/>
        </w:placeholder>
      </w:sdtPr>
      <w:sdtEndPr>
        <w:rPr>
          <w:rFonts w:hint="eastAsia"/>
          <w:color w:val="000000" w:themeColor="text1"/>
          <w14:textFill>
            <w14:solidFill>
              <w14:schemeClr w14:val="tx1"/>
            </w14:solidFill>
          </w14:textFill>
        </w:rPr>
      </w:sdtEndPr>
      <w:sdtContent>
        <w:p w14:paraId="37569AAF">
          <w:pPr>
            <w:ind w:right="210" w:rightChars="10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C359654">
      <w:pPr>
        <w:ind w:right="210" w:rightChars="100"/>
        <w:rPr>
          <w:color w:val="000000" w:themeColor="text1"/>
          <w14:textFill>
            <w14:solidFill>
              <w14:schemeClr w14:val="tx1"/>
            </w14:solidFill>
          </w14:textFill>
        </w:rPr>
      </w:pPr>
    </w:p>
    <w:p w14:paraId="677C89F1">
      <w:pPr>
        <w:pStyle w:val="58"/>
        <w:numPr>
          <w:ilvl w:val="0"/>
          <w:numId w:val="72"/>
        </w:numPr>
        <w:tabs>
          <w:tab w:val="left" w:pos="602"/>
          <w:tab w:val="left" w:pos="798"/>
        </w:tabs>
        <w:rPr>
          <w:rFonts w:ascii="宋体" w:hAnsi="宋体"/>
          <w:color w:val="000000" w:themeColor="text1"/>
          <w:kern w:val="0"/>
          <w:szCs w:val="21"/>
          <w14:textFill>
            <w14:solidFill>
              <w14:schemeClr w14:val="tx1"/>
            </w14:solidFill>
          </w14:textFill>
        </w:rPr>
      </w:pPr>
      <w:bookmarkStart w:id="322" w:name="_Hlk167958925"/>
      <w:bookmarkStart w:id="323" w:name="_Hlk153461442"/>
      <w:r>
        <w:rPr>
          <w:rFonts w:hint="eastAsia" w:ascii="宋体" w:hAnsi="宋体"/>
          <w:color w:val="000000" w:themeColor="text1"/>
          <w:kern w:val="0"/>
          <w:szCs w:val="21"/>
          <w14:textFill>
            <w14:solidFill>
              <w14:schemeClr w14:val="tx1"/>
            </w14:solidFill>
          </w14:textFill>
        </w:rPr>
        <w:t>采用成本计量模式的生产性生物资产的减值测试情况</w:t>
      </w:r>
    </w:p>
    <w:sdt>
      <w:sdtPr>
        <w:rPr>
          <w:color w:val="000000" w:themeColor="text1"/>
          <w14:textFill>
            <w14:solidFill>
              <w14:schemeClr w14:val="tx1"/>
            </w14:solidFill>
          </w14:textFill>
        </w:rPr>
        <w:alias w:val="是否适用：减值测试情况[双击切换]"/>
        <w:tag w:val="_GBC_9e260b0f45a84f50898aaf872db0ca84"/>
        <w:id w:val="147479293"/>
        <w:placeholder>
          <w:docPart w:val="GBC22222222222222222222222222222"/>
        </w:placeholder>
      </w:sdtPr>
      <w:sdtEndPr>
        <w:rPr>
          <w:color w:val="000000" w:themeColor="text1"/>
          <w14:textFill>
            <w14:solidFill>
              <w14:schemeClr w14:val="tx1"/>
            </w14:solidFill>
          </w14:textFill>
        </w:rPr>
      </w:sdtEndPr>
      <w:sdtContent>
        <w:p w14:paraId="2B5A097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2746F24">
      <w:pPr>
        <w:snapToGrid w:val="0"/>
        <w:spacing w:line="240" w:lineRule="atLeast"/>
        <w:rPr>
          <w:color w:val="000000" w:themeColor="text1"/>
          <w14:textFill>
            <w14:solidFill>
              <w14:schemeClr w14:val="tx1"/>
            </w14:solidFill>
          </w14:textFill>
        </w:rPr>
      </w:pPr>
    </w:p>
    <w:bookmarkEnd w:id="322"/>
    <w:bookmarkEnd w:id="323"/>
    <w:p w14:paraId="177BE001">
      <w:pPr>
        <w:pStyle w:val="58"/>
        <w:numPr>
          <w:ilvl w:val="0"/>
          <w:numId w:val="72"/>
        </w:numPr>
        <w:tabs>
          <w:tab w:val="left" w:pos="602"/>
          <w:tab w:val="left" w:pos="798"/>
        </w:tabs>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采用公允价值计量模式的生产性生物资产</w:t>
      </w:r>
    </w:p>
    <w:sdt>
      <w:sdtPr>
        <w:rPr>
          <w:color w:val="000000" w:themeColor="text1"/>
          <w14:textFill>
            <w14:solidFill>
              <w14:schemeClr w14:val="tx1"/>
            </w14:solidFill>
          </w14:textFill>
        </w:rPr>
        <w:alias w:val="是否适用：财务附注：以公允价值计量的生产性生物资产[双击切换]"/>
        <w:tag w:val="_GBC_3a67921e606f4abca6478a1ffb759394"/>
        <w:id w:val="147481896"/>
        <w:placeholder>
          <w:docPart w:val="GBC22222222222222222222222222222"/>
        </w:placeholder>
      </w:sdtPr>
      <w:sdtEndPr>
        <w:rPr>
          <w:color w:val="000000" w:themeColor="text1"/>
          <w14:textFill>
            <w14:solidFill>
              <w14:schemeClr w14:val="tx1"/>
            </w14:solidFill>
          </w14:textFill>
        </w:rPr>
      </w:sdtEndPr>
      <w:sdtContent>
        <w:p w14:paraId="306CF2E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C39F9F4">
      <w:pPr>
        <w:rPr>
          <w:color w:val="000000" w:themeColor="text1"/>
          <w14:textFill>
            <w14:solidFill>
              <w14:schemeClr w14:val="tx1"/>
            </w14:solidFill>
          </w14:textFill>
        </w:rPr>
      </w:pPr>
    </w:p>
    <w:p w14:paraId="2637315E">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生产性生物资产的说明[双击切换]"/>
        <w:tag w:val="_GBC_48247874e2c54937aabce9db1308bea7"/>
        <w:id w:val="147466693"/>
        <w:placeholder>
          <w:docPart w:val="GBC22222222222222222222222222222"/>
        </w:placeholder>
      </w:sdtPr>
      <w:sdtEndPr>
        <w:rPr>
          <w:color w:val="000000" w:themeColor="text1"/>
          <w14:textFill>
            <w14:solidFill>
              <w14:schemeClr w14:val="tx1"/>
            </w14:solidFill>
          </w14:textFill>
        </w:rPr>
      </w:sdtEndPr>
      <w:sdtContent>
        <w:p w14:paraId="6A20F1A3">
          <w:pPr>
            <w:autoSpaceDE w:val="0"/>
            <w:autoSpaceDN w:val="0"/>
            <w:adjustRightInd w:val="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3AFBB86">
      <w:pPr>
        <w:rPr>
          <w:color w:val="000000" w:themeColor="text1"/>
          <w14:textFill>
            <w14:solidFill>
              <w14:schemeClr w14:val="tx1"/>
            </w14:solidFill>
          </w14:textFill>
        </w:rPr>
      </w:pPr>
    </w:p>
    <w:p w14:paraId="5116D4CF">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油气资产</w:t>
      </w:r>
    </w:p>
    <w:p w14:paraId="0AEB0687">
      <w:pPr>
        <w:pStyle w:val="58"/>
        <w:numPr>
          <w:ilvl w:val="0"/>
          <w:numId w:val="73"/>
        </w:numPr>
        <w:rPr>
          <w:color w:val="000000" w:themeColor="text1"/>
          <w14:textFill>
            <w14:solidFill>
              <w14:schemeClr w14:val="tx1"/>
            </w14:solidFill>
          </w14:textFill>
        </w:rPr>
      </w:pPr>
      <w:r>
        <w:rPr>
          <w:rFonts w:hint="eastAsia"/>
          <w:color w:val="000000" w:themeColor="text1"/>
          <w14:textFill>
            <w14:solidFill>
              <w14:schemeClr w14:val="tx1"/>
            </w14:solidFill>
          </w14:textFill>
        </w:rPr>
        <w:t>油气资产情况</w:t>
      </w:r>
    </w:p>
    <w:sdt>
      <w:sdtPr>
        <w:rPr>
          <w:color w:val="000000" w:themeColor="text1"/>
          <w14:textFill>
            <w14:solidFill>
              <w14:schemeClr w14:val="tx1"/>
            </w14:solidFill>
          </w14:textFill>
        </w:rPr>
        <w:alias w:val="是否适用：油气资产[双击切换]"/>
        <w:tag w:val="_GBC_7dce41817eb749dba0d132424020d250"/>
        <w:id w:val="147469891"/>
        <w:placeholder>
          <w:docPart w:val="GBC22222222222222222222222222222"/>
        </w:placeholder>
      </w:sdtPr>
      <w:sdtEndPr>
        <w:rPr>
          <w:color w:val="000000" w:themeColor="text1"/>
          <w14:textFill>
            <w14:solidFill>
              <w14:schemeClr w14:val="tx1"/>
            </w14:solidFill>
          </w14:textFill>
        </w:rPr>
      </w:sdtEndPr>
      <w:sdtContent>
        <w:p w14:paraId="384EA8F2">
          <w:pPr>
            <w:autoSpaceDE w:val="0"/>
            <w:autoSpaceDN w:val="0"/>
            <w:adjustRightInd w:val="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5EBDB5B">
      <w:pPr>
        <w:autoSpaceDE w:val="0"/>
        <w:autoSpaceDN w:val="0"/>
        <w:adjustRightInd w:val="0"/>
        <w:rPr>
          <w:color w:val="000000" w:themeColor="text1"/>
          <w14:textFill>
            <w14:solidFill>
              <w14:schemeClr w14:val="tx1"/>
            </w14:solidFill>
          </w14:textFill>
        </w:rPr>
      </w:pPr>
    </w:p>
    <w:p w14:paraId="0C09238F">
      <w:pPr>
        <w:pStyle w:val="58"/>
        <w:numPr>
          <w:ilvl w:val="0"/>
          <w:numId w:val="73"/>
        </w:numPr>
        <w:rPr>
          <w:color w:val="000000" w:themeColor="text1"/>
          <w14:textFill>
            <w14:solidFill>
              <w14:schemeClr w14:val="tx1"/>
            </w14:solidFill>
          </w14:textFill>
        </w:rPr>
      </w:pPr>
      <w:bookmarkStart w:id="324" w:name="_Hlk167959265"/>
      <w:bookmarkStart w:id="325" w:name="_Hlk153461604"/>
      <w:r>
        <w:rPr>
          <w:rFonts w:hint="eastAsia"/>
          <w:color w:val="000000" w:themeColor="text1"/>
          <w14:textFill>
            <w14:solidFill>
              <w14:schemeClr w14:val="tx1"/>
            </w14:solidFill>
          </w14:textFill>
        </w:rPr>
        <w:t>油气资产的减值测试情况</w:t>
      </w:r>
    </w:p>
    <w:sdt>
      <w:sdtPr>
        <w:rPr>
          <w:color w:val="000000" w:themeColor="text1"/>
          <w14:textFill>
            <w14:solidFill>
              <w14:schemeClr w14:val="tx1"/>
            </w14:solidFill>
          </w14:textFill>
        </w:rPr>
        <w:alias w:val="是否适用：减值测试情况[双击切换]"/>
        <w:tag w:val="_GBC_3d3afd59d9f741639537a668ab2d0ccf"/>
        <w:id w:val="147480234"/>
        <w:placeholder>
          <w:docPart w:val="GBC22222222222222222222222222222"/>
        </w:placeholder>
      </w:sdtPr>
      <w:sdtEndPr>
        <w:rPr>
          <w:color w:val="000000" w:themeColor="text1"/>
          <w14:textFill>
            <w14:solidFill>
              <w14:schemeClr w14:val="tx1"/>
            </w14:solidFill>
          </w14:textFill>
        </w:rPr>
      </w:sdtEndPr>
      <w:sdtContent>
        <w:p w14:paraId="0F0663A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201492E">
      <w:pPr>
        <w:snapToGrid w:val="0"/>
        <w:spacing w:line="240" w:lineRule="atLeast"/>
        <w:rPr>
          <w:color w:val="000000" w:themeColor="text1"/>
          <w14:textFill>
            <w14:solidFill>
              <w14:schemeClr w14:val="tx1"/>
            </w14:solidFill>
          </w14:textFill>
        </w:rPr>
      </w:pPr>
    </w:p>
    <w:bookmarkEnd w:id="324"/>
    <w:bookmarkEnd w:id="325"/>
    <w:p w14:paraId="7CE53F47">
      <w:pPr>
        <w:autoSpaceDE w:val="0"/>
        <w:autoSpaceDN w:val="0"/>
        <w:adjustRightInd w:val="0"/>
        <w:rPr>
          <w:color w:val="000000" w:themeColor="text1"/>
          <w14:textFill>
            <w14:solidFill>
              <w14:schemeClr w14:val="tx1"/>
            </w14:solidFill>
          </w14:textFill>
        </w:rPr>
      </w:pPr>
      <w:bookmarkStart w:id="326" w:name="_Hlk167959495"/>
      <w:r>
        <w:rPr>
          <w:rFonts w:hint="eastAsia"/>
          <w:color w:val="000000" w:themeColor="text1"/>
          <w14:textFill>
            <w14:solidFill>
              <w14:schemeClr w14:val="tx1"/>
            </w14:solidFill>
          </w14:textFill>
        </w:rPr>
        <w:t>其他说明：</w:t>
      </w:r>
    </w:p>
    <w:p w14:paraId="407BCAB0">
      <w:pPr>
        <w:autoSpaceDE w:val="0"/>
        <w:autoSpaceDN w:val="0"/>
        <w:adjustRightInd w:val="0"/>
        <w:rPr>
          <w:color w:val="000000" w:themeColor="text1"/>
          <w14:textFill>
            <w14:solidFill>
              <w14:schemeClr w14:val="tx1"/>
            </w14:solidFill>
          </w14:textFill>
        </w:rPr>
      </w:pPr>
      <w:sdt>
        <w:sdtPr>
          <w:rPr>
            <w:color w:val="000000" w:themeColor="text1"/>
            <w14:textFill>
              <w14:solidFill>
                <w14:schemeClr w14:val="tx1"/>
              </w14:solidFill>
            </w14:textFill>
          </w:rPr>
          <w:alias w:val="油气资产的说明"/>
          <w:tag w:val="_GBC_f691a34a4bb64e549c6319049096f28b"/>
          <w:id w:val="147465212"/>
          <w:placeholder>
            <w:docPart w:val="GBC22222222222222222222222222222"/>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无</w:t>
          </w:r>
        </w:sdtContent>
      </w:sdt>
    </w:p>
    <w:p w14:paraId="435B2054">
      <w:pPr>
        <w:snapToGrid w:val="0"/>
        <w:spacing w:line="240" w:lineRule="atLeast"/>
        <w:rPr>
          <w:color w:val="000000" w:themeColor="text1"/>
          <w14:textFill>
            <w14:solidFill>
              <w14:schemeClr w14:val="tx1"/>
            </w14:solidFill>
          </w14:textFill>
        </w:rPr>
      </w:pPr>
    </w:p>
    <w:bookmarkEnd w:id="326"/>
    <w:sdt>
      <w:sdtPr>
        <w:rPr>
          <w:rFonts w:hint="eastAsia" w:ascii="宋体" w:hAnsi="宋体" w:cs="宋体"/>
          <w:b w:val="0"/>
          <w:bCs/>
          <w:color w:val="000000" w:themeColor="text1"/>
          <w:kern w:val="0"/>
          <w:sz w:val="21"/>
          <w:szCs w:val="21"/>
          <w14:textFill>
            <w14:solidFill>
              <w14:schemeClr w14:val="tx1"/>
            </w14:solidFill>
          </w14:textFill>
        </w:rPr>
        <w:alias w:val="模块:使用权资产"/>
        <w:tag w:val="_SEC_42126bf96c7241e38ff33aae0d98dae2"/>
        <w:id w:val="147466188"/>
        <w:placeholder>
          <w:docPart w:val="GBC22222222222222222222222222222"/>
        </w:placeholder>
      </w:sdtPr>
      <w:sdtEndPr>
        <w:rPr>
          <w:rFonts w:hint="eastAsia" w:ascii="Times New Roman" w:hAnsi="Times New Roman" w:cs="宋体"/>
          <w:b w:val="0"/>
          <w:bCs/>
          <w:color w:val="000000" w:themeColor="text1"/>
          <w:kern w:val="0"/>
          <w:sz w:val="21"/>
          <w:szCs w:val="21"/>
          <w14:textFill>
            <w14:solidFill>
              <w14:schemeClr w14:val="tx1"/>
            </w14:solidFill>
          </w14:textFill>
        </w:rPr>
      </w:sdtEndPr>
      <w:sdtContent>
        <w:sdt>
          <w:sdtPr>
            <w:tag w:val="_PLD_dbf30b0808914e11a730d24190f6e581"/>
            <w:id w:val="147468603"/>
          </w:sdtPr>
          <w:sdtContent>
            <w:p w14:paraId="3E74FD5B">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使用权资产</w:t>
              </w:r>
            </w:p>
          </w:sdtContent>
        </w:sdt>
        <w:p w14:paraId="5370393D">
          <w:pPr>
            <w:pStyle w:val="58"/>
            <w:numPr>
              <w:ilvl w:val="0"/>
              <w:numId w:val="74"/>
            </w:numPr>
            <w:rPr>
              <w:color w:val="000000" w:themeColor="text1"/>
              <w14:textFill>
                <w14:solidFill>
                  <w14:schemeClr w14:val="tx1"/>
                </w14:solidFill>
              </w14:textFill>
            </w:rPr>
          </w:pPr>
          <w:r>
            <w:rPr>
              <w:rFonts w:hint="eastAsia"/>
              <w:color w:val="000000" w:themeColor="text1"/>
              <w14:textFill>
                <w14:solidFill>
                  <w14:schemeClr w14:val="tx1"/>
                </w14:solidFill>
              </w14:textFill>
            </w:rPr>
            <w:t>使用权资产情况</w:t>
          </w:r>
        </w:p>
        <w:sdt>
          <w:sdtPr>
            <w:rPr>
              <w:color w:val="000000" w:themeColor="text1"/>
              <w14:textFill>
                <w14:solidFill>
                  <w14:schemeClr w14:val="tx1"/>
                </w14:solidFill>
              </w14:textFill>
            </w:rPr>
            <w:alias w:val="是否适用：使用权资产[双击切换]"/>
            <w:tag w:val="_GBC_3ac132175b304712af4889ae3914ef7d"/>
            <w:id w:val="147459724"/>
            <w:placeholder>
              <w:docPart w:val="GBC22222222222222222222222222222"/>
            </w:placeholder>
          </w:sdtPr>
          <w:sdtEndPr>
            <w:rPr>
              <w:color w:val="000000" w:themeColor="text1"/>
              <w14:textFill>
                <w14:solidFill>
                  <w14:schemeClr w14:val="tx1"/>
                </w14:solidFill>
              </w14:textFill>
            </w:rPr>
          </w:sdtEndPr>
          <w:sdtContent>
            <w:p w14:paraId="0BE71F1F">
              <w:pPr>
                <w:rPr>
                  <w:color w:val="000000" w:themeColor="text1"/>
                  <w14:textFill>
                    <w14:solidFill>
                      <w14:schemeClr w14:val="tx1"/>
                    </w14:solidFill>
                  </w14:textFill>
                </w:rPr>
              </w:pPr>
              <w:bookmarkStart w:id="327" w:name="_Hlk11679747"/>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622931C">
          <w:pPr>
            <w:autoSpaceDE w:val="0"/>
            <w:autoSpaceDN w:val="0"/>
            <w:adjustRightInd w:val="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使用权资产"/>
              <w:tag w:val="_GBC_126de13c7c92490d95bdebd7efe2d59b"/>
              <w:id w:val="14747209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使用权资产"/>
              <w:tag w:val="_GBC_bb9e8b7096ab49fc95311a6c81431e95"/>
              <w:id w:val="1474743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9"/>
            <w:gridCol w:w="2722"/>
            <w:gridCol w:w="2928"/>
          </w:tblGrid>
          <w:tr w14:paraId="3CEE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sdt>
              <w:sdtPr>
                <w:tag w:val="_PLD_e7cc7a86c52f4dc596615cce534e6d6a"/>
                <w:id w:val="147466974"/>
              </w:sdtPr>
              <w:sdtContent>
                <w:tc>
                  <w:tcPr>
                    <w:tcW w:w="1878" w:type="pct"/>
                    <w:vAlign w:val="center"/>
                  </w:tcPr>
                  <w:p w14:paraId="16055ABF">
                    <w:pPr>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rPr>
                  <w:color w:val="000000" w:themeColor="text1"/>
                  <w14:textFill>
                    <w14:solidFill>
                      <w14:schemeClr w14:val="tx1"/>
                    </w14:solidFill>
                  </w14:textFill>
                </w:rPr>
                <w:alias w:val="使用权资产明细-项目"/>
                <w:tag w:val="_GBC_ea9ffc7b81304e04ad88fe7fcccf7ec1"/>
                <w:id w:val="147482864"/>
              </w:sdtPr>
              <w:sdtEndPr>
                <w:rPr>
                  <w:color w:val="000000" w:themeColor="text1"/>
                  <w14:textFill>
                    <w14:solidFill>
                      <w14:schemeClr w14:val="tx1"/>
                    </w14:solidFill>
                  </w14:textFill>
                </w:rPr>
              </w:sdtEndPr>
              <w:sdtContent>
                <w:tc>
                  <w:tcPr>
                    <w:tcW w:w="1504" w:type="pct"/>
                    <w:vAlign w:val="center"/>
                  </w:tcPr>
                  <w:p w14:paraId="1CF54FE0">
                    <w:pPr>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房屋及建筑物</w:t>
                    </w:r>
                  </w:p>
                </w:tc>
              </w:sdtContent>
            </w:sdt>
            <w:sdt>
              <w:sdtPr>
                <w:tag w:val="_PLD_8404013d36434d0f94f9d2e0e06379db"/>
                <w:id w:val="147461686"/>
              </w:sdtPr>
              <w:sdtContent>
                <w:tc>
                  <w:tcPr>
                    <w:tcW w:w="1617" w:type="pct"/>
                    <w:vAlign w:val="center"/>
                  </w:tcPr>
                  <w:p w14:paraId="1BD2FAE2">
                    <w:pPr>
                      <w:spacing w:line="24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合计</w:t>
                    </w:r>
                  </w:p>
                </w:tc>
              </w:sdtContent>
            </w:sdt>
          </w:tr>
          <w:tr w14:paraId="5599D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8a1172a4974b4db489d9ace1c9b06ff9"/>
                <w:id w:val="147471045"/>
              </w:sdtPr>
              <w:sdtContent>
                <w:tc>
                  <w:tcPr>
                    <w:tcW w:w="5000" w:type="pct"/>
                    <w:gridSpan w:val="3"/>
                    <w:vAlign w:val="center"/>
                  </w:tcPr>
                  <w:p w14:paraId="13D214F8">
                    <w:pPr>
                      <w:spacing w:line="240" w:lineRule="atLeast"/>
                      <w:rPr>
                        <w:color w:val="000000" w:themeColor="text1"/>
                        <w14:textFill>
                          <w14:solidFill>
                            <w14:schemeClr w14:val="tx1"/>
                          </w14:solidFill>
                        </w14:textFill>
                      </w:rPr>
                    </w:pPr>
                    <w:r>
                      <w:rPr>
                        <w:color w:val="000000" w:themeColor="text1"/>
                        <w14:textFill>
                          <w14:solidFill>
                            <w14:schemeClr w14:val="tx1"/>
                          </w14:solidFill>
                        </w14:textFill>
                      </w:rPr>
                      <w:t>一、</w:t>
                    </w:r>
                    <w:r>
                      <w:rPr>
                        <w:rFonts w:hint="eastAsia"/>
                        <w:color w:val="000000" w:themeColor="text1"/>
                        <w14:textFill>
                          <w14:solidFill>
                            <w14:schemeClr w14:val="tx1"/>
                          </w14:solidFill>
                        </w14:textFill>
                      </w:rPr>
                      <w:t>账面</w:t>
                    </w:r>
                    <w:r>
                      <w:rPr>
                        <w:color w:val="000000" w:themeColor="text1"/>
                        <w14:textFill>
                          <w14:solidFill>
                            <w14:schemeClr w14:val="tx1"/>
                          </w14:solidFill>
                        </w14:textFill>
                      </w:rPr>
                      <w:t>原</w:t>
                    </w:r>
                    <w:r>
                      <w:rPr>
                        <w:rFonts w:hint="eastAsia"/>
                        <w:color w:val="000000" w:themeColor="text1"/>
                        <w14:textFill>
                          <w14:solidFill>
                            <w14:schemeClr w14:val="tx1"/>
                          </w14:solidFill>
                        </w14:textFill>
                      </w:rPr>
                      <w:t>值</w:t>
                    </w:r>
                  </w:p>
                </w:tc>
              </w:sdtContent>
            </w:sdt>
          </w:tr>
          <w:tr w14:paraId="2A23E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7321597C">
                <w:pPr>
                  <w:spacing w:line="240" w:lineRule="atLeas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期</w:t>
                </w:r>
                <w:r>
                  <w:rPr>
                    <w:color w:val="000000" w:themeColor="text1"/>
                    <w14:textFill>
                      <w14:solidFill>
                        <w14:schemeClr w14:val="tx1"/>
                      </w14:solidFill>
                    </w14:textFill>
                  </w:rPr>
                  <w:t>初余额</w:t>
                </w:r>
              </w:p>
            </w:tc>
            <w:tc>
              <w:tcPr>
                <w:tcW w:w="1504" w:type="pct"/>
                <w:vAlign w:val="center"/>
              </w:tcPr>
              <w:p w14:paraId="149207DD">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15,967,621.24</w:t>
                </w:r>
              </w:p>
            </w:tc>
            <w:tc>
              <w:tcPr>
                <w:tcW w:w="1617" w:type="pct"/>
                <w:vAlign w:val="center"/>
              </w:tcPr>
              <w:p w14:paraId="60B1C7E0">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15,967,621.24</w:t>
                </w:r>
              </w:p>
            </w:tc>
          </w:tr>
          <w:tr w14:paraId="1920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15504036">
                <w:pPr>
                  <w:spacing w:line="240" w:lineRule="atLeas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2.本期增加</w:t>
                </w:r>
                <w:r>
                  <w:rPr>
                    <w:rFonts w:hint="eastAsia"/>
                    <w:color w:val="000000" w:themeColor="text1"/>
                    <w14:textFill>
                      <w14:solidFill>
                        <w14:schemeClr w14:val="tx1"/>
                      </w14:solidFill>
                    </w14:textFill>
                  </w:rPr>
                  <w:t>金额</w:t>
                </w:r>
              </w:p>
            </w:tc>
            <w:tc>
              <w:tcPr>
                <w:tcW w:w="1504" w:type="pct"/>
              </w:tcPr>
              <w:p w14:paraId="30510123">
                <w:pPr>
                  <w:spacing w:line="240" w:lineRule="atLeast"/>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w:t>
                </w:r>
              </w:p>
            </w:tc>
            <w:tc>
              <w:tcPr>
                <w:tcW w:w="1617" w:type="pct"/>
              </w:tcPr>
              <w:p w14:paraId="2A548711">
                <w:pPr>
                  <w:spacing w:line="240" w:lineRule="atLeast"/>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w:t>
                </w:r>
              </w:p>
            </w:tc>
          </w:tr>
          <w:tr w14:paraId="6C8A8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36CEF75E">
                <w:pPr>
                  <w:spacing w:line="240" w:lineRule="atLeas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3.本期减少</w:t>
                </w:r>
                <w:r>
                  <w:rPr>
                    <w:rFonts w:hint="eastAsia"/>
                    <w:color w:val="000000" w:themeColor="text1"/>
                    <w14:textFill>
                      <w14:solidFill>
                        <w14:schemeClr w14:val="tx1"/>
                      </w14:solidFill>
                    </w14:textFill>
                  </w:rPr>
                  <w:t>金额</w:t>
                </w:r>
              </w:p>
            </w:tc>
            <w:tc>
              <w:tcPr>
                <w:tcW w:w="1504" w:type="pct"/>
              </w:tcPr>
              <w:p w14:paraId="7438A08D">
                <w:pPr>
                  <w:spacing w:line="240" w:lineRule="atLeast"/>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w:t>
                </w:r>
              </w:p>
            </w:tc>
            <w:tc>
              <w:tcPr>
                <w:tcW w:w="1617" w:type="pct"/>
              </w:tcPr>
              <w:p w14:paraId="41B9D469">
                <w:pPr>
                  <w:spacing w:line="240" w:lineRule="atLeast"/>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w:t>
                </w:r>
              </w:p>
            </w:tc>
          </w:tr>
          <w:tr w14:paraId="5B74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246A403A">
                <w:pPr>
                  <w:spacing w:line="240" w:lineRule="atLeas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4.期末余额</w:t>
                </w:r>
              </w:p>
            </w:tc>
            <w:tc>
              <w:tcPr>
                <w:tcW w:w="1504" w:type="pct"/>
                <w:vAlign w:val="center"/>
              </w:tcPr>
              <w:p w14:paraId="1AF3ABEF">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15,967,621.24</w:t>
                </w:r>
              </w:p>
            </w:tc>
            <w:tc>
              <w:tcPr>
                <w:tcW w:w="1617" w:type="pct"/>
                <w:vAlign w:val="center"/>
              </w:tcPr>
              <w:p w14:paraId="69D5F793">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15,967,621.24</w:t>
                </w:r>
              </w:p>
            </w:tc>
          </w:tr>
          <w:tr w14:paraId="2E42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cs="Times New Roman"/>
                </w:rPr>
                <w:tag w:val="_PLD_c5fd254e7ed54ab8b2346f3d57a1cc54"/>
                <w:id w:val="147480453"/>
              </w:sdtPr>
              <w:sdtEndPr>
                <w:rPr>
                  <w:rFonts w:cs="Times New Roman"/>
                </w:rPr>
              </w:sdtEndPr>
              <w:sdtContent>
                <w:tc>
                  <w:tcPr>
                    <w:tcW w:w="5000" w:type="pct"/>
                    <w:gridSpan w:val="3"/>
                    <w:vAlign w:val="center"/>
                  </w:tcPr>
                  <w:p w14:paraId="68A0B84F">
                    <w:pPr>
                      <w:spacing w:line="240" w:lineRule="atLeas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二、累计折旧</w:t>
                    </w:r>
                  </w:p>
                </w:tc>
              </w:sdtContent>
            </w:sdt>
          </w:tr>
          <w:tr w14:paraId="2D5D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37000527">
                <w:pPr>
                  <w:spacing w:line="240" w:lineRule="atLeas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1.期</w:t>
                </w:r>
                <w:r>
                  <w:rPr>
                    <w:color w:val="000000" w:themeColor="text1"/>
                    <w14:textFill>
                      <w14:solidFill>
                        <w14:schemeClr w14:val="tx1"/>
                      </w14:solidFill>
                    </w14:textFill>
                  </w:rPr>
                  <w:t>初余额</w:t>
                </w:r>
              </w:p>
            </w:tc>
            <w:tc>
              <w:tcPr>
                <w:tcW w:w="1504" w:type="pct"/>
                <w:vAlign w:val="center"/>
              </w:tcPr>
              <w:p w14:paraId="10DB3029">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5,296,909.95</w:t>
                </w:r>
              </w:p>
            </w:tc>
            <w:tc>
              <w:tcPr>
                <w:tcW w:w="1617" w:type="pct"/>
                <w:vAlign w:val="center"/>
              </w:tcPr>
              <w:p w14:paraId="38A8A969">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5,296,909.95</w:t>
                </w:r>
              </w:p>
            </w:tc>
          </w:tr>
          <w:tr w14:paraId="0C29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4ACA33EF">
                <w:pPr>
                  <w:spacing w:line="240" w:lineRule="atLeas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2.本期增加</w:t>
                </w:r>
                <w:r>
                  <w:rPr>
                    <w:rFonts w:hint="eastAsia"/>
                    <w:color w:val="000000" w:themeColor="text1"/>
                    <w14:textFill>
                      <w14:solidFill>
                        <w14:schemeClr w14:val="tx1"/>
                      </w14:solidFill>
                    </w14:textFill>
                  </w:rPr>
                  <w:t>金额</w:t>
                </w:r>
              </w:p>
            </w:tc>
            <w:tc>
              <w:tcPr>
                <w:tcW w:w="1504" w:type="pct"/>
                <w:vAlign w:val="center"/>
              </w:tcPr>
              <w:p w14:paraId="3ECFD209">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709,745.55</w:t>
                </w:r>
              </w:p>
            </w:tc>
            <w:tc>
              <w:tcPr>
                <w:tcW w:w="1617" w:type="pct"/>
                <w:vAlign w:val="center"/>
              </w:tcPr>
              <w:p w14:paraId="4DAF6C0E">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709,745.55</w:t>
                </w:r>
              </w:p>
            </w:tc>
          </w:tr>
          <w:tr w14:paraId="6A70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59B8A3BC">
                <w:pPr>
                  <w:spacing w:line="240" w:lineRule="atLeast"/>
                  <w:ind w:firstLine="630" w:firstLineChars="300"/>
                  <w:rPr>
                    <w:color w:val="000000" w:themeColor="text1"/>
                    <w14:textFill>
                      <w14:solidFill>
                        <w14:schemeClr w14:val="tx1"/>
                      </w14:solidFill>
                    </w14:textFill>
                  </w:rPr>
                </w:pPr>
                <w:r>
                  <w:rPr>
                    <w:color w:val="000000" w:themeColor="text1"/>
                    <w14:textFill>
                      <w14:solidFill>
                        <w14:schemeClr w14:val="tx1"/>
                      </w14:solidFill>
                    </w14:textFill>
                  </w:rPr>
                  <w:t>(1)计提</w:t>
                </w:r>
              </w:p>
            </w:tc>
            <w:tc>
              <w:tcPr>
                <w:tcW w:w="1504" w:type="pct"/>
                <w:vAlign w:val="center"/>
              </w:tcPr>
              <w:p w14:paraId="1C73927E">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709,745.55</w:t>
                </w:r>
              </w:p>
            </w:tc>
            <w:tc>
              <w:tcPr>
                <w:tcW w:w="1617" w:type="pct"/>
                <w:vAlign w:val="center"/>
              </w:tcPr>
              <w:p w14:paraId="5A8309B4">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709,745.55</w:t>
                </w:r>
              </w:p>
            </w:tc>
          </w:tr>
          <w:tr w14:paraId="46951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2D33AE64">
                <w:pPr>
                  <w:spacing w:line="240" w:lineRule="atLeas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本期减少</w:t>
                </w:r>
                <w:r>
                  <w:rPr>
                    <w:rFonts w:hint="eastAsia"/>
                    <w:color w:val="000000" w:themeColor="text1"/>
                    <w14:textFill>
                      <w14:solidFill>
                        <w14:schemeClr w14:val="tx1"/>
                      </w14:solidFill>
                    </w14:textFill>
                  </w:rPr>
                  <w:t>金额</w:t>
                </w:r>
              </w:p>
            </w:tc>
            <w:tc>
              <w:tcPr>
                <w:tcW w:w="1504" w:type="pct"/>
                <w:vAlign w:val="center"/>
              </w:tcPr>
              <w:p w14:paraId="677BD198">
                <w:pPr>
                  <w:jc w:val="right"/>
                  <w:rPr>
                    <w:rFonts w:cs="Times New Roman"/>
                    <w:color w:val="000000" w:themeColor="text1"/>
                    <w14:textFill>
                      <w14:solidFill>
                        <w14:schemeClr w14:val="tx1"/>
                      </w14:solidFill>
                    </w14:textFill>
                  </w:rPr>
                </w:pPr>
              </w:p>
            </w:tc>
            <w:tc>
              <w:tcPr>
                <w:tcW w:w="1617" w:type="pct"/>
                <w:vAlign w:val="center"/>
              </w:tcPr>
              <w:p w14:paraId="2B676CA3">
                <w:pPr>
                  <w:jc w:val="right"/>
                  <w:rPr>
                    <w:rFonts w:cs="Times New Roman"/>
                    <w:color w:val="000000" w:themeColor="text1"/>
                    <w14:textFill>
                      <w14:solidFill>
                        <w14:schemeClr w14:val="tx1"/>
                      </w14:solidFill>
                    </w14:textFill>
                  </w:rPr>
                </w:pPr>
              </w:p>
            </w:tc>
          </w:tr>
          <w:tr w14:paraId="30C5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7E577F03">
                <w:pPr>
                  <w:spacing w:line="240" w:lineRule="atLeas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期末余额</w:t>
                </w:r>
              </w:p>
            </w:tc>
            <w:tc>
              <w:tcPr>
                <w:tcW w:w="1504" w:type="pct"/>
                <w:vAlign w:val="center"/>
              </w:tcPr>
              <w:p w14:paraId="4DDEA227">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6,006,655.50</w:t>
                </w:r>
              </w:p>
            </w:tc>
            <w:tc>
              <w:tcPr>
                <w:tcW w:w="1617" w:type="pct"/>
                <w:vAlign w:val="center"/>
              </w:tcPr>
              <w:p w14:paraId="4921678E">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6,006,655.50</w:t>
                </w:r>
              </w:p>
            </w:tc>
          </w:tr>
          <w:tr w14:paraId="70D0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cs="Times New Roman"/>
                </w:rPr>
                <w:tag w:val="_PLD_977579b288954e92aacbdc72b4e58579"/>
                <w:id w:val="147469132"/>
              </w:sdtPr>
              <w:sdtEndPr>
                <w:rPr>
                  <w:rFonts w:cs="Times New Roman"/>
                </w:rPr>
              </w:sdtEndPr>
              <w:sdtContent>
                <w:tc>
                  <w:tcPr>
                    <w:tcW w:w="5000" w:type="pct"/>
                    <w:gridSpan w:val="3"/>
                    <w:vAlign w:val="center"/>
                  </w:tcPr>
                  <w:p w14:paraId="55A63C9B">
                    <w:pPr>
                      <w:spacing w:line="240" w:lineRule="atLeas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三、减值准备</w:t>
                    </w:r>
                  </w:p>
                </w:tc>
              </w:sdtContent>
            </w:sdt>
          </w:tr>
          <w:tr w14:paraId="035CC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cs="Times New Roman"/>
                </w:rPr>
                <w:tag w:val="_PLD_a609076f16da4fedb37d9fc1d72dfd8f"/>
                <w:id w:val="147473910"/>
              </w:sdtPr>
              <w:sdtEndPr>
                <w:rPr>
                  <w:rFonts w:cs="Times New Roman"/>
                </w:rPr>
              </w:sdtEndPr>
              <w:sdtContent>
                <w:tc>
                  <w:tcPr>
                    <w:tcW w:w="5000" w:type="pct"/>
                    <w:gridSpan w:val="3"/>
                    <w:vAlign w:val="center"/>
                  </w:tcPr>
                  <w:p w14:paraId="6AACB080">
                    <w:pPr>
                      <w:spacing w:line="240" w:lineRule="atLeas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四、账面价值</w:t>
                    </w:r>
                  </w:p>
                </w:tc>
              </w:sdtContent>
            </w:sdt>
          </w:tr>
          <w:tr w14:paraId="28106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4DE20BE8">
                <w:pPr>
                  <w:spacing w:line="240" w:lineRule="atLeas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1.期末账面价值</w:t>
                </w:r>
              </w:p>
            </w:tc>
            <w:tc>
              <w:tcPr>
                <w:tcW w:w="1504" w:type="pct"/>
                <w:vAlign w:val="center"/>
              </w:tcPr>
              <w:p w14:paraId="7077D996">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9,960,965.74</w:t>
                </w:r>
              </w:p>
            </w:tc>
            <w:tc>
              <w:tcPr>
                <w:tcW w:w="1617" w:type="pct"/>
                <w:vAlign w:val="center"/>
              </w:tcPr>
              <w:p w14:paraId="3A29D849">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9,960,965.74</w:t>
                </w:r>
              </w:p>
            </w:tc>
          </w:tr>
          <w:tr w14:paraId="7893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2F40CA64">
                <w:pPr>
                  <w:spacing w:line="240" w:lineRule="atLeas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2.期初账面价值</w:t>
                </w:r>
              </w:p>
            </w:tc>
            <w:tc>
              <w:tcPr>
                <w:tcW w:w="1504" w:type="pct"/>
                <w:vAlign w:val="center"/>
              </w:tcPr>
              <w:p w14:paraId="1B44CC32">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10,670,711.29</w:t>
                </w:r>
              </w:p>
            </w:tc>
            <w:tc>
              <w:tcPr>
                <w:tcW w:w="1617" w:type="pct"/>
                <w:vAlign w:val="center"/>
              </w:tcPr>
              <w:p w14:paraId="5ECDCC77">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10,670,711.29</w:t>
                </w:r>
              </w:p>
            </w:tc>
          </w:tr>
        </w:tbl>
        <w:p w14:paraId="1442AC5E"/>
        <w:p w14:paraId="35546396">
          <w:pPr>
            <w:autoSpaceDE w:val="0"/>
            <w:autoSpaceDN w:val="0"/>
            <w:adjustRightInd w:val="0"/>
            <w:rPr>
              <w:color w:val="000000" w:themeColor="text1"/>
              <w14:textFill>
                <w14:solidFill>
                  <w14:schemeClr w14:val="tx1"/>
                </w14:solidFill>
              </w14:textFill>
            </w:rPr>
          </w:pPr>
        </w:p>
      </w:sdtContent>
    </w:sdt>
    <w:bookmarkEnd w:id="327"/>
    <w:p w14:paraId="10D1175A">
      <w:pPr>
        <w:pStyle w:val="58"/>
        <w:numPr>
          <w:ilvl w:val="0"/>
          <w:numId w:val="74"/>
        </w:numPr>
        <w:rPr>
          <w:color w:val="000000" w:themeColor="text1"/>
          <w14:textFill>
            <w14:solidFill>
              <w14:schemeClr w14:val="tx1"/>
            </w14:solidFill>
          </w14:textFill>
        </w:rPr>
      </w:pPr>
      <w:bookmarkStart w:id="328" w:name="_Hlk153461708"/>
      <w:bookmarkStart w:id="329" w:name="_Hlk167959535"/>
      <w:r>
        <w:rPr>
          <w:rFonts w:hint="eastAsia"/>
          <w:color w:val="000000" w:themeColor="text1"/>
          <w14:textFill>
            <w14:solidFill>
              <w14:schemeClr w14:val="tx1"/>
            </w14:solidFill>
          </w14:textFill>
        </w:rPr>
        <w:t>使用权资产的减值测试情况</w:t>
      </w:r>
    </w:p>
    <w:sdt>
      <w:sdtPr>
        <w:rPr>
          <w:color w:val="000000" w:themeColor="text1"/>
          <w14:textFill>
            <w14:solidFill>
              <w14:schemeClr w14:val="tx1"/>
            </w14:solidFill>
          </w14:textFill>
        </w:rPr>
        <w:alias w:val="是否适用：减值测试情况[双击切换]"/>
        <w:tag w:val="_GBC_d79f93753a2c43fc80991be4c588d144"/>
        <w:id w:val="147466590"/>
        <w:placeholder>
          <w:docPart w:val="GBC22222222222222222222222222222"/>
        </w:placeholder>
      </w:sdtPr>
      <w:sdtEndPr>
        <w:rPr>
          <w:color w:val="000000" w:themeColor="text1"/>
          <w14:textFill>
            <w14:solidFill>
              <w14:schemeClr w14:val="tx1"/>
            </w14:solidFill>
          </w14:textFill>
        </w:rPr>
      </w:sdtEndPr>
      <w:sdtContent>
        <w:p w14:paraId="6073A5A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7CCD966">
      <w:pPr>
        <w:snapToGrid w:val="0"/>
        <w:spacing w:line="240" w:lineRule="atLeast"/>
        <w:rPr>
          <w:color w:val="000000" w:themeColor="text1"/>
          <w14:textFill>
            <w14:solidFill>
              <w14:schemeClr w14:val="tx1"/>
            </w14:solidFill>
          </w14:textFill>
        </w:rPr>
      </w:pPr>
    </w:p>
    <w:bookmarkEnd w:id="328"/>
    <w:bookmarkEnd w:id="329"/>
    <w:p w14:paraId="3136B31E">
      <w:pPr>
        <w:autoSpaceDE w:val="0"/>
        <w:autoSpaceDN w:val="0"/>
        <w:adjustRightInd w:val="0"/>
        <w:rPr>
          <w:color w:val="000000" w:themeColor="text1"/>
          <w14:textFill>
            <w14:solidFill>
              <w14:schemeClr w14:val="tx1"/>
            </w14:solidFill>
          </w14:textFill>
        </w:rPr>
      </w:pPr>
      <w:bookmarkStart w:id="330" w:name="_Hlk167959640"/>
      <w:r>
        <w:rPr>
          <w:rFonts w:hint="eastAsia"/>
          <w:color w:val="000000" w:themeColor="text1"/>
          <w14:textFill>
            <w14:solidFill>
              <w14:schemeClr w14:val="tx1"/>
            </w14:solidFill>
          </w14:textFill>
        </w:rPr>
        <w:t>其他说明：</w:t>
      </w:r>
    </w:p>
    <w:p w14:paraId="7FD2D872">
      <w:pPr>
        <w:rPr>
          <w:color w:val="000000" w:themeColor="text1"/>
          <w14:textFill>
            <w14:solidFill>
              <w14:schemeClr w14:val="tx1"/>
            </w14:solidFill>
          </w14:textFill>
        </w:rPr>
      </w:pPr>
      <w:sdt>
        <w:sdtPr>
          <w:rPr>
            <w:color w:val="000000" w:themeColor="text1"/>
            <w14:textFill>
              <w14:solidFill>
                <w14:schemeClr w14:val="tx1"/>
              </w14:solidFill>
            </w14:textFill>
          </w:rPr>
          <w:alias w:val="使用权资产其他说明"/>
          <w:tag w:val="_GBC_30439a7674b44ef39168f8672c6df2c9"/>
          <w:id w:val="147460538"/>
          <w:placeholder>
            <w:docPart w:val="GBC22222222222222222222222222222"/>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无</w:t>
          </w:r>
        </w:sdtContent>
      </w:sdt>
    </w:p>
    <w:p w14:paraId="4320AEB6">
      <w:pPr>
        <w:rPr>
          <w:color w:val="000000" w:themeColor="text1"/>
          <w14:textFill>
            <w14:solidFill>
              <w14:schemeClr w14:val="tx1"/>
            </w14:solidFill>
          </w14:textFill>
        </w:rPr>
        <w:sectPr>
          <w:pgSz w:w="11906" w:h="16838"/>
          <w:pgMar w:top="1525" w:right="1276" w:bottom="1440" w:left="1797" w:header="856" w:footer="992" w:gutter="0"/>
          <w:cols w:space="425" w:num="1"/>
          <w:docGrid w:linePitch="312" w:charSpace="0"/>
        </w:sectPr>
      </w:pPr>
    </w:p>
    <w:p w14:paraId="263FD89B">
      <w:pPr>
        <w:rPr>
          <w:color w:val="000000" w:themeColor="text1"/>
          <w14:textFill>
            <w14:solidFill>
              <w14:schemeClr w14:val="tx1"/>
            </w14:solidFill>
          </w14:textFill>
        </w:rPr>
      </w:pPr>
    </w:p>
    <w:bookmarkEnd w:id="330"/>
    <w:p w14:paraId="7E5A4A0D">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无形资产</w:t>
      </w:r>
    </w:p>
    <w:p w14:paraId="2F725739">
      <w:pPr>
        <w:pStyle w:val="58"/>
        <w:numPr>
          <w:ilvl w:val="0"/>
          <w:numId w:val="75"/>
        </w:numPr>
        <w:tabs>
          <w:tab w:val="left" w:pos="602"/>
        </w:tabs>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无形资产情况</w:t>
      </w:r>
    </w:p>
    <w:p w14:paraId="55EC88B5">
      <w:pPr>
        <w:rPr>
          <w:color w:val="000000" w:themeColor="text1"/>
          <w14:textFill>
            <w14:solidFill>
              <w14:schemeClr w14:val="tx1"/>
            </w14:solidFill>
          </w14:textFill>
        </w:rPr>
      </w:pPr>
      <w:sdt>
        <w:sdtPr>
          <w:rPr>
            <w:rFonts w:hint="eastAsia"/>
            <w:color w:val="000000" w:themeColor="text1"/>
            <w14:textFill>
              <w14:solidFill>
                <w14:schemeClr w14:val="tx1"/>
              </w14:solidFill>
            </w14:textFill>
          </w:rPr>
          <w:alias w:val="是否适用：无形资产情况[双击切换]"/>
          <w:tag w:val="_GBC_0882d05501f84259b91efc5f2eae98cf"/>
          <w:id w:val="147455274"/>
          <w:lock w:val="contentLocked"/>
          <w:placeholder>
            <w:docPart w:val="GBC22222222222222222222222222222"/>
          </w:placeholder>
        </w:sdtPr>
        <w:sdtEndPr>
          <w:rPr>
            <w:rFonts w:hint="eastAsia"/>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0F31BBBD">
      <w:pPr>
        <w:snapToGrid w:val="0"/>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无形资产情况"/>
          <w:tag w:val="_GBC_e04514c8858e489490302ba7c2e1448a"/>
          <w:id w:val="1474536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无形资产情况"/>
          <w:tag w:val="_GBC_5ac7324577934f838e3655199c980c1c"/>
          <w:id w:val="1474597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8"/>
        <w:gridCol w:w="1732"/>
        <w:gridCol w:w="1736"/>
        <w:gridCol w:w="1677"/>
        <w:gridCol w:w="1424"/>
        <w:gridCol w:w="1424"/>
        <w:gridCol w:w="1451"/>
        <w:gridCol w:w="1947"/>
      </w:tblGrid>
      <w:tr w14:paraId="31BA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cs="Times New Roman"/>
            </w:rPr>
            <w:tag w:val="_PLD_16e062da10ef4301a1526b8633f88a31"/>
            <w:id w:val="147480011"/>
          </w:sdtPr>
          <w:sdtEndPr>
            <w:rPr>
              <w:rFonts w:cs="Times New Roman"/>
            </w:rPr>
          </w:sdtEndPr>
          <w:sdtContent>
            <w:tc>
              <w:tcPr>
                <w:tcW w:w="958" w:type="pct"/>
                <w:vAlign w:val="center"/>
              </w:tcPr>
              <w:p w14:paraId="72BED4FA">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8b465b50cb10415c8931fdb66ee29ca3"/>
            <w:id w:val="147455661"/>
          </w:sdtPr>
          <w:sdtEndPr>
            <w:rPr>
              <w:rFonts w:cs="Times New Roman"/>
            </w:rPr>
          </w:sdtEndPr>
          <w:sdtContent>
            <w:tc>
              <w:tcPr>
                <w:tcW w:w="615" w:type="pct"/>
                <w:vAlign w:val="center"/>
              </w:tcPr>
              <w:p w14:paraId="3F90FEB8">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土地使用权</w:t>
                </w:r>
              </w:p>
            </w:tc>
          </w:sdtContent>
        </w:sdt>
        <w:sdt>
          <w:sdtPr>
            <w:rPr>
              <w:rFonts w:cs="Times New Roman"/>
            </w:rPr>
            <w:tag w:val="_PLD_55a0c34977f7438f8a4e60b2ec43e654"/>
            <w:id w:val="147470156"/>
          </w:sdtPr>
          <w:sdtEndPr>
            <w:rPr>
              <w:rFonts w:cs="Times New Roman"/>
            </w:rPr>
          </w:sdtEndPr>
          <w:sdtContent>
            <w:tc>
              <w:tcPr>
                <w:tcW w:w="616" w:type="pct"/>
                <w:vAlign w:val="center"/>
              </w:tcPr>
              <w:p w14:paraId="587B13E2">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专利权</w:t>
                </w:r>
              </w:p>
            </w:tc>
          </w:sdtContent>
        </w:sdt>
        <w:sdt>
          <w:sdtPr>
            <w:rPr>
              <w:rFonts w:cs="Times New Roman"/>
            </w:rPr>
            <w:tag w:val="_PLD_624f8e9465f646f5a305cf5fc59a830c"/>
            <w:id w:val="147466030"/>
          </w:sdtPr>
          <w:sdtEndPr>
            <w:rPr>
              <w:rFonts w:cs="Times New Roman"/>
            </w:rPr>
          </w:sdtEndPr>
          <w:sdtContent>
            <w:tc>
              <w:tcPr>
                <w:tcW w:w="595" w:type="pct"/>
                <w:vAlign w:val="center"/>
              </w:tcPr>
              <w:p w14:paraId="7DFCE8A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非专利技术</w:t>
                </w:r>
              </w:p>
            </w:tc>
          </w:sdtContent>
        </w:sdt>
        <w:sdt>
          <w:sdtPr>
            <w:rPr>
              <w:rFonts w:cs="Times New Roman"/>
              <w:color w:val="000000" w:themeColor="text1"/>
              <w14:textFill>
                <w14:solidFill>
                  <w14:schemeClr w14:val="tx1"/>
                </w14:solidFill>
              </w14:textFill>
            </w:rPr>
            <w:alias w:val="无形资产明细－项目"/>
            <w:tag w:val="_GBC_ee2531f58c0a420e83919cd1efe46139"/>
            <w:id w:val="147457947"/>
          </w:sdtPr>
          <w:sdtEndPr>
            <w:rPr>
              <w:rFonts w:cs="Times New Roman"/>
              <w:color w:val="000000" w:themeColor="text1"/>
              <w14:textFill>
                <w14:solidFill>
                  <w14:schemeClr w14:val="tx1"/>
                </w14:solidFill>
              </w14:textFill>
            </w:rPr>
          </w:sdtEndPr>
          <w:sdtContent>
            <w:tc>
              <w:tcPr>
                <w:tcW w:w="505" w:type="pct"/>
                <w:vAlign w:val="center"/>
              </w:tcPr>
              <w:p w14:paraId="309DF60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软件</w:t>
                </w:r>
              </w:p>
            </w:tc>
          </w:sdtContent>
        </w:sdt>
        <w:tc>
          <w:tcPr>
            <w:tcW w:w="505" w:type="pct"/>
            <w:vAlign w:val="center"/>
          </w:tcPr>
          <w:sdt>
            <w:sdtPr>
              <w:rPr>
                <w:rFonts w:cs="Times New Roman"/>
                <w:color w:val="000000" w:themeColor="text1"/>
                <w14:textFill>
                  <w14:solidFill>
                    <w14:schemeClr w14:val="tx1"/>
                  </w14:solidFill>
                </w14:textFill>
              </w:rPr>
              <w:alias w:val="无形资产明细－项目"/>
              <w:tag w:val="_GBC_ee2531f58c0a420e83919cd1efe46139"/>
              <w:id w:val="147463722"/>
            </w:sdtPr>
            <w:sdtEndPr>
              <w:rPr>
                <w:rFonts w:cs="Times New Roman"/>
                <w:color w:val="000000" w:themeColor="text1"/>
                <w14:textFill>
                  <w14:solidFill>
                    <w14:schemeClr w14:val="tx1"/>
                  </w14:solidFill>
                </w14:textFill>
              </w:rPr>
            </w:sdtEndPr>
            <w:sdtContent>
              <w:p w14:paraId="3D2D535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商标权</w:t>
                </w:r>
              </w:p>
            </w:sdtContent>
          </w:sdt>
        </w:tc>
        <w:sdt>
          <w:sdtPr>
            <w:rPr>
              <w:rFonts w:cs="Times New Roman"/>
              <w:color w:val="000000" w:themeColor="text1"/>
              <w14:textFill>
                <w14:solidFill>
                  <w14:schemeClr w14:val="tx1"/>
                </w14:solidFill>
              </w14:textFill>
            </w:rPr>
            <w:alias w:val="无形资产明细－项目"/>
            <w:tag w:val="_GBC_ee2531f58c0a420e83919cd1efe46139"/>
            <w:id w:val="147462854"/>
          </w:sdtPr>
          <w:sdtEndPr>
            <w:rPr>
              <w:rFonts w:cs="Times New Roman"/>
              <w:color w:val="000000" w:themeColor="text1"/>
              <w14:textFill>
                <w14:solidFill>
                  <w14:schemeClr w14:val="tx1"/>
                </w14:solidFill>
              </w14:textFill>
            </w:rPr>
          </w:sdtEndPr>
          <w:sdtContent>
            <w:tc>
              <w:tcPr>
                <w:tcW w:w="515" w:type="pct"/>
                <w:vAlign w:val="center"/>
              </w:tcPr>
              <w:p w14:paraId="293344B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w:t>
                </w:r>
              </w:p>
            </w:tc>
          </w:sdtContent>
        </w:sdt>
        <w:sdt>
          <w:sdtPr>
            <w:rPr>
              <w:rFonts w:cs="Times New Roman"/>
            </w:rPr>
            <w:tag w:val="_PLD_57620ddc57e34012a99d49f2280a99e2"/>
            <w:id w:val="147451048"/>
          </w:sdtPr>
          <w:sdtEndPr>
            <w:rPr>
              <w:rFonts w:cs="Times New Roman"/>
            </w:rPr>
          </w:sdtEndPr>
          <w:sdtContent>
            <w:tc>
              <w:tcPr>
                <w:tcW w:w="687" w:type="pct"/>
                <w:vAlign w:val="center"/>
              </w:tcPr>
              <w:p w14:paraId="0DFB4BD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r>
      <w:tr w14:paraId="2728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cs="Times New Roman"/>
            </w:rPr>
            <w:tag w:val="_PLD_97ce5956782c457c89e9607c943b01d4"/>
            <w:id w:val="147473969"/>
          </w:sdtPr>
          <w:sdtEndPr>
            <w:rPr>
              <w:rFonts w:cs="Times New Roman"/>
            </w:rPr>
          </w:sdtEndPr>
          <w:sdtContent>
            <w:tc>
              <w:tcPr>
                <w:tcW w:w="5000" w:type="pct"/>
                <w:gridSpan w:val="8"/>
                <w:vAlign w:val="center"/>
              </w:tcPr>
              <w:p w14:paraId="1E7875D6">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一、账面原值</w:t>
                </w:r>
              </w:p>
            </w:tc>
          </w:sdtContent>
        </w:sdt>
      </w:tr>
      <w:tr w14:paraId="4BCB7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58" w:type="pct"/>
            <w:vAlign w:val="center"/>
          </w:tcPr>
          <w:p w14:paraId="04C1A428">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1.期初余额</w:t>
            </w:r>
          </w:p>
        </w:tc>
        <w:tc>
          <w:tcPr>
            <w:tcW w:w="615" w:type="pct"/>
            <w:vAlign w:val="center"/>
          </w:tcPr>
          <w:p w14:paraId="15CD81CF">
            <w:pPr>
              <w:jc w:val="right"/>
              <w:textAlignment w:val="center"/>
              <w:rPr>
                <w:rFonts w:cs="Times New Roman"/>
              </w:rPr>
            </w:pPr>
            <w:r>
              <w:rPr>
                <w:rFonts w:cs="Times New Roman"/>
                <w:color w:val="000000"/>
              </w:rPr>
              <w:t>2,465,583,327.52</w:t>
            </w:r>
          </w:p>
        </w:tc>
        <w:tc>
          <w:tcPr>
            <w:tcW w:w="616" w:type="pct"/>
            <w:vAlign w:val="center"/>
          </w:tcPr>
          <w:p w14:paraId="3E39CE65">
            <w:pPr>
              <w:jc w:val="right"/>
              <w:textAlignment w:val="center"/>
              <w:rPr>
                <w:rFonts w:cs="Times New Roman"/>
              </w:rPr>
            </w:pPr>
            <w:r>
              <w:rPr>
                <w:rFonts w:cs="Times New Roman"/>
                <w:color w:val="000000"/>
              </w:rPr>
              <w:t>17,529,493.58</w:t>
            </w:r>
          </w:p>
        </w:tc>
        <w:tc>
          <w:tcPr>
            <w:tcW w:w="595" w:type="pct"/>
            <w:vAlign w:val="center"/>
          </w:tcPr>
          <w:p w14:paraId="38829CB7">
            <w:pPr>
              <w:jc w:val="right"/>
              <w:textAlignment w:val="center"/>
              <w:rPr>
                <w:rFonts w:cs="Times New Roman"/>
              </w:rPr>
            </w:pPr>
            <w:r>
              <w:rPr>
                <w:rFonts w:cs="Times New Roman"/>
                <w:color w:val="000000"/>
              </w:rPr>
              <w:t>998,201.15</w:t>
            </w:r>
          </w:p>
        </w:tc>
        <w:tc>
          <w:tcPr>
            <w:tcW w:w="505" w:type="pct"/>
            <w:vAlign w:val="center"/>
          </w:tcPr>
          <w:p w14:paraId="55F19ED0">
            <w:pPr>
              <w:jc w:val="right"/>
              <w:textAlignment w:val="center"/>
              <w:rPr>
                <w:rFonts w:cs="Times New Roman"/>
              </w:rPr>
            </w:pPr>
            <w:r>
              <w:rPr>
                <w:rFonts w:cs="Times New Roman"/>
                <w:color w:val="000000"/>
              </w:rPr>
              <w:t>26,099,719.52</w:t>
            </w:r>
          </w:p>
        </w:tc>
        <w:tc>
          <w:tcPr>
            <w:tcW w:w="505" w:type="pct"/>
            <w:vAlign w:val="center"/>
          </w:tcPr>
          <w:p w14:paraId="389D2159">
            <w:pPr>
              <w:jc w:val="right"/>
              <w:textAlignment w:val="center"/>
              <w:rPr>
                <w:rFonts w:cs="Times New Roman"/>
              </w:rPr>
            </w:pPr>
            <w:r>
              <w:rPr>
                <w:rFonts w:cs="Times New Roman"/>
                <w:color w:val="000000"/>
              </w:rPr>
              <w:t>15,239,537.05</w:t>
            </w:r>
          </w:p>
        </w:tc>
        <w:tc>
          <w:tcPr>
            <w:tcW w:w="515" w:type="pct"/>
            <w:vAlign w:val="center"/>
          </w:tcPr>
          <w:p w14:paraId="010C6679">
            <w:pPr>
              <w:jc w:val="right"/>
              <w:textAlignment w:val="center"/>
              <w:rPr>
                <w:rFonts w:cs="Times New Roman"/>
              </w:rPr>
            </w:pPr>
            <w:r>
              <w:rPr>
                <w:rFonts w:cs="Times New Roman"/>
                <w:color w:val="000000"/>
              </w:rPr>
              <w:t>1,060,377.33</w:t>
            </w:r>
          </w:p>
        </w:tc>
        <w:tc>
          <w:tcPr>
            <w:tcW w:w="687" w:type="pct"/>
            <w:vAlign w:val="center"/>
          </w:tcPr>
          <w:p w14:paraId="57B4E36A">
            <w:pPr>
              <w:jc w:val="right"/>
              <w:textAlignment w:val="center"/>
              <w:rPr>
                <w:rFonts w:cs="Times New Roman"/>
              </w:rPr>
            </w:pPr>
            <w:r>
              <w:rPr>
                <w:rFonts w:cs="Times New Roman"/>
                <w:color w:val="000000"/>
              </w:rPr>
              <w:t>2,526,510,656.15</w:t>
            </w:r>
          </w:p>
        </w:tc>
      </w:tr>
      <w:tr w14:paraId="5ABC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58" w:type="pct"/>
            <w:vAlign w:val="center"/>
          </w:tcPr>
          <w:p w14:paraId="6DAFDB00">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2.本期增加金额</w:t>
            </w:r>
          </w:p>
        </w:tc>
        <w:tc>
          <w:tcPr>
            <w:tcW w:w="615" w:type="pct"/>
            <w:vAlign w:val="center"/>
          </w:tcPr>
          <w:p w14:paraId="5A014778">
            <w:pPr>
              <w:jc w:val="right"/>
              <w:textAlignment w:val="center"/>
              <w:rPr>
                <w:rFonts w:cs="Times New Roman"/>
              </w:rPr>
            </w:pPr>
            <w:r>
              <w:rPr>
                <w:rFonts w:cs="Times New Roman"/>
                <w:color w:val="000000"/>
              </w:rPr>
              <w:t>15,336,609.47</w:t>
            </w:r>
          </w:p>
        </w:tc>
        <w:tc>
          <w:tcPr>
            <w:tcW w:w="616" w:type="pct"/>
            <w:vAlign w:val="center"/>
          </w:tcPr>
          <w:p w14:paraId="01692374">
            <w:pPr>
              <w:jc w:val="right"/>
              <w:rPr>
                <w:rFonts w:cs="Times New Roman"/>
              </w:rPr>
            </w:pPr>
          </w:p>
        </w:tc>
        <w:tc>
          <w:tcPr>
            <w:tcW w:w="595" w:type="pct"/>
            <w:vAlign w:val="center"/>
          </w:tcPr>
          <w:p w14:paraId="2A8ACDF4">
            <w:pPr>
              <w:jc w:val="right"/>
              <w:rPr>
                <w:rFonts w:cs="Times New Roman"/>
              </w:rPr>
            </w:pPr>
          </w:p>
        </w:tc>
        <w:tc>
          <w:tcPr>
            <w:tcW w:w="505" w:type="pct"/>
            <w:vAlign w:val="center"/>
          </w:tcPr>
          <w:p w14:paraId="64A213AE">
            <w:pPr>
              <w:jc w:val="right"/>
              <w:textAlignment w:val="center"/>
              <w:rPr>
                <w:rFonts w:cs="Times New Roman"/>
              </w:rPr>
            </w:pPr>
            <w:r>
              <w:rPr>
                <w:rFonts w:cs="Times New Roman"/>
                <w:color w:val="000000"/>
              </w:rPr>
              <w:t>544,386.15</w:t>
            </w:r>
          </w:p>
        </w:tc>
        <w:tc>
          <w:tcPr>
            <w:tcW w:w="505" w:type="pct"/>
            <w:vAlign w:val="center"/>
          </w:tcPr>
          <w:p w14:paraId="577E21AC">
            <w:pPr>
              <w:jc w:val="right"/>
              <w:rPr>
                <w:rFonts w:cs="Times New Roman"/>
              </w:rPr>
            </w:pPr>
          </w:p>
        </w:tc>
        <w:tc>
          <w:tcPr>
            <w:tcW w:w="515" w:type="pct"/>
            <w:vAlign w:val="center"/>
          </w:tcPr>
          <w:p w14:paraId="4BBEB132">
            <w:pPr>
              <w:jc w:val="right"/>
              <w:rPr>
                <w:rFonts w:cs="Times New Roman"/>
              </w:rPr>
            </w:pPr>
          </w:p>
        </w:tc>
        <w:tc>
          <w:tcPr>
            <w:tcW w:w="687" w:type="pct"/>
            <w:vAlign w:val="center"/>
          </w:tcPr>
          <w:p w14:paraId="06E62461">
            <w:pPr>
              <w:jc w:val="right"/>
              <w:textAlignment w:val="center"/>
              <w:rPr>
                <w:rFonts w:cs="Times New Roman"/>
              </w:rPr>
            </w:pPr>
            <w:r>
              <w:rPr>
                <w:rFonts w:cs="Times New Roman"/>
                <w:color w:val="000000"/>
              </w:rPr>
              <w:t>15,880,995.62</w:t>
            </w:r>
          </w:p>
        </w:tc>
      </w:tr>
      <w:tr w14:paraId="66DD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58" w:type="pct"/>
            <w:vAlign w:val="center"/>
          </w:tcPr>
          <w:p w14:paraId="2899601C">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(1)购置</w:t>
            </w:r>
          </w:p>
        </w:tc>
        <w:tc>
          <w:tcPr>
            <w:tcW w:w="615" w:type="pct"/>
            <w:vAlign w:val="center"/>
          </w:tcPr>
          <w:p w14:paraId="67F4F6D0">
            <w:pPr>
              <w:jc w:val="right"/>
              <w:textAlignment w:val="center"/>
              <w:rPr>
                <w:rFonts w:cs="Times New Roman"/>
              </w:rPr>
            </w:pPr>
            <w:r>
              <w:rPr>
                <w:rFonts w:cs="Times New Roman"/>
                <w:color w:val="000000"/>
              </w:rPr>
              <w:t>15,336,609.47</w:t>
            </w:r>
          </w:p>
        </w:tc>
        <w:tc>
          <w:tcPr>
            <w:tcW w:w="616" w:type="pct"/>
            <w:vAlign w:val="center"/>
          </w:tcPr>
          <w:p w14:paraId="70344492">
            <w:pPr>
              <w:jc w:val="right"/>
              <w:rPr>
                <w:rFonts w:cs="Times New Roman"/>
              </w:rPr>
            </w:pPr>
          </w:p>
        </w:tc>
        <w:tc>
          <w:tcPr>
            <w:tcW w:w="595" w:type="pct"/>
            <w:vAlign w:val="center"/>
          </w:tcPr>
          <w:p w14:paraId="74244E1F">
            <w:pPr>
              <w:jc w:val="right"/>
              <w:rPr>
                <w:rFonts w:cs="Times New Roman"/>
              </w:rPr>
            </w:pPr>
          </w:p>
        </w:tc>
        <w:tc>
          <w:tcPr>
            <w:tcW w:w="505" w:type="pct"/>
            <w:vAlign w:val="center"/>
          </w:tcPr>
          <w:p w14:paraId="04115591">
            <w:pPr>
              <w:jc w:val="right"/>
              <w:textAlignment w:val="center"/>
              <w:rPr>
                <w:rFonts w:cs="Times New Roman"/>
              </w:rPr>
            </w:pPr>
            <w:r>
              <w:rPr>
                <w:rFonts w:cs="Times New Roman"/>
                <w:color w:val="000000"/>
              </w:rPr>
              <w:t>544,386.15</w:t>
            </w:r>
          </w:p>
        </w:tc>
        <w:tc>
          <w:tcPr>
            <w:tcW w:w="505" w:type="pct"/>
            <w:vAlign w:val="center"/>
          </w:tcPr>
          <w:p w14:paraId="695EF5A0">
            <w:pPr>
              <w:jc w:val="right"/>
              <w:rPr>
                <w:rFonts w:cs="Times New Roman"/>
              </w:rPr>
            </w:pPr>
          </w:p>
        </w:tc>
        <w:tc>
          <w:tcPr>
            <w:tcW w:w="515" w:type="pct"/>
            <w:vAlign w:val="center"/>
          </w:tcPr>
          <w:p w14:paraId="39473280">
            <w:pPr>
              <w:jc w:val="right"/>
              <w:rPr>
                <w:rFonts w:cs="Times New Roman"/>
              </w:rPr>
            </w:pPr>
          </w:p>
        </w:tc>
        <w:tc>
          <w:tcPr>
            <w:tcW w:w="687" w:type="pct"/>
            <w:vAlign w:val="center"/>
          </w:tcPr>
          <w:p w14:paraId="2C25E80F">
            <w:pPr>
              <w:jc w:val="right"/>
              <w:textAlignment w:val="center"/>
              <w:rPr>
                <w:rFonts w:cs="Times New Roman"/>
              </w:rPr>
            </w:pPr>
            <w:r>
              <w:rPr>
                <w:rFonts w:cs="Times New Roman"/>
                <w:color w:val="000000"/>
              </w:rPr>
              <w:t>15,880,995.62</w:t>
            </w:r>
          </w:p>
        </w:tc>
      </w:tr>
      <w:tr w14:paraId="2387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58" w:type="pct"/>
            <w:vAlign w:val="center"/>
          </w:tcPr>
          <w:p w14:paraId="5883418F">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3.本期减少金额</w:t>
            </w:r>
          </w:p>
        </w:tc>
        <w:tc>
          <w:tcPr>
            <w:tcW w:w="615" w:type="pct"/>
            <w:vAlign w:val="center"/>
          </w:tcPr>
          <w:p w14:paraId="03700725">
            <w:pPr>
              <w:jc w:val="right"/>
              <w:textAlignment w:val="center"/>
              <w:rPr>
                <w:rFonts w:cs="Times New Roman"/>
              </w:rPr>
            </w:pPr>
            <w:r>
              <w:rPr>
                <w:rFonts w:cs="Times New Roman"/>
                <w:color w:val="000000"/>
              </w:rPr>
              <w:t>5,448,809.66</w:t>
            </w:r>
          </w:p>
        </w:tc>
        <w:tc>
          <w:tcPr>
            <w:tcW w:w="616" w:type="pct"/>
            <w:vAlign w:val="center"/>
          </w:tcPr>
          <w:p w14:paraId="684F9BD2">
            <w:pPr>
              <w:jc w:val="right"/>
              <w:rPr>
                <w:rFonts w:cs="Times New Roman"/>
              </w:rPr>
            </w:pPr>
          </w:p>
        </w:tc>
        <w:tc>
          <w:tcPr>
            <w:tcW w:w="595" w:type="pct"/>
            <w:vAlign w:val="center"/>
          </w:tcPr>
          <w:p w14:paraId="009F17AE">
            <w:pPr>
              <w:jc w:val="right"/>
              <w:rPr>
                <w:rFonts w:cs="Times New Roman"/>
              </w:rPr>
            </w:pPr>
          </w:p>
        </w:tc>
        <w:tc>
          <w:tcPr>
            <w:tcW w:w="505" w:type="pct"/>
            <w:vAlign w:val="center"/>
          </w:tcPr>
          <w:p w14:paraId="5CE8D7D4">
            <w:pPr>
              <w:jc w:val="right"/>
              <w:rPr>
                <w:rFonts w:cs="Times New Roman"/>
              </w:rPr>
            </w:pPr>
          </w:p>
        </w:tc>
        <w:tc>
          <w:tcPr>
            <w:tcW w:w="505" w:type="pct"/>
            <w:vAlign w:val="center"/>
          </w:tcPr>
          <w:p w14:paraId="3B3CD91C">
            <w:pPr>
              <w:jc w:val="right"/>
              <w:rPr>
                <w:rFonts w:cs="Times New Roman"/>
              </w:rPr>
            </w:pPr>
          </w:p>
        </w:tc>
        <w:tc>
          <w:tcPr>
            <w:tcW w:w="515" w:type="pct"/>
            <w:vAlign w:val="center"/>
          </w:tcPr>
          <w:p w14:paraId="162EC62C">
            <w:pPr>
              <w:jc w:val="right"/>
              <w:rPr>
                <w:rFonts w:cs="Times New Roman"/>
              </w:rPr>
            </w:pPr>
          </w:p>
        </w:tc>
        <w:tc>
          <w:tcPr>
            <w:tcW w:w="687" w:type="pct"/>
            <w:vAlign w:val="center"/>
          </w:tcPr>
          <w:p w14:paraId="12D1F1CD">
            <w:pPr>
              <w:jc w:val="right"/>
              <w:textAlignment w:val="center"/>
              <w:rPr>
                <w:rFonts w:cs="Times New Roman"/>
              </w:rPr>
            </w:pPr>
            <w:r>
              <w:rPr>
                <w:rFonts w:cs="Times New Roman"/>
                <w:color w:val="000000"/>
              </w:rPr>
              <w:t>5,448,809.66</w:t>
            </w:r>
          </w:p>
        </w:tc>
      </w:tr>
      <w:tr w14:paraId="5DF59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58" w:type="pct"/>
          </w:tcPr>
          <w:p w14:paraId="0FB3447D">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(3)其他</w:t>
            </w:r>
          </w:p>
        </w:tc>
        <w:tc>
          <w:tcPr>
            <w:tcW w:w="615" w:type="pct"/>
            <w:vAlign w:val="center"/>
          </w:tcPr>
          <w:p w14:paraId="16D350E9">
            <w:pPr>
              <w:jc w:val="right"/>
              <w:textAlignment w:val="center"/>
              <w:rPr>
                <w:rFonts w:cs="Times New Roman"/>
                <w:color w:val="000000" w:themeColor="text1"/>
                <w14:textFill>
                  <w14:solidFill>
                    <w14:schemeClr w14:val="tx1"/>
                  </w14:solidFill>
                </w14:textFill>
              </w:rPr>
            </w:pPr>
            <w:r>
              <w:rPr>
                <w:rFonts w:cs="Times New Roman"/>
                <w:color w:val="000000"/>
              </w:rPr>
              <w:t>5,448,809.66</w:t>
            </w:r>
          </w:p>
        </w:tc>
        <w:tc>
          <w:tcPr>
            <w:tcW w:w="616" w:type="pct"/>
            <w:vAlign w:val="center"/>
          </w:tcPr>
          <w:p w14:paraId="29765408">
            <w:pPr>
              <w:jc w:val="right"/>
              <w:rPr>
                <w:rFonts w:cs="Times New Roman"/>
                <w:color w:val="000000" w:themeColor="text1"/>
                <w14:textFill>
                  <w14:solidFill>
                    <w14:schemeClr w14:val="tx1"/>
                  </w14:solidFill>
                </w14:textFill>
              </w:rPr>
            </w:pPr>
          </w:p>
        </w:tc>
        <w:tc>
          <w:tcPr>
            <w:tcW w:w="595" w:type="pct"/>
            <w:vAlign w:val="center"/>
          </w:tcPr>
          <w:p w14:paraId="1B5B6EB0">
            <w:pPr>
              <w:jc w:val="right"/>
              <w:rPr>
                <w:rFonts w:cs="Times New Roman"/>
                <w:color w:val="000000" w:themeColor="text1"/>
                <w14:textFill>
                  <w14:solidFill>
                    <w14:schemeClr w14:val="tx1"/>
                  </w14:solidFill>
                </w14:textFill>
              </w:rPr>
            </w:pPr>
          </w:p>
        </w:tc>
        <w:tc>
          <w:tcPr>
            <w:tcW w:w="505" w:type="pct"/>
            <w:vAlign w:val="center"/>
          </w:tcPr>
          <w:p w14:paraId="41507EDE">
            <w:pPr>
              <w:jc w:val="right"/>
              <w:rPr>
                <w:rFonts w:cs="Times New Roman"/>
                <w:color w:val="000000" w:themeColor="text1"/>
                <w14:textFill>
                  <w14:solidFill>
                    <w14:schemeClr w14:val="tx1"/>
                  </w14:solidFill>
                </w14:textFill>
              </w:rPr>
            </w:pPr>
          </w:p>
        </w:tc>
        <w:tc>
          <w:tcPr>
            <w:tcW w:w="505" w:type="pct"/>
            <w:vAlign w:val="center"/>
          </w:tcPr>
          <w:p w14:paraId="2DBB0C6E">
            <w:pPr>
              <w:jc w:val="right"/>
              <w:rPr>
                <w:rFonts w:cs="Times New Roman"/>
                <w:color w:val="000000" w:themeColor="text1"/>
                <w14:textFill>
                  <w14:solidFill>
                    <w14:schemeClr w14:val="tx1"/>
                  </w14:solidFill>
                </w14:textFill>
              </w:rPr>
            </w:pPr>
          </w:p>
        </w:tc>
        <w:tc>
          <w:tcPr>
            <w:tcW w:w="515" w:type="pct"/>
            <w:vAlign w:val="center"/>
          </w:tcPr>
          <w:p w14:paraId="738E255C">
            <w:pPr>
              <w:jc w:val="right"/>
              <w:rPr>
                <w:rFonts w:cs="Times New Roman"/>
                <w:color w:val="000000" w:themeColor="text1"/>
                <w14:textFill>
                  <w14:solidFill>
                    <w14:schemeClr w14:val="tx1"/>
                  </w14:solidFill>
                </w14:textFill>
              </w:rPr>
            </w:pPr>
          </w:p>
        </w:tc>
        <w:tc>
          <w:tcPr>
            <w:tcW w:w="687" w:type="pct"/>
            <w:vAlign w:val="center"/>
          </w:tcPr>
          <w:p w14:paraId="649D4416">
            <w:pPr>
              <w:jc w:val="right"/>
              <w:textAlignment w:val="center"/>
              <w:rPr>
                <w:rFonts w:cs="Times New Roman"/>
                <w:color w:val="000000" w:themeColor="text1"/>
                <w14:textFill>
                  <w14:solidFill>
                    <w14:schemeClr w14:val="tx1"/>
                  </w14:solidFill>
                </w14:textFill>
              </w:rPr>
            </w:pPr>
            <w:r>
              <w:rPr>
                <w:rFonts w:cs="Times New Roman"/>
                <w:color w:val="000000"/>
              </w:rPr>
              <w:t>5,448,809.66</w:t>
            </w:r>
          </w:p>
        </w:tc>
      </w:tr>
      <w:tr w14:paraId="1FFF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58" w:type="pct"/>
            <w:vAlign w:val="center"/>
          </w:tcPr>
          <w:p w14:paraId="3DC29684">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4.期末余额</w:t>
            </w:r>
          </w:p>
        </w:tc>
        <w:tc>
          <w:tcPr>
            <w:tcW w:w="615" w:type="pct"/>
            <w:vAlign w:val="center"/>
          </w:tcPr>
          <w:p w14:paraId="10EB6BED">
            <w:pPr>
              <w:jc w:val="right"/>
              <w:textAlignment w:val="center"/>
              <w:rPr>
                <w:rFonts w:cs="Times New Roman"/>
              </w:rPr>
            </w:pPr>
            <w:r>
              <w:rPr>
                <w:rFonts w:cs="Times New Roman"/>
                <w:color w:val="000000"/>
              </w:rPr>
              <w:t>2,475,471,127.33</w:t>
            </w:r>
          </w:p>
        </w:tc>
        <w:tc>
          <w:tcPr>
            <w:tcW w:w="616" w:type="pct"/>
            <w:vAlign w:val="center"/>
          </w:tcPr>
          <w:p w14:paraId="0D1F792C">
            <w:pPr>
              <w:jc w:val="right"/>
              <w:textAlignment w:val="center"/>
              <w:rPr>
                <w:rFonts w:cs="Times New Roman"/>
              </w:rPr>
            </w:pPr>
            <w:r>
              <w:rPr>
                <w:rFonts w:cs="Times New Roman"/>
                <w:color w:val="000000"/>
              </w:rPr>
              <w:t>17,529,493.58</w:t>
            </w:r>
          </w:p>
        </w:tc>
        <w:tc>
          <w:tcPr>
            <w:tcW w:w="595" w:type="pct"/>
            <w:vAlign w:val="center"/>
          </w:tcPr>
          <w:p w14:paraId="380EA0C7">
            <w:pPr>
              <w:jc w:val="right"/>
              <w:textAlignment w:val="center"/>
              <w:rPr>
                <w:rFonts w:cs="Times New Roman"/>
              </w:rPr>
            </w:pPr>
            <w:r>
              <w:rPr>
                <w:rFonts w:cs="Times New Roman"/>
                <w:color w:val="000000"/>
              </w:rPr>
              <w:t>998,201.15</w:t>
            </w:r>
          </w:p>
        </w:tc>
        <w:tc>
          <w:tcPr>
            <w:tcW w:w="505" w:type="pct"/>
            <w:vAlign w:val="center"/>
          </w:tcPr>
          <w:p w14:paraId="754AF4A1">
            <w:pPr>
              <w:jc w:val="right"/>
              <w:textAlignment w:val="center"/>
              <w:rPr>
                <w:rFonts w:cs="Times New Roman"/>
              </w:rPr>
            </w:pPr>
            <w:r>
              <w:rPr>
                <w:rFonts w:cs="Times New Roman"/>
                <w:color w:val="000000"/>
              </w:rPr>
              <w:t>26,644,105.67</w:t>
            </w:r>
          </w:p>
        </w:tc>
        <w:tc>
          <w:tcPr>
            <w:tcW w:w="505" w:type="pct"/>
            <w:vAlign w:val="center"/>
          </w:tcPr>
          <w:p w14:paraId="1F2CFEBB">
            <w:pPr>
              <w:jc w:val="right"/>
              <w:textAlignment w:val="center"/>
              <w:rPr>
                <w:rFonts w:cs="Times New Roman"/>
              </w:rPr>
            </w:pPr>
            <w:r>
              <w:rPr>
                <w:rFonts w:cs="Times New Roman"/>
                <w:color w:val="000000"/>
              </w:rPr>
              <w:t>15,239,537.05</w:t>
            </w:r>
          </w:p>
        </w:tc>
        <w:tc>
          <w:tcPr>
            <w:tcW w:w="515" w:type="pct"/>
            <w:vAlign w:val="center"/>
          </w:tcPr>
          <w:p w14:paraId="32F56F6D">
            <w:pPr>
              <w:jc w:val="right"/>
              <w:textAlignment w:val="center"/>
              <w:rPr>
                <w:rFonts w:cs="Times New Roman"/>
              </w:rPr>
            </w:pPr>
            <w:r>
              <w:rPr>
                <w:rFonts w:cs="Times New Roman"/>
                <w:color w:val="000000"/>
              </w:rPr>
              <w:t>1,060,377.33</w:t>
            </w:r>
          </w:p>
        </w:tc>
        <w:tc>
          <w:tcPr>
            <w:tcW w:w="687" w:type="pct"/>
            <w:vAlign w:val="center"/>
          </w:tcPr>
          <w:p w14:paraId="112D3DB0">
            <w:pPr>
              <w:jc w:val="right"/>
              <w:textAlignment w:val="center"/>
              <w:rPr>
                <w:rFonts w:cs="Times New Roman"/>
              </w:rPr>
            </w:pPr>
            <w:r>
              <w:rPr>
                <w:rFonts w:cs="Times New Roman"/>
                <w:color w:val="000000"/>
              </w:rPr>
              <w:t>2,536,942,842.11</w:t>
            </w:r>
          </w:p>
        </w:tc>
      </w:tr>
      <w:tr w14:paraId="3A67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cs="Times New Roman"/>
            </w:rPr>
            <w:tag w:val="_PLD_3d92ef615d3b41e5abb58e018e2db72b"/>
            <w:id w:val="147462423"/>
          </w:sdtPr>
          <w:sdtEndPr>
            <w:rPr>
              <w:rFonts w:cs="Times New Roman"/>
            </w:rPr>
          </w:sdtEndPr>
          <w:sdtContent>
            <w:tc>
              <w:tcPr>
                <w:tcW w:w="5000" w:type="pct"/>
                <w:gridSpan w:val="8"/>
                <w:vAlign w:val="center"/>
              </w:tcPr>
              <w:p w14:paraId="2B3B1581">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二、累计摊销</w:t>
                </w:r>
              </w:p>
            </w:tc>
          </w:sdtContent>
        </w:sdt>
      </w:tr>
      <w:tr w14:paraId="16F01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58" w:type="pct"/>
            <w:vAlign w:val="center"/>
          </w:tcPr>
          <w:p w14:paraId="236D021E">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1.期初余额</w:t>
            </w:r>
          </w:p>
        </w:tc>
        <w:tc>
          <w:tcPr>
            <w:tcW w:w="615" w:type="pct"/>
            <w:vAlign w:val="center"/>
          </w:tcPr>
          <w:p w14:paraId="4CB9C352">
            <w:pPr>
              <w:jc w:val="right"/>
              <w:textAlignment w:val="center"/>
              <w:rPr>
                <w:rFonts w:cs="Times New Roman"/>
              </w:rPr>
            </w:pPr>
            <w:r>
              <w:rPr>
                <w:rFonts w:eastAsia="Arial Narrow" w:cs="Times New Roman"/>
                <w:color w:val="000000"/>
                <w:lang w:bidi="ar"/>
              </w:rPr>
              <w:t>614,116,530.27</w:t>
            </w:r>
          </w:p>
        </w:tc>
        <w:tc>
          <w:tcPr>
            <w:tcW w:w="616" w:type="pct"/>
            <w:vAlign w:val="center"/>
          </w:tcPr>
          <w:p w14:paraId="5EDDB609">
            <w:pPr>
              <w:jc w:val="right"/>
              <w:textAlignment w:val="center"/>
              <w:rPr>
                <w:rFonts w:cs="Times New Roman"/>
              </w:rPr>
            </w:pPr>
            <w:r>
              <w:rPr>
                <w:rFonts w:eastAsia="Arial Narrow" w:cs="Times New Roman"/>
                <w:color w:val="000000"/>
                <w:lang w:bidi="ar"/>
              </w:rPr>
              <w:t>10,894,209.23</w:t>
            </w:r>
          </w:p>
        </w:tc>
        <w:tc>
          <w:tcPr>
            <w:tcW w:w="595" w:type="pct"/>
            <w:vAlign w:val="center"/>
          </w:tcPr>
          <w:p w14:paraId="22189F24">
            <w:pPr>
              <w:jc w:val="right"/>
              <w:textAlignment w:val="center"/>
              <w:rPr>
                <w:rFonts w:cs="Times New Roman"/>
              </w:rPr>
            </w:pPr>
            <w:r>
              <w:rPr>
                <w:rFonts w:eastAsia="Arial Narrow" w:cs="Times New Roman"/>
                <w:color w:val="000000"/>
                <w:lang w:bidi="ar"/>
              </w:rPr>
              <w:t>998,201.15</w:t>
            </w:r>
          </w:p>
        </w:tc>
        <w:tc>
          <w:tcPr>
            <w:tcW w:w="505" w:type="pct"/>
            <w:vAlign w:val="center"/>
          </w:tcPr>
          <w:p w14:paraId="3FA7A33C">
            <w:pPr>
              <w:jc w:val="right"/>
              <w:textAlignment w:val="center"/>
              <w:rPr>
                <w:rFonts w:cs="Times New Roman"/>
              </w:rPr>
            </w:pPr>
            <w:r>
              <w:rPr>
                <w:rFonts w:eastAsia="Arial Narrow" w:cs="Times New Roman"/>
                <w:color w:val="000000"/>
                <w:lang w:bidi="ar"/>
              </w:rPr>
              <w:t>16,835,896.01</w:t>
            </w:r>
          </w:p>
        </w:tc>
        <w:tc>
          <w:tcPr>
            <w:tcW w:w="505" w:type="pct"/>
            <w:vAlign w:val="center"/>
          </w:tcPr>
          <w:p w14:paraId="45A1BE9F">
            <w:pPr>
              <w:jc w:val="right"/>
              <w:textAlignment w:val="center"/>
              <w:rPr>
                <w:rFonts w:cs="Times New Roman"/>
              </w:rPr>
            </w:pPr>
            <w:r>
              <w:rPr>
                <w:rFonts w:eastAsia="Arial Narrow" w:cs="Times New Roman"/>
                <w:color w:val="000000"/>
                <w:lang w:bidi="ar"/>
              </w:rPr>
              <w:t>229,434.76</w:t>
            </w:r>
          </w:p>
        </w:tc>
        <w:tc>
          <w:tcPr>
            <w:tcW w:w="515" w:type="pct"/>
            <w:vAlign w:val="center"/>
          </w:tcPr>
          <w:p w14:paraId="3C80450C">
            <w:pPr>
              <w:jc w:val="right"/>
              <w:textAlignment w:val="center"/>
              <w:rPr>
                <w:rFonts w:cs="Times New Roman"/>
              </w:rPr>
            </w:pPr>
            <w:r>
              <w:rPr>
                <w:rFonts w:eastAsia="Arial Narrow" w:cs="Times New Roman"/>
                <w:color w:val="000000"/>
                <w:lang w:bidi="ar"/>
              </w:rPr>
              <w:t>637,426.52</w:t>
            </w:r>
          </w:p>
        </w:tc>
        <w:tc>
          <w:tcPr>
            <w:tcW w:w="687" w:type="pct"/>
            <w:vAlign w:val="center"/>
          </w:tcPr>
          <w:p w14:paraId="5450858D">
            <w:pPr>
              <w:jc w:val="right"/>
              <w:textAlignment w:val="center"/>
              <w:rPr>
                <w:rFonts w:cs="Times New Roman"/>
              </w:rPr>
            </w:pPr>
            <w:r>
              <w:rPr>
                <w:rFonts w:eastAsia="Arial Narrow" w:cs="Times New Roman"/>
                <w:color w:val="000000"/>
                <w:lang w:bidi="ar"/>
              </w:rPr>
              <w:t>643,711,697.94</w:t>
            </w:r>
          </w:p>
        </w:tc>
      </w:tr>
      <w:tr w14:paraId="457C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58" w:type="pct"/>
            <w:vAlign w:val="center"/>
          </w:tcPr>
          <w:p w14:paraId="1842FD9E">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2.本期增加金额</w:t>
            </w:r>
          </w:p>
        </w:tc>
        <w:tc>
          <w:tcPr>
            <w:tcW w:w="615" w:type="pct"/>
            <w:vAlign w:val="center"/>
          </w:tcPr>
          <w:p w14:paraId="7E364CBA">
            <w:pPr>
              <w:jc w:val="right"/>
              <w:textAlignment w:val="center"/>
              <w:rPr>
                <w:rFonts w:cs="Times New Roman"/>
              </w:rPr>
            </w:pPr>
            <w:r>
              <w:rPr>
                <w:rFonts w:eastAsia="Arial Narrow" w:cs="Times New Roman"/>
                <w:color w:val="000000"/>
                <w:lang w:bidi="ar"/>
              </w:rPr>
              <w:t>19,352,053.04</w:t>
            </w:r>
          </w:p>
        </w:tc>
        <w:tc>
          <w:tcPr>
            <w:tcW w:w="616" w:type="pct"/>
            <w:vAlign w:val="center"/>
          </w:tcPr>
          <w:p w14:paraId="74A7C5CE">
            <w:pPr>
              <w:jc w:val="right"/>
              <w:textAlignment w:val="center"/>
              <w:rPr>
                <w:rFonts w:cs="Times New Roman"/>
              </w:rPr>
            </w:pPr>
            <w:r>
              <w:rPr>
                <w:rFonts w:eastAsia="Arial Narrow" w:cs="Times New Roman"/>
                <w:color w:val="000000"/>
                <w:lang w:bidi="ar"/>
              </w:rPr>
              <w:t>568,361.91</w:t>
            </w:r>
          </w:p>
        </w:tc>
        <w:tc>
          <w:tcPr>
            <w:tcW w:w="595" w:type="pct"/>
            <w:vAlign w:val="center"/>
          </w:tcPr>
          <w:p w14:paraId="5FA7F4A4">
            <w:pPr>
              <w:jc w:val="right"/>
              <w:rPr>
                <w:rFonts w:cs="Times New Roman"/>
              </w:rPr>
            </w:pPr>
          </w:p>
        </w:tc>
        <w:tc>
          <w:tcPr>
            <w:tcW w:w="505" w:type="pct"/>
            <w:vAlign w:val="center"/>
          </w:tcPr>
          <w:p w14:paraId="614E8D61">
            <w:pPr>
              <w:jc w:val="right"/>
              <w:textAlignment w:val="center"/>
              <w:rPr>
                <w:rFonts w:cs="Times New Roman"/>
              </w:rPr>
            </w:pPr>
            <w:r>
              <w:rPr>
                <w:rFonts w:eastAsia="Arial Narrow" w:cs="Times New Roman"/>
                <w:color w:val="000000"/>
                <w:lang w:bidi="ar"/>
              </w:rPr>
              <w:t>1,222,003.15</w:t>
            </w:r>
          </w:p>
        </w:tc>
        <w:tc>
          <w:tcPr>
            <w:tcW w:w="505" w:type="pct"/>
            <w:vAlign w:val="center"/>
          </w:tcPr>
          <w:p w14:paraId="2B056A8A">
            <w:pPr>
              <w:jc w:val="right"/>
              <w:textAlignment w:val="center"/>
              <w:rPr>
                <w:rFonts w:cs="Times New Roman"/>
              </w:rPr>
            </w:pPr>
            <w:r>
              <w:rPr>
                <w:rFonts w:eastAsia="Arial Narrow" w:cs="Times New Roman"/>
                <w:color w:val="000000"/>
                <w:lang w:bidi="ar"/>
              </w:rPr>
              <w:t>10,184.16</w:t>
            </w:r>
          </w:p>
        </w:tc>
        <w:tc>
          <w:tcPr>
            <w:tcW w:w="515" w:type="pct"/>
            <w:vAlign w:val="center"/>
          </w:tcPr>
          <w:p w14:paraId="04657BA8">
            <w:pPr>
              <w:jc w:val="right"/>
              <w:textAlignment w:val="center"/>
              <w:rPr>
                <w:rFonts w:cs="Times New Roman"/>
              </w:rPr>
            </w:pPr>
            <w:r>
              <w:rPr>
                <w:rFonts w:eastAsia="Arial Narrow" w:cs="Times New Roman"/>
                <w:color w:val="000000"/>
                <w:lang w:bidi="ar"/>
              </w:rPr>
              <w:t>106,637.76</w:t>
            </w:r>
          </w:p>
        </w:tc>
        <w:tc>
          <w:tcPr>
            <w:tcW w:w="687" w:type="pct"/>
            <w:vAlign w:val="center"/>
          </w:tcPr>
          <w:p w14:paraId="0FDD0E8E">
            <w:pPr>
              <w:jc w:val="right"/>
              <w:textAlignment w:val="center"/>
              <w:rPr>
                <w:rFonts w:cs="Times New Roman"/>
              </w:rPr>
            </w:pPr>
            <w:r>
              <w:rPr>
                <w:rFonts w:eastAsia="Arial Narrow" w:cs="Times New Roman"/>
                <w:color w:val="000000"/>
                <w:lang w:bidi="ar"/>
              </w:rPr>
              <w:t>21,259,240.02</w:t>
            </w:r>
          </w:p>
        </w:tc>
      </w:tr>
      <w:tr w14:paraId="6136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58" w:type="pct"/>
            <w:vAlign w:val="center"/>
          </w:tcPr>
          <w:p w14:paraId="06ED5099">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（1）计提</w:t>
            </w:r>
          </w:p>
        </w:tc>
        <w:tc>
          <w:tcPr>
            <w:tcW w:w="615" w:type="pct"/>
            <w:vAlign w:val="center"/>
          </w:tcPr>
          <w:p w14:paraId="0FF4BF1F">
            <w:pPr>
              <w:jc w:val="right"/>
              <w:textAlignment w:val="center"/>
              <w:rPr>
                <w:rFonts w:cs="Times New Roman"/>
              </w:rPr>
            </w:pPr>
            <w:r>
              <w:rPr>
                <w:rFonts w:eastAsia="Arial Narrow" w:cs="Times New Roman"/>
                <w:color w:val="000000"/>
                <w:lang w:bidi="ar"/>
              </w:rPr>
              <w:t>19,352,053.04</w:t>
            </w:r>
          </w:p>
        </w:tc>
        <w:tc>
          <w:tcPr>
            <w:tcW w:w="616" w:type="pct"/>
            <w:vAlign w:val="center"/>
          </w:tcPr>
          <w:p w14:paraId="0DD4D5CB">
            <w:pPr>
              <w:jc w:val="right"/>
              <w:textAlignment w:val="center"/>
              <w:rPr>
                <w:rFonts w:cs="Times New Roman"/>
              </w:rPr>
            </w:pPr>
            <w:r>
              <w:rPr>
                <w:rFonts w:eastAsia="Arial Narrow" w:cs="Times New Roman"/>
                <w:color w:val="000000"/>
                <w:lang w:bidi="ar"/>
              </w:rPr>
              <w:t>568,361.91</w:t>
            </w:r>
          </w:p>
        </w:tc>
        <w:tc>
          <w:tcPr>
            <w:tcW w:w="595" w:type="pct"/>
            <w:vAlign w:val="center"/>
          </w:tcPr>
          <w:p w14:paraId="2F33EEC4">
            <w:pPr>
              <w:jc w:val="right"/>
              <w:rPr>
                <w:rFonts w:cs="Times New Roman"/>
              </w:rPr>
            </w:pPr>
          </w:p>
        </w:tc>
        <w:tc>
          <w:tcPr>
            <w:tcW w:w="505" w:type="pct"/>
            <w:vAlign w:val="center"/>
          </w:tcPr>
          <w:p w14:paraId="3C6B9B99">
            <w:pPr>
              <w:jc w:val="right"/>
              <w:textAlignment w:val="center"/>
              <w:rPr>
                <w:rFonts w:cs="Times New Roman"/>
              </w:rPr>
            </w:pPr>
            <w:r>
              <w:rPr>
                <w:rFonts w:eastAsia="Arial Narrow" w:cs="Times New Roman"/>
                <w:color w:val="000000"/>
                <w:lang w:bidi="ar"/>
              </w:rPr>
              <w:t>1,222,003.15</w:t>
            </w:r>
          </w:p>
        </w:tc>
        <w:tc>
          <w:tcPr>
            <w:tcW w:w="505" w:type="pct"/>
            <w:vAlign w:val="center"/>
          </w:tcPr>
          <w:p w14:paraId="3D261CC7">
            <w:pPr>
              <w:jc w:val="right"/>
              <w:textAlignment w:val="center"/>
              <w:rPr>
                <w:rFonts w:cs="Times New Roman"/>
              </w:rPr>
            </w:pPr>
            <w:r>
              <w:rPr>
                <w:rFonts w:eastAsia="Arial Narrow" w:cs="Times New Roman"/>
                <w:color w:val="000000"/>
                <w:lang w:bidi="ar"/>
              </w:rPr>
              <w:t>10,184.16</w:t>
            </w:r>
          </w:p>
        </w:tc>
        <w:tc>
          <w:tcPr>
            <w:tcW w:w="515" w:type="pct"/>
            <w:vAlign w:val="center"/>
          </w:tcPr>
          <w:p w14:paraId="570F6329">
            <w:pPr>
              <w:jc w:val="right"/>
              <w:textAlignment w:val="center"/>
              <w:rPr>
                <w:rFonts w:cs="Times New Roman"/>
              </w:rPr>
            </w:pPr>
            <w:r>
              <w:rPr>
                <w:rFonts w:eastAsia="Arial Narrow" w:cs="Times New Roman"/>
                <w:color w:val="000000"/>
                <w:lang w:bidi="ar"/>
              </w:rPr>
              <w:t>106,637.76</w:t>
            </w:r>
          </w:p>
        </w:tc>
        <w:tc>
          <w:tcPr>
            <w:tcW w:w="687" w:type="pct"/>
            <w:vAlign w:val="center"/>
          </w:tcPr>
          <w:p w14:paraId="1D9B4788">
            <w:pPr>
              <w:jc w:val="right"/>
              <w:textAlignment w:val="center"/>
              <w:rPr>
                <w:rFonts w:cs="Times New Roman"/>
              </w:rPr>
            </w:pPr>
            <w:r>
              <w:rPr>
                <w:rFonts w:eastAsia="Arial Narrow" w:cs="Times New Roman"/>
                <w:color w:val="000000"/>
                <w:lang w:bidi="ar"/>
              </w:rPr>
              <w:t>21,259,240.02</w:t>
            </w:r>
          </w:p>
        </w:tc>
      </w:tr>
      <w:tr w14:paraId="521B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58" w:type="pct"/>
            <w:vAlign w:val="center"/>
          </w:tcPr>
          <w:p w14:paraId="089F1799">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3.本期减少金额</w:t>
            </w:r>
          </w:p>
        </w:tc>
        <w:tc>
          <w:tcPr>
            <w:tcW w:w="615" w:type="pct"/>
            <w:vAlign w:val="center"/>
          </w:tcPr>
          <w:p w14:paraId="4EF424CA">
            <w:pPr>
              <w:jc w:val="right"/>
              <w:textAlignment w:val="center"/>
              <w:rPr>
                <w:rFonts w:cs="Times New Roman"/>
              </w:rPr>
            </w:pPr>
            <w:r>
              <w:rPr>
                <w:rFonts w:eastAsia="Arial Narrow" w:cs="Times New Roman"/>
                <w:color w:val="000000"/>
                <w:lang w:bidi="ar"/>
              </w:rPr>
              <w:t>1,247,262.08</w:t>
            </w:r>
          </w:p>
        </w:tc>
        <w:tc>
          <w:tcPr>
            <w:tcW w:w="616" w:type="pct"/>
            <w:vAlign w:val="center"/>
          </w:tcPr>
          <w:p w14:paraId="5CA5CB64">
            <w:pPr>
              <w:jc w:val="right"/>
              <w:rPr>
                <w:rFonts w:cs="Times New Roman"/>
              </w:rPr>
            </w:pPr>
          </w:p>
        </w:tc>
        <w:tc>
          <w:tcPr>
            <w:tcW w:w="595" w:type="pct"/>
            <w:vAlign w:val="center"/>
          </w:tcPr>
          <w:p w14:paraId="316629FA">
            <w:pPr>
              <w:jc w:val="right"/>
              <w:rPr>
                <w:rFonts w:cs="Times New Roman"/>
              </w:rPr>
            </w:pPr>
          </w:p>
        </w:tc>
        <w:tc>
          <w:tcPr>
            <w:tcW w:w="505" w:type="pct"/>
            <w:vAlign w:val="center"/>
          </w:tcPr>
          <w:p w14:paraId="3F55BDF4">
            <w:pPr>
              <w:jc w:val="right"/>
              <w:rPr>
                <w:rFonts w:cs="Times New Roman"/>
              </w:rPr>
            </w:pPr>
          </w:p>
        </w:tc>
        <w:tc>
          <w:tcPr>
            <w:tcW w:w="505" w:type="pct"/>
            <w:vAlign w:val="center"/>
          </w:tcPr>
          <w:p w14:paraId="4BCA119B">
            <w:pPr>
              <w:jc w:val="right"/>
              <w:rPr>
                <w:rFonts w:cs="Times New Roman"/>
              </w:rPr>
            </w:pPr>
          </w:p>
        </w:tc>
        <w:tc>
          <w:tcPr>
            <w:tcW w:w="515" w:type="pct"/>
            <w:vAlign w:val="center"/>
          </w:tcPr>
          <w:p w14:paraId="22731D55">
            <w:pPr>
              <w:jc w:val="right"/>
              <w:rPr>
                <w:rFonts w:cs="Times New Roman"/>
              </w:rPr>
            </w:pPr>
          </w:p>
        </w:tc>
        <w:tc>
          <w:tcPr>
            <w:tcW w:w="687" w:type="pct"/>
            <w:vAlign w:val="center"/>
          </w:tcPr>
          <w:p w14:paraId="402BAB62">
            <w:pPr>
              <w:jc w:val="right"/>
              <w:textAlignment w:val="center"/>
              <w:rPr>
                <w:rFonts w:cs="Times New Roman"/>
              </w:rPr>
            </w:pPr>
            <w:r>
              <w:rPr>
                <w:rFonts w:eastAsia="Arial Narrow" w:cs="Times New Roman"/>
                <w:color w:val="000000"/>
                <w:lang w:bidi="ar"/>
              </w:rPr>
              <w:t>1,247,262.08</w:t>
            </w:r>
          </w:p>
        </w:tc>
      </w:tr>
      <w:tr w14:paraId="358D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58" w:type="pct"/>
          </w:tcPr>
          <w:p w14:paraId="2DE4D48D">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(3)其他</w:t>
            </w:r>
          </w:p>
        </w:tc>
        <w:tc>
          <w:tcPr>
            <w:tcW w:w="615" w:type="pct"/>
            <w:vAlign w:val="center"/>
          </w:tcPr>
          <w:p w14:paraId="1ADB4004">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1,247,262.08</w:t>
            </w:r>
          </w:p>
        </w:tc>
        <w:tc>
          <w:tcPr>
            <w:tcW w:w="616" w:type="pct"/>
            <w:vAlign w:val="center"/>
          </w:tcPr>
          <w:p w14:paraId="7B6FBE56">
            <w:pPr>
              <w:jc w:val="right"/>
              <w:rPr>
                <w:rFonts w:cs="Times New Roman"/>
                <w:color w:val="000000" w:themeColor="text1"/>
                <w14:textFill>
                  <w14:solidFill>
                    <w14:schemeClr w14:val="tx1"/>
                  </w14:solidFill>
                </w14:textFill>
              </w:rPr>
            </w:pPr>
          </w:p>
        </w:tc>
        <w:tc>
          <w:tcPr>
            <w:tcW w:w="595" w:type="pct"/>
            <w:vAlign w:val="center"/>
          </w:tcPr>
          <w:p w14:paraId="5C003B95">
            <w:pPr>
              <w:jc w:val="right"/>
              <w:rPr>
                <w:rFonts w:cs="Times New Roman"/>
                <w:color w:val="000000" w:themeColor="text1"/>
                <w14:textFill>
                  <w14:solidFill>
                    <w14:schemeClr w14:val="tx1"/>
                  </w14:solidFill>
                </w14:textFill>
              </w:rPr>
            </w:pPr>
          </w:p>
        </w:tc>
        <w:tc>
          <w:tcPr>
            <w:tcW w:w="505" w:type="pct"/>
            <w:vAlign w:val="center"/>
          </w:tcPr>
          <w:p w14:paraId="586DFE74">
            <w:pPr>
              <w:jc w:val="right"/>
              <w:rPr>
                <w:rFonts w:cs="Times New Roman"/>
                <w:color w:val="000000" w:themeColor="text1"/>
                <w14:textFill>
                  <w14:solidFill>
                    <w14:schemeClr w14:val="tx1"/>
                  </w14:solidFill>
                </w14:textFill>
              </w:rPr>
            </w:pPr>
          </w:p>
        </w:tc>
        <w:tc>
          <w:tcPr>
            <w:tcW w:w="505" w:type="pct"/>
            <w:vAlign w:val="center"/>
          </w:tcPr>
          <w:p w14:paraId="05932FAE">
            <w:pPr>
              <w:jc w:val="right"/>
              <w:rPr>
                <w:rFonts w:cs="Times New Roman"/>
                <w:color w:val="000000" w:themeColor="text1"/>
                <w14:textFill>
                  <w14:solidFill>
                    <w14:schemeClr w14:val="tx1"/>
                  </w14:solidFill>
                </w14:textFill>
              </w:rPr>
            </w:pPr>
          </w:p>
        </w:tc>
        <w:tc>
          <w:tcPr>
            <w:tcW w:w="515" w:type="pct"/>
            <w:vAlign w:val="center"/>
          </w:tcPr>
          <w:p w14:paraId="6C1AAAA6">
            <w:pPr>
              <w:jc w:val="right"/>
              <w:rPr>
                <w:rFonts w:cs="Times New Roman"/>
                <w:color w:val="000000" w:themeColor="text1"/>
                <w14:textFill>
                  <w14:solidFill>
                    <w14:schemeClr w14:val="tx1"/>
                  </w14:solidFill>
                </w14:textFill>
              </w:rPr>
            </w:pPr>
          </w:p>
        </w:tc>
        <w:tc>
          <w:tcPr>
            <w:tcW w:w="687" w:type="pct"/>
            <w:vAlign w:val="center"/>
          </w:tcPr>
          <w:p w14:paraId="772FE4B3">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1,247,262.08</w:t>
            </w:r>
          </w:p>
        </w:tc>
      </w:tr>
      <w:tr w14:paraId="64A0C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58" w:type="pct"/>
            <w:vAlign w:val="center"/>
          </w:tcPr>
          <w:p w14:paraId="525D6C65">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4.期末余额</w:t>
            </w:r>
          </w:p>
        </w:tc>
        <w:tc>
          <w:tcPr>
            <w:tcW w:w="615" w:type="pct"/>
            <w:vAlign w:val="center"/>
          </w:tcPr>
          <w:p w14:paraId="70E90829">
            <w:pPr>
              <w:jc w:val="right"/>
              <w:textAlignment w:val="center"/>
              <w:rPr>
                <w:rFonts w:cs="Times New Roman"/>
              </w:rPr>
            </w:pPr>
            <w:r>
              <w:rPr>
                <w:rFonts w:eastAsia="Arial Narrow" w:cs="Times New Roman"/>
                <w:color w:val="000000"/>
                <w:lang w:bidi="ar"/>
              </w:rPr>
              <w:t>632,221,321.23</w:t>
            </w:r>
          </w:p>
        </w:tc>
        <w:tc>
          <w:tcPr>
            <w:tcW w:w="616" w:type="pct"/>
            <w:vAlign w:val="center"/>
          </w:tcPr>
          <w:p w14:paraId="09C8CFB0">
            <w:pPr>
              <w:jc w:val="right"/>
              <w:textAlignment w:val="center"/>
              <w:rPr>
                <w:rFonts w:cs="Times New Roman"/>
              </w:rPr>
            </w:pPr>
            <w:r>
              <w:rPr>
                <w:rFonts w:eastAsia="Arial Narrow" w:cs="Times New Roman"/>
                <w:color w:val="000000"/>
                <w:lang w:bidi="ar"/>
              </w:rPr>
              <w:t>11,462,571.14</w:t>
            </w:r>
          </w:p>
        </w:tc>
        <w:tc>
          <w:tcPr>
            <w:tcW w:w="595" w:type="pct"/>
            <w:vAlign w:val="center"/>
          </w:tcPr>
          <w:p w14:paraId="4B598181">
            <w:pPr>
              <w:jc w:val="right"/>
              <w:textAlignment w:val="center"/>
              <w:rPr>
                <w:rFonts w:cs="Times New Roman"/>
              </w:rPr>
            </w:pPr>
            <w:r>
              <w:rPr>
                <w:rFonts w:eastAsia="Arial Narrow" w:cs="Times New Roman"/>
                <w:color w:val="000000"/>
                <w:lang w:bidi="ar"/>
              </w:rPr>
              <w:t>998,201.15</w:t>
            </w:r>
          </w:p>
        </w:tc>
        <w:tc>
          <w:tcPr>
            <w:tcW w:w="505" w:type="pct"/>
            <w:vAlign w:val="center"/>
          </w:tcPr>
          <w:p w14:paraId="4CCD1AB1">
            <w:pPr>
              <w:jc w:val="right"/>
              <w:textAlignment w:val="center"/>
              <w:rPr>
                <w:rFonts w:cs="Times New Roman"/>
              </w:rPr>
            </w:pPr>
            <w:r>
              <w:rPr>
                <w:rFonts w:eastAsia="Arial Narrow" w:cs="Times New Roman"/>
                <w:color w:val="000000"/>
                <w:lang w:bidi="ar"/>
              </w:rPr>
              <w:t>18,057,899.16</w:t>
            </w:r>
          </w:p>
        </w:tc>
        <w:tc>
          <w:tcPr>
            <w:tcW w:w="505" w:type="pct"/>
            <w:vAlign w:val="center"/>
          </w:tcPr>
          <w:p w14:paraId="1F1A8273">
            <w:pPr>
              <w:jc w:val="right"/>
              <w:textAlignment w:val="center"/>
              <w:rPr>
                <w:rFonts w:cs="Times New Roman"/>
              </w:rPr>
            </w:pPr>
            <w:r>
              <w:rPr>
                <w:rFonts w:eastAsia="Arial Narrow" w:cs="Times New Roman"/>
                <w:color w:val="000000"/>
                <w:lang w:bidi="ar"/>
              </w:rPr>
              <w:t>239,618.92</w:t>
            </w:r>
          </w:p>
        </w:tc>
        <w:tc>
          <w:tcPr>
            <w:tcW w:w="515" w:type="pct"/>
            <w:vAlign w:val="center"/>
          </w:tcPr>
          <w:p w14:paraId="207C2FAF">
            <w:pPr>
              <w:jc w:val="right"/>
              <w:textAlignment w:val="center"/>
              <w:rPr>
                <w:rFonts w:cs="Times New Roman"/>
              </w:rPr>
            </w:pPr>
            <w:r>
              <w:rPr>
                <w:rFonts w:eastAsia="Arial Narrow" w:cs="Times New Roman"/>
                <w:color w:val="000000"/>
                <w:lang w:bidi="ar"/>
              </w:rPr>
              <w:t>744,064.28</w:t>
            </w:r>
          </w:p>
        </w:tc>
        <w:tc>
          <w:tcPr>
            <w:tcW w:w="687" w:type="pct"/>
            <w:vAlign w:val="center"/>
          </w:tcPr>
          <w:p w14:paraId="239B9CEF">
            <w:pPr>
              <w:jc w:val="right"/>
              <w:textAlignment w:val="center"/>
              <w:rPr>
                <w:rFonts w:cs="Times New Roman"/>
              </w:rPr>
            </w:pPr>
            <w:r>
              <w:rPr>
                <w:rFonts w:eastAsia="Arial Narrow" w:cs="Times New Roman"/>
                <w:color w:val="000000"/>
                <w:lang w:bidi="ar"/>
              </w:rPr>
              <w:t>663,723,675.88</w:t>
            </w:r>
          </w:p>
        </w:tc>
      </w:tr>
      <w:tr w14:paraId="3F93F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cs="Times New Roman"/>
            </w:rPr>
            <w:tag w:val="_PLD_100d3bc56cc142c1b30c3998528f8af2"/>
            <w:id w:val="147479222"/>
          </w:sdtPr>
          <w:sdtEndPr>
            <w:rPr>
              <w:rFonts w:cs="Times New Roman"/>
            </w:rPr>
          </w:sdtEndPr>
          <w:sdtContent>
            <w:tc>
              <w:tcPr>
                <w:tcW w:w="5000" w:type="pct"/>
                <w:gridSpan w:val="8"/>
                <w:vAlign w:val="center"/>
              </w:tcPr>
              <w:p w14:paraId="0B906FA4">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三、减值准备</w:t>
                </w:r>
              </w:p>
            </w:tc>
          </w:sdtContent>
        </w:sdt>
      </w:tr>
      <w:tr w14:paraId="096B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58" w:type="pct"/>
            <w:vAlign w:val="center"/>
          </w:tcPr>
          <w:p w14:paraId="4DE2C1BA">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1.期初余额</w:t>
            </w:r>
          </w:p>
        </w:tc>
        <w:tc>
          <w:tcPr>
            <w:tcW w:w="615" w:type="pct"/>
            <w:vAlign w:val="center"/>
          </w:tcPr>
          <w:p w14:paraId="63148C5B">
            <w:pPr>
              <w:jc w:val="right"/>
              <w:textAlignment w:val="center"/>
              <w:rPr>
                <w:rFonts w:cs="Times New Roman"/>
              </w:rPr>
            </w:pPr>
            <w:r>
              <w:rPr>
                <w:rFonts w:eastAsia="Arial Narrow" w:cs="Times New Roman"/>
                <w:color w:val="000000"/>
                <w:lang w:bidi="ar"/>
              </w:rPr>
              <w:t>444,760,886.78</w:t>
            </w:r>
          </w:p>
        </w:tc>
        <w:tc>
          <w:tcPr>
            <w:tcW w:w="616" w:type="pct"/>
            <w:vAlign w:val="center"/>
          </w:tcPr>
          <w:p w14:paraId="786980AD">
            <w:pPr>
              <w:jc w:val="right"/>
              <w:rPr>
                <w:rFonts w:cs="Times New Roman"/>
              </w:rPr>
            </w:pPr>
          </w:p>
        </w:tc>
        <w:tc>
          <w:tcPr>
            <w:tcW w:w="595" w:type="pct"/>
            <w:vAlign w:val="center"/>
          </w:tcPr>
          <w:p w14:paraId="6A7587D5">
            <w:pPr>
              <w:jc w:val="right"/>
              <w:rPr>
                <w:rFonts w:cs="Times New Roman"/>
              </w:rPr>
            </w:pPr>
          </w:p>
        </w:tc>
        <w:tc>
          <w:tcPr>
            <w:tcW w:w="505" w:type="pct"/>
            <w:vAlign w:val="center"/>
          </w:tcPr>
          <w:p w14:paraId="1A1C4ADC">
            <w:pPr>
              <w:jc w:val="right"/>
              <w:textAlignment w:val="center"/>
              <w:rPr>
                <w:rFonts w:cs="Times New Roman"/>
              </w:rPr>
            </w:pPr>
            <w:r>
              <w:rPr>
                <w:rFonts w:eastAsia="Arial Narrow" w:cs="Times New Roman"/>
                <w:color w:val="000000"/>
                <w:lang w:bidi="ar"/>
              </w:rPr>
              <w:t>14,400.41</w:t>
            </w:r>
          </w:p>
        </w:tc>
        <w:tc>
          <w:tcPr>
            <w:tcW w:w="505" w:type="pct"/>
            <w:vAlign w:val="center"/>
          </w:tcPr>
          <w:p w14:paraId="40AAAB31">
            <w:pPr>
              <w:jc w:val="right"/>
              <w:rPr>
                <w:rFonts w:cs="Times New Roman"/>
              </w:rPr>
            </w:pPr>
          </w:p>
        </w:tc>
        <w:tc>
          <w:tcPr>
            <w:tcW w:w="515" w:type="pct"/>
            <w:vAlign w:val="center"/>
          </w:tcPr>
          <w:p w14:paraId="64FCD445">
            <w:pPr>
              <w:jc w:val="right"/>
              <w:rPr>
                <w:rFonts w:cs="Times New Roman"/>
              </w:rPr>
            </w:pPr>
          </w:p>
        </w:tc>
        <w:tc>
          <w:tcPr>
            <w:tcW w:w="687" w:type="pct"/>
            <w:vAlign w:val="center"/>
          </w:tcPr>
          <w:p w14:paraId="7EC4B9AB">
            <w:pPr>
              <w:jc w:val="right"/>
              <w:textAlignment w:val="center"/>
              <w:rPr>
                <w:rFonts w:cs="Times New Roman"/>
              </w:rPr>
            </w:pPr>
            <w:r>
              <w:rPr>
                <w:rFonts w:eastAsia="Arial Narrow" w:cs="Times New Roman"/>
                <w:color w:val="000000"/>
                <w:lang w:bidi="ar"/>
              </w:rPr>
              <w:t>444,775,287.19</w:t>
            </w:r>
          </w:p>
        </w:tc>
      </w:tr>
      <w:tr w14:paraId="43CC7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58" w:type="pct"/>
            <w:vAlign w:val="center"/>
          </w:tcPr>
          <w:p w14:paraId="1960D7B2">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2.本期增加金额</w:t>
            </w:r>
          </w:p>
        </w:tc>
        <w:tc>
          <w:tcPr>
            <w:tcW w:w="615" w:type="pct"/>
          </w:tcPr>
          <w:p w14:paraId="6CF3C68B">
            <w:pPr>
              <w:jc w:val="right"/>
              <w:rPr>
                <w:rFonts w:cs="Times New Roman"/>
              </w:rPr>
            </w:pPr>
          </w:p>
        </w:tc>
        <w:tc>
          <w:tcPr>
            <w:tcW w:w="616" w:type="pct"/>
          </w:tcPr>
          <w:p w14:paraId="0CC89C41">
            <w:pPr>
              <w:jc w:val="right"/>
              <w:rPr>
                <w:rFonts w:cs="Times New Roman"/>
              </w:rPr>
            </w:pPr>
          </w:p>
        </w:tc>
        <w:tc>
          <w:tcPr>
            <w:tcW w:w="595" w:type="pct"/>
          </w:tcPr>
          <w:p w14:paraId="3E0B4B49">
            <w:pPr>
              <w:jc w:val="right"/>
              <w:rPr>
                <w:rFonts w:cs="Times New Roman"/>
              </w:rPr>
            </w:pPr>
          </w:p>
        </w:tc>
        <w:tc>
          <w:tcPr>
            <w:tcW w:w="505" w:type="pct"/>
          </w:tcPr>
          <w:p w14:paraId="2C0978D8">
            <w:pPr>
              <w:jc w:val="right"/>
              <w:rPr>
                <w:rFonts w:cs="Times New Roman"/>
              </w:rPr>
            </w:pPr>
          </w:p>
        </w:tc>
        <w:tc>
          <w:tcPr>
            <w:tcW w:w="505" w:type="pct"/>
          </w:tcPr>
          <w:p w14:paraId="31EE431D">
            <w:pPr>
              <w:jc w:val="right"/>
              <w:rPr>
                <w:rFonts w:cs="Times New Roman"/>
              </w:rPr>
            </w:pPr>
          </w:p>
        </w:tc>
        <w:tc>
          <w:tcPr>
            <w:tcW w:w="515" w:type="pct"/>
          </w:tcPr>
          <w:p w14:paraId="66ECF7A8">
            <w:pPr>
              <w:jc w:val="right"/>
              <w:rPr>
                <w:rFonts w:cs="Times New Roman"/>
              </w:rPr>
            </w:pPr>
          </w:p>
        </w:tc>
        <w:tc>
          <w:tcPr>
            <w:tcW w:w="687" w:type="pct"/>
          </w:tcPr>
          <w:p w14:paraId="188623CA">
            <w:pPr>
              <w:jc w:val="right"/>
              <w:rPr>
                <w:rFonts w:cs="Times New Roman"/>
              </w:rPr>
            </w:pPr>
          </w:p>
        </w:tc>
      </w:tr>
      <w:tr w14:paraId="03BB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58" w:type="pct"/>
            <w:vAlign w:val="center"/>
          </w:tcPr>
          <w:p w14:paraId="74598887">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3.本期减少金额</w:t>
            </w:r>
          </w:p>
        </w:tc>
        <w:tc>
          <w:tcPr>
            <w:tcW w:w="615" w:type="pct"/>
          </w:tcPr>
          <w:p w14:paraId="0CAFF6CB">
            <w:pPr>
              <w:jc w:val="right"/>
              <w:rPr>
                <w:rFonts w:cs="Times New Roman"/>
              </w:rPr>
            </w:pPr>
          </w:p>
        </w:tc>
        <w:tc>
          <w:tcPr>
            <w:tcW w:w="616" w:type="pct"/>
          </w:tcPr>
          <w:p w14:paraId="5AD7F90C">
            <w:pPr>
              <w:jc w:val="right"/>
              <w:rPr>
                <w:rFonts w:cs="Times New Roman"/>
              </w:rPr>
            </w:pPr>
          </w:p>
        </w:tc>
        <w:tc>
          <w:tcPr>
            <w:tcW w:w="595" w:type="pct"/>
          </w:tcPr>
          <w:p w14:paraId="6866DF44">
            <w:pPr>
              <w:jc w:val="right"/>
              <w:rPr>
                <w:rFonts w:cs="Times New Roman"/>
              </w:rPr>
            </w:pPr>
          </w:p>
        </w:tc>
        <w:tc>
          <w:tcPr>
            <w:tcW w:w="505" w:type="pct"/>
          </w:tcPr>
          <w:p w14:paraId="442BEB68">
            <w:pPr>
              <w:jc w:val="right"/>
              <w:rPr>
                <w:rFonts w:cs="Times New Roman"/>
              </w:rPr>
            </w:pPr>
          </w:p>
        </w:tc>
        <w:tc>
          <w:tcPr>
            <w:tcW w:w="505" w:type="pct"/>
          </w:tcPr>
          <w:p w14:paraId="791D2A03">
            <w:pPr>
              <w:jc w:val="right"/>
              <w:rPr>
                <w:rFonts w:cs="Times New Roman"/>
              </w:rPr>
            </w:pPr>
          </w:p>
        </w:tc>
        <w:tc>
          <w:tcPr>
            <w:tcW w:w="515" w:type="pct"/>
          </w:tcPr>
          <w:p w14:paraId="5F3FB6CD">
            <w:pPr>
              <w:jc w:val="right"/>
              <w:rPr>
                <w:rFonts w:cs="Times New Roman"/>
              </w:rPr>
            </w:pPr>
          </w:p>
        </w:tc>
        <w:tc>
          <w:tcPr>
            <w:tcW w:w="687" w:type="pct"/>
          </w:tcPr>
          <w:p w14:paraId="384F703C">
            <w:pPr>
              <w:jc w:val="right"/>
              <w:rPr>
                <w:rFonts w:cs="Times New Roman"/>
              </w:rPr>
            </w:pPr>
          </w:p>
        </w:tc>
      </w:tr>
      <w:tr w14:paraId="3C1D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58" w:type="pct"/>
            <w:vAlign w:val="center"/>
          </w:tcPr>
          <w:p w14:paraId="30D5646D">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4.期末余额</w:t>
            </w:r>
          </w:p>
        </w:tc>
        <w:tc>
          <w:tcPr>
            <w:tcW w:w="615" w:type="pct"/>
            <w:vAlign w:val="center"/>
          </w:tcPr>
          <w:p w14:paraId="5A0CF4EC">
            <w:pPr>
              <w:jc w:val="right"/>
              <w:textAlignment w:val="center"/>
              <w:rPr>
                <w:rFonts w:cs="Times New Roman"/>
              </w:rPr>
            </w:pPr>
            <w:r>
              <w:rPr>
                <w:rFonts w:eastAsia="Arial Narrow" w:cs="Times New Roman"/>
                <w:color w:val="000000"/>
                <w:lang w:bidi="ar"/>
              </w:rPr>
              <w:t>444,760,886.78</w:t>
            </w:r>
          </w:p>
        </w:tc>
        <w:tc>
          <w:tcPr>
            <w:tcW w:w="616" w:type="pct"/>
            <w:vAlign w:val="center"/>
          </w:tcPr>
          <w:p w14:paraId="2BE47A6E">
            <w:pPr>
              <w:jc w:val="right"/>
              <w:rPr>
                <w:rFonts w:cs="Times New Roman"/>
              </w:rPr>
            </w:pPr>
          </w:p>
        </w:tc>
        <w:tc>
          <w:tcPr>
            <w:tcW w:w="595" w:type="pct"/>
            <w:vAlign w:val="center"/>
          </w:tcPr>
          <w:p w14:paraId="75AE4262">
            <w:pPr>
              <w:jc w:val="right"/>
              <w:rPr>
                <w:rFonts w:cs="Times New Roman"/>
              </w:rPr>
            </w:pPr>
          </w:p>
        </w:tc>
        <w:tc>
          <w:tcPr>
            <w:tcW w:w="505" w:type="pct"/>
            <w:vAlign w:val="center"/>
          </w:tcPr>
          <w:p w14:paraId="7F707CE5">
            <w:pPr>
              <w:jc w:val="right"/>
              <w:textAlignment w:val="center"/>
              <w:rPr>
                <w:rFonts w:cs="Times New Roman"/>
              </w:rPr>
            </w:pPr>
            <w:r>
              <w:rPr>
                <w:rFonts w:eastAsia="Arial Narrow" w:cs="Times New Roman"/>
                <w:color w:val="000000"/>
                <w:lang w:bidi="ar"/>
              </w:rPr>
              <w:t>14,400.41</w:t>
            </w:r>
          </w:p>
        </w:tc>
        <w:tc>
          <w:tcPr>
            <w:tcW w:w="505" w:type="pct"/>
            <w:vAlign w:val="center"/>
          </w:tcPr>
          <w:p w14:paraId="62155FD8">
            <w:pPr>
              <w:jc w:val="right"/>
              <w:rPr>
                <w:rFonts w:cs="Times New Roman"/>
              </w:rPr>
            </w:pPr>
          </w:p>
        </w:tc>
        <w:tc>
          <w:tcPr>
            <w:tcW w:w="515" w:type="pct"/>
            <w:vAlign w:val="center"/>
          </w:tcPr>
          <w:p w14:paraId="1CE968D4">
            <w:pPr>
              <w:jc w:val="right"/>
              <w:rPr>
                <w:rFonts w:cs="Times New Roman"/>
              </w:rPr>
            </w:pPr>
          </w:p>
        </w:tc>
        <w:tc>
          <w:tcPr>
            <w:tcW w:w="687" w:type="pct"/>
            <w:vAlign w:val="center"/>
          </w:tcPr>
          <w:p w14:paraId="546A71A4">
            <w:pPr>
              <w:jc w:val="right"/>
              <w:textAlignment w:val="center"/>
              <w:rPr>
                <w:rFonts w:cs="Times New Roman"/>
              </w:rPr>
            </w:pPr>
            <w:r>
              <w:rPr>
                <w:rFonts w:eastAsia="Arial Narrow" w:cs="Times New Roman"/>
                <w:color w:val="000000"/>
                <w:lang w:bidi="ar"/>
              </w:rPr>
              <w:t>444,775,287.19</w:t>
            </w:r>
          </w:p>
        </w:tc>
      </w:tr>
      <w:tr w14:paraId="562C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cs="Times New Roman"/>
            </w:rPr>
            <w:tag w:val="_PLD_77aceef1b70d43c0846f7e8f529b7784"/>
            <w:id w:val="147463286"/>
          </w:sdtPr>
          <w:sdtEndPr>
            <w:rPr>
              <w:rFonts w:cs="Times New Roman"/>
            </w:rPr>
          </w:sdtEndPr>
          <w:sdtContent>
            <w:tc>
              <w:tcPr>
                <w:tcW w:w="5000" w:type="pct"/>
                <w:gridSpan w:val="8"/>
                <w:vAlign w:val="center"/>
              </w:tcPr>
              <w:p w14:paraId="41206588">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四、账面价值</w:t>
                </w:r>
              </w:p>
            </w:tc>
          </w:sdtContent>
        </w:sdt>
      </w:tr>
      <w:tr w14:paraId="22EA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58" w:type="pct"/>
            <w:vAlign w:val="center"/>
          </w:tcPr>
          <w:p w14:paraId="1262ABDE">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1.期末账面价值</w:t>
            </w:r>
          </w:p>
        </w:tc>
        <w:tc>
          <w:tcPr>
            <w:tcW w:w="615" w:type="pct"/>
            <w:vAlign w:val="center"/>
          </w:tcPr>
          <w:p w14:paraId="5AB3AED8">
            <w:pPr>
              <w:jc w:val="right"/>
              <w:textAlignment w:val="center"/>
              <w:rPr>
                <w:rFonts w:cs="Times New Roman"/>
              </w:rPr>
            </w:pPr>
            <w:r>
              <w:rPr>
                <w:rFonts w:cs="Times New Roman"/>
                <w:color w:val="000000"/>
              </w:rPr>
              <w:t>1,398,488,919.32</w:t>
            </w:r>
          </w:p>
        </w:tc>
        <w:tc>
          <w:tcPr>
            <w:tcW w:w="616" w:type="pct"/>
            <w:vAlign w:val="center"/>
          </w:tcPr>
          <w:p w14:paraId="08A5B129">
            <w:pPr>
              <w:jc w:val="right"/>
              <w:textAlignment w:val="center"/>
              <w:rPr>
                <w:rFonts w:cs="Times New Roman"/>
              </w:rPr>
            </w:pPr>
            <w:r>
              <w:rPr>
                <w:rFonts w:cs="Times New Roman"/>
                <w:color w:val="000000"/>
              </w:rPr>
              <w:t>6,066,922.44</w:t>
            </w:r>
          </w:p>
        </w:tc>
        <w:tc>
          <w:tcPr>
            <w:tcW w:w="595" w:type="pct"/>
            <w:vAlign w:val="center"/>
          </w:tcPr>
          <w:p w14:paraId="3A281D1C">
            <w:pPr>
              <w:jc w:val="right"/>
              <w:rPr>
                <w:rFonts w:cs="Times New Roman"/>
              </w:rPr>
            </w:pPr>
          </w:p>
        </w:tc>
        <w:tc>
          <w:tcPr>
            <w:tcW w:w="505" w:type="pct"/>
            <w:vAlign w:val="center"/>
          </w:tcPr>
          <w:p w14:paraId="133AB948">
            <w:pPr>
              <w:jc w:val="right"/>
              <w:textAlignment w:val="center"/>
              <w:rPr>
                <w:rFonts w:cs="Times New Roman"/>
              </w:rPr>
            </w:pPr>
            <w:r>
              <w:rPr>
                <w:rFonts w:cs="Times New Roman"/>
                <w:color w:val="000000"/>
              </w:rPr>
              <w:t>8,571,806.10</w:t>
            </w:r>
          </w:p>
        </w:tc>
        <w:tc>
          <w:tcPr>
            <w:tcW w:w="505" w:type="pct"/>
            <w:vAlign w:val="center"/>
          </w:tcPr>
          <w:p w14:paraId="2DBBAFFA">
            <w:pPr>
              <w:jc w:val="right"/>
              <w:textAlignment w:val="center"/>
              <w:rPr>
                <w:rFonts w:cs="Times New Roman"/>
              </w:rPr>
            </w:pPr>
            <w:r>
              <w:rPr>
                <w:rFonts w:cs="Times New Roman"/>
                <w:color w:val="000000"/>
              </w:rPr>
              <w:t>14,999,918.13</w:t>
            </w:r>
          </w:p>
        </w:tc>
        <w:tc>
          <w:tcPr>
            <w:tcW w:w="515" w:type="pct"/>
            <w:vAlign w:val="center"/>
          </w:tcPr>
          <w:p w14:paraId="2DECB89C">
            <w:pPr>
              <w:jc w:val="right"/>
              <w:textAlignment w:val="center"/>
              <w:rPr>
                <w:rFonts w:cs="Times New Roman"/>
              </w:rPr>
            </w:pPr>
            <w:r>
              <w:rPr>
                <w:rFonts w:cs="Times New Roman"/>
                <w:color w:val="000000"/>
              </w:rPr>
              <w:t>316,313.05</w:t>
            </w:r>
          </w:p>
        </w:tc>
        <w:tc>
          <w:tcPr>
            <w:tcW w:w="687" w:type="pct"/>
            <w:vAlign w:val="center"/>
          </w:tcPr>
          <w:p w14:paraId="765B7465">
            <w:pPr>
              <w:jc w:val="right"/>
              <w:textAlignment w:val="center"/>
              <w:rPr>
                <w:rFonts w:cs="Times New Roman"/>
              </w:rPr>
            </w:pPr>
            <w:r>
              <w:rPr>
                <w:rFonts w:cs="Times New Roman"/>
                <w:color w:val="000000"/>
              </w:rPr>
              <w:t>1,428,443,879.04</w:t>
            </w:r>
          </w:p>
        </w:tc>
      </w:tr>
      <w:tr w14:paraId="765C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58" w:type="pct"/>
            <w:vAlign w:val="center"/>
          </w:tcPr>
          <w:p w14:paraId="26C675F1">
            <w:pPr>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2.期初账面价值</w:t>
            </w:r>
          </w:p>
        </w:tc>
        <w:tc>
          <w:tcPr>
            <w:tcW w:w="615" w:type="pct"/>
            <w:vAlign w:val="center"/>
          </w:tcPr>
          <w:p w14:paraId="72E0C154">
            <w:pPr>
              <w:jc w:val="right"/>
              <w:textAlignment w:val="center"/>
              <w:rPr>
                <w:rFonts w:cs="Times New Roman"/>
              </w:rPr>
            </w:pPr>
            <w:r>
              <w:rPr>
                <w:rFonts w:cs="Times New Roman"/>
                <w:color w:val="000000"/>
              </w:rPr>
              <w:t>1,406,705,910.47</w:t>
            </w:r>
          </w:p>
        </w:tc>
        <w:tc>
          <w:tcPr>
            <w:tcW w:w="616" w:type="pct"/>
            <w:vAlign w:val="center"/>
          </w:tcPr>
          <w:p w14:paraId="4A8FA2B2">
            <w:pPr>
              <w:jc w:val="right"/>
              <w:textAlignment w:val="center"/>
              <w:rPr>
                <w:rFonts w:cs="Times New Roman"/>
              </w:rPr>
            </w:pPr>
            <w:r>
              <w:rPr>
                <w:rFonts w:cs="Times New Roman"/>
                <w:color w:val="000000"/>
              </w:rPr>
              <w:t>6,635,284.35</w:t>
            </w:r>
          </w:p>
        </w:tc>
        <w:tc>
          <w:tcPr>
            <w:tcW w:w="595" w:type="pct"/>
            <w:vAlign w:val="center"/>
          </w:tcPr>
          <w:p w14:paraId="534A915B">
            <w:pPr>
              <w:jc w:val="right"/>
              <w:rPr>
                <w:rFonts w:cs="Times New Roman"/>
              </w:rPr>
            </w:pPr>
          </w:p>
        </w:tc>
        <w:tc>
          <w:tcPr>
            <w:tcW w:w="505" w:type="pct"/>
            <w:vAlign w:val="center"/>
          </w:tcPr>
          <w:p w14:paraId="36AD462A">
            <w:pPr>
              <w:jc w:val="right"/>
              <w:textAlignment w:val="center"/>
              <w:rPr>
                <w:rFonts w:cs="Times New Roman"/>
              </w:rPr>
            </w:pPr>
            <w:r>
              <w:rPr>
                <w:rFonts w:cs="Times New Roman"/>
                <w:color w:val="000000"/>
              </w:rPr>
              <w:t>9,249,423.10</w:t>
            </w:r>
          </w:p>
        </w:tc>
        <w:tc>
          <w:tcPr>
            <w:tcW w:w="505" w:type="pct"/>
            <w:vAlign w:val="center"/>
          </w:tcPr>
          <w:p w14:paraId="652E7A39">
            <w:pPr>
              <w:jc w:val="right"/>
              <w:textAlignment w:val="center"/>
              <w:rPr>
                <w:rFonts w:cs="Times New Roman"/>
              </w:rPr>
            </w:pPr>
            <w:r>
              <w:rPr>
                <w:rFonts w:cs="Times New Roman"/>
                <w:color w:val="000000"/>
              </w:rPr>
              <w:t>15,010,102.29</w:t>
            </w:r>
          </w:p>
        </w:tc>
        <w:tc>
          <w:tcPr>
            <w:tcW w:w="515" w:type="pct"/>
            <w:vAlign w:val="center"/>
          </w:tcPr>
          <w:p w14:paraId="12F5D0CA">
            <w:pPr>
              <w:jc w:val="right"/>
              <w:textAlignment w:val="center"/>
              <w:rPr>
                <w:rFonts w:cs="Times New Roman"/>
              </w:rPr>
            </w:pPr>
            <w:r>
              <w:rPr>
                <w:rFonts w:cs="Times New Roman"/>
                <w:color w:val="000000"/>
              </w:rPr>
              <w:t>422,950.81</w:t>
            </w:r>
          </w:p>
        </w:tc>
        <w:tc>
          <w:tcPr>
            <w:tcW w:w="687" w:type="pct"/>
            <w:vAlign w:val="center"/>
          </w:tcPr>
          <w:p w14:paraId="54E8D237">
            <w:pPr>
              <w:jc w:val="right"/>
              <w:textAlignment w:val="center"/>
              <w:rPr>
                <w:rFonts w:cs="Times New Roman"/>
              </w:rPr>
            </w:pPr>
            <w:r>
              <w:rPr>
                <w:rFonts w:cs="Times New Roman"/>
                <w:color w:val="000000"/>
              </w:rPr>
              <w:t>1,438,023,671.02</w:t>
            </w:r>
          </w:p>
        </w:tc>
      </w:tr>
    </w:tbl>
    <w:p w14:paraId="521D3D8E">
      <w:pPr>
        <w:sectPr>
          <w:pgSz w:w="16838" w:h="11906" w:orient="landscape"/>
          <w:pgMar w:top="1797" w:right="1525" w:bottom="1276" w:left="1440" w:header="856" w:footer="992" w:gutter="0"/>
          <w:cols w:space="425" w:num="1"/>
          <w:docGrid w:linePitch="312" w:charSpace="0"/>
        </w:sectPr>
      </w:pPr>
    </w:p>
    <w:p w14:paraId="7CB72760"/>
    <w:p w14:paraId="472F0E42">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期末通过公司内部研发形成的无形资产占无形资产余额的比例</w:t>
      </w:r>
      <w:sdt>
        <w:sdtPr>
          <w:rPr>
            <w:color w:val="000000" w:themeColor="text1"/>
            <w14:textFill>
              <w14:solidFill>
                <w14:schemeClr w14:val="tx1"/>
              </w14:solidFill>
            </w14:textFill>
          </w:rPr>
          <w:alias w:val="通过公司内部研发形成的无形资产占无形资产账面价值的比例"/>
          <w:tag w:val="_GBC_4eb0f3140a674bd1899e2bd836d51bbb"/>
          <w:id w:val="147481256"/>
          <w:placeholder>
            <w:docPart w:val="GBC22222222222222222222222222222"/>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w:t>
          </w:r>
        </w:sdtContent>
      </w:sdt>
      <w:r>
        <w:rPr>
          <w:rFonts w:hint="eastAsia"/>
          <w:color w:val="000000" w:themeColor="text1"/>
          <w14:textFill>
            <w14:solidFill>
              <w14:schemeClr w14:val="tx1"/>
            </w14:solidFill>
          </w14:textFill>
        </w:rPr>
        <w:t>%</w:t>
      </w:r>
    </w:p>
    <w:p w14:paraId="58249143">
      <w:pPr>
        <w:snapToGrid w:val="0"/>
        <w:spacing w:line="240" w:lineRule="atLeast"/>
        <w:rPr>
          <w:color w:val="000000" w:themeColor="text1"/>
          <w14:textFill>
            <w14:solidFill>
              <w14:schemeClr w14:val="tx1"/>
            </w14:solidFill>
          </w14:textFill>
        </w:rPr>
      </w:pPr>
    </w:p>
    <w:p w14:paraId="64BC77E8">
      <w:pPr>
        <w:pStyle w:val="58"/>
        <w:numPr>
          <w:ilvl w:val="0"/>
          <w:numId w:val="75"/>
        </w:numPr>
        <w:tabs>
          <w:tab w:val="left" w:pos="602"/>
        </w:tabs>
        <w:rPr>
          <w:rFonts w:ascii="宋体" w:hAnsi="宋体"/>
          <w:color w:val="000000" w:themeColor="text1"/>
          <w:szCs w:val="21"/>
          <w14:textFill>
            <w14:solidFill>
              <w14:schemeClr w14:val="tx1"/>
            </w14:solidFill>
          </w14:textFill>
        </w:rPr>
      </w:pPr>
      <w:bookmarkStart w:id="331" w:name="_Hlk169705970"/>
      <w:r>
        <w:rPr>
          <w:rFonts w:hint="eastAsia" w:ascii="宋体" w:hAnsi="宋体"/>
          <w:color w:val="000000" w:themeColor="text1"/>
          <w:szCs w:val="21"/>
          <w14:textFill>
            <w14:solidFill>
              <w14:schemeClr w14:val="tx1"/>
            </w14:solidFill>
          </w14:textFill>
        </w:rPr>
        <w:t>确认为无形资产的数据资源</w:t>
      </w:r>
    </w:p>
    <w:sdt>
      <w:sdtPr>
        <w:rPr>
          <w:color w:val="000000" w:themeColor="text1"/>
          <w14:textFill>
            <w14:solidFill>
              <w14:schemeClr w14:val="tx1"/>
            </w14:solidFill>
          </w14:textFill>
        </w:rPr>
        <w:alias w:val="是否适用：确认为无形资产的数据资源[双击切换]"/>
        <w:tag w:val="_GBC_69d13d4234a148729542b163082d1cd0"/>
        <w:id w:val="147476432"/>
        <w:placeholder>
          <w:docPart w:val="GBC22222222222222222222222222222"/>
        </w:placeholder>
      </w:sdtPr>
      <w:sdtEndPr>
        <w:rPr>
          <w:color w:val="000000" w:themeColor="text1"/>
          <w14:textFill>
            <w14:solidFill>
              <w14:schemeClr w14:val="tx1"/>
            </w14:solidFill>
          </w14:textFill>
        </w:rPr>
      </w:sdtEndPr>
      <w:sdtContent>
        <w:p w14:paraId="4C327A0A">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8A86ADA">
      <w:pPr>
        <w:snapToGrid w:val="0"/>
        <w:spacing w:line="240" w:lineRule="atLeast"/>
        <w:rPr>
          <w:color w:val="000000" w:themeColor="text1"/>
          <w14:textFill>
            <w14:solidFill>
              <w14:schemeClr w14:val="tx1"/>
            </w14:solidFill>
          </w14:textFill>
        </w:rPr>
      </w:pPr>
    </w:p>
    <w:bookmarkEnd w:id="331"/>
    <w:p w14:paraId="601316B9">
      <w:pPr>
        <w:pStyle w:val="58"/>
        <w:numPr>
          <w:ilvl w:val="0"/>
          <w:numId w:val="75"/>
        </w:numPr>
        <w:tabs>
          <w:tab w:val="left" w:pos="602"/>
        </w:tabs>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未办妥产权证书的土地使用权情况</w:t>
      </w:r>
    </w:p>
    <w:sdt>
      <w:sdtPr>
        <w:rPr>
          <w:color w:val="000000" w:themeColor="text1"/>
          <w14:textFill>
            <w14:solidFill>
              <w14:schemeClr w14:val="tx1"/>
            </w14:solidFill>
          </w14:textFill>
        </w:rPr>
        <w:alias w:val="是否适用：未办妥产权证书的土地使用权情况[双击切换]"/>
        <w:tag w:val="_GBC_e8ff0641401a44f19fe64ad31dc15c58"/>
        <w:id w:val="-146366473"/>
      </w:sdtPr>
      <w:sdtEndPr>
        <w:rPr>
          <w:color w:val="000000" w:themeColor="text1"/>
          <w14:textFill>
            <w14:solidFill>
              <w14:schemeClr w14:val="tx1"/>
            </w14:solidFill>
          </w14:textFill>
        </w:rPr>
      </w:sdtEndPr>
      <w:sdtContent>
        <w:p w14:paraId="1140635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1F18EA44">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未办妥产权证书的土地使用权情况"/>
          <w:tag w:val="_GBC_6d7518e23389454d8aa2c26272e90959"/>
          <w:id w:val="729735993"/>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未办妥产权证书的土地使用权情况"/>
          <w:tag w:val="_GBC_27007ebda6594c4a9f41f6d4effd1d62"/>
          <w:id w:val="204085742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5"/>
        <w:gridCol w:w="3016"/>
        <w:gridCol w:w="3018"/>
      </w:tblGrid>
      <w:tr w14:paraId="231C8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4efb019848394f1b84d6df16ceb61a30"/>
            <w:id w:val="-81766202"/>
          </w:sdtPr>
          <w:sdtEndPr>
            <w:rPr>
              <w:rFonts w:cs="Times New Roman"/>
            </w:rPr>
          </w:sdtEndPr>
          <w:sdtContent>
            <w:tc>
              <w:tcPr>
                <w:tcW w:w="1665" w:type="pct"/>
                <w:vAlign w:val="center"/>
              </w:tcPr>
              <w:p w14:paraId="09ADB47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dd62230db4d04e378a4a470f0f0ef863"/>
            <w:id w:val="-338931223"/>
          </w:sdtPr>
          <w:sdtEndPr>
            <w:rPr>
              <w:rFonts w:cs="Times New Roman"/>
            </w:rPr>
          </w:sdtEndPr>
          <w:sdtContent>
            <w:tc>
              <w:tcPr>
                <w:tcW w:w="1666" w:type="pct"/>
                <w:vAlign w:val="center"/>
              </w:tcPr>
              <w:p w14:paraId="701655F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账面价值</w:t>
                </w:r>
              </w:p>
            </w:tc>
          </w:sdtContent>
        </w:sdt>
        <w:sdt>
          <w:sdtPr>
            <w:rPr>
              <w:rFonts w:cs="Times New Roman"/>
            </w:rPr>
            <w:tag w:val="_PLD_f1c8cdf0044a4f9199725c6ef167bb29"/>
            <w:id w:val="-1609272333"/>
          </w:sdtPr>
          <w:sdtEndPr>
            <w:rPr>
              <w:rFonts w:cs="Times New Roman"/>
            </w:rPr>
          </w:sdtEndPr>
          <w:sdtContent>
            <w:tc>
              <w:tcPr>
                <w:tcW w:w="1667" w:type="pct"/>
                <w:vAlign w:val="center"/>
              </w:tcPr>
              <w:p w14:paraId="72CDD232">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未办妥产权证书的原因</w:t>
                </w:r>
              </w:p>
            </w:tc>
          </w:sdtContent>
        </w:sdt>
      </w:tr>
      <w:sdt>
        <w:sdtPr>
          <w:rPr>
            <w:rFonts w:cs="Times New Roman"/>
            <w:color w:val="000000" w:themeColor="text1"/>
            <w14:textFill>
              <w14:solidFill>
                <w14:schemeClr w14:val="tx1"/>
              </w14:solidFill>
            </w14:textFill>
          </w:rPr>
          <w:alias w:val="未办妥产权证书的土地使用权情况明细"/>
          <w:tag w:val="_GBC_109499b5d2b34860aa856972401fcb6e"/>
          <w:id w:val="-2075495153"/>
          <w:placeholder>
            <w:docPart w:val="{e57c6a27-ff94-440e-8baf-13a3927d767d}"/>
          </w:placeholder>
        </w:sdtPr>
        <w:sdtEndPr>
          <w:rPr>
            <w:rFonts w:cs="Times New Roman"/>
            <w:color w:val="000000" w:themeColor="text1"/>
            <w14:textFill>
              <w14:solidFill>
                <w14:schemeClr w14:val="tx1"/>
              </w14:solidFill>
            </w14:textFill>
          </w:rPr>
        </w:sdtEndPr>
        <w:sdtContent>
          <w:tr w14:paraId="19DE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Align w:val="center"/>
              </w:tcPr>
              <w:p w14:paraId="6095C2CD">
                <w:pPr>
                  <w:rPr>
                    <w:rFonts w:cs="Times New Roman"/>
                  </w:rPr>
                </w:pPr>
                <w:r>
                  <w:rPr>
                    <w:rFonts w:cs="Times New Roman"/>
                  </w:rPr>
                  <w:t>际华针织土地</w:t>
                </w:r>
              </w:p>
            </w:tc>
            <w:tc>
              <w:tcPr>
                <w:tcW w:w="1666" w:type="pct"/>
                <w:vAlign w:val="center"/>
              </w:tcPr>
              <w:p w14:paraId="219E6F7D">
                <w:pPr>
                  <w:jc w:val="right"/>
                  <w:rPr>
                    <w:rFonts w:cs="Times New Roman"/>
                  </w:rPr>
                </w:pPr>
                <w:r>
                  <w:rPr>
                    <w:rFonts w:cs="Times New Roman"/>
                  </w:rPr>
                  <w:t>2,430,550.46</w:t>
                </w:r>
              </w:p>
            </w:tc>
            <w:tc>
              <w:tcPr>
                <w:tcW w:w="1667" w:type="pct"/>
                <w:vAlign w:val="center"/>
              </w:tcPr>
              <w:p w14:paraId="1C7A4778">
                <w:pPr>
                  <w:jc w:val="center"/>
                  <w:rPr>
                    <w:rFonts w:cs="Times New Roman"/>
                  </w:rPr>
                </w:pPr>
                <w:r>
                  <w:rPr>
                    <w:rFonts w:cs="Times New Roman"/>
                  </w:rPr>
                  <w:t>正在办理</w:t>
                </w:r>
              </w:p>
            </w:tc>
          </w:tr>
        </w:sdtContent>
      </w:sdt>
    </w:tbl>
    <w:p w14:paraId="4847DA72">
      <w:pPr>
        <w:snapToGrid w:val="0"/>
        <w:spacing w:line="240" w:lineRule="atLeast"/>
        <w:rPr>
          <w:color w:val="000000" w:themeColor="text1"/>
          <w14:textFill>
            <w14:solidFill>
              <w14:schemeClr w14:val="tx1"/>
            </w14:solidFill>
          </w14:textFill>
        </w:rPr>
      </w:pPr>
    </w:p>
    <w:p w14:paraId="423B4B36">
      <w:pPr>
        <w:snapToGrid w:val="0"/>
        <w:spacing w:line="240" w:lineRule="atLeast"/>
        <w:rPr>
          <w:color w:val="000000" w:themeColor="text1"/>
          <w14:textFill>
            <w14:solidFill>
              <w14:schemeClr w14:val="tx1"/>
            </w14:solidFill>
          </w14:textFill>
        </w:rPr>
      </w:pPr>
    </w:p>
    <w:p w14:paraId="2AED6C7B">
      <w:pPr>
        <w:pStyle w:val="58"/>
        <w:numPr>
          <w:ilvl w:val="0"/>
          <w:numId w:val="75"/>
        </w:numPr>
        <w:tabs>
          <w:tab w:val="left" w:pos="602"/>
        </w:tabs>
        <w:rPr>
          <w:rFonts w:ascii="宋体" w:hAnsi="宋体"/>
          <w:color w:val="000000" w:themeColor="text1"/>
          <w:szCs w:val="21"/>
          <w14:textFill>
            <w14:solidFill>
              <w14:schemeClr w14:val="tx1"/>
            </w14:solidFill>
          </w14:textFill>
        </w:rPr>
      </w:pPr>
      <w:bookmarkStart w:id="332" w:name="_Hlk153461844"/>
      <w:bookmarkStart w:id="333" w:name="_Hlk167959697"/>
      <w:r>
        <w:rPr>
          <w:rFonts w:hint="eastAsia" w:ascii="宋体" w:hAnsi="宋体"/>
          <w:color w:val="000000" w:themeColor="text1"/>
          <w:szCs w:val="21"/>
          <w14:textFill>
            <w14:solidFill>
              <w14:schemeClr w14:val="tx1"/>
            </w14:solidFill>
          </w14:textFill>
        </w:rPr>
        <w:t>无形资产的减值测试情况</w:t>
      </w:r>
    </w:p>
    <w:sdt>
      <w:sdtPr>
        <w:rPr>
          <w:color w:val="000000" w:themeColor="text1"/>
          <w14:textFill>
            <w14:solidFill>
              <w14:schemeClr w14:val="tx1"/>
            </w14:solidFill>
          </w14:textFill>
        </w:rPr>
        <w:alias w:val="是否适用：减值测试情况[双击切换]"/>
        <w:tag w:val="_GBC_6523dfc219a7467fb60857d0ff4fbd37"/>
        <w:id w:val="147450916"/>
        <w:placeholder>
          <w:docPart w:val="GBC22222222222222222222222222222"/>
        </w:placeholder>
      </w:sdtPr>
      <w:sdtEndPr>
        <w:rPr>
          <w:color w:val="000000" w:themeColor="text1"/>
          <w14:textFill>
            <w14:solidFill>
              <w14:schemeClr w14:val="tx1"/>
            </w14:solidFill>
          </w14:textFill>
        </w:rPr>
      </w:sdtEndPr>
      <w:sdtContent>
        <w:p w14:paraId="462CF86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E478678">
      <w:pPr>
        <w:snapToGrid w:val="0"/>
        <w:spacing w:line="240" w:lineRule="atLeast"/>
        <w:rPr>
          <w:color w:val="000000" w:themeColor="text1"/>
          <w14:textFill>
            <w14:solidFill>
              <w14:schemeClr w14:val="tx1"/>
            </w14:solidFill>
          </w14:textFill>
        </w:rPr>
      </w:pPr>
    </w:p>
    <w:bookmarkEnd w:id="332"/>
    <w:bookmarkEnd w:id="333"/>
    <w:p w14:paraId="7E51A9D1">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无形资产的说明[双击切换]"/>
        <w:tag w:val="_GBC_dc3c687f3c2c457e9024304c14129458"/>
        <w:id w:val="147467683"/>
        <w:placeholder>
          <w:docPart w:val="GBC22222222222222222222222222222"/>
        </w:placeholder>
      </w:sdtPr>
      <w:sdtEndPr>
        <w:rPr>
          <w:color w:val="000000" w:themeColor="text1"/>
          <w14:textFill>
            <w14:solidFill>
              <w14:schemeClr w14:val="tx1"/>
            </w14:solidFill>
          </w14:textFill>
        </w:rPr>
      </w:sdtEndPr>
      <w:sdtContent>
        <w:p w14:paraId="15B9D6E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E773D34">
      <w:pPr>
        <w:snapToGrid w:val="0"/>
        <w:spacing w:line="240" w:lineRule="atLeast"/>
        <w:rPr>
          <w:color w:val="000000" w:themeColor="text1"/>
          <w14:textFill>
            <w14:solidFill>
              <w14:schemeClr w14:val="tx1"/>
            </w14:solidFill>
          </w14:textFill>
        </w:rPr>
      </w:pPr>
    </w:p>
    <w:p w14:paraId="5EAC9440">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商誉</w:t>
      </w:r>
    </w:p>
    <w:p w14:paraId="0B06831F">
      <w:pPr>
        <w:pStyle w:val="58"/>
        <w:numPr>
          <w:ilvl w:val="0"/>
          <w:numId w:val="76"/>
        </w:numPr>
        <w:tabs>
          <w:tab w:val="left" w:pos="588"/>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商誉账面原值</w:t>
      </w:r>
    </w:p>
    <w:sdt>
      <w:sdtPr>
        <w:rPr>
          <w:color w:val="000000" w:themeColor="text1"/>
          <w14:textFill>
            <w14:solidFill>
              <w14:schemeClr w14:val="tx1"/>
            </w14:solidFill>
          </w14:textFill>
        </w:rPr>
        <w:alias w:val="是否适用：商誉账面原值[双击切换]"/>
        <w:tag w:val="_GBC_e2a869d440cf4b7f9f592f3e22cea85d"/>
        <w:id w:val="672613316"/>
      </w:sdtPr>
      <w:sdtEndPr>
        <w:rPr>
          <w:color w:val="000000" w:themeColor="text1"/>
          <w14:textFill>
            <w14:solidFill>
              <w14:schemeClr w14:val="tx1"/>
            </w14:solidFill>
          </w14:textFill>
        </w:rPr>
      </w:sdtEndPr>
      <w:sdtContent>
        <w:p w14:paraId="79ED750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39890426">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商誉"/>
          <w:tag w:val="_GBC_4797b6084eb24fe79f24d181640f3283"/>
          <w:id w:val="-147440117"/>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商誉"/>
          <w:tag w:val="_GBC_7cd9149d9bea4da8974b80b14b1c0e44"/>
          <w:id w:val="186956457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7"/>
        <w:gridCol w:w="2041"/>
        <w:gridCol w:w="1775"/>
        <w:gridCol w:w="1661"/>
      </w:tblGrid>
      <w:tr w14:paraId="1EDB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sdt>
          <w:sdtPr>
            <w:tag w:val="_PLD_b248be5460bf4bb299c4579815256238"/>
            <w:id w:val="-1882310183"/>
          </w:sdtPr>
          <w:sdtContent>
            <w:tc>
              <w:tcPr>
                <w:tcW w:w="1972" w:type="pct"/>
                <w:vMerge w:val="restart"/>
                <w:vAlign w:val="center"/>
              </w:tcPr>
              <w:p w14:paraId="64E4F255">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被投资单位名称或形成商誉的事项</w:t>
                </w:r>
              </w:p>
            </w:tc>
          </w:sdtContent>
        </w:sdt>
        <w:sdt>
          <w:sdtPr>
            <w:tag w:val="_PLD_a25f69a57b624da887f74ab27a20ba0b"/>
            <w:id w:val="-1655837874"/>
          </w:sdtPr>
          <w:sdtContent>
            <w:tc>
              <w:tcPr>
                <w:tcW w:w="1128" w:type="pct"/>
                <w:vMerge w:val="restart"/>
                <w:vAlign w:val="center"/>
              </w:tcPr>
              <w:p w14:paraId="6E345A33">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sdt>
          <w:sdtPr>
            <w:tag w:val="_PLD_5560c6ea7650430a8c304ee861d4bc25"/>
            <w:id w:val="1793092552"/>
          </w:sdtPr>
          <w:sdtContent>
            <w:tc>
              <w:tcPr>
                <w:tcW w:w="981" w:type="pct"/>
                <w:vAlign w:val="center"/>
              </w:tcPr>
              <w:p w14:paraId="6582E8E8">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本期减少</w:t>
                </w:r>
              </w:p>
            </w:tc>
          </w:sdtContent>
        </w:sdt>
        <w:sdt>
          <w:sdtPr>
            <w:tag w:val="_PLD_075635973edd4d94a997d2ed78e56d8b"/>
            <w:id w:val="1031231081"/>
          </w:sdtPr>
          <w:sdtContent>
            <w:tc>
              <w:tcPr>
                <w:tcW w:w="918" w:type="pct"/>
                <w:vMerge w:val="restart"/>
                <w:vAlign w:val="center"/>
              </w:tcPr>
              <w:p w14:paraId="59AA9177">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tr>
      <w:tr w14:paraId="37E87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972" w:type="pct"/>
            <w:vMerge w:val="continue"/>
          </w:tcPr>
          <w:p w14:paraId="2715C669">
            <w:pPr>
              <w:autoSpaceDE w:val="0"/>
              <w:autoSpaceDN w:val="0"/>
              <w:adjustRightInd w:val="0"/>
              <w:snapToGrid w:val="0"/>
              <w:jc w:val="center"/>
              <w:rPr>
                <w:color w:val="000000" w:themeColor="text1"/>
                <w14:textFill>
                  <w14:solidFill>
                    <w14:schemeClr w14:val="tx1"/>
                  </w14:solidFill>
                </w14:textFill>
              </w:rPr>
            </w:pPr>
          </w:p>
        </w:tc>
        <w:tc>
          <w:tcPr>
            <w:tcW w:w="1128" w:type="pct"/>
            <w:vMerge w:val="continue"/>
          </w:tcPr>
          <w:p w14:paraId="073C125C">
            <w:pPr>
              <w:autoSpaceDE w:val="0"/>
              <w:autoSpaceDN w:val="0"/>
              <w:adjustRightInd w:val="0"/>
              <w:snapToGrid w:val="0"/>
              <w:jc w:val="center"/>
              <w:rPr>
                <w:color w:val="000000" w:themeColor="text1"/>
                <w14:textFill>
                  <w14:solidFill>
                    <w14:schemeClr w14:val="tx1"/>
                  </w14:solidFill>
                </w14:textFill>
              </w:rPr>
            </w:pPr>
          </w:p>
        </w:tc>
        <w:sdt>
          <w:sdtPr>
            <w:tag w:val="_PLD_52f6eef41a0247f195c94af6823a4b67"/>
            <w:id w:val="1363948297"/>
          </w:sdtPr>
          <w:sdtContent>
            <w:tc>
              <w:tcPr>
                <w:tcW w:w="981" w:type="pct"/>
                <w:vAlign w:val="center"/>
              </w:tcPr>
              <w:p w14:paraId="172A6CC9">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处置</w:t>
                </w:r>
              </w:p>
            </w:tc>
          </w:sdtContent>
        </w:sdt>
        <w:tc>
          <w:tcPr>
            <w:tcW w:w="918" w:type="pct"/>
            <w:vMerge w:val="continue"/>
          </w:tcPr>
          <w:p w14:paraId="16AC983B">
            <w:pPr>
              <w:autoSpaceDE w:val="0"/>
              <w:autoSpaceDN w:val="0"/>
              <w:adjustRightInd w:val="0"/>
              <w:snapToGrid w:val="0"/>
              <w:jc w:val="center"/>
              <w:rPr>
                <w:color w:val="000000" w:themeColor="text1"/>
                <w14:textFill>
                  <w14:solidFill>
                    <w14:schemeClr w14:val="tx1"/>
                  </w14:solidFill>
                </w14:textFill>
              </w:rPr>
            </w:pPr>
          </w:p>
        </w:tc>
      </w:tr>
      <w:sdt>
        <w:sdtPr>
          <w:rPr>
            <w:color w:val="000000" w:themeColor="text1"/>
            <w14:textFill>
              <w14:solidFill>
                <w14:schemeClr w14:val="tx1"/>
              </w14:solidFill>
            </w14:textFill>
          </w:rPr>
          <w:alias w:val="商誉明细"/>
          <w:tag w:val="_GBC_916c5c3712e44d7db6b8c9e16bcf5865"/>
          <w:id w:val="912816594"/>
          <w:placeholder>
            <w:docPart w:val="{2a6d8d4c-17d4-454a-b273-36e7e69a7cb5}"/>
          </w:placeholder>
        </w:sdtPr>
        <w:sdtEndPr>
          <w:rPr>
            <w:color w:val="000000" w:themeColor="text1"/>
            <w14:textFill>
              <w14:solidFill>
                <w14:schemeClr w14:val="tx1"/>
              </w14:solidFill>
            </w14:textFill>
          </w:rPr>
        </w:sdtEndPr>
        <w:sdtContent>
          <w:tr w14:paraId="61A7D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972" w:type="pct"/>
                <w:vAlign w:val="center"/>
              </w:tcPr>
              <w:p w14:paraId="2517B74F">
                <w:pPr>
                  <w:autoSpaceDE w:val="0"/>
                  <w:autoSpaceDN w:val="0"/>
                  <w:adjustRightInd w:val="0"/>
                  <w:snapToGrid w:val="0"/>
                  <w:jc w:val="both"/>
                </w:pPr>
                <w:r>
                  <w:rPr>
                    <w:rFonts w:hint="eastAsia"/>
                  </w:rPr>
                  <w:t>呼图壁县万源棉业有限公司</w:t>
                </w:r>
              </w:p>
            </w:tc>
            <w:tc>
              <w:tcPr>
                <w:tcW w:w="1128" w:type="pct"/>
                <w:vAlign w:val="center"/>
              </w:tcPr>
              <w:p w14:paraId="2800766F">
                <w:pPr>
                  <w:autoSpaceDE w:val="0"/>
                  <w:autoSpaceDN w:val="0"/>
                  <w:adjustRightInd w:val="0"/>
                  <w:snapToGrid w:val="0"/>
                  <w:jc w:val="right"/>
                </w:pPr>
                <w:r>
                  <w:rPr>
                    <w:rFonts w:hint="eastAsia"/>
                  </w:rPr>
                  <w:t>6,749,984.75</w:t>
                </w:r>
              </w:p>
            </w:tc>
            <w:tc>
              <w:tcPr>
                <w:tcW w:w="981" w:type="pct"/>
                <w:vAlign w:val="center"/>
              </w:tcPr>
              <w:p w14:paraId="4171A1DD">
                <w:pPr>
                  <w:autoSpaceDE w:val="0"/>
                  <w:autoSpaceDN w:val="0"/>
                  <w:adjustRightInd w:val="0"/>
                  <w:snapToGrid w:val="0"/>
                  <w:jc w:val="right"/>
                </w:pPr>
              </w:p>
            </w:tc>
            <w:tc>
              <w:tcPr>
                <w:tcW w:w="918" w:type="pct"/>
                <w:vAlign w:val="center"/>
              </w:tcPr>
              <w:p w14:paraId="00E3F5B3">
                <w:pPr>
                  <w:autoSpaceDE w:val="0"/>
                  <w:autoSpaceDN w:val="0"/>
                  <w:adjustRightInd w:val="0"/>
                  <w:snapToGrid w:val="0"/>
                  <w:jc w:val="right"/>
                </w:pPr>
                <w:r>
                  <w:rPr>
                    <w:rFonts w:hint="eastAsia"/>
                  </w:rPr>
                  <w:t>6,749,984.75</w:t>
                </w:r>
              </w:p>
            </w:tc>
          </w:tr>
        </w:sdtContent>
      </w:sdt>
      <w:sdt>
        <w:sdtPr>
          <w:rPr>
            <w:color w:val="000000" w:themeColor="text1"/>
            <w14:textFill>
              <w14:solidFill>
                <w14:schemeClr w14:val="tx1"/>
              </w14:solidFill>
            </w14:textFill>
          </w:rPr>
          <w:alias w:val="商誉明细"/>
          <w:tag w:val="_GBC_916c5c3712e44d7db6b8c9e16bcf5865"/>
          <w:id w:val="-671478548"/>
          <w:placeholder>
            <w:docPart w:val="{2a6d8d4c-17d4-454a-b273-36e7e69a7cb5}"/>
          </w:placeholder>
        </w:sdtPr>
        <w:sdtEndPr>
          <w:rPr>
            <w:color w:val="000000" w:themeColor="text1"/>
            <w14:textFill>
              <w14:solidFill>
                <w14:schemeClr w14:val="tx1"/>
              </w14:solidFill>
            </w14:textFill>
          </w:rPr>
        </w:sdtEndPr>
        <w:sdtContent>
          <w:tr w14:paraId="5449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972" w:type="pct"/>
                <w:vAlign w:val="center"/>
              </w:tcPr>
              <w:p w14:paraId="35CBAE02">
                <w:pPr>
                  <w:autoSpaceDE w:val="0"/>
                  <w:autoSpaceDN w:val="0"/>
                  <w:adjustRightInd w:val="0"/>
                  <w:snapToGrid w:val="0"/>
                  <w:jc w:val="both"/>
                </w:pPr>
                <w:r>
                  <w:rPr>
                    <w:rFonts w:hint="eastAsia"/>
                  </w:rPr>
                  <w:t>西双版纳宝莲华橡胶工业有限公司</w:t>
                </w:r>
              </w:p>
            </w:tc>
            <w:tc>
              <w:tcPr>
                <w:tcW w:w="1128" w:type="pct"/>
                <w:vAlign w:val="center"/>
              </w:tcPr>
              <w:p w14:paraId="3D4AACD2">
                <w:pPr>
                  <w:autoSpaceDE w:val="0"/>
                  <w:autoSpaceDN w:val="0"/>
                  <w:adjustRightInd w:val="0"/>
                  <w:snapToGrid w:val="0"/>
                  <w:jc w:val="right"/>
                </w:pPr>
                <w:r>
                  <w:rPr>
                    <w:rFonts w:hint="eastAsia"/>
                  </w:rPr>
                  <w:t>3,019,865.76</w:t>
                </w:r>
              </w:p>
            </w:tc>
            <w:tc>
              <w:tcPr>
                <w:tcW w:w="981" w:type="pct"/>
                <w:vAlign w:val="center"/>
              </w:tcPr>
              <w:p w14:paraId="4EC920D2">
                <w:pPr>
                  <w:autoSpaceDE w:val="0"/>
                  <w:autoSpaceDN w:val="0"/>
                  <w:adjustRightInd w:val="0"/>
                  <w:snapToGrid w:val="0"/>
                  <w:jc w:val="right"/>
                </w:pPr>
                <w:r>
                  <w:rPr>
                    <w:rFonts w:hint="eastAsia"/>
                  </w:rPr>
                  <w:t>3,019,865.76</w:t>
                </w:r>
              </w:p>
            </w:tc>
            <w:tc>
              <w:tcPr>
                <w:tcW w:w="918" w:type="pct"/>
                <w:vAlign w:val="center"/>
              </w:tcPr>
              <w:p w14:paraId="7A771BE9">
                <w:pPr>
                  <w:autoSpaceDE w:val="0"/>
                  <w:autoSpaceDN w:val="0"/>
                  <w:adjustRightInd w:val="0"/>
                  <w:snapToGrid w:val="0"/>
                  <w:jc w:val="right"/>
                </w:pPr>
              </w:p>
            </w:tc>
          </w:tr>
        </w:sdtContent>
      </w:sdt>
      <w:tr w14:paraId="32D0D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sdt>
          <w:sdtPr>
            <w:tag w:val="_PLD_e45c45262afc495e90b6033bd7a17ec4"/>
            <w:id w:val="386771313"/>
          </w:sdtPr>
          <w:sdtContent>
            <w:tc>
              <w:tcPr>
                <w:tcW w:w="1972" w:type="pct"/>
                <w:vAlign w:val="center"/>
              </w:tcPr>
              <w:p w14:paraId="2BD9DE28">
                <w:pPr>
                  <w:autoSpaceDE w:val="0"/>
                  <w:autoSpaceDN w:val="0"/>
                  <w:adjustRightInd w:val="0"/>
                  <w:snapToGrid w:val="0"/>
                  <w:jc w:val="center"/>
                  <w:rPr>
                    <w:color w:val="000000" w:themeColor="text1"/>
                    <w:u w:val="double"/>
                    <w14:textFill>
                      <w14:solidFill>
                        <w14:schemeClr w14:val="tx1"/>
                      </w14:solidFill>
                    </w14:textFill>
                  </w:rPr>
                </w:pPr>
                <w:r>
                  <w:rPr>
                    <w:rFonts w:hint="eastAsia"/>
                    <w:color w:val="000000" w:themeColor="text1"/>
                    <w14:textFill>
                      <w14:solidFill>
                        <w14:schemeClr w14:val="tx1"/>
                      </w14:solidFill>
                    </w14:textFill>
                  </w:rPr>
                  <w:t>合计</w:t>
                </w:r>
              </w:p>
            </w:tc>
          </w:sdtContent>
        </w:sdt>
        <w:tc>
          <w:tcPr>
            <w:tcW w:w="1128" w:type="pct"/>
            <w:vAlign w:val="center"/>
          </w:tcPr>
          <w:p w14:paraId="7892AD46">
            <w:pPr>
              <w:jc w:val="right"/>
            </w:pPr>
            <w:r>
              <w:rPr>
                <w:rFonts w:hint="eastAsia"/>
              </w:rPr>
              <w:t>9,769,850.51</w:t>
            </w:r>
          </w:p>
        </w:tc>
        <w:tc>
          <w:tcPr>
            <w:tcW w:w="981" w:type="pct"/>
            <w:vAlign w:val="center"/>
          </w:tcPr>
          <w:p w14:paraId="740A55A3">
            <w:pPr>
              <w:jc w:val="right"/>
            </w:pPr>
            <w:r>
              <w:rPr>
                <w:rFonts w:hint="eastAsia"/>
              </w:rPr>
              <w:t>3,019,865.76</w:t>
            </w:r>
          </w:p>
        </w:tc>
        <w:tc>
          <w:tcPr>
            <w:tcW w:w="918" w:type="pct"/>
            <w:vAlign w:val="center"/>
          </w:tcPr>
          <w:p w14:paraId="1E180BF3">
            <w:pPr>
              <w:jc w:val="right"/>
            </w:pPr>
            <w:r>
              <w:rPr>
                <w:rFonts w:hint="eastAsia"/>
              </w:rPr>
              <w:t>6,749,984.75</w:t>
            </w:r>
          </w:p>
        </w:tc>
      </w:tr>
    </w:tbl>
    <w:p w14:paraId="7BC5FEA6">
      <w:pPr>
        <w:rPr>
          <w:color w:val="000000" w:themeColor="text1"/>
          <w14:textFill>
            <w14:solidFill>
              <w14:schemeClr w14:val="tx1"/>
            </w14:solidFill>
          </w14:textFill>
        </w:rPr>
      </w:pPr>
    </w:p>
    <w:p w14:paraId="2EFD4998">
      <w:pPr>
        <w:rPr>
          <w:color w:val="000000" w:themeColor="text1"/>
          <w14:textFill>
            <w14:solidFill>
              <w14:schemeClr w14:val="tx1"/>
            </w14:solidFill>
          </w14:textFill>
        </w:rPr>
      </w:pPr>
    </w:p>
    <w:p w14:paraId="728B61AF">
      <w:pPr>
        <w:pStyle w:val="58"/>
        <w:numPr>
          <w:ilvl w:val="0"/>
          <w:numId w:val="76"/>
        </w:numPr>
        <w:tabs>
          <w:tab w:val="left" w:pos="588"/>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商誉减值准备</w:t>
      </w:r>
    </w:p>
    <w:sdt>
      <w:sdtPr>
        <w:rPr>
          <w:color w:val="000000" w:themeColor="text1"/>
          <w14:textFill>
            <w14:solidFill>
              <w14:schemeClr w14:val="tx1"/>
            </w14:solidFill>
          </w14:textFill>
        </w:rPr>
        <w:alias w:val="是否适用：商誉减值准备[双击切换]"/>
        <w:tag w:val="_GBC_743c9a20b5c043668f28664eb36decf8"/>
        <w:id w:val="147456047"/>
        <w:placeholder>
          <w:docPart w:val="GBC22222222222222222222222222222"/>
        </w:placeholder>
      </w:sdtPr>
      <w:sdtEndPr>
        <w:rPr>
          <w:color w:val="000000" w:themeColor="text1"/>
          <w14:textFill>
            <w14:solidFill>
              <w14:schemeClr w14:val="tx1"/>
            </w14:solidFill>
          </w14:textFill>
        </w:rPr>
      </w:sdtEndPr>
      <w:sdtContent>
        <w:p w14:paraId="06D2C1D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B957AD2">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商誉减值准备"/>
          <w:tag w:val="_GBC_81f58baed09c46a3bf97830ea3adfd98"/>
          <w:id w:val="1474783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商誉减值准备"/>
          <w:tag w:val="_GBC_67c9edd209fb4492bdb662edf79314f5"/>
          <w:id w:val="1474632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5"/>
        <w:gridCol w:w="2536"/>
        <w:gridCol w:w="2536"/>
      </w:tblGrid>
      <w:tr w14:paraId="07721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sdt>
          <w:sdtPr>
            <w:tag w:val="_PLD_d1a517071536478f9f7187c625e93763"/>
            <w:id w:val="147465075"/>
          </w:sdtPr>
          <w:sdtContent>
            <w:tc>
              <w:tcPr>
                <w:tcW w:w="2197" w:type="pct"/>
                <w:vMerge w:val="restart"/>
                <w:vAlign w:val="center"/>
              </w:tcPr>
              <w:p w14:paraId="254142CC">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被投资单位名称或形成商誉的事项</w:t>
                </w:r>
              </w:p>
            </w:tc>
          </w:sdtContent>
        </w:sdt>
        <w:sdt>
          <w:sdtPr>
            <w:tag w:val="_PLD_a1ccc5eef6a041ffadb4dd09605c43f5"/>
            <w:id w:val="147467066"/>
          </w:sdtPr>
          <w:sdtContent>
            <w:tc>
              <w:tcPr>
                <w:tcW w:w="1401" w:type="pct"/>
                <w:vMerge w:val="restart"/>
                <w:vAlign w:val="center"/>
              </w:tcPr>
              <w:p w14:paraId="783D717F">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sdt>
          <w:sdtPr>
            <w:tag w:val="_PLD_b4bf3be5aa6c45bea85b5ae1c027be47"/>
            <w:id w:val="147461890"/>
          </w:sdtPr>
          <w:sdtContent>
            <w:tc>
              <w:tcPr>
                <w:tcW w:w="1401" w:type="pct"/>
                <w:vMerge w:val="restart"/>
                <w:vAlign w:val="center"/>
              </w:tcPr>
              <w:p w14:paraId="3DEFFDFC">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tr>
      <w:tr w14:paraId="10AB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97" w:type="pct"/>
            <w:vMerge w:val="continue"/>
          </w:tcPr>
          <w:p w14:paraId="5FFC887F">
            <w:pPr>
              <w:autoSpaceDE w:val="0"/>
              <w:autoSpaceDN w:val="0"/>
              <w:adjustRightInd w:val="0"/>
              <w:snapToGrid w:val="0"/>
              <w:rPr>
                <w:color w:val="000000" w:themeColor="text1"/>
                <w14:textFill>
                  <w14:solidFill>
                    <w14:schemeClr w14:val="tx1"/>
                  </w14:solidFill>
                </w14:textFill>
              </w:rPr>
            </w:pPr>
          </w:p>
        </w:tc>
        <w:tc>
          <w:tcPr>
            <w:tcW w:w="1401" w:type="pct"/>
            <w:vMerge w:val="continue"/>
            <w:vAlign w:val="center"/>
          </w:tcPr>
          <w:p w14:paraId="6DA25BB9">
            <w:pPr>
              <w:autoSpaceDE w:val="0"/>
              <w:autoSpaceDN w:val="0"/>
              <w:adjustRightInd w:val="0"/>
              <w:snapToGrid w:val="0"/>
              <w:jc w:val="right"/>
              <w:rPr>
                <w:color w:val="000000" w:themeColor="text1"/>
                <w14:textFill>
                  <w14:solidFill>
                    <w14:schemeClr w14:val="tx1"/>
                  </w14:solidFill>
                </w14:textFill>
              </w:rPr>
            </w:pPr>
          </w:p>
        </w:tc>
        <w:tc>
          <w:tcPr>
            <w:tcW w:w="1401" w:type="pct"/>
            <w:vMerge w:val="continue"/>
          </w:tcPr>
          <w:p w14:paraId="76FC202C">
            <w:pPr>
              <w:autoSpaceDE w:val="0"/>
              <w:autoSpaceDN w:val="0"/>
              <w:adjustRightInd w:val="0"/>
              <w:snapToGrid w:val="0"/>
              <w:jc w:val="center"/>
              <w:rPr>
                <w:color w:val="000000" w:themeColor="text1"/>
                <w14:textFill>
                  <w14:solidFill>
                    <w14:schemeClr w14:val="tx1"/>
                  </w14:solidFill>
                </w14:textFill>
              </w:rPr>
            </w:pPr>
          </w:p>
        </w:tc>
      </w:tr>
      <w:tr w14:paraId="0E3D0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197" w:type="pct"/>
            <w:vAlign w:val="center"/>
          </w:tcPr>
          <w:p w14:paraId="386A4BE1">
            <w:pPr>
              <w:textAlignment w:val="center"/>
            </w:pPr>
            <w:r>
              <w:rPr>
                <w:rFonts w:hint="eastAsia" w:asciiTheme="minorEastAsia" w:hAnsiTheme="minorEastAsia" w:eastAsiaTheme="minorEastAsia" w:cstheme="minorEastAsia"/>
                <w:color w:val="000000"/>
                <w:lang w:bidi="ar"/>
              </w:rPr>
              <w:t>呼图壁县万源棉业有限公司</w:t>
            </w:r>
          </w:p>
        </w:tc>
        <w:tc>
          <w:tcPr>
            <w:tcW w:w="1401" w:type="pct"/>
            <w:vAlign w:val="center"/>
          </w:tcPr>
          <w:p w14:paraId="4E5627F0">
            <w:pPr>
              <w:jc w:val="right"/>
              <w:textAlignment w:val="center"/>
              <w:rPr>
                <w:rFonts w:cs="Times New Roman"/>
              </w:rPr>
            </w:pPr>
            <w:r>
              <w:rPr>
                <w:rFonts w:eastAsia="Arial Narrow" w:cs="Times New Roman"/>
                <w:color w:val="000000"/>
                <w:lang w:bidi="ar"/>
              </w:rPr>
              <w:t>6,749,984.75</w:t>
            </w:r>
          </w:p>
        </w:tc>
        <w:tc>
          <w:tcPr>
            <w:tcW w:w="1401" w:type="pct"/>
            <w:vAlign w:val="center"/>
          </w:tcPr>
          <w:p w14:paraId="5176AC64">
            <w:pPr>
              <w:jc w:val="right"/>
              <w:textAlignment w:val="center"/>
              <w:rPr>
                <w:rFonts w:cs="Times New Roman"/>
              </w:rPr>
            </w:pPr>
            <w:r>
              <w:rPr>
                <w:rFonts w:eastAsia="Arial Narrow" w:cs="Times New Roman"/>
                <w:color w:val="000000"/>
                <w:lang w:bidi="ar"/>
              </w:rPr>
              <w:t>6,749,984.75</w:t>
            </w:r>
          </w:p>
        </w:tc>
      </w:tr>
      <w:tr w14:paraId="50D1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197" w:type="pct"/>
            <w:vAlign w:val="center"/>
          </w:tcPr>
          <w:p w14:paraId="6EFA1C40">
            <w:pPr>
              <w:autoSpaceDE w:val="0"/>
              <w:autoSpaceDN w:val="0"/>
              <w:adjustRightInd w:val="0"/>
              <w:snapToGrid w:val="0"/>
              <w:jc w:val="center"/>
              <w:rPr>
                <w:color w:val="000000" w:themeColor="text1"/>
                <w:u w:val="double"/>
                <w14:textFill>
                  <w14:solidFill>
                    <w14:schemeClr w14:val="tx1"/>
                  </w14:solidFill>
                </w14:textFill>
              </w:rPr>
            </w:pPr>
            <w:r>
              <w:rPr>
                <w:rFonts w:hint="eastAsia"/>
                <w:color w:val="000000" w:themeColor="text1"/>
                <w14:textFill>
                  <w14:solidFill>
                    <w14:schemeClr w14:val="tx1"/>
                  </w14:solidFill>
                </w14:textFill>
              </w:rPr>
              <w:t>合计</w:t>
            </w:r>
          </w:p>
        </w:tc>
        <w:tc>
          <w:tcPr>
            <w:tcW w:w="1401" w:type="pct"/>
            <w:vAlign w:val="center"/>
          </w:tcPr>
          <w:p w14:paraId="75704F65">
            <w:pPr>
              <w:jc w:val="right"/>
              <w:textAlignment w:val="center"/>
              <w:rPr>
                <w:rFonts w:cs="Times New Roman"/>
              </w:rPr>
            </w:pPr>
            <w:r>
              <w:rPr>
                <w:rFonts w:eastAsia="Arial Narrow" w:cs="Times New Roman"/>
                <w:color w:val="000000"/>
                <w:lang w:bidi="ar"/>
              </w:rPr>
              <w:t>6,749,984.75</w:t>
            </w:r>
          </w:p>
        </w:tc>
        <w:tc>
          <w:tcPr>
            <w:tcW w:w="1401" w:type="pct"/>
            <w:vAlign w:val="center"/>
          </w:tcPr>
          <w:p w14:paraId="4B0AA53C">
            <w:pPr>
              <w:jc w:val="right"/>
              <w:textAlignment w:val="center"/>
              <w:rPr>
                <w:rFonts w:cs="Times New Roman"/>
              </w:rPr>
            </w:pPr>
            <w:r>
              <w:rPr>
                <w:rFonts w:eastAsia="Arial Narrow" w:cs="Times New Roman"/>
                <w:color w:val="000000"/>
                <w:lang w:bidi="ar"/>
              </w:rPr>
              <w:t>6,749,984.75</w:t>
            </w:r>
          </w:p>
        </w:tc>
      </w:tr>
    </w:tbl>
    <w:p w14:paraId="50AB335A">
      <w:pPr>
        <w:rPr>
          <w:color w:val="000000" w:themeColor="text1"/>
          <w14:textFill>
            <w14:solidFill>
              <w14:schemeClr w14:val="tx1"/>
            </w14:solidFill>
          </w14:textFill>
        </w:rPr>
      </w:pPr>
    </w:p>
    <w:p w14:paraId="7AB47525">
      <w:pPr>
        <w:pStyle w:val="58"/>
        <w:numPr>
          <w:ilvl w:val="0"/>
          <w:numId w:val="76"/>
        </w:numPr>
        <w:tabs>
          <w:tab w:val="left" w:pos="588"/>
        </w:tabs>
        <w:rPr>
          <w:rFonts w:ascii="宋体" w:hAnsi="宋体"/>
          <w:color w:val="000000" w:themeColor="text1"/>
          <w14:textFill>
            <w14:solidFill>
              <w14:schemeClr w14:val="tx1"/>
            </w14:solidFill>
          </w14:textFill>
        </w:rPr>
      </w:pPr>
      <w:bookmarkStart w:id="334" w:name="_Hlk167959929"/>
      <w:r>
        <w:rPr>
          <w:rFonts w:hint="eastAsia" w:ascii="宋体" w:hAnsi="宋体"/>
          <w:color w:val="000000" w:themeColor="text1"/>
          <w14:textFill>
            <w14:solidFill>
              <w14:schemeClr w14:val="tx1"/>
            </w14:solidFill>
          </w14:textFill>
        </w:rPr>
        <w:t>商誉所在资产组或资产组组合的相关信息</w:t>
      </w:r>
    </w:p>
    <w:sdt>
      <w:sdtPr>
        <w:rPr>
          <w:rFonts w:hint="eastAsia"/>
          <w:color w:val="000000" w:themeColor="text1"/>
          <w14:textFill>
            <w14:solidFill>
              <w14:schemeClr w14:val="tx1"/>
            </w14:solidFill>
          </w14:textFill>
        </w:rPr>
        <w:alias w:val="是否适用：商誉所在资产组或资产组组合的相关信息[双击切换]"/>
        <w:tag w:val="_GBC_3010fdfa06fe41c1b1d500ed6edace89"/>
        <w:id w:val="147460594"/>
        <w:placeholder>
          <w:docPart w:val="GBC22222222222222222222222222222"/>
        </w:placeholder>
      </w:sdtPr>
      <w:sdtEndPr>
        <w:rPr>
          <w:rFonts w:hint="eastAsia"/>
          <w:color w:val="000000" w:themeColor="text1"/>
          <w14:textFill>
            <w14:solidFill>
              <w14:schemeClr w14:val="tx1"/>
            </w14:solidFill>
          </w14:textFill>
        </w:rPr>
      </w:sdtEndPr>
      <w:sdtContent>
        <w:p w14:paraId="4CB8DD44">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19BF788">
      <w:pPr>
        <w:rPr>
          <w:color w:val="000000" w:themeColor="text1"/>
          <w14:textFill>
            <w14:solidFill>
              <w14:schemeClr w14:val="tx1"/>
            </w14:solidFill>
          </w14:textFill>
        </w:rPr>
      </w:pPr>
    </w:p>
    <w:p w14:paraId="0BB101BE">
      <w:pPr>
        <w:rPr>
          <w:color w:val="000000" w:themeColor="text1"/>
          <w14:textFill>
            <w14:solidFill>
              <w14:schemeClr w14:val="tx1"/>
            </w14:solidFill>
          </w14:textFill>
        </w:rPr>
      </w:pPr>
      <w:bookmarkStart w:id="335" w:name="_Hlk153462880"/>
      <w:r>
        <w:rPr>
          <w:rFonts w:hint="eastAsia"/>
          <w:color w:val="000000" w:themeColor="text1"/>
          <w14:textFill>
            <w14:solidFill>
              <w14:schemeClr w14:val="tx1"/>
            </w14:solidFill>
          </w14:textFill>
        </w:rPr>
        <w:t>资产组或资产组组合发生变化</w:t>
      </w:r>
    </w:p>
    <w:sdt>
      <w:sdtPr>
        <w:rPr>
          <w:color w:val="000000" w:themeColor="text1"/>
          <w14:textFill>
            <w14:solidFill>
              <w14:schemeClr w14:val="tx1"/>
            </w14:solidFill>
          </w14:textFill>
        </w:rPr>
        <w:alias w:val="是否适用：资产组或资产组组合发生变化[双击切换]"/>
        <w:tag w:val="_GBC_7123d6208cbb4b6a9f652548afdc778a"/>
        <w:id w:val="147462546"/>
        <w:placeholder>
          <w:docPart w:val="GBC22222222222222222222222222222"/>
        </w:placeholder>
      </w:sdtPr>
      <w:sdtEndPr>
        <w:rPr>
          <w:color w:val="000000" w:themeColor="text1"/>
          <w14:textFill>
            <w14:solidFill>
              <w14:schemeClr w14:val="tx1"/>
            </w14:solidFill>
          </w14:textFill>
        </w:rPr>
      </w:sdtEndPr>
      <w:sdtContent>
        <w:p w14:paraId="4DF8753F">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034305B">
      <w:pPr>
        <w:rPr>
          <w:color w:val="000000" w:themeColor="text1"/>
          <w14:textFill>
            <w14:solidFill>
              <w14:schemeClr w14:val="tx1"/>
            </w14:solidFill>
          </w14:textFill>
        </w:rPr>
      </w:pPr>
    </w:p>
    <w:bookmarkEnd w:id="335"/>
    <w:p w14:paraId="563EE60C">
      <w:pPr>
        <w:rPr>
          <w:color w:val="000000" w:themeColor="text1"/>
          <w14:textFill>
            <w14:solidFill>
              <w14:schemeClr w14:val="tx1"/>
            </w14:solidFill>
          </w14:textFill>
        </w:rPr>
      </w:pPr>
      <w:bookmarkStart w:id="336" w:name="_Hlk152948734"/>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商誉所在资产组或资产组组合的相关信息其他说明[双击切换]"/>
        <w:tag w:val="_GBC_ffeac5265704403bb47e0eefe5c2d04e"/>
        <w:id w:val="147477101"/>
        <w:placeholder>
          <w:docPart w:val="GBC22222222222222222222222222222"/>
        </w:placeholder>
      </w:sdtPr>
      <w:sdtEndPr>
        <w:rPr>
          <w:color w:val="000000" w:themeColor="text1"/>
          <w14:textFill>
            <w14:solidFill>
              <w14:schemeClr w14:val="tx1"/>
            </w14:solidFill>
          </w14:textFill>
        </w:rPr>
      </w:sdtEndPr>
      <w:sdtContent>
        <w:p w14:paraId="42569A2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36"/>
    <w:p w14:paraId="3D035254">
      <w:pPr>
        <w:pStyle w:val="58"/>
        <w:numPr>
          <w:ilvl w:val="0"/>
          <w:numId w:val="76"/>
        </w:numPr>
        <w:tabs>
          <w:tab w:val="left" w:pos="588"/>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可收回金额的具体确定方法</w:t>
      </w:r>
    </w:p>
    <w:p w14:paraId="0B177784">
      <w:pPr>
        <w:rPr>
          <w:color w:val="000000" w:themeColor="text1"/>
          <w14:textFill>
            <w14:solidFill>
              <w14:schemeClr w14:val="tx1"/>
            </w14:solidFill>
          </w14:textFill>
        </w:rPr>
      </w:pPr>
      <w:bookmarkStart w:id="337" w:name="_Hlk153463075"/>
      <w:r>
        <w:rPr>
          <w:rFonts w:hint="eastAsia"/>
          <w:color w:val="000000" w:themeColor="text1"/>
          <w14:textFill>
            <w14:solidFill>
              <w14:schemeClr w14:val="tx1"/>
            </w14:solidFill>
          </w14:textFill>
        </w:rPr>
        <w:t>可收回金额按公允价值减去处置费用后的净额确定</w:t>
      </w:r>
    </w:p>
    <w:sdt>
      <w:sdtPr>
        <w:rPr>
          <w:color w:val="000000" w:themeColor="text1"/>
          <w14:textFill>
            <w14:solidFill>
              <w14:schemeClr w14:val="tx1"/>
            </w14:solidFill>
          </w14:textFill>
        </w:rPr>
        <w:alias w:val="是否适用：可收回金额按公允价值减去处置费用后的净额确定[双击切换]"/>
        <w:tag w:val="_GBC_c14479181df74e309ba619055f328f4b"/>
        <w:id w:val="147479742"/>
        <w:placeholder>
          <w:docPart w:val="GBC22222222222222222222222222222"/>
        </w:placeholder>
      </w:sdtPr>
      <w:sdtEndPr>
        <w:rPr>
          <w:color w:val="000000" w:themeColor="text1"/>
          <w14:textFill>
            <w14:solidFill>
              <w14:schemeClr w14:val="tx1"/>
            </w14:solidFill>
          </w14:textFill>
        </w:rPr>
      </w:sdtEndPr>
      <w:sdtContent>
        <w:p w14:paraId="24BEB812">
          <w:pPr>
            <w:snapToGrid w:val="0"/>
            <w:spacing w:line="240" w:lineRule="atLeast"/>
            <w:rPr>
              <w:rFonts w:hint="eastAsia"/>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7758D50">
      <w:pPr>
        <w:rPr>
          <w:color w:val="000000" w:themeColor="text1"/>
          <w14:textFill>
            <w14:solidFill>
              <w14:schemeClr w14:val="tx1"/>
            </w14:solidFill>
          </w14:textFill>
        </w:rPr>
      </w:pPr>
      <w:r>
        <w:rPr>
          <w:rFonts w:hint="eastAsia"/>
          <w:color w:val="000000" w:themeColor="text1"/>
          <w14:textFill>
            <w14:solidFill>
              <w14:schemeClr w14:val="tx1"/>
            </w14:solidFill>
          </w14:textFill>
        </w:rPr>
        <w:t>可收回金额按预计未来现金流量的现值确定</w:t>
      </w:r>
    </w:p>
    <w:sdt>
      <w:sdtPr>
        <w:rPr>
          <w:rFonts w:hint="eastAsia"/>
          <w:color w:val="000000" w:themeColor="text1"/>
          <w14:textFill>
            <w14:solidFill>
              <w14:schemeClr w14:val="tx1"/>
            </w14:solidFill>
          </w14:textFill>
        </w:rPr>
        <w:alias w:val="是否适用：可收回金额按预计未来现金流量的现值确定[双击切换]"/>
        <w:tag w:val="_GBC_775cb3824be54e48866a569883927f9d"/>
        <w:id w:val="147452659"/>
        <w:placeholder>
          <w:docPart w:val="GBC22222222222222222222222222222"/>
        </w:placeholder>
      </w:sdtPr>
      <w:sdtEndPr>
        <w:rPr>
          <w:rFonts w:hint="eastAsia"/>
          <w:color w:val="000000" w:themeColor="text1"/>
          <w14:textFill>
            <w14:solidFill>
              <w14:schemeClr w14:val="tx1"/>
            </w14:solidFill>
          </w14:textFill>
        </w:rPr>
      </w:sdtEndPr>
      <w:sdtContent>
        <w:p w14:paraId="0DFF6364">
          <w:pPr>
            <w:rPr>
              <w:rFonts w:hint="eastAsia"/>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90E01D2">
      <w:pPr>
        <w:rPr>
          <w:color w:val="000000" w:themeColor="text1"/>
          <w14:textFill>
            <w14:solidFill>
              <w14:schemeClr w14:val="tx1"/>
            </w14:solidFill>
          </w14:textFill>
        </w:rPr>
      </w:pPr>
      <w:r>
        <w:rPr>
          <w:rFonts w:hint="eastAsia"/>
          <w:color w:val="000000" w:themeColor="text1"/>
          <w14:textFill>
            <w14:solidFill>
              <w14:schemeClr w14:val="tx1"/>
            </w14:solidFill>
          </w14:textFill>
        </w:rPr>
        <w:t>前述信息与以前年度减值测试采用的信息或外部信息明显不一致的差异原因</w:t>
      </w:r>
    </w:p>
    <w:sdt>
      <w:sdtPr>
        <w:rPr>
          <w:color w:val="000000" w:themeColor="text1"/>
          <w14:textFill>
            <w14:solidFill>
              <w14:schemeClr w14:val="tx1"/>
            </w14:solidFill>
          </w14:textFill>
        </w:rPr>
        <w:alias w:val="是否适用：前述信息与以前年度减值测试采用的信息或外部信息明显不一致的差异原因[双击切换]"/>
        <w:tag w:val="_GBC_345565131261427b821f225ca476b7f0"/>
        <w:id w:val="147477867"/>
        <w:placeholder>
          <w:docPart w:val="GBC22222222222222222222222222222"/>
        </w:placeholder>
      </w:sdtPr>
      <w:sdtEndPr>
        <w:rPr>
          <w:color w:val="000000" w:themeColor="text1"/>
          <w14:textFill>
            <w14:solidFill>
              <w14:schemeClr w14:val="tx1"/>
            </w14:solidFill>
          </w14:textFill>
        </w:rPr>
      </w:sdtEndPr>
      <w:sdtContent>
        <w:p w14:paraId="2BAAE82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29BA364">
      <w:pPr>
        <w:rPr>
          <w:color w:val="000000" w:themeColor="text1"/>
          <w14:textFill>
            <w14:solidFill>
              <w14:schemeClr w14:val="tx1"/>
            </w14:solidFill>
          </w14:textFill>
        </w:rPr>
      </w:pPr>
      <w:r>
        <w:rPr>
          <w:rFonts w:hint="eastAsia"/>
          <w:color w:val="000000" w:themeColor="text1"/>
          <w14:textFill>
            <w14:solidFill>
              <w14:schemeClr w14:val="tx1"/>
            </w14:solidFill>
          </w14:textFill>
        </w:rPr>
        <w:t>公司以前年度减值测试采用信息与当年实际情况明显不一致的差异原因</w:t>
      </w:r>
    </w:p>
    <w:sdt>
      <w:sdtPr>
        <w:rPr>
          <w:color w:val="000000" w:themeColor="text1"/>
          <w14:textFill>
            <w14:solidFill>
              <w14:schemeClr w14:val="tx1"/>
            </w14:solidFill>
          </w14:textFill>
        </w:rPr>
        <w:alias w:val="是否适用：公司以前年度减值测试采用信息与当年实际情况明显不一致的差异原因[双击切换]"/>
        <w:tag w:val="_GBC_380768c596a145f29f00b98c2c4edba5"/>
        <w:id w:val="147468555"/>
        <w:placeholder>
          <w:docPart w:val="GBC22222222222222222222222222222"/>
        </w:placeholder>
      </w:sdtPr>
      <w:sdtEndPr>
        <w:rPr>
          <w:color w:val="000000" w:themeColor="text1"/>
          <w14:textFill>
            <w14:solidFill>
              <w14:schemeClr w14:val="tx1"/>
            </w14:solidFill>
          </w14:textFill>
        </w:rPr>
      </w:sdtEndPr>
      <w:sdtContent>
        <w:p w14:paraId="7A60879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71C9684">
      <w:pPr>
        <w:snapToGrid w:val="0"/>
        <w:spacing w:line="240" w:lineRule="atLeast"/>
        <w:rPr>
          <w:color w:val="000000" w:themeColor="text1"/>
          <w14:textFill>
            <w14:solidFill>
              <w14:schemeClr w14:val="tx1"/>
            </w14:solidFill>
          </w14:textFill>
        </w:rPr>
      </w:pPr>
    </w:p>
    <w:bookmarkEnd w:id="337"/>
    <w:p w14:paraId="0286E2E9">
      <w:pPr>
        <w:pStyle w:val="58"/>
        <w:numPr>
          <w:ilvl w:val="0"/>
          <w:numId w:val="76"/>
        </w:numPr>
        <w:tabs>
          <w:tab w:val="left" w:pos="588"/>
        </w:tabs>
        <w:rPr>
          <w:rFonts w:ascii="宋体" w:hAnsi="宋体"/>
          <w:color w:val="000000" w:themeColor="text1"/>
          <w14:textFill>
            <w14:solidFill>
              <w14:schemeClr w14:val="tx1"/>
            </w14:solidFill>
          </w14:textFill>
        </w:rPr>
      </w:pPr>
      <w:bookmarkStart w:id="338" w:name="_Hlk153463443"/>
      <w:r>
        <w:rPr>
          <w:rFonts w:hint="eastAsia" w:ascii="宋体" w:hAnsi="宋体"/>
          <w:color w:val="000000" w:themeColor="text1"/>
          <w14:textFill>
            <w14:solidFill>
              <w14:schemeClr w14:val="tx1"/>
            </w14:solidFill>
          </w14:textFill>
        </w:rPr>
        <w:t>业绩承诺及对应商誉减值情况</w:t>
      </w:r>
    </w:p>
    <w:p w14:paraId="3854A2E6">
      <w:pPr>
        <w:rPr>
          <w:color w:val="000000" w:themeColor="text1"/>
          <w14:textFill>
            <w14:solidFill>
              <w14:schemeClr w14:val="tx1"/>
            </w14:solidFill>
          </w14:textFill>
        </w:rPr>
      </w:pPr>
      <w:r>
        <w:rPr>
          <w:rFonts w:hint="eastAsia"/>
          <w:color w:val="000000" w:themeColor="text1"/>
          <w14:textFill>
            <w14:solidFill>
              <w14:schemeClr w14:val="tx1"/>
            </w14:solidFill>
          </w14:textFill>
        </w:rPr>
        <w:t>形成商誉时存在业绩承诺且报告期或报告期上一期间处于业绩承诺期内</w:t>
      </w:r>
    </w:p>
    <w:sdt>
      <w:sdtPr>
        <w:rPr>
          <w:color w:val="000000" w:themeColor="text1"/>
          <w14:textFill>
            <w14:solidFill>
              <w14:schemeClr w14:val="tx1"/>
            </w14:solidFill>
          </w14:textFill>
        </w:rPr>
        <w:alias w:val="是否适用：业绩承诺完成及对应商誉减值情况[双击切换]"/>
        <w:tag w:val="_GBC_f96eba4c85694a0d9c8987317df03a97"/>
        <w:id w:val="147455524"/>
        <w:placeholder>
          <w:docPart w:val="GBC22222222222222222222222222222"/>
        </w:placeholder>
      </w:sdtPr>
      <w:sdtEndPr>
        <w:rPr>
          <w:color w:val="000000" w:themeColor="text1"/>
          <w14:textFill>
            <w14:solidFill>
              <w14:schemeClr w14:val="tx1"/>
            </w14:solidFill>
          </w14:textFill>
        </w:rPr>
      </w:sdtEndPr>
      <w:sdtContent>
        <w:p w14:paraId="1823DA6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2E814CD">
      <w:pPr>
        <w:rPr>
          <w:color w:val="000000" w:themeColor="text1"/>
          <w14:textFill>
            <w14:solidFill>
              <w14:schemeClr w14:val="tx1"/>
            </w14:solidFill>
          </w14:textFill>
        </w:rPr>
      </w:pPr>
    </w:p>
    <w:bookmarkEnd w:id="334"/>
    <w:bookmarkEnd w:id="338"/>
    <w:p w14:paraId="10F1D711">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商誉其他需要说明的事项[双击切换]"/>
        <w:tag w:val="_GBC_6b2c2377a4a6486b9a4ba845bd2192f6"/>
        <w:id w:val="147454905"/>
        <w:placeholder>
          <w:docPart w:val="GBC22222222222222222222222222222"/>
        </w:placeholder>
      </w:sdtPr>
      <w:sdtEndPr>
        <w:rPr>
          <w:color w:val="000000" w:themeColor="text1"/>
          <w14:textFill>
            <w14:solidFill>
              <w14:schemeClr w14:val="tx1"/>
            </w14:solidFill>
          </w14:textFill>
        </w:rPr>
      </w:sdtEndPr>
      <w:sdtContent>
        <w:p w14:paraId="420B4860">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F0A666A">
      <w:pPr>
        <w:snapToGrid w:val="0"/>
        <w:spacing w:line="240" w:lineRule="atLeast"/>
        <w:rPr>
          <w:color w:val="000000" w:themeColor="text1"/>
          <w14:textFill>
            <w14:solidFill>
              <w14:schemeClr w14:val="tx1"/>
            </w14:solidFill>
          </w14:textFill>
        </w:rPr>
      </w:pPr>
    </w:p>
    <w:p w14:paraId="41D3C661">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长期待摊费用</w:t>
      </w:r>
    </w:p>
    <w:sdt>
      <w:sdtPr>
        <w:rPr>
          <w:color w:val="000000" w:themeColor="text1"/>
          <w14:textFill>
            <w14:solidFill>
              <w14:schemeClr w14:val="tx1"/>
            </w14:solidFill>
          </w14:textFill>
        </w:rPr>
        <w:alias w:val="是否适用：长期待摊费用[双击切换]"/>
        <w:tag w:val="_GBC_9bec8f9516c84b19bae2fb8a7292063f"/>
        <w:id w:val="147457517"/>
        <w:placeholder>
          <w:docPart w:val="GBC22222222222222222222222222222"/>
        </w:placeholder>
      </w:sdtPr>
      <w:sdtEndPr>
        <w:rPr>
          <w:color w:val="000000" w:themeColor="text1"/>
          <w14:textFill>
            <w14:solidFill>
              <w14:schemeClr w14:val="tx1"/>
            </w14:solidFill>
          </w14:textFill>
        </w:rPr>
      </w:sdtEndPr>
      <w:sdtContent>
        <w:p w14:paraId="6DB4250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2F5DC5A">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长期待摊费用"/>
          <w:tag w:val="_GBC_aa74f67aac374e54a7768a8434ab0c08"/>
          <w:id w:val="1474585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长期待摊费用"/>
          <w:tag w:val="_GBC_767b9b701cf8425c9d588b0398c42e90"/>
          <w:id w:val="1474777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2"/>
        <w:gridCol w:w="1424"/>
        <w:gridCol w:w="1478"/>
        <w:gridCol w:w="1478"/>
        <w:gridCol w:w="1499"/>
        <w:gridCol w:w="1568"/>
      </w:tblGrid>
      <w:tr w14:paraId="3FAD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0e665ce568e49a5aa1c687384d611b3"/>
            <w:id w:val="147453309"/>
          </w:sdtPr>
          <w:sdtContent>
            <w:tc>
              <w:tcPr>
                <w:tcW w:w="885" w:type="pct"/>
                <w:vAlign w:val="center"/>
              </w:tcPr>
              <w:p w14:paraId="0754969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e3597a5d560b48d59d41cd3dc72b1a3a"/>
            <w:id w:val="147471516"/>
          </w:sdtPr>
          <w:sdtContent>
            <w:tc>
              <w:tcPr>
                <w:tcW w:w="786" w:type="pct"/>
                <w:vAlign w:val="center"/>
              </w:tcPr>
              <w:p w14:paraId="26A85F7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sdt>
          <w:sdtPr>
            <w:tag w:val="_PLD_2edffaf8b24b489e97f2d4a6a5ec5711"/>
            <w:id w:val="147464332"/>
          </w:sdtPr>
          <w:sdtContent>
            <w:tc>
              <w:tcPr>
                <w:tcW w:w="816" w:type="pct"/>
                <w:vAlign w:val="center"/>
              </w:tcPr>
              <w:p w14:paraId="4134FD5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本期增加金额</w:t>
                </w:r>
              </w:p>
            </w:tc>
          </w:sdtContent>
        </w:sdt>
        <w:sdt>
          <w:sdtPr>
            <w:tag w:val="_PLD_f6bc6a07519e4f6cab5889776aa0ecbd"/>
            <w:id w:val="147483620"/>
          </w:sdtPr>
          <w:sdtContent>
            <w:tc>
              <w:tcPr>
                <w:tcW w:w="816" w:type="pct"/>
                <w:vAlign w:val="center"/>
              </w:tcPr>
              <w:p w14:paraId="60E097B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本期摊销金额</w:t>
                </w:r>
              </w:p>
            </w:tc>
          </w:sdtContent>
        </w:sdt>
        <w:sdt>
          <w:sdtPr>
            <w:tag w:val="_PLD_f987bb682c974016898d37b474ce35c6"/>
            <w:id w:val="147454772"/>
          </w:sdtPr>
          <w:sdtContent>
            <w:tc>
              <w:tcPr>
                <w:tcW w:w="828" w:type="pct"/>
                <w:vAlign w:val="center"/>
              </w:tcPr>
              <w:p w14:paraId="221774A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其他减少金额</w:t>
                </w:r>
              </w:p>
            </w:tc>
          </w:sdtContent>
        </w:sdt>
        <w:sdt>
          <w:sdtPr>
            <w:tag w:val="_PLD_dab738986fbc4bd7b942faf77cb39605"/>
            <w:id w:val="147469512"/>
          </w:sdtPr>
          <w:sdtContent>
            <w:tc>
              <w:tcPr>
                <w:tcW w:w="866" w:type="pct"/>
                <w:vAlign w:val="center"/>
              </w:tcPr>
              <w:p w14:paraId="3321DB8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tr>
      <w:tr w14:paraId="6083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Align w:val="center"/>
          </w:tcPr>
          <w:p w14:paraId="7F3FAC9E">
            <w:pPr>
              <w:textAlignment w:val="center"/>
            </w:pPr>
            <w:r>
              <w:rPr>
                <w:rFonts w:hint="eastAsia" w:ascii="宋体" w:hAnsi="宋体"/>
                <w:color w:val="000000"/>
                <w:lang w:bidi="ar"/>
              </w:rPr>
              <w:t>高压配电站等待摊费用</w:t>
            </w:r>
          </w:p>
        </w:tc>
        <w:tc>
          <w:tcPr>
            <w:tcW w:w="786" w:type="pct"/>
            <w:vAlign w:val="center"/>
          </w:tcPr>
          <w:p w14:paraId="3DB9A394">
            <w:pPr>
              <w:jc w:val="right"/>
              <w:textAlignment w:val="center"/>
              <w:rPr>
                <w:rFonts w:cs="Times New Roman"/>
              </w:rPr>
            </w:pPr>
            <w:r>
              <w:rPr>
                <w:rFonts w:cs="Times New Roman"/>
                <w:color w:val="000000"/>
              </w:rPr>
              <w:t>15,651,087.23</w:t>
            </w:r>
          </w:p>
        </w:tc>
        <w:tc>
          <w:tcPr>
            <w:tcW w:w="816" w:type="pct"/>
            <w:vAlign w:val="center"/>
          </w:tcPr>
          <w:p w14:paraId="21A7C01E">
            <w:pPr>
              <w:jc w:val="right"/>
              <w:rPr>
                <w:rFonts w:cs="Times New Roman"/>
              </w:rPr>
            </w:pPr>
          </w:p>
        </w:tc>
        <w:tc>
          <w:tcPr>
            <w:tcW w:w="816" w:type="pct"/>
            <w:vAlign w:val="center"/>
          </w:tcPr>
          <w:p w14:paraId="183272D2">
            <w:pPr>
              <w:jc w:val="right"/>
              <w:textAlignment w:val="center"/>
              <w:rPr>
                <w:rFonts w:cs="Times New Roman"/>
              </w:rPr>
            </w:pPr>
            <w:r>
              <w:rPr>
                <w:rFonts w:cs="Times New Roman"/>
                <w:color w:val="000000"/>
              </w:rPr>
              <w:t>624,897.24</w:t>
            </w:r>
          </w:p>
        </w:tc>
        <w:tc>
          <w:tcPr>
            <w:tcW w:w="828" w:type="pct"/>
            <w:vAlign w:val="center"/>
          </w:tcPr>
          <w:p w14:paraId="27904BEF">
            <w:pPr>
              <w:jc w:val="right"/>
              <w:rPr>
                <w:rFonts w:cs="Times New Roman"/>
              </w:rPr>
            </w:pPr>
          </w:p>
        </w:tc>
        <w:tc>
          <w:tcPr>
            <w:tcW w:w="866" w:type="pct"/>
            <w:vAlign w:val="center"/>
          </w:tcPr>
          <w:p w14:paraId="0F26AB61">
            <w:pPr>
              <w:jc w:val="right"/>
              <w:textAlignment w:val="center"/>
              <w:rPr>
                <w:rFonts w:cs="Times New Roman"/>
              </w:rPr>
            </w:pPr>
            <w:r>
              <w:rPr>
                <w:rFonts w:cs="Times New Roman"/>
                <w:color w:val="000000"/>
              </w:rPr>
              <w:t>15,026,189.99</w:t>
            </w:r>
          </w:p>
        </w:tc>
      </w:tr>
      <w:tr w14:paraId="670E3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Align w:val="center"/>
          </w:tcPr>
          <w:p w14:paraId="45345362">
            <w:pPr>
              <w:textAlignment w:val="center"/>
            </w:pPr>
            <w:r>
              <w:rPr>
                <w:rFonts w:hint="eastAsia" w:ascii="宋体" w:hAnsi="宋体"/>
                <w:color w:val="000000"/>
                <w:lang w:bidi="ar"/>
              </w:rPr>
              <w:t>装修费</w:t>
            </w:r>
          </w:p>
        </w:tc>
        <w:tc>
          <w:tcPr>
            <w:tcW w:w="786" w:type="pct"/>
            <w:vAlign w:val="center"/>
          </w:tcPr>
          <w:p w14:paraId="4D68E1CE">
            <w:pPr>
              <w:jc w:val="right"/>
              <w:textAlignment w:val="center"/>
              <w:rPr>
                <w:rFonts w:cs="Times New Roman"/>
              </w:rPr>
            </w:pPr>
            <w:r>
              <w:rPr>
                <w:rFonts w:cs="Times New Roman"/>
                <w:color w:val="000000"/>
              </w:rPr>
              <w:t>9,665,383.78</w:t>
            </w:r>
          </w:p>
        </w:tc>
        <w:tc>
          <w:tcPr>
            <w:tcW w:w="816" w:type="pct"/>
            <w:vAlign w:val="center"/>
          </w:tcPr>
          <w:p w14:paraId="1EEE4AAD">
            <w:pPr>
              <w:jc w:val="right"/>
              <w:textAlignment w:val="center"/>
              <w:rPr>
                <w:rFonts w:cs="Times New Roman"/>
              </w:rPr>
            </w:pPr>
            <w:r>
              <w:rPr>
                <w:rFonts w:cs="Times New Roman"/>
                <w:color w:val="000000"/>
              </w:rPr>
              <w:t>1,727,836.11</w:t>
            </w:r>
          </w:p>
        </w:tc>
        <w:tc>
          <w:tcPr>
            <w:tcW w:w="816" w:type="pct"/>
            <w:vAlign w:val="center"/>
          </w:tcPr>
          <w:p w14:paraId="6959A91A">
            <w:pPr>
              <w:jc w:val="right"/>
              <w:textAlignment w:val="center"/>
              <w:rPr>
                <w:rFonts w:cs="Times New Roman"/>
              </w:rPr>
            </w:pPr>
            <w:r>
              <w:rPr>
                <w:rFonts w:cs="Times New Roman"/>
                <w:color w:val="000000"/>
              </w:rPr>
              <w:t>2,284,283.35</w:t>
            </w:r>
          </w:p>
        </w:tc>
        <w:tc>
          <w:tcPr>
            <w:tcW w:w="828" w:type="pct"/>
            <w:vAlign w:val="center"/>
          </w:tcPr>
          <w:p w14:paraId="13203D8F">
            <w:pPr>
              <w:jc w:val="right"/>
              <w:rPr>
                <w:rFonts w:cs="Times New Roman"/>
              </w:rPr>
            </w:pPr>
          </w:p>
        </w:tc>
        <w:tc>
          <w:tcPr>
            <w:tcW w:w="866" w:type="pct"/>
            <w:vAlign w:val="center"/>
          </w:tcPr>
          <w:p w14:paraId="2819BC63">
            <w:pPr>
              <w:jc w:val="right"/>
              <w:textAlignment w:val="center"/>
              <w:rPr>
                <w:rFonts w:cs="Times New Roman"/>
              </w:rPr>
            </w:pPr>
            <w:r>
              <w:rPr>
                <w:rFonts w:cs="Times New Roman"/>
                <w:color w:val="000000"/>
              </w:rPr>
              <w:t>9,108,936.54</w:t>
            </w:r>
          </w:p>
        </w:tc>
      </w:tr>
      <w:tr w14:paraId="2F24D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Align w:val="center"/>
          </w:tcPr>
          <w:p w14:paraId="516ED780">
            <w:pPr>
              <w:textAlignment w:val="center"/>
            </w:pPr>
            <w:r>
              <w:rPr>
                <w:rFonts w:hint="eastAsia" w:ascii="宋体" w:hAnsi="宋体"/>
                <w:color w:val="000000"/>
                <w:lang w:bidi="ar"/>
              </w:rPr>
              <w:t>租入资产维修改造费</w:t>
            </w:r>
          </w:p>
        </w:tc>
        <w:tc>
          <w:tcPr>
            <w:tcW w:w="786" w:type="pct"/>
            <w:vAlign w:val="center"/>
          </w:tcPr>
          <w:p w14:paraId="7A6D84B1">
            <w:pPr>
              <w:jc w:val="right"/>
              <w:textAlignment w:val="center"/>
              <w:rPr>
                <w:rFonts w:cs="Times New Roman"/>
              </w:rPr>
            </w:pPr>
            <w:r>
              <w:rPr>
                <w:rFonts w:cs="Times New Roman"/>
                <w:color w:val="000000"/>
              </w:rPr>
              <w:t>5,579,313.15</w:t>
            </w:r>
          </w:p>
        </w:tc>
        <w:tc>
          <w:tcPr>
            <w:tcW w:w="816" w:type="pct"/>
            <w:vAlign w:val="center"/>
          </w:tcPr>
          <w:p w14:paraId="6CCEE751">
            <w:pPr>
              <w:jc w:val="right"/>
              <w:rPr>
                <w:rFonts w:cs="Times New Roman"/>
              </w:rPr>
            </w:pPr>
          </w:p>
        </w:tc>
        <w:tc>
          <w:tcPr>
            <w:tcW w:w="816" w:type="pct"/>
            <w:vAlign w:val="center"/>
          </w:tcPr>
          <w:p w14:paraId="64CC95E7">
            <w:pPr>
              <w:jc w:val="right"/>
              <w:textAlignment w:val="center"/>
              <w:rPr>
                <w:rFonts w:cs="Times New Roman"/>
              </w:rPr>
            </w:pPr>
            <w:r>
              <w:rPr>
                <w:rFonts w:cs="Times New Roman"/>
                <w:color w:val="000000"/>
              </w:rPr>
              <w:t>265,681.92</w:t>
            </w:r>
          </w:p>
        </w:tc>
        <w:tc>
          <w:tcPr>
            <w:tcW w:w="828" w:type="pct"/>
            <w:vAlign w:val="center"/>
          </w:tcPr>
          <w:p w14:paraId="1A8DEBB4">
            <w:pPr>
              <w:jc w:val="right"/>
              <w:rPr>
                <w:rFonts w:cs="Times New Roman"/>
              </w:rPr>
            </w:pPr>
          </w:p>
        </w:tc>
        <w:tc>
          <w:tcPr>
            <w:tcW w:w="866" w:type="pct"/>
            <w:vAlign w:val="center"/>
          </w:tcPr>
          <w:p w14:paraId="07CF6282">
            <w:pPr>
              <w:jc w:val="right"/>
              <w:textAlignment w:val="center"/>
              <w:rPr>
                <w:rFonts w:cs="Times New Roman"/>
              </w:rPr>
            </w:pPr>
            <w:r>
              <w:rPr>
                <w:rFonts w:cs="Times New Roman"/>
                <w:color w:val="000000"/>
              </w:rPr>
              <w:t>5,313,631.23</w:t>
            </w:r>
          </w:p>
        </w:tc>
      </w:tr>
      <w:tr w14:paraId="57CA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Align w:val="center"/>
          </w:tcPr>
          <w:p w14:paraId="221B0118">
            <w:pPr>
              <w:textAlignment w:val="center"/>
            </w:pPr>
            <w:r>
              <w:rPr>
                <w:rFonts w:hint="eastAsia" w:ascii="宋体" w:hAnsi="宋体"/>
                <w:color w:val="000000"/>
                <w:lang w:bidi="ar"/>
              </w:rPr>
              <w:t>租用土地</w:t>
            </w:r>
          </w:p>
        </w:tc>
        <w:tc>
          <w:tcPr>
            <w:tcW w:w="786" w:type="pct"/>
            <w:vAlign w:val="center"/>
          </w:tcPr>
          <w:p w14:paraId="415CABCA">
            <w:pPr>
              <w:jc w:val="right"/>
              <w:textAlignment w:val="center"/>
              <w:rPr>
                <w:rFonts w:cs="Times New Roman"/>
              </w:rPr>
            </w:pPr>
            <w:r>
              <w:rPr>
                <w:rFonts w:cs="Times New Roman"/>
                <w:color w:val="000000"/>
              </w:rPr>
              <w:t>1,411,605.58</w:t>
            </w:r>
          </w:p>
        </w:tc>
        <w:tc>
          <w:tcPr>
            <w:tcW w:w="816" w:type="pct"/>
            <w:vAlign w:val="center"/>
          </w:tcPr>
          <w:p w14:paraId="147AAD8C">
            <w:pPr>
              <w:jc w:val="right"/>
              <w:rPr>
                <w:rFonts w:cs="Times New Roman"/>
              </w:rPr>
            </w:pPr>
          </w:p>
        </w:tc>
        <w:tc>
          <w:tcPr>
            <w:tcW w:w="816" w:type="pct"/>
            <w:vAlign w:val="center"/>
          </w:tcPr>
          <w:p w14:paraId="1E760F82">
            <w:pPr>
              <w:jc w:val="right"/>
              <w:rPr>
                <w:rFonts w:cs="Times New Roman"/>
              </w:rPr>
            </w:pPr>
            <w:r>
              <w:rPr>
                <w:rFonts w:cs="Times New Roman"/>
                <w:color w:val="000000"/>
              </w:rPr>
              <w:t>31,008.98</w:t>
            </w:r>
          </w:p>
        </w:tc>
        <w:tc>
          <w:tcPr>
            <w:tcW w:w="828" w:type="pct"/>
            <w:vAlign w:val="center"/>
          </w:tcPr>
          <w:p w14:paraId="29232C2D">
            <w:pPr>
              <w:jc w:val="right"/>
              <w:textAlignment w:val="center"/>
              <w:rPr>
                <w:rFonts w:cs="Times New Roman"/>
              </w:rPr>
            </w:pPr>
            <w:r>
              <w:rPr>
                <w:rFonts w:cs="Times New Roman"/>
                <w:color w:val="000000"/>
              </w:rPr>
              <w:t>502,008.91</w:t>
            </w:r>
          </w:p>
        </w:tc>
        <w:tc>
          <w:tcPr>
            <w:tcW w:w="866" w:type="pct"/>
            <w:vAlign w:val="center"/>
          </w:tcPr>
          <w:p w14:paraId="77610A5F">
            <w:pPr>
              <w:jc w:val="right"/>
              <w:textAlignment w:val="center"/>
              <w:rPr>
                <w:rFonts w:cs="Times New Roman"/>
              </w:rPr>
            </w:pPr>
            <w:r>
              <w:rPr>
                <w:rFonts w:cs="Times New Roman"/>
                <w:color w:val="000000"/>
              </w:rPr>
              <w:t>878,587.69</w:t>
            </w:r>
          </w:p>
        </w:tc>
      </w:tr>
      <w:tr w14:paraId="7E73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Align w:val="center"/>
          </w:tcPr>
          <w:p w14:paraId="595E98EA">
            <w:pPr>
              <w:textAlignment w:val="center"/>
            </w:pPr>
            <w:r>
              <w:rPr>
                <w:rFonts w:hint="eastAsia" w:ascii="宋体" w:hAnsi="宋体"/>
                <w:color w:val="000000"/>
                <w:lang w:bidi="ar"/>
              </w:rPr>
              <w:t>际华文创园园区待摊费用</w:t>
            </w:r>
          </w:p>
        </w:tc>
        <w:tc>
          <w:tcPr>
            <w:tcW w:w="786" w:type="pct"/>
            <w:vAlign w:val="center"/>
          </w:tcPr>
          <w:p w14:paraId="39715C40">
            <w:pPr>
              <w:jc w:val="right"/>
              <w:textAlignment w:val="center"/>
              <w:rPr>
                <w:rFonts w:cs="Times New Roman"/>
              </w:rPr>
            </w:pPr>
            <w:r>
              <w:rPr>
                <w:rFonts w:cs="Times New Roman"/>
                <w:color w:val="000000"/>
              </w:rPr>
              <w:t>834,926.29</w:t>
            </w:r>
          </w:p>
        </w:tc>
        <w:tc>
          <w:tcPr>
            <w:tcW w:w="816" w:type="pct"/>
            <w:vAlign w:val="center"/>
          </w:tcPr>
          <w:p w14:paraId="0107A0B0">
            <w:pPr>
              <w:jc w:val="right"/>
              <w:rPr>
                <w:rFonts w:cs="Times New Roman"/>
              </w:rPr>
            </w:pPr>
          </w:p>
        </w:tc>
        <w:tc>
          <w:tcPr>
            <w:tcW w:w="816" w:type="pct"/>
            <w:vAlign w:val="center"/>
          </w:tcPr>
          <w:p w14:paraId="2864CA41">
            <w:pPr>
              <w:jc w:val="right"/>
              <w:textAlignment w:val="center"/>
              <w:rPr>
                <w:rFonts w:cs="Times New Roman"/>
              </w:rPr>
            </w:pPr>
            <w:r>
              <w:rPr>
                <w:rFonts w:cs="Times New Roman"/>
                <w:color w:val="000000"/>
              </w:rPr>
              <w:t>29,818.74</w:t>
            </w:r>
          </w:p>
        </w:tc>
        <w:tc>
          <w:tcPr>
            <w:tcW w:w="828" w:type="pct"/>
            <w:vAlign w:val="center"/>
          </w:tcPr>
          <w:p w14:paraId="21AB7188">
            <w:pPr>
              <w:jc w:val="right"/>
              <w:rPr>
                <w:rFonts w:cs="Times New Roman"/>
              </w:rPr>
            </w:pPr>
          </w:p>
        </w:tc>
        <w:tc>
          <w:tcPr>
            <w:tcW w:w="866" w:type="pct"/>
            <w:vAlign w:val="center"/>
          </w:tcPr>
          <w:p w14:paraId="05DB51A6">
            <w:pPr>
              <w:jc w:val="right"/>
              <w:textAlignment w:val="center"/>
              <w:rPr>
                <w:rFonts w:cs="Times New Roman"/>
              </w:rPr>
            </w:pPr>
            <w:r>
              <w:rPr>
                <w:rFonts w:cs="Times New Roman"/>
                <w:color w:val="000000"/>
              </w:rPr>
              <w:t>805,107.55</w:t>
            </w:r>
          </w:p>
        </w:tc>
      </w:tr>
      <w:tr w14:paraId="0AC6F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Align w:val="center"/>
          </w:tcPr>
          <w:p w14:paraId="43F11589">
            <w:pPr>
              <w:textAlignment w:val="center"/>
            </w:pPr>
            <w:r>
              <w:rPr>
                <w:rFonts w:hint="eastAsia" w:ascii="宋体" w:hAnsi="宋体"/>
                <w:color w:val="000000"/>
                <w:lang w:bidi="ar"/>
              </w:rPr>
              <w:t>其他</w:t>
            </w:r>
          </w:p>
        </w:tc>
        <w:tc>
          <w:tcPr>
            <w:tcW w:w="786" w:type="pct"/>
            <w:vAlign w:val="center"/>
          </w:tcPr>
          <w:p w14:paraId="3F75AD38">
            <w:pPr>
              <w:jc w:val="right"/>
              <w:textAlignment w:val="center"/>
              <w:rPr>
                <w:rFonts w:cs="Times New Roman"/>
              </w:rPr>
            </w:pPr>
            <w:r>
              <w:rPr>
                <w:rFonts w:cs="Times New Roman"/>
                <w:color w:val="000000"/>
              </w:rPr>
              <w:t>2,114,458.80</w:t>
            </w:r>
          </w:p>
        </w:tc>
        <w:tc>
          <w:tcPr>
            <w:tcW w:w="816" w:type="pct"/>
            <w:vAlign w:val="center"/>
          </w:tcPr>
          <w:p w14:paraId="62F7C906">
            <w:pPr>
              <w:jc w:val="right"/>
              <w:textAlignment w:val="center"/>
              <w:rPr>
                <w:rFonts w:cs="Times New Roman"/>
              </w:rPr>
            </w:pPr>
            <w:r>
              <w:rPr>
                <w:rFonts w:cs="Times New Roman"/>
                <w:color w:val="000000"/>
              </w:rPr>
              <w:t>905,322.18</w:t>
            </w:r>
          </w:p>
        </w:tc>
        <w:tc>
          <w:tcPr>
            <w:tcW w:w="816" w:type="pct"/>
            <w:vAlign w:val="center"/>
          </w:tcPr>
          <w:p w14:paraId="6D3ECDEA">
            <w:pPr>
              <w:jc w:val="right"/>
              <w:textAlignment w:val="center"/>
              <w:rPr>
                <w:rFonts w:cs="Times New Roman"/>
              </w:rPr>
            </w:pPr>
            <w:r>
              <w:rPr>
                <w:rFonts w:cs="Times New Roman"/>
                <w:color w:val="000000"/>
              </w:rPr>
              <w:t>2,112,902.02</w:t>
            </w:r>
          </w:p>
        </w:tc>
        <w:tc>
          <w:tcPr>
            <w:tcW w:w="828" w:type="pct"/>
            <w:vAlign w:val="center"/>
          </w:tcPr>
          <w:p w14:paraId="7FD23492">
            <w:pPr>
              <w:jc w:val="right"/>
              <w:rPr>
                <w:rFonts w:cs="Times New Roman"/>
              </w:rPr>
            </w:pPr>
          </w:p>
        </w:tc>
        <w:tc>
          <w:tcPr>
            <w:tcW w:w="866" w:type="pct"/>
            <w:vAlign w:val="center"/>
          </w:tcPr>
          <w:p w14:paraId="43F872B8">
            <w:pPr>
              <w:jc w:val="right"/>
              <w:textAlignment w:val="center"/>
              <w:rPr>
                <w:rFonts w:cs="Times New Roman"/>
              </w:rPr>
            </w:pPr>
            <w:r>
              <w:rPr>
                <w:rFonts w:cs="Times New Roman"/>
                <w:color w:val="000000"/>
              </w:rPr>
              <w:t>906,878.96</w:t>
            </w:r>
          </w:p>
        </w:tc>
      </w:tr>
      <w:tr w14:paraId="5F61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pct"/>
            <w:vAlign w:val="center"/>
          </w:tcPr>
          <w:p w14:paraId="2193F46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786" w:type="pct"/>
            <w:vAlign w:val="center"/>
          </w:tcPr>
          <w:p w14:paraId="19F68EC2">
            <w:pPr>
              <w:jc w:val="right"/>
              <w:textAlignment w:val="center"/>
              <w:rPr>
                <w:rFonts w:cs="Times New Roman"/>
              </w:rPr>
            </w:pPr>
            <w:r>
              <w:rPr>
                <w:rFonts w:cs="Times New Roman"/>
                <w:color w:val="000000"/>
              </w:rPr>
              <w:t>35,256,774.83</w:t>
            </w:r>
          </w:p>
        </w:tc>
        <w:tc>
          <w:tcPr>
            <w:tcW w:w="816" w:type="pct"/>
            <w:vAlign w:val="center"/>
          </w:tcPr>
          <w:p w14:paraId="62C8CE18">
            <w:pPr>
              <w:jc w:val="right"/>
              <w:textAlignment w:val="center"/>
              <w:rPr>
                <w:rFonts w:cs="Times New Roman"/>
              </w:rPr>
            </w:pPr>
            <w:r>
              <w:rPr>
                <w:rFonts w:cs="Times New Roman"/>
                <w:color w:val="000000"/>
              </w:rPr>
              <w:t>2,633,158.29</w:t>
            </w:r>
          </w:p>
        </w:tc>
        <w:tc>
          <w:tcPr>
            <w:tcW w:w="816" w:type="pct"/>
            <w:vAlign w:val="center"/>
          </w:tcPr>
          <w:p w14:paraId="1CC8F453">
            <w:pPr>
              <w:jc w:val="right"/>
              <w:textAlignment w:val="center"/>
              <w:rPr>
                <w:rFonts w:cs="Times New Roman"/>
              </w:rPr>
            </w:pPr>
            <w:r>
              <w:rPr>
                <w:rFonts w:cs="Times New Roman"/>
                <w:color w:val="000000"/>
              </w:rPr>
              <w:t>5,348,592.25</w:t>
            </w:r>
          </w:p>
        </w:tc>
        <w:tc>
          <w:tcPr>
            <w:tcW w:w="828" w:type="pct"/>
            <w:vAlign w:val="center"/>
          </w:tcPr>
          <w:p w14:paraId="3D77CDB2">
            <w:pPr>
              <w:jc w:val="right"/>
              <w:textAlignment w:val="center"/>
              <w:rPr>
                <w:rFonts w:cs="Times New Roman"/>
              </w:rPr>
            </w:pPr>
            <w:r>
              <w:rPr>
                <w:rFonts w:cs="Times New Roman"/>
                <w:color w:val="000000"/>
              </w:rPr>
              <w:t>502,008.91</w:t>
            </w:r>
          </w:p>
        </w:tc>
        <w:tc>
          <w:tcPr>
            <w:tcW w:w="866" w:type="pct"/>
            <w:vAlign w:val="center"/>
          </w:tcPr>
          <w:p w14:paraId="72E0AB2C">
            <w:pPr>
              <w:jc w:val="right"/>
              <w:textAlignment w:val="center"/>
              <w:rPr>
                <w:rFonts w:cs="Times New Roman"/>
              </w:rPr>
            </w:pPr>
            <w:r>
              <w:rPr>
                <w:rFonts w:cs="Times New Roman"/>
                <w:color w:val="000000"/>
              </w:rPr>
              <w:t>32,039,331.96</w:t>
            </w:r>
          </w:p>
        </w:tc>
      </w:tr>
    </w:tbl>
    <w:p w14:paraId="5066286F">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长期待摊费用的说明"/>
        <w:tag w:val="_GBC_5b31c466b60f433faaa37d443fae74be"/>
        <w:id w:val="147480275"/>
        <w:placeholder>
          <w:docPart w:val="GBC22222222222222222222222222222"/>
        </w:placeholder>
      </w:sdtPr>
      <w:sdtEndPr>
        <w:rPr>
          <w:color w:val="000000" w:themeColor="text1"/>
          <w14:textFill>
            <w14:solidFill>
              <w14:schemeClr w14:val="tx1"/>
            </w14:solidFill>
          </w14:textFill>
        </w:rPr>
      </w:sdtEndPr>
      <w:sdtContent>
        <w:p w14:paraId="5816FC8B">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5E606152">
      <w:pPr>
        <w:rPr>
          <w:color w:val="000000" w:themeColor="text1"/>
          <w14:textFill>
            <w14:solidFill>
              <w14:schemeClr w14:val="tx1"/>
            </w14:solidFill>
          </w14:textFill>
        </w:rPr>
      </w:pPr>
    </w:p>
    <w:p w14:paraId="4CDE4648">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递延所得税资产/ 递延所得税负债</w:t>
      </w:r>
    </w:p>
    <w:p w14:paraId="5067F569">
      <w:pPr>
        <w:pStyle w:val="58"/>
        <w:numPr>
          <w:ilvl w:val="0"/>
          <w:numId w:val="77"/>
        </w:numPr>
        <w:tabs>
          <w:tab w:val="left" w:pos="588"/>
          <w:tab w:val="left" w:pos="616"/>
        </w:tabs>
        <w:rPr>
          <w:rFonts w:ascii="宋体" w:hAnsi="宋体"/>
          <w:color w:val="000000" w:themeColor="text1"/>
          <w14:textFill>
            <w14:solidFill>
              <w14:schemeClr w14:val="tx1"/>
            </w14:solidFill>
          </w14:textFill>
        </w:rPr>
      </w:pPr>
      <w:bookmarkStart w:id="339" w:name="_Toc215903151"/>
      <w:r>
        <w:rPr>
          <w:rFonts w:hint="eastAsia" w:ascii="宋体" w:hAnsi="宋体"/>
          <w:color w:val="000000" w:themeColor="text1"/>
          <w14:textFill>
            <w14:solidFill>
              <w14:schemeClr w14:val="tx1"/>
            </w14:solidFill>
          </w14:textFill>
        </w:rPr>
        <w:t>未经抵销的递延所得税资产</w:t>
      </w:r>
    </w:p>
    <w:sdt>
      <w:sdtPr>
        <w:rPr>
          <w:color w:val="000000" w:themeColor="text1"/>
          <w14:textFill>
            <w14:solidFill>
              <w14:schemeClr w14:val="tx1"/>
            </w14:solidFill>
          </w14:textFill>
        </w:rPr>
        <w:alias w:val="是否适用：未经抵销的递延所得税资产[双击切换]"/>
        <w:tag w:val="_GBC_fc6e77974a404dc3bef5fc386ae4e1e7"/>
        <w:id w:val="147480517"/>
        <w:placeholder>
          <w:docPart w:val="GBC22222222222222222222222222222"/>
        </w:placeholder>
      </w:sdtPr>
      <w:sdtEndPr>
        <w:rPr>
          <w:color w:val="000000" w:themeColor="text1"/>
          <w14:textFill>
            <w14:solidFill>
              <w14:schemeClr w14:val="tx1"/>
            </w14:solidFill>
          </w14:textFill>
        </w:rPr>
      </w:sdtEndPr>
      <w:sdtContent>
        <w:p w14:paraId="097666C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27FD8D9">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已确认的递延所得税资产和递延所得税负债"/>
          <w:tag w:val="_GBC_7be724d3c6f14974914db7d02bb734f9"/>
          <w:id w:val="1474756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bookmarkEnd w:id="339"/>
      <w:sdt>
        <w:sdtPr>
          <w:rPr>
            <w:rFonts w:hint="eastAsia"/>
            <w:color w:val="000000" w:themeColor="text1"/>
            <w14:textFill>
              <w14:solidFill>
                <w14:schemeClr w14:val="tx1"/>
              </w14:solidFill>
            </w14:textFill>
          </w:rPr>
          <w:alias w:val="币种：财务附注：已确认的递延所得税资产和递延所得税负债"/>
          <w:tag w:val="_GBC_a48237f045494aa9a0ea8c2cb35b1c0f"/>
          <w:id w:val="1474515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5"/>
        <w:gridCol w:w="1686"/>
        <w:gridCol w:w="1628"/>
        <w:gridCol w:w="1686"/>
        <w:gridCol w:w="1626"/>
      </w:tblGrid>
      <w:tr w14:paraId="06C01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sdt>
          <w:sdtPr>
            <w:rPr>
              <w:rFonts w:cs="Times New Roman"/>
            </w:rPr>
            <w:tag w:val="_PLD_e45101b3a01946f19f22657bb959574e"/>
            <w:id w:val="147455992"/>
          </w:sdtPr>
          <w:sdtEndPr>
            <w:rPr>
              <w:rFonts w:cs="Times New Roman"/>
            </w:rPr>
          </w:sdtEndPr>
          <w:sdtContent>
            <w:tc>
              <w:tcPr>
                <w:tcW w:w="1339" w:type="pct"/>
                <w:vMerge w:val="restart"/>
                <w:vAlign w:val="center"/>
              </w:tcPr>
              <w:p w14:paraId="7CBA0DD2">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dd892ffecd234c819059bf10f71b1910"/>
            <w:id w:val="147462571"/>
          </w:sdtPr>
          <w:sdtEndPr>
            <w:rPr>
              <w:rFonts w:cs="Times New Roman"/>
            </w:rPr>
          </w:sdtEndPr>
          <w:sdtContent>
            <w:tc>
              <w:tcPr>
                <w:tcW w:w="1830" w:type="pct"/>
                <w:gridSpan w:val="2"/>
                <w:vAlign w:val="center"/>
              </w:tcPr>
              <w:p w14:paraId="4A566200">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be855fcb002344d6ae2c74083e90b1c1"/>
            <w:id w:val="147459072"/>
          </w:sdtPr>
          <w:sdtEndPr>
            <w:rPr>
              <w:rFonts w:cs="Times New Roman"/>
            </w:rPr>
          </w:sdtEndPr>
          <w:sdtContent>
            <w:tc>
              <w:tcPr>
                <w:tcW w:w="1829" w:type="pct"/>
                <w:gridSpan w:val="2"/>
                <w:vAlign w:val="center"/>
              </w:tcPr>
              <w:p w14:paraId="615FA2C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tr>
      <w:tr w14:paraId="77FEE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1339" w:type="pct"/>
            <w:vMerge w:val="continue"/>
            <w:vAlign w:val="center"/>
          </w:tcPr>
          <w:p w14:paraId="08135842">
            <w:pPr>
              <w:jc w:val="center"/>
              <w:rPr>
                <w:rFonts w:cs="Times New Roman"/>
                <w:b/>
                <w:color w:val="000000" w:themeColor="text1"/>
                <w14:textFill>
                  <w14:solidFill>
                    <w14:schemeClr w14:val="tx1"/>
                  </w14:solidFill>
                </w14:textFill>
              </w:rPr>
            </w:pPr>
          </w:p>
        </w:tc>
        <w:sdt>
          <w:sdtPr>
            <w:rPr>
              <w:rFonts w:cs="Times New Roman"/>
            </w:rPr>
            <w:tag w:val="_PLD_c82eb64547054aa39a1b7bfe7c532e2e"/>
            <w:id w:val="147470660"/>
          </w:sdtPr>
          <w:sdtEndPr>
            <w:rPr>
              <w:rFonts w:cs="Times New Roman"/>
            </w:rPr>
          </w:sdtEndPr>
          <w:sdtContent>
            <w:tc>
              <w:tcPr>
                <w:tcW w:w="931" w:type="pct"/>
                <w:vAlign w:val="center"/>
              </w:tcPr>
              <w:p w14:paraId="11B1ED52">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可抵扣暂时性</w:t>
                </w:r>
              </w:p>
              <w:p w14:paraId="11C61ED0">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差异</w:t>
                </w:r>
              </w:p>
            </w:tc>
          </w:sdtContent>
        </w:sdt>
        <w:sdt>
          <w:sdtPr>
            <w:rPr>
              <w:rFonts w:cs="Times New Roman"/>
            </w:rPr>
            <w:tag w:val="_PLD_ad2e47975c52486d8bfc7fec079252de"/>
            <w:id w:val="147457596"/>
          </w:sdtPr>
          <w:sdtEndPr>
            <w:rPr>
              <w:rFonts w:cs="Times New Roman"/>
            </w:rPr>
          </w:sdtEndPr>
          <w:sdtContent>
            <w:tc>
              <w:tcPr>
                <w:tcW w:w="899" w:type="pct"/>
                <w:vAlign w:val="center"/>
              </w:tcPr>
              <w:p w14:paraId="25C64F54">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递延所得税</w:t>
                </w:r>
              </w:p>
              <w:p w14:paraId="251C784C">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资产</w:t>
                </w:r>
              </w:p>
            </w:tc>
          </w:sdtContent>
        </w:sdt>
        <w:sdt>
          <w:sdtPr>
            <w:rPr>
              <w:rFonts w:cs="Times New Roman"/>
            </w:rPr>
            <w:tag w:val="_PLD_0e0e7aabb5f8432ea9da8b4066b2e897"/>
            <w:id w:val="147474441"/>
          </w:sdtPr>
          <w:sdtEndPr>
            <w:rPr>
              <w:rFonts w:cs="Times New Roman"/>
            </w:rPr>
          </w:sdtEndPr>
          <w:sdtContent>
            <w:tc>
              <w:tcPr>
                <w:tcW w:w="931" w:type="pct"/>
                <w:vAlign w:val="center"/>
              </w:tcPr>
              <w:p w14:paraId="401310E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可抵扣暂时性</w:t>
                </w:r>
              </w:p>
              <w:p w14:paraId="2277211E">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差异</w:t>
                </w:r>
              </w:p>
            </w:tc>
          </w:sdtContent>
        </w:sdt>
        <w:sdt>
          <w:sdtPr>
            <w:rPr>
              <w:rFonts w:cs="Times New Roman"/>
            </w:rPr>
            <w:tag w:val="_PLD_34147e3346eb4b24b314e0dadaab6983"/>
            <w:id w:val="147462583"/>
          </w:sdtPr>
          <w:sdtEndPr>
            <w:rPr>
              <w:rFonts w:cs="Times New Roman"/>
            </w:rPr>
          </w:sdtEndPr>
          <w:sdtContent>
            <w:tc>
              <w:tcPr>
                <w:tcW w:w="898" w:type="pct"/>
                <w:vAlign w:val="center"/>
              </w:tcPr>
              <w:p w14:paraId="4987AA49">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递延所得税</w:t>
                </w:r>
              </w:p>
              <w:p w14:paraId="085D8F24">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资产</w:t>
                </w:r>
              </w:p>
            </w:tc>
          </w:sdtContent>
        </w:sdt>
      </w:tr>
      <w:tr w14:paraId="3BFA9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39" w:type="pct"/>
            <w:vAlign w:val="center"/>
          </w:tcPr>
          <w:p w14:paraId="51858721">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资产减值准备</w:t>
            </w:r>
          </w:p>
        </w:tc>
        <w:tc>
          <w:tcPr>
            <w:tcW w:w="931" w:type="pct"/>
            <w:vAlign w:val="center"/>
          </w:tcPr>
          <w:p w14:paraId="724A7755">
            <w:pPr>
              <w:jc w:val="right"/>
              <w:textAlignment w:val="center"/>
              <w:rPr>
                <w:rFonts w:cs="Times New Roman"/>
              </w:rPr>
            </w:pPr>
            <w:r>
              <w:rPr>
                <w:rFonts w:cs="Times New Roman"/>
                <w:color w:val="000000"/>
              </w:rPr>
              <w:t>1,225,172,570.12</w:t>
            </w:r>
          </w:p>
        </w:tc>
        <w:tc>
          <w:tcPr>
            <w:tcW w:w="899" w:type="pct"/>
            <w:vAlign w:val="center"/>
          </w:tcPr>
          <w:p w14:paraId="2E34B48A">
            <w:pPr>
              <w:jc w:val="right"/>
              <w:textAlignment w:val="center"/>
              <w:rPr>
                <w:rFonts w:cs="Times New Roman"/>
              </w:rPr>
            </w:pPr>
            <w:r>
              <w:rPr>
                <w:rFonts w:cs="Times New Roman"/>
                <w:color w:val="000000"/>
              </w:rPr>
              <w:t>200,105,271.56</w:t>
            </w:r>
          </w:p>
        </w:tc>
        <w:tc>
          <w:tcPr>
            <w:tcW w:w="931" w:type="pct"/>
            <w:vAlign w:val="center"/>
          </w:tcPr>
          <w:p w14:paraId="3BBD8346">
            <w:pPr>
              <w:jc w:val="right"/>
              <w:textAlignment w:val="center"/>
              <w:rPr>
                <w:rFonts w:cs="Times New Roman"/>
              </w:rPr>
            </w:pPr>
            <w:r>
              <w:rPr>
                <w:rFonts w:cs="Times New Roman"/>
                <w:color w:val="000000"/>
              </w:rPr>
              <w:t>1,234,416,449.66</w:t>
            </w:r>
          </w:p>
        </w:tc>
        <w:tc>
          <w:tcPr>
            <w:tcW w:w="898" w:type="pct"/>
            <w:vAlign w:val="center"/>
          </w:tcPr>
          <w:p w14:paraId="7502808F">
            <w:pPr>
              <w:jc w:val="right"/>
              <w:textAlignment w:val="center"/>
              <w:rPr>
                <w:rFonts w:cs="Times New Roman"/>
              </w:rPr>
            </w:pPr>
            <w:r>
              <w:rPr>
                <w:rFonts w:cs="Times New Roman"/>
                <w:color w:val="000000"/>
              </w:rPr>
              <w:t>201,491,978.49</w:t>
            </w:r>
          </w:p>
        </w:tc>
      </w:tr>
      <w:tr w14:paraId="5F55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39" w:type="pct"/>
            <w:vAlign w:val="center"/>
          </w:tcPr>
          <w:p w14:paraId="72C709A6">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内部交易未实现利润</w:t>
            </w:r>
          </w:p>
        </w:tc>
        <w:tc>
          <w:tcPr>
            <w:tcW w:w="931" w:type="pct"/>
            <w:vAlign w:val="center"/>
          </w:tcPr>
          <w:p w14:paraId="6DE07F63">
            <w:pPr>
              <w:jc w:val="right"/>
              <w:textAlignment w:val="center"/>
              <w:rPr>
                <w:rFonts w:cs="Times New Roman"/>
              </w:rPr>
            </w:pPr>
            <w:r>
              <w:rPr>
                <w:rFonts w:cs="Times New Roman"/>
                <w:color w:val="000000"/>
              </w:rPr>
              <w:t>248,531.15</w:t>
            </w:r>
          </w:p>
        </w:tc>
        <w:tc>
          <w:tcPr>
            <w:tcW w:w="899" w:type="pct"/>
            <w:vAlign w:val="center"/>
          </w:tcPr>
          <w:p w14:paraId="6AE3DD2C">
            <w:pPr>
              <w:jc w:val="right"/>
              <w:textAlignment w:val="center"/>
              <w:rPr>
                <w:rFonts w:cs="Times New Roman"/>
              </w:rPr>
            </w:pPr>
            <w:r>
              <w:rPr>
                <w:rFonts w:cs="Times New Roman"/>
                <w:color w:val="000000"/>
              </w:rPr>
              <w:t>62,132.79</w:t>
            </w:r>
          </w:p>
        </w:tc>
        <w:tc>
          <w:tcPr>
            <w:tcW w:w="931" w:type="pct"/>
            <w:vAlign w:val="center"/>
          </w:tcPr>
          <w:p w14:paraId="2C291C48">
            <w:pPr>
              <w:jc w:val="right"/>
              <w:textAlignment w:val="center"/>
              <w:rPr>
                <w:rFonts w:cs="Times New Roman"/>
              </w:rPr>
            </w:pPr>
            <w:r>
              <w:rPr>
                <w:rFonts w:cs="Times New Roman"/>
                <w:color w:val="000000"/>
              </w:rPr>
              <w:t>45,342.84</w:t>
            </w:r>
          </w:p>
        </w:tc>
        <w:tc>
          <w:tcPr>
            <w:tcW w:w="898" w:type="pct"/>
            <w:vAlign w:val="center"/>
          </w:tcPr>
          <w:p w14:paraId="67DCEAC3">
            <w:pPr>
              <w:jc w:val="right"/>
              <w:textAlignment w:val="center"/>
              <w:rPr>
                <w:rFonts w:cs="Times New Roman"/>
              </w:rPr>
            </w:pPr>
            <w:r>
              <w:rPr>
                <w:rFonts w:cs="Times New Roman"/>
                <w:color w:val="000000"/>
              </w:rPr>
              <w:t>11,335.71</w:t>
            </w:r>
          </w:p>
        </w:tc>
      </w:tr>
      <w:tr w14:paraId="3A74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39" w:type="pct"/>
            <w:tcBorders>
              <w:bottom w:val="single" w:color="auto" w:sz="4" w:space="0"/>
            </w:tcBorders>
            <w:vAlign w:val="center"/>
          </w:tcPr>
          <w:p w14:paraId="0C2A8F26">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可抵扣亏损</w:t>
            </w:r>
          </w:p>
        </w:tc>
        <w:tc>
          <w:tcPr>
            <w:tcW w:w="931" w:type="pct"/>
            <w:vAlign w:val="center"/>
          </w:tcPr>
          <w:p w14:paraId="49825422">
            <w:pPr>
              <w:jc w:val="right"/>
              <w:textAlignment w:val="center"/>
              <w:rPr>
                <w:rFonts w:cs="Times New Roman"/>
              </w:rPr>
            </w:pPr>
            <w:r>
              <w:rPr>
                <w:rFonts w:cs="Times New Roman"/>
                <w:color w:val="000000"/>
              </w:rPr>
              <w:t>196,633,429.48</w:t>
            </w:r>
          </w:p>
        </w:tc>
        <w:tc>
          <w:tcPr>
            <w:tcW w:w="899" w:type="pct"/>
            <w:vAlign w:val="center"/>
          </w:tcPr>
          <w:p w14:paraId="7EA5B7C2">
            <w:pPr>
              <w:jc w:val="right"/>
              <w:textAlignment w:val="center"/>
              <w:rPr>
                <w:rFonts w:cs="Times New Roman"/>
              </w:rPr>
            </w:pPr>
            <w:r>
              <w:rPr>
                <w:rFonts w:cs="Times New Roman"/>
                <w:color w:val="000000"/>
              </w:rPr>
              <w:t>29,495,014.42</w:t>
            </w:r>
          </w:p>
        </w:tc>
        <w:tc>
          <w:tcPr>
            <w:tcW w:w="931" w:type="pct"/>
            <w:vAlign w:val="center"/>
          </w:tcPr>
          <w:p w14:paraId="5A6227D1">
            <w:pPr>
              <w:jc w:val="right"/>
              <w:textAlignment w:val="center"/>
              <w:rPr>
                <w:rFonts w:cs="Times New Roman"/>
              </w:rPr>
            </w:pPr>
            <w:r>
              <w:rPr>
                <w:rFonts w:cs="Times New Roman"/>
                <w:color w:val="000000"/>
              </w:rPr>
              <w:t>201,533,786.04</w:t>
            </w:r>
          </w:p>
        </w:tc>
        <w:tc>
          <w:tcPr>
            <w:tcW w:w="898" w:type="pct"/>
            <w:vAlign w:val="center"/>
          </w:tcPr>
          <w:p w14:paraId="09B4FD90">
            <w:pPr>
              <w:jc w:val="right"/>
              <w:textAlignment w:val="center"/>
              <w:rPr>
                <w:rFonts w:cs="Times New Roman"/>
              </w:rPr>
            </w:pPr>
            <w:r>
              <w:rPr>
                <w:rFonts w:cs="Times New Roman"/>
                <w:color w:val="000000"/>
              </w:rPr>
              <w:t>30,230,067.91</w:t>
            </w:r>
          </w:p>
        </w:tc>
      </w:tr>
      <w:tr w14:paraId="09E6D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39" w:type="pct"/>
            <w:vAlign w:val="center"/>
          </w:tcPr>
          <w:p w14:paraId="142BD487">
            <w:pPr>
              <w:textAlignment w:val="center"/>
              <w:rPr>
                <w:rFonts w:cs="Times New Roman"/>
              </w:rPr>
            </w:pPr>
            <w:r>
              <w:rPr>
                <w:rFonts w:cs="Times New Roman"/>
                <w:color w:val="000000"/>
                <w:lang w:bidi="ar"/>
              </w:rPr>
              <w:t>应付职工薪酬-三类人员费用</w:t>
            </w:r>
          </w:p>
        </w:tc>
        <w:tc>
          <w:tcPr>
            <w:tcW w:w="931" w:type="pct"/>
            <w:vAlign w:val="center"/>
          </w:tcPr>
          <w:p w14:paraId="4D26D9D0">
            <w:pPr>
              <w:jc w:val="right"/>
              <w:textAlignment w:val="center"/>
              <w:rPr>
                <w:rFonts w:cs="Times New Roman"/>
              </w:rPr>
            </w:pPr>
            <w:r>
              <w:rPr>
                <w:rFonts w:cs="Times New Roman"/>
                <w:color w:val="000000"/>
              </w:rPr>
              <w:t>13,973,099.16</w:t>
            </w:r>
          </w:p>
        </w:tc>
        <w:tc>
          <w:tcPr>
            <w:tcW w:w="899" w:type="pct"/>
            <w:vAlign w:val="center"/>
          </w:tcPr>
          <w:p w14:paraId="10872945">
            <w:pPr>
              <w:jc w:val="right"/>
              <w:textAlignment w:val="center"/>
              <w:rPr>
                <w:rFonts w:cs="Times New Roman"/>
              </w:rPr>
            </w:pPr>
            <w:r>
              <w:rPr>
                <w:rFonts w:cs="Times New Roman"/>
                <w:color w:val="000000"/>
              </w:rPr>
              <w:t>2,269,233.27</w:t>
            </w:r>
          </w:p>
        </w:tc>
        <w:tc>
          <w:tcPr>
            <w:tcW w:w="931" w:type="pct"/>
            <w:vAlign w:val="center"/>
          </w:tcPr>
          <w:p w14:paraId="55DD4515">
            <w:pPr>
              <w:jc w:val="right"/>
              <w:textAlignment w:val="center"/>
              <w:rPr>
                <w:rFonts w:cs="Times New Roman"/>
              </w:rPr>
            </w:pPr>
            <w:r>
              <w:rPr>
                <w:rFonts w:cs="Times New Roman"/>
                <w:color w:val="000000"/>
              </w:rPr>
              <w:t>31,369,567.00</w:t>
            </w:r>
          </w:p>
        </w:tc>
        <w:tc>
          <w:tcPr>
            <w:tcW w:w="898" w:type="pct"/>
            <w:vAlign w:val="center"/>
          </w:tcPr>
          <w:p w14:paraId="34843587">
            <w:pPr>
              <w:jc w:val="right"/>
              <w:textAlignment w:val="center"/>
              <w:rPr>
                <w:rFonts w:cs="Times New Roman"/>
              </w:rPr>
            </w:pPr>
            <w:r>
              <w:rPr>
                <w:rFonts w:cs="Times New Roman"/>
                <w:color w:val="000000"/>
              </w:rPr>
              <w:t>5,139,567.75</w:t>
            </w:r>
          </w:p>
        </w:tc>
      </w:tr>
      <w:tr w14:paraId="20E2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39" w:type="pct"/>
            <w:vAlign w:val="center"/>
          </w:tcPr>
          <w:p w14:paraId="010B2819">
            <w:pPr>
              <w:textAlignment w:val="center"/>
              <w:rPr>
                <w:rFonts w:cs="Times New Roman"/>
              </w:rPr>
            </w:pPr>
            <w:r>
              <w:rPr>
                <w:rFonts w:cs="Times New Roman"/>
                <w:color w:val="000000"/>
                <w:lang w:bidi="ar"/>
              </w:rPr>
              <w:t>长期应付职工薪酬-三类人员费用</w:t>
            </w:r>
          </w:p>
        </w:tc>
        <w:tc>
          <w:tcPr>
            <w:tcW w:w="931" w:type="pct"/>
            <w:vAlign w:val="center"/>
          </w:tcPr>
          <w:p w14:paraId="2CB8900F">
            <w:pPr>
              <w:jc w:val="right"/>
              <w:textAlignment w:val="center"/>
              <w:rPr>
                <w:rFonts w:cs="Times New Roman"/>
              </w:rPr>
            </w:pPr>
            <w:r>
              <w:rPr>
                <w:rFonts w:cs="Times New Roman"/>
                <w:color w:val="000000"/>
              </w:rPr>
              <w:t>322,611,892.74</w:t>
            </w:r>
          </w:p>
        </w:tc>
        <w:tc>
          <w:tcPr>
            <w:tcW w:w="899" w:type="pct"/>
            <w:vAlign w:val="center"/>
          </w:tcPr>
          <w:p w14:paraId="0E33ECC8">
            <w:pPr>
              <w:jc w:val="right"/>
              <w:textAlignment w:val="center"/>
              <w:rPr>
                <w:rFonts w:cs="Times New Roman"/>
              </w:rPr>
            </w:pPr>
            <w:r>
              <w:rPr>
                <w:rFonts w:cs="Times New Roman"/>
                <w:color w:val="000000"/>
              </w:rPr>
              <w:t>50,361,633.92</w:t>
            </w:r>
          </w:p>
        </w:tc>
        <w:tc>
          <w:tcPr>
            <w:tcW w:w="931" w:type="pct"/>
            <w:vAlign w:val="center"/>
          </w:tcPr>
          <w:p w14:paraId="65051963">
            <w:pPr>
              <w:jc w:val="right"/>
              <w:textAlignment w:val="center"/>
              <w:rPr>
                <w:rFonts w:cs="Times New Roman"/>
              </w:rPr>
            </w:pPr>
            <w:r>
              <w:rPr>
                <w:rFonts w:cs="Times New Roman"/>
                <w:color w:val="000000"/>
              </w:rPr>
              <w:t>320,048,047.00</w:t>
            </w:r>
          </w:p>
        </w:tc>
        <w:tc>
          <w:tcPr>
            <w:tcW w:w="898" w:type="pct"/>
            <w:vAlign w:val="center"/>
          </w:tcPr>
          <w:p w14:paraId="14D1A4E4">
            <w:pPr>
              <w:jc w:val="right"/>
              <w:textAlignment w:val="center"/>
              <w:rPr>
                <w:rFonts w:cs="Times New Roman"/>
              </w:rPr>
            </w:pPr>
            <w:r>
              <w:rPr>
                <w:rFonts w:cs="Times New Roman"/>
                <w:color w:val="000000"/>
              </w:rPr>
              <w:t>51,827,241.55</w:t>
            </w:r>
          </w:p>
        </w:tc>
      </w:tr>
      <w:tr w14:paraId="141E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39" w:type="pct"/>
            <w:vAlign w:val="center"/>
          </w:tcPr>
          <w:p w14:paraId="754EB0A2">
            <w:pPr>
              <w:textAlignment w:val="center"/>
              <w:rPr>
                <w:rFonts w:cs="Times New Roman"/>
              </w:rPr>
            </w:pPr>
            <w:r>
              <w:rPr>
                <w:rFonts w:cs="Times New Roman"/>
                <w:color w:val="000000"/>
                <w:lang w:bidi="ar"/>
              </w:rPr>
              <w:t>递延收益</w:t>
            </w:r>
          </w:p>
        </w:tc>
        <w:tc>
          <w:tcPr>
            <w:tcW w:w="931" w:type="pct"/>
            <w:vAlign w:val="center"/>
          </w:tcPr>
          <w:p w14:paraId="7BC34E67">
            <w:pPr>
              <w:jc w:val="right"/>
              <w:textAlignment w:val="center"/>
              <w:rPr>
                <w:rFonts w:cs="Times New Roman"/>
              </w:rPr>
            </w:pPr>
            <w:r>
              <w:rPr>
                <w:rFonts w:cs="Times New Roman"/>
                <w:color w:val="000000"/>
              </w:rPr>
              <w:t>39,797,916.11</w:t>
            </w:r>
          </w:p>
        </w:tc>
        <w:tc>
          <w:tcPr>
            <w:tcW w:w="899" w:type="pct"/>
            <w:vAlign w:val="center"/>
          </w:tcPr>
          <w:p w14:paraId="001CB7E3">
            <w:pPr>
              <w:jc w:val="right"/>
              <w:textAlignment w:val="center"/>
              <w:rPr>
                <w:rFonts w:cs="Times New Roman"/>
              </w:rPr>
            </w:pPr>
            <w:r>
              <w:rPr>
                <w:rFonts w:cs="Times New Roman"/>
                <w:color w:val="000000"/>
              </w:rPr>
              <w:t>7,486,667.06</w:t>
            </w:r>
          </w:p>
        </w:tc>
        <w:tc>
          <w:tcPr>
            <w:tcW w:w="931" w:type="pct"/>
            <w:vAlign w:val="center"/>
          </w:tcPr>
          <w:p w14:paraId="762D3BAE">
            <w:pPr>
              <w:jc w:val="right"/>
              <w:textAlignment w:val="center"/>
              <w:rPr>
                <w:rFonts w:cs="Times New Roman"/>
              </w:rPr>
            </w:pPr>
            <w:r>
              <w:rPr>
                <w:rFonts w:cs="Times New Roman"/>
                <w:color w:val="000000"/>
              </w:rPr>
              <w:t>40,624,214.95</w:t>
            </w:r>
          </w:p>
        </w:tc>
        <w:tc>
          <w:tcPr>
            <w:tcW w:w="898" w:type="pct"/>
            <w:vAlign w:val="center"/>
          </w:tcPr>
          <w:p w14:paraId="44307444">
            <w:pPr>
              <w:jc w:val="right"/>
              <w:textAlignment w:val="center"/>
              <w:rPr>
                <w:rFonts w:cs="Times New Roman"/>
              </w:rPr>
            </w:pPr>
            <w:r>
              <w:rPr>
                <w:rFonts w:cs="Times New Roman"/>
                <w:color w:val="000000"/>
              </w:rPr>
              <w:t>7,421,139.86</w:t>
            </w:r>
          </w:p>
        </w:tc>
      </w:tr>
      <w:tr w14:paraId="00D3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39" w:type="pct"/>
            <w:vAlign w:val="center"/>
          </w:tcPr>
          <w:p w14:paraId="0C881393">
            <w:pPr>
              <w:textAlignment w:val="center"/>
              <w:rPr>
                <w:rFonts w:cs="Times New Roman"/>
              </w:rPr>
            </w:pPr>
            <w:r>
              <w:rPr>
                <w:rFonts w:cs="Times New Roman"/>
                <w:color w:val="000000"/>
                <w:lang w:bidi="ar"/>
              </w:rPr>
              <w:t>长期股权投资账面价值与计税基础差异</w:t>
            </w:r>
          </w:p>
        </w:tc>
        <w:tc>
          <w:tcPr>
            <w:tcW w:w="931" w:type="pct"/>
            <w:vAlign w:val="center"/>
          </w:tcPr>
          <w:p w14:paraId="53191476">
            <w:pPr>
              <w:jc w:val="right"/>
              <w:textAlignment w:val="center"/>
              <w:rPr>
                <w:rFonts w:cs="Times New Roman"/>
              </w:rPr>
            </w:pPr>
            <w:r>
              <w:rPr>
                <w:rFonts w:cs="Times New Roman"/>
                <w:color w:val="000000"/>
              </w:rPr>
              <w:t>24,500,000.00</w:t>
            </w:r>
          </w:p>
        </w:tc>
        <w:tc>
          <w:tcPr>
            <w:tcW w:w="899" w:type="pct"/>
            <w:vAlign w:val="center"/>
          </w:tcPr>
          <w:p w14:paraId="35943D0F">
            <w:pPr>
              <w:jc w:val="right"/>
              <w:textAlignment w:val="center"/>
              <w:rPr>
                <w:rFonts w:cs="Times New Roman"/>
              </w:rPr>
            </w:pPr>
            <w:r>
              <w:rPr>
                <w:rFonts w:cs="Times New Roman"/>
                <w:color w:val="000000"/>
              </w:rPr>
              <w:t>3,675,000.00</w:t>
            </w:r>
          </w:p>
        </w:tc>
        <w:tc>
          <w:tcPr>
            <w:tcW w:w="931" w:type="pct"/>
            <w:vAlign w:val="center"/>
          </w:tcPr>
          <w:p w14:paraId="20A7056D">
            <w:pPr>
              <w:jc w:val="right"/>
              <w:textAlignment w:val="center"/>
              <w:rPr>
                <w:rFonts w:cs="Times New Roman"/>
              </w:rPr>
            </w:pPr>
            <w:r>
              <w:rPr>
                <w:rFonts w:cs="Times New Roman"/>
                <w:color w:val="000000"/>
              </w:rPr>
              <w:t>24,500,000.00</w:t>
            </w:r>
          </w:p>
        </w:tc>
        <w:tc>
          <w:tcPr>
            <w:tcW w:w="898" w:type="pct"/>
            <w:vAlign w:val="center"/>
          </w:tcPr>
          <w:p w14:paraId="0911C8B3">
            <w:pPr>
              <w:jc w:val="right"/>
              <w:textAlignment w:val="center"/>
              <w:rPr>
                <w:rFonts w:cs="Times New Roman"/>
              </w:rPr>
            </w:pPr>
            <w:r>
              <w:rPr>
                <w:rFonts w:cs="Times New Roman"/>
                <w:color w:val="000000"/>
              </w:rPr>
              <w:t>3,675,000.00</w:t>
            </w:r>
          </w:p>
        </w:tc>
      </w:tr>
      <w:tr w14:paraId="5215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39" w:type="pct"/>
            <w:vAlign w:val="center"/>
          </w:tcPr>
          <w:p w14:paraId="3FA7E372">
            <w:pPr>
              <w:textAlignment w:val="center"/>
              <w:rPr>
                <w:rFonts w:cs="Times New Roman"/>
              </w:rPr>
            </w:pPr>
            <w:r>
              <w:rPr>
                <w:rFonts w:cs="Times New Roman"/>
                <w:color w:val="000000"/>
                <w:lang w:bidi="ar"/>
              </w:rPr>
              <w:t>租赁负债</w:t>
            </w:r>
          </w:p>
        </w:tc>
        <w:tc>
          <w:tcPr>
            <w:tcW w:w="931" w:type="pct"/>
            <w:vAlign w:val="center"/>
          </w:tcPr>
          <w:p w14:paraId="621D559A">
            <w:pPr>
              <w:jc w:val="right"/>
              <w:textAlignment w:val="center"/>
              <w:rPr>
                <w:rFonts w:cs="Times New Roman"/>
              </w:rPr>
            </w:pPr>
            <w:r>
              <w:rPr>
                <w:rFonts w:cs="Times New Roman"/>
                <w:color w:val="000000"/>
              </w:rPr>
              <w:t>10,130,263.32</w:t>
            </w:r>
          </w:p>
        </w:tc>
        <w:tc>
          <w:tcPr>
            <w:tcW w:w="899" w:type="pct"/>
            <w:vAlign w:val="center"/>
          </w:tcPr>
          <w:p w14:paraId="45CF6E7C">
            <w:pPr>
              <w:jc w:val="right"/>
              <w:textAlignment w:val="center"/>
              <w:rPr>
                <w:rFonts w:cs="Times New Roman"/>
              </w:rPr>
            </w:pPr>
            <w:r>
              <w:rPr>
                <w:rFonts w:cs="Times New Roman"/>
                <w:color w:val="000000"/>
              </w:rPr>
              <w:t>1,519,539.50</w:t>
            </w:r>
          </w:p>
        </w:tc>
        <w:tc>
          <w:tcPr>
            <w:tcW w:w="931" w:type="pct"/>
            <w:vAlign w:val="center"/>
          </w:tcPr>
          <w:p w14:paraId="06CBBB63">
            <w:pPr>
              <w:jc w:val="right"/>
              <w:textAlignment w:val="center"/>
              <w:rPr>
                <w:rFonts w:cs="Times New Roman"/>
              </w:rPr>
            </w:pPr>
            <w:r>
              <w:rPr>
                <w:rFonts w:cs="Times New Roman"/>
                <w:color w:val="000000"/>
              </w:rPr>
              <w:t>11,142,974.73</w:t>
            </w:r>
          </w:p>
        </w:tc>
        <w:tc>
          <w:tcPr>
            <w:tcW w:w="898" w:type="pct"/>
            <w:vAlign w:val="center"/>
          </w:tcPr>
          <w:p w14:paraId="1615B762">
            <w:pPr>
              <w:jc w:val="right"/>
              <w:textAlignment w:val="center"/>
              <w:rPr>
                <w:rFonts w:cs="Times New Roman"/>
              </w:rPr>
            </w:pPr>
            <w:r>
              <w:rPr>
                <w:rFonts w:cs="Times New Roman"/>
                <w:color w:val="000000"/>
              </w:rPr>
              <w:t>1,671,446.22</w:t>
            </w:r>
          </w:p>
        </w:tc>
      </w:tr>
      <w:tr w14:paraId="7EA5F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39" w:type="pct"/>
            <w:vAlign w:val="center"/>
          </w:tcPr>
          <w:p w14:paraId="5301D62C">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931" w:type="pct"/>
            <w:vAlign w:val="center"/>
          </w:tcPr>
          <w:p w14:paraId="145E5CEB">
            <w:pPr>
              <w:jc w:val="right"/>
              <w:textAlignment w:val="center"/>
              <w:rPr>
                <w:rFonts w:cs="Times New Roman"/>
              </w:rPr>
            </w:pPr>
            <w:r>
              <w:rPr>
                <w:rFonts w:cs="Times New Roman"/>
                <w:color w:val="000000"/>
              </w:rPr>
              <w:t>1,833,067,702.08</w:t>
            </w:r>
          </w:p>
        </w:tc>
        <w:tc>
          <w:tcPr>
            <w:tcW w:w="899" w:type="pct"/>
            <w:vAlign w:val="center"/>
          </w:tcPr>
          <w:p w14:paraId="35E16E02">
            <w:pPr>
              <w:jc w:val="right"/>
              <w:textAlignment w:val="center"/>
              <w:rPr>
                <w:rFonts w:cs="Times New Roman"/>
              </w:rPr>
            </w:pPr>
            <w:r>
              <w:rPr>
                <w:rFonts w:cs="Times New Roman"/>
                <w:color w:val="000000"/>
              </w:rPr>
              <w:t>294,974,492.52</w:t>
            </w:r>
          </w:p>
        </w:tc>
        <w:tc>
          <w:tcPr>
            <w:tcW w:w="931" w:type="pct"/>
            <w:vAlign w:val="center"/>
          </w:tcPr>
          <w:p w14:paraId="41D48B0A">
            <w:pPr>
              <w:jc w:val="right"/>
              <w:textAlignment w:val="center"/>
              <w:rPr>
                <w:rFonts w:cs="Times New Roman"/>
              </w:rPr>
            </w:pPr>
            <w:r>
              <w:rPr>
                <w:rFonts w:cs="Times New Roman"/>
                <w:color w:val="000000"/>
              </w:rPr>
              <w:t>1,863,680,382.22</w:t>
            </w:r>
          </w:p>
        </w:tc>
        <w:tc>
          <w:tcPr>
            <w:tcW w:w="898" w:type="pct"/>
            <w:vAlign w:val="center"/>
          </w:tcPr>
          <w:p w14:paraId="32A6F95C">
            <w:pPr>
              <w:jc w:val="right"/>
              <w:textAlignment w:val="center"/>
              <w:rPr>
                <w:rFonts w:cs="Times New Roman"/>
              </w:rPr>
            </w:pPr>
            <w:r>
              <w:rPr>
                <w:rFonts w:cs="Times New Roman"/>
                <w:color w:val="000000"/>
              </w:rPr>
              <w:t>301,467,777.49</w:t>
            </w:r>
          </w:p>
        </w:tc>
      </w:tr>
    </w:tbl>
    <w:p w14:paraId="4FB9CD19">
      <w:pPr>
        <w:rPr>
          <w:color w:val="000000" w:themeColor="text1"/>
          <w14:textFill>
            <w14:solidFill>
              <w14:schemeClr w14:val="tx1"/>
            </w14:solidFill>
          </w14:textFill>
        </w:rPr>
      </w:pPr>
    </w:p>
    <w:p w14:paraId="22D1EAA0">
      <w:pPr>
        <w:pStyle w:val="58"/>
        <w:numPr>
          <w:ilvl w:val="0"/>
          <w:numId w:val="77"/>
        </w:numPr>
        <w:tabs>
          <w:tab w:val="left" w:pos="588"/>
          <w:tab w:val="left" w:pos="616"/>
        </w:tabs>
        <w:rPr>
          <w:rFonts w:ascii="宋体" w:hAnsi="宋体"/>
          <w:color w:val="000000" w:themeColor="text1"/>
          <w14:textFill>
            <w14:solidFill>
              <w14:schemeClr w14:val="tx1"/>
            </w14:solidFill>
          </w14:textFill>
        </w:rPr>
      </w:pPr>
      <w:bookmarkStart w:id="340" w:name="_Hlk11160621"/>
      <w:r>
        <w:rPr>
          <w:rFonts w:hint="eastAsia" w:ascii="宋体" w:hAnsi="宋体"/>
          <w:color w:val="000000" w:themeColor="text1"/>
          <w14:textFill>
            <w14:solidFill>
              <w14:schemeClr w14:val="tx1"/>
            </w14:solidFill>
          </w14:textFill>
        </w:rPr>
        <w:t>未经抵销的递延所得税负债</w:t>
      </w:r>
    </w:p>
    <w:sdt>
      <w:sdtPr>
        <w:rPr>
          <w:color w:val="000000" w:themeColor="text1"/>
          <w14:textFill>
            <w14:solidFill>
              <w14:schemeClr w14:val="tx1"/>
            </w14:solidFill>
          </w14:textFill>
        </w:rPr>
        <w:alias w:val="是否适用：未经抵销的递延所得税负债[双击切换]"/>
        <w:tag w:val="_GBC_e9cf2825b61d4a9ca57e90c2ed017173"/>
        <w:id w:val="147452095"/>
        <w:placeholder>
          <w:docPart w:val="GBC22222222222222222222222222222"/>
        </w:placeholder>
      </w:sdtPr>
      <w:sdtEndPr>
        <w:rPr>
          <w:color w:val="000000" w:themeColor="text1"/>
          <w14:textFill>
            <w14:solidFill>
              <w14:schemeClr w14:val="tx1"/>
            </w14:solidFill>
          </w14:textFill>
        </w:rPr>
      </w:sdtEndPr>
      <w:sdtContent>
        <w:p w14:paraId="45BD275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F6E3DEC">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未经抵销的递延所得税负债"/>
          <w:tag w:val="_GBC_7fa4a7048e284eb79ceb0dee5165516f"/>
          <w:id w:val="1474609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未经抵销的递延所得税负债"/>
          <w:tag w:val="_GBC_85beae3a7d624858bfe37a33da15472b"/>
          <w:id w:val="1474763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8"/>
        <w:gridCol w:w="1441"/>
        <w:gridCol w:w="1606"/>
        <w:gridCol w:w="1658"/>
        <w:gridCol w:w="1676"/>
      </w:tblGrid>
      <w:tr w14:paraId="65F97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66ef6111bb2d4b3792b581d6ff38c8d2"/>
            <w:id w:val="147462891"/>
          </w:sdtPr>
          <w:sdtContent>
            <w:tc>
              <w:tcPr>
                <w:tcW w:w="1474" w:type="pct"/>
                <w:vMerge w:val="restart"/>
                <w:vAlign w:val="center"/>
              </w:tcPr>
              <w:p w14:paraId="5E86AD00">
                <w:pPr>
                  <w:jc w:val="center"/>
                  <w:rPr>
                    <w:color w:val="000000" w:themeColor="text1"/>
                    <w14:textFill>
                      <w14:solidFill>
                        <w14:schemeClr w14:val="tx1"/>
                      </w14:solidFill>
                    </w14:textFill>
                  </w:rPr>
                </w:pPr>
                <w:bookmarkStart w:id="341" w:name="_Hlk11857349"/>
                <w:r>
                  <w:rPr>
                    <w:rFonts w:hint="eastAsia"/>
                    <w:color w:val="000000" w:themeColor="text1"/>
                    <w14:textFill>
                      <w14:solidFill>
                        <w14:schemeClr w14:val="tx1"/>
                      </w14:solidFill>
                    </w14:textFill>
                  </w:rPr>
                  <w:t>项目</w:t>
                </w:r>
              </w:p>
            </w:tc>
          </w:sdtContent>
        </w:sdt>
        <w:sdt>
          <w:sdtPr>
            <w:tag w:val="_PLD_b850d4f63866495f80e69799c9ea1b37"/>
            <w:id w:val="147474049"/>
          </w:sdtPr>
          <w:sdtContent>
            <w:tc>
              <w:tcPr>
                <w:tcW w:w="1683" w:type="pct"/>
                <w:gridSpan w:val="2"/>
                <w:vAlign w:val="center"/>
              </w:tcPr>
              <w:p w14:paraId="5536831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951c3eee882c4aaa862f620814f6ce4e"/>
            <w:id w:val="147472729"/>
          </w:sdtPr>
          <w:sdtContent>
            <w:tc>
              <w:tcPr>
                <w:tcW w:w="1842" w:type="pct"/>
                <w:gridSpan w:val="2"/>
                <w:vAlign w:val="center"/>
              </w:tcPr>
              <w:p w14:paraId="479E3D6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493F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74" w:type="pct"/>
            <w:vMerge w:val="continue"/>
            <w:vAlign w:val="center"/>
          </w:tcPr>
          <w:p w14:paraId="01964F69">
            <w:pPr>
              <w:jc w:val="center"/>
              <w:rPr>
                <w:b/>
                <w:color w:val="000000" w:themeColor="text1"/>
                <w14:textFill>
                  <w14:solidFill>
                    <w14:schemeClr w14:val="tx1"/>
                  </w14:solidFill>
                </w14:textFill>
              </w:rPr>
            </w:pPr>
          </w:p>
        </w:tc>
        <w:sdt>
          <w:sdtPr>
            <w:tag w:val="_PLD_f33e3c528ff14a2bac81ec99970641f6"/>
            <w:id w:val="147461864"/>
          </w:sdtPr>
          <w:sdtContent>
            <w:tc>
              <w:tcPr>
                <w:tcW w:w="796" w:type="pct"/>
                <w:vAlign w:val="center"/>
              </w:tcPr>
              <w:p w14:paraId="1CFECB3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应纳税暂时性差异</w:t>
                </w:r>
              </w:p>
            </w:tc>
          </w:sdtContent>
        </w:sdt>
        <w:sdt>
          <w:sdtPr>
            <w:tag w:val="_PLD_0cb734f9904e4a57a5107d601b9b38d1"/>
            <w:id w:val="147453773"/>
          </w:sdtPr>
          <w:sdtContent>
            <w:tc>
              <w:tcPr>
                <w:tcW w:w="886" w:type="pct"/>
                <w:vAlign w:val="center"/>
              </w:tcPr>
              <w:p w14:paraId="5971B83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递延所得税</w:t>
                </w:r>
              </w:p>
              <w:p w14:paraId="0F5E333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负债</w:t>
                </w:r>
              </w:p>
            </w:tc>
          </w:sdtContent>
        </w:sdt>
        <w:sdt>
          <w:sdtPr>
            <w:tag w:val="_PLD_ddf3980c66a840e782386c14bb078052"/>
            <w:id w:val="147478774"/>
          </w:sdtPr>
          <w:sdtContent>
            <w:tc>
              <w:tcPr>
                <w:tcW w:w="916" w:type="pct"/>
                <w:vAlign w:val="center"/>
              </w:tcPr>
              <w:p w14:paraId="793EF3F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应纳税暂时性差异</w:t>
                </w:r>
              </w:p>
            </w:tc>
          </w:sdtContent>
        </w:sdt>
        <w:sdt>
          <w:sdtPr>
            <w:tag w:val="_PLD_590dc17e8304449fbff47c3b3cd45eb5"/>
            <w:id w:val="147454271"/>
          </w:sdtPr>
          <w:sdtContent>
            <w:tc>
              <w:tcPr>
                <w:tcW w:w="926" w:type="pct"/>
                <w:vAlign w:val="center"/>
              </w:tcPr>
              <w:p w14:paraId="47047B5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递延所得税</w:t>
                </w:r>
              </w:p>
              <w:p w14:paraId="2E75FFC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负债</w:t>
                </w:r>
              </w:p>
            </w:tc>
          </w:sdtContent>
        </w:sdt>
      </w:tr>
      <w:tr w14:paraId="7793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74" w:type="pct"/>
          </w:tcPr>
          <w:p w14:paraId="79960A5A">
            <w:pPr>
              <w:textAlignment w:val="top"/>
            </w:pPr>
            <w:r>
              <w:rPr>
                <w:rFonts w:hint="eastAsia" w:ascii="宋体" w:hAnsi="宋体"/>
                <w:color w:val="000000"/>
                <w:lang w:bidi="ar"/>
              </w:rPr>
              <w:t>延期计税的国家财政拨款、债务重组收益及其他</w:t>
            </w:r>
          </w:p>
        </w:tc>
        <w:tc>
          <w:tcPr>
            <w:tcW w:w="796" w:type="pct"/>
            <w:vAlign w:val="center"/>
          </w:tcPr>
          <w:p w14:paraId="18836DF6">
            <w:pPr>
              <w:jc w:val="right"/>
              <w:textAlignment w:val="center"/>
              <w:rPr>
                <w:rFonts w:cs="Times New Roman"/>
              </w:rPr>
            </w:pPr>
            <w:r>
              <w:rPr>
                <w:rFonts w:cs="Times New Roman"/>
                <w:color w:val="000000"/>
              </w:rPr>
              <w:t>52,187,320.97</w:t>
            </w:r>
          </w:p>
        </w:tc>
        <w:tc>
          <w:tcPr>
            <w:tcW w:w="886" w:type="pct"/>
            <w:vAlign w:val="center"/>
          </w:tcPr>
          <w:p w14:paraId="43BEE125">
            <w:pPr>
              <w:jc w:val="right"/>
              <w:textAlignment w:val="center"/>
              <w:rPr>
                <w:rFonts w:cs="Times New Roman"/>
              </w:rPr>
            </w:pPr>
            <w:r>
              <w:rPr>
                <w:rFonts w:cs="Times New Roman"/>
                <w:color w:val="000000"/>
              </w:rPr>
              <w:t>7,828,098.15</w:t>
            </w:r>
          </w:p>
        </w:tc>
        <w:tc>
          <w:tcPr>
            <w:tcW w:w="916" w:type="pct"/>
            <w:vAlign w:val="center"/>
          </w:tcPr>
          <w:p w14:paraId="54BF8932">
            <w:pPr>
              <w:jc w:val="right"/>
              <w:textAlignment w:val="center"/>
              <w:rPr>
                <w:rFonts w:cs="Times New Roman"/>
              </w:rPr>
            </w:pPr>
            <w:r>
              <w:rPr>
                <w:rFonts w:cs="Times New Roman"/>
                <w:color w:val="000000"/>
              </w:rPr>
              <w:t>52,187,320.97</w:t>
            </w:r>
          </w:p>
        </w:tc>
        <w:tc>
          <w:tcPr>
            <w:tcW w:w="926" w:type="pct"/>
            <w:vAlign w:val="center"/>
          </w:tcPr>
          <w:p w14:paraId="7B899B8F">
            <w:pPr>
              <w:jc w:val="right"/>
              <w:textAlignment w:val="center"/>
              <w:rPr>
                <w:rFonts w:cs="Times New Roman"/>
              </w:rPr>
            </w:pPr>
            <w:r>
              <w:rPr>
                <w:rFonts w:cs="Times New Roman"/>
                <w:color w:val="000000"/>
              </w:rPr>
              <w:t>7,828,098.15</w:t>
            </w:r>
          </w:p>
        </w:tc>
      </w:tr>
      <w:tr w14:paraId="2DAA3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74" w:type="pct"/>
          </w:tcPr>
          <w:p w14:paraId="5D9818D5">
            <w:pPr>
              <w:textAlignment w:val="top"/>
            </w:pPr>
            <w:r>
              <w:rPr>
                <w:rFonts w:hint="eastAsia" w:ascii="宋体" w:hAnsi="宋体"/>
                <w:color w:val="000000"/>
                <w:lang w:bidi="ar"/>
              </w:rPr>
              <w:t>使用权资产</w:t>
            </w:r>
          </w:p>
        </w:tc>
        <w:tc>
          <w:tcPr>
            <w:tcW w:w="796" w:type="pct"/>
            <w:vAlign w:val="center"/>
          </w:tcPr>
          <w:p w14:paraId="3002227E">
            <w:pPr>
              <w:jc w:val="right"/>
              <w:textAlignment w:val="center"/>
              <w:rPr>
                <w:rFonts w:cs="Times New Roman"/>
              </w:rPr>
            </w:pPr>
            <w:r>
              <w:rPr>
                <w:rFonts w:cs="Times New Roman"/>
                <w:color w:val="000000"/>
              </w:rPr>
              <w:t>9,960,965.74</w:t>
            </w:r>
          </w:p>
        </w:tc>
        <w:tc>
          <w:tcPr>
            <w:tcW w:w="886" w:type="pct"/>
            <w:vAlign w:val="center"/>
          </w:tcPr>
          <w:p w14:paraId="490B2B18">
            <w:pPr>
              <w:jc w:val="right"/>
              <w:textAlignment w:val="center"/>
              <w:rPr>
                <w:rFonts w:cs="Times New Roman"/>
              </w:rPr>
            </w:pPr>
            <w:r>
              <w:rPr>
                <w:rFonts w:cs="Times New Roman"/>
                <w:color w:val="000000"/>
              </w:rPr>
              <w:t>1,494,144.86</w:t>
            </w:r>
          </w:p>
        </w:tc>
        <w:tc>
          <w:tcPr>
            <w:tcW w:w="916" w:type="pct"/>
            <w:vAlign w:val="center"/>
          </w:tcPr>
          <w:p w14:paraId="788599BE">
            <w:pPr>
              <w:jc w:val="right"/>
              <w:textAlignment w:val="center"/>
              <w:rPr>
                <w:rFonts w:cs="Times New Roman"/>
              </w:rPr>
            </w:pPr>
            <w:r>
              <w:rPr>
                <w:rFonts w:cs="Times New Roman"/>
                <w:color w:val="000000"/>
              </w:rPr>
              <w:t>10,670,711.29</w:t>
            </w:r>
          </w:p>
        </w:tc>
        <w:tc>
          <w:tcPr>
            <w:tcW w:w="926" w:type="pct"/>
            <w:vAlign w:val="center"/>
          </w:tcPr>
          <w:p w14:paraId="61FFA870">
            <w:pPr>
              <w:jc w:val="right"/>
              <w:textAlignment w:val="center"/>
              <w:rPr>
                <w:rFonts w:cs="Times New Roman"/>
              </w:rPr>
            </w:pPr>
            <w:r>
              <w:rPr>
                <w:rFonts w:cs="Times New Roman"/>
                <w:color w:val="000000"/>
              </w:rPr>
              <w:t>1,600,606.71</w:t>
            </w:r>
          </w:p>
        </w:tc>
      </w:tr>
      <w:tr w14:paraId="4988B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74" w:type="pct"/>
            <w:vAlign w:val="center"/>
          </w:tcPr>
          <w:p w14:paraId="312DFEB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796" w:type="pct"/>
            <w:vAlign w:val="center"/>
          </w:tcPr>
          <w:p w14:paraId="5F58C444">
            <w:pPr>
              <w:jc w:val="right"/>
              <w:textAlignment w:val="center"/>
              <w:rPr>
                <w:rFonts w:cs="Times New Roman"/>
              </w:rPr>
            </w:pPr>
            <w:r>
              <w:rPr>
                <w:rFonts w:cs="Times New Roman"/>
                <w:color w:val="000000"/>
              </w:rPr>
              <w:t>62,148,286.71</w:t>
            </w:r>
          </w:p>
        </w:tc>
        <w:tc>
          <w:tcPr>
            <w:tcW w:w="886" w:type="pct"/>
            <w:vAlign w:val="center"/>
          </w:tcPr>
          <w:p w14:paraId="4367F7F4">
            <w:pPr>
              <w:jc w:val="right"/>
              <w:textAlignment w:val="center"/>
              <w:rPr>
                <w:rFonts w:cs="Times New Roman"/>
              </w:rPr>
            </w:pPr>
            <w:r>
              <w:rPr>
                <w:rFonts w:cs="Times New Roman"/>
                <w:color w:val="000000"/>
              </w:rPr>
              <w:t>9,322,243.01</w:t>
            </w:r>
          </w:p>
        </w:tc>
        <w:tc>
          <w:tcPr>
            <w:tcW w:w="916" w:type="pct"/>
            <w:vAlign w:val="center"/>
          </w:tcPr>
          <w:p w14:paraId="6EE111C1">
            <w:pPr>
              <w:jc w:val="right"/>
              <w:textAlignment w:val="center"/>
              <w:rPr>
                <w:rFonts w:cs="Times New Roman"/>
              </w:rPr>
            </w:pPr>
            <w:r>
              <w:rPr>
                <w:rFonts w:cs="Times New Roman"/>
                <w:color w:val="000000"/>
              </w:rPr>
              <w:t>62,858,032.26</w:t>
            </w:r>
          </w:p>
        </w:tc>
        <w:tc>
          <w:tcPr>
            <w:tcW w:w="926" w:type="pct"/>
            <w:vAlign w:val="center"/>
          </w:tcPr>
          <w:p w14:paraId="2FAB1AC7">
            <w:pPr>
              <w:jc w:val="right"/>
              <w:textAlignment w:val="center"/>
              <w:rPr>
                <w:rFonts w:cs="Times New Roman"/>
              </w:rPr>
            </w:pPr>
            <w:r>
              <w:rPr>
                <w:rFonts w:cs="Times New Roman"/>
                <w:color w:val="000000"/>
              </w:rPr>
              <w:t>9,428,704.86</w:t>
            </w:r>
          </w:p>
        </w:tc>
      </w:tr>
    </w:tbl>
    <w:p w14:paraId="2A904D8D">
      <w:pPr>
        <w:rPr>
          <w:color w:val="000000" w:themeColor="text1"/>
          <w14:textFill>
            <w14:solidFill>
              <w14:schemeClr w14:val="tx1"/>
            </w14:solidFill>
          </w14:textFill>
        </w:rPr>
      </w:pPr>
    </w:p>
    <w:bookmarkEnd w:id="340"/>
    <w:bookmarkEnd w:id="341"/>
    <w:p w14:paraId="60726D9A">
      <w:pPr>
        <w:pStyle w:val="58"/>
        <w:numPr>
          <w:ilvl w:val="0"/>
          <w:numId w:val="77"/>
        </w:numPr>
        <w:tabs>
          <w:tab w:val="left" w:pos="588"/>
          <w:tab w:val="left" w:pos="616"/>
        </w:tabs>
        <w:rPr>
          <w:rFonts w:ascii="宋体" w:hAnsi="宋体"/>
          <w:color w:val="000000" w:themeColor="text1"/>
          <w14:textFill>
            <w14:solidFill>
              <w14:schemeClr w14:val="tx1"/>
            </w14:solidFill>
          </w14:textFill>
        </w:rPr>
      </w:pPr>
      <w:bookmarkStart w:id="342" w:name="_Hlk11160645"/>
      <w:r>
        <w:rPr>
          <w:rFonts w:hint="eastAsia" w:ascii="宋体" w:hAnsi="宋体"/>
          <w:color w:val="000000" w:themeColor="text1"/>
          <w14:textFill>
            <w14:solidFill>
              <w14:schemeClr w14:val="tx1"/>
            </w14:solidFill>
          </w14:textFill>
        </w:rPr>
        <w:t>以抵销后净额列示的递延所得税资产或负债</w:t>
      </w:r>
    </w:p>
    <w:sdt>
      <w:sdtPr>
        <w:rPr>
          <w:color w:val="000000" w:themeColor="text1"/>
          <w14:textFill>
            <w14:solidFill>
              <w14:schemeClr w14:val="tx1"/>
            </w14:solidFill>
          </w14:textFill>
        </w:rPr>
        <w:alias w:val="是否适用：以抵销后净额列示的递延所得税资产或负债[双击切换]"/>
        <w:tag w:val="_GBC_d6419a9d2dc94127a5f6aea72cb2a94d"/>
        <w:id w:val="147463975"/>
        <w:placeholder>
          <w:docPart w:val="GBC22222222222222222222222222222"/>
        </w:placeholder>
      </w:sdtPr>
      <w:sdtEndPr>
        <w:rPr>
          <w:color w:val="000000" w:themeColor="text1"/>
          <w14:textFill>
            <w14:solidFill>
              <w14:schemeClr w14:val="tx1"/>
            </w14:solidFill>
          </w14:textFill>
        </w:rPr>
      </w:sdtEndPr>
      <w:sdtContent>
        <w:p w14:paraId="7D39F33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42"/>
    <w:p w14:paraId="1E86B9CF">
      <w:pPr>
        <w:pStyle w:val="58"/>
        <w:numPr>
          <w:ilvl w:val="0"/>
          <w:numId w:val="77"/>
        </w:numPr>
        <w:tabs>
          <w:tab w:val="left" w:pos="588"/>
          <w:tab w:val="left" w:pos="616"/>
        </w:tabs>
        <w:rPr>
          <w:rFonts w:ascii="宋体" w:hAnsi="宋体"/>
          <w:color w:val="000000" w:themeColor="text1"/>
          <w14:textFill>
            <w14:solidFill>
              <w14:schemeClr w14:val="tx1"/>
            </w14:solidFill>
          </w14:textFill>
        </w:rPr>
      </w:pPr>
      <w:bookmarkStart w:id="343" w:name="_Hlk11160660"/>
      <w:r>
        <w:rPr>
          <w:rFonts w:hint="eastAsia" w:ascii="宋体" w:hAnsi="宋体"/>
          <w:color w:val="000000" w:themeColor="text1"/>
          <w14:textFill>
            <w14:solidFill>
              <w14:schemeClr w14:val="tx1"/>
            </w14:solidFill>
          </w14:textFill>
        </w:rPr>
        <w:t>未确认递延所得税资产明细</w:t>
      </w:r>
    </w:p>
    <w:sdt>
      <w:sdtPr>
        <w:rPr>
          <w:color w:val="000000" w:themeColor="text1"/>
          <w14:textFill>
            <w14:solidFill>
              <w14:schemeClr w14:val="tx1"/>
            </w14:solidFill>
          </w14:textFill>
        </w:rPr>
        <w:alias w:val="是否适用：未确认递延所得税资产明细[双击切换]"/>
        <w:tag w:val="_GBC_f210878b05204277b5f70ed9ae786ea7"/>
        <w:id w:val="-1484003285"/>
      </w:sdtPr>
      <w:sdtEndPr>
        <w:rPr>
          <w:color w:val="000000" w:themeColor="text1"/>
          <w14:textFill>
            <w14:solidFill>
              <w14:schemeClr w14:val="tx1"/>
            </w14:solidFill>
          </w14:textFill>
        </w:rPr>
      </w:sdtEndPr>
      <w:sdtContent>
        <w:p w14:paraId="1C6C14C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33FE27BA">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未确认递延所得税资产明细"/>
          <w:tag w:val="_GBC_ce13c0c07be34b60aa76bbbf1260928d"/>
          <w:id w:val="731969361"/>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未确认递延所得税资产明细"/>
          <w:tag w:val="_GBC_8f1c08c0092d44718e258d0b64b7bf6f"/>
          <w:id w:val="149275329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7"/>
        <w:gridCol w:w="3082"/>
        <w:gridCol w:w="3080"/>
      </w:tblGrid>
      <w:tr w14:paraId="0B4D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bfd226eac09b4e2fb1cc66684c879c9b"/>
            <w:id w:val="-2079044523"/>
          </w:sdtPr>
          <w:sdtContent>
            <w:tc>
              <w:tcPr>
                <w:tcW w:w="1595" w:type="pct"/>
                <w:tcBorders>
                  <w:top w:val="single" w:color="auto" w:sz="4" w:space="0"/>
                  <w:left w:val="single" w:color="auto" w:sz="4" w:space="0"/>
                  <w:bottom w:val="single" w:color="auto" w:sz="4" w:space="0"/>
                  <w:right w:val="single" w:color="auto" w:sz="4" w:space="0"/>
                </w:tcBorders>
                <w:vAlign w:val="center"/>
              </w:tcPr>
              <w:p w14:paraId="6765BD5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bba7988c74a34dcf950349beb6df1c0b"/>
            <w:id w:val="-1333372233"/>
          </w:sdtPr>
          <w:sdtContent>
            <w:tc>
              <w:tcPr>
                <w:tcW w:w="1702" w:type="pct"/>
                <w:tcBorders>
                  <w:top w:val="single" w:color="auto" w:sz="4" w:space="0"/>
                  <w:left w:val="single" w:color="auto" w:sz="4" w:space="0"/>
                  <w:bottom w:val="single" w:color="auto" w:sz="4" w:space="0"/>
                  <w:right w:val="single" w:color="auto" w:sz="4" w:space="0"/>
                </w:tcBorders>
                <w:vAlign w:val="center"/>
              </w:tcPr>
              <w:p w14:paraId="2D83A86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36004da9855d4469bf16ab328077f444"/>
            <w:id w:val="1687558027"/>
          </w:sdtPr>
          <w:sdtContent>
            <w:tc>
              <w:tcPr>
                <w:tcW w:w="1701" w:type="pct"/>
                <w:tcBorders>
                  <w:top w:val="single" w:color="auto" w:sz="4" w:space="0"/>
                  <w:left w:val="single" w:color="auto" w:sz="4" w:space="0"/>
                  <w:bottom w:val="single" w:color="auto" w:sz="4" w:space="0"/>
                  <w:right w:val="single" w:color="auto" w:sz="4" w:space="0"/>
                </w:tcBorders>
                <w:vAlign w:val="center"/>
              </w:tcPr>
              <w:p w14:paraId="3D94B00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07E22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381c26214cb146ecba0c66da7cccbb9b"/>
            <w:id w:val="1846358942"/>
          </w:sdtPr>
          <w:sdtContent>
            <w:tc>
              <w:tcPr>
                <w:tcW w:w="1595" w:type="pct"/>
                <w:tcBorders>
                  <w:top w:val="single" w:color="auto" w:sz="4" w:space="0"/>
                  <w:left w:val="single" w:color="auto" w:sz="4" w:space="0"/>
                  <w:bottom w:val="single" w:color="auto" w:sz="4" w:space="0"/>
                  <w:right w:val="single" w:color="auto" w:sz="4" w:space="0"/>
                </w:tcBorders>
                <w:vAlign w:val="center"/>
              </w:tcPr>
              <w:p w14:paraId="1D6D4B37">
                <w:pPr>
                  <w:rPr>
                    <w:color w:val="000000" w:themeColor="text1"/>
                    <w14:textFill>
                      <w14:solidFill>
                        <w14:schemeClr w14:val="tx1"/>
                      </w14:solidFill>
                    </w14:textFill>
                  </w:rPr>
                </w:pPr>
                <w:r>
                  <w:rPr>
                    <w:rFonts w:hint="eastAsia"/>
                    <w:color w:val="000000" w:themeColor="text1"/>
                    <w14:textFill>
                      <w14:solidFill>
                        <w14:schemeClr w14:val="tx1"/>
                      </w14:solidFill>
                    </w14:textFill>
                  </w:rPr>
                  <w:t>可抵扣暂时性差异</w:t>
                </w:r>
              </w:p>
            </w:tc>
          </w:sdtContent>
        </w:sdt>
        <w:tc>
          <w:tcPr>
            <w:tcW w:w="1702" w:type="pct"/>
            <w:tcBorders>
              <w:top w:val="single" w:color="auto" w:sz="4" w:space="0"/>
              <w:left w:val="single" w:color="auto" w:sz="4" w:space="0"/>
              <w:bottom w:val="single" w:color="auto" w:sz="4" w:space="0"/>
              <w:right w:val="single" w:color="auto" w:sz="4" w:space="0"/>
            </w:tcBorders>
            <w:vAlign w:val="center"/>
          </w:tcPr>
          <w:p w14:paraId="00269469">
            <w:pPr>
              <w:jc w:val="right"/>
              <w:rPr>
                <w:rFonts w:cs="Times New Roman"/>
              </w:rPr>
            </w:pPr>
            <w:r>
              <w:rPr>
                <w:rFonts w:cs="Times New Roman"/>
              </w:rPr>
              <w:t>3,163,100,821.43</w:t>
            </w:r>
          </w:p>
        </w:tc>
        <w:tc>
          <w:tcPr>
            <w:tcW w:w="1701" w:type="pct"/>
            <w:tcBorders>
              <w:top w:val="single" w:color="auto" w:sz="4" w:space="0"/>
              <w:left w:val="single" w:color="auto" w:sz="4" w:space="0"/>
              <w:bottom w:val="single" w:color="auto" w:sz="4" w:space="0"/>
              <w:right w:val="single" w:color="auto" w:sz="4" w:space="0"/>
            </w:tcBorders>
            <w:vAlign w:val="center"/>
          </w:tcPr>
          <w:p w14:paraId="5C4FC4CF">
            <w:pPr>
              <w:jc w:val="right"/>
              <w:rPr>
                <w:rFonts w:cs="Times New Roman"/>
              </w:rPr>
            </w:pPr>
            <w:r>
              <w:rPr>
                <w:rFonts w:cs="Times New Roman"/>
              </w:rPr>
              <w:t>3,369,943,963.46</w:t>
            </w:r>
          </w:p>
        </w:tc>
      </w:tr>
      <w:tr w14:paraId="4D235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7d61d57f3afe461287d338be31b7f128"/>
            <w:id w:val="-1873450170"/>
          </w:sdtPr>
          <w:sdtContent>
            <w:tc>
              <w:tcPr>
                <w:tcW w:w="1595" w:type="pct"/>
                <w:tcBorders>
                  <w:top w:val="single" w:color="auto" w:sz="4" w:space="0"/>
                  <w:left w:val="single" w:color="auto" w:sz="4" w:space="0"/>
                  <w:bottom w:val="single" w:color="auto" w:sz="4" w:space="0"/>
                  <w:right w:val="single" w:color="auto" w:sz="4" w:space="0"/>
                </w:tcBorders>
                <w:vAlign w:val="center"/>
              </w:tcPr>
              <w:p w14:paraId="1096A8CE">
                <w:pPr>
                  <w:rPr>
                    <w:color w:val="000000" w:themeColor="text1"/>
                    <w14:textFill>
                      <w14:solidFill>
                        <w14:schemeClr w14:val="tx1"/>
                      </w14:solidFill>
                    </w14:textFill>
                  </w:rPr>
                </w:pPr>
                <w:r>
                  <w:rPr>
                    <w:rFonts w:hint="eastAsia"/>
                    <w:color w:val="000000" w:themeColor="text1"/>
                    <w14:textFill>
                      <w14:solidFill>
                        <w14:schemeClr w14:val="tx1"/>
                      </w14:solidFill>
                    </w14:textFill>
                  </w:rPr>
                  <w:t>可抵扣亏损</w:t>
                </w:r>
              </w:p>
            </w:tc>
          </w:sdtContent>
        </w:sdt>
        <w:tc>
          <w:tcPr>
            <w:tcW w:w="1702" w:type="pct"/>
            <w:tcBorders>
              <w:top w:val="single" w:color="auto" w:sz="4" w:space="0"/>
              <w:left w:val="single" w:color="auto" w:sz="4" w:space="0"/>
              <w:bottom w:val="single" w:color="auto" w:sz="4" w:space="0"/>
              <w:right w:val="single" w:color="auto" w:sz="4" w:space="0"/>
            </w:tcBorders>
            <w:vAlign w:val="center"/>
          </w:tcPr>
          <w:p w14:paraId="1206D53A">
            <w:pPr>
              <w:jc w:val="right"/>
              <w:rPr>
                <w:rFonts w:cs="Times New Roman"/>
              </w:rPr>
            </w:pPr>
            <w:r>
              <w:rPr>
                <w:rFonts w:cs="Times New Roman"/>
              </w:rPr>
              <w:t>2,506,688,830.87</w:t>
            </w:r>
          </w:p>
        </w:tc>
        <w:tc>
          <w:tcPr>
            <w:tcW w:w="1701" w:type="pct"/>
            <w:tcBorders>
              <w:top w:val="single" w:color="auto" w:sz="4" w:space="0"/>
              <w:left w:val="single" w:color="auto" w:sz="4" w:space="0"/>
              <w:bottom w:val="single" w:color="auto" w:sz="4" w:space="0"/>
              <w:right w:val="single" w:color="auto" w:sz="4" w:space="0"/>
            </w:tcBorders>
            <w:vAlign w:val="center"/>
          </w:tcPr>
          <w:p w14:paraId="4FFFC8EB">
            <w:pPr>
              <w:jc w:val="right"/>
              <w:rPr>
                <w:rFonts w:cs="Times New Roman"/>
              </w:rPr>
            </w:pPr>
            <w:r>
              <w:rPr>
                <w:rFonts w:cs="Times New Roman"/>
              </w:rPr>
              <w:t>2,469,944,889.62</w:t>
            </w:r>
          </w:p>
        </w:tc>
      </w:tr>
      <w:sdt>
        <w:sdtPr>
          <w:rPr>
            <w:rFonts w:hint="eastAsia"/>
            <w:color w:val="000000" w:themeColor="text1"/>
            <w14:textFill>
              <w14:solidFill>
                <w14:schemeClr w14:val="tx1"/>
              </w14:solidFill>
            </w14:textFill>
          </w:rPr>
          <w:alias w:val="未确认递延所得税资产明细"/>
          <w:tag w:val="_GBC_dececa13e6ec42e9a7b6dc670fa5ccbb"/>
          <w:id w:val="-936819943"/>
          <w:placeholder>
            <w:docPart w:val="{6f30955f-b77f-4afe-8b09-25f848106008}"/>
          </w:placeholder>
        </w:sdtPr>
        <w:sdtEndPr>
          <w:rPr>
            <w:rFonts w:hint="default" w:cs="Times New Roman"/>
            <w:color w:val="000000" w:themeColor="text1"/>
            <w14:textFill>
              <w14:solidFill>
                <w14:schemeClr w14:val="tx1"/>
              </w14:solidFill>
            </w14:textFill>
          </w:rPr>
        </w:sdtEndPr>
        <w:sdtContent>
          <w:tr w14:paraId="5A3FB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95" w:type="pct"/>
                <w:tcBorders>
                  <w:top w:val="single" w:color="auto" w:sz="4" w:space="0"/>
                  <w:left w:val="single" w:color="auto" w:sz="4" w:space="0"/>
                  <w:bottom w:val="single" w:color="auto" w:sz="4" w:space="0"/>
                  <w:right w:val="single" w:color="auto" w:sz="4" w:space="0"/>
                </w:tcBorders>
              </w:tcPr>
              <w:p w14:paraId="0C75754B">
                <w:r>
                  <w:rPr>
                    <w:rFonts w:hint="eastAsia"/>
                  </w:rPr>
                  <w:t>预计负债</w:t>
                </w:r>
              </w:p>
            </w:tc>
            <w:tc>
              <w:tcPr>
                <w:tcW w:w="1702" w:type="pct"/>
                <w:tcBorders>
                  <w:top w:val="single" w:color="auto" w:sz="4" w:space="0"/>
                  <w:left w:val="single" w:color="auto" w:sz="4" w:space="0"/>
                  <w:bottom w:val="single" w:color="auto" w:sz="4" w:space="0"/>
                  <w:right w:val="single" w:color="auto" w:sz="4" w:space="0"/>
                </w:tcBorders>
                <w:vAlign w:val="center"/>
              </w:tcPr>
              <w:p w14:paraId="505B1929">
                <w:pPr>
                  <w:jc w:val="right"/>
                  <w:rPr>
                    <w:rFonts w:cs="Times New Roman"/>
                  </w:rPr>
                </w:pPr>
                <w:r>
                  <w:rPr>
                    <w:rFonts w:cs="Times New Roman"/>
                  </w:rPr>
                  <w:t>200,000,000.00</w:t>
                </w:r>
              </w:p>
            </w:tc>
            <w:tc>
              <w:tcPr>
                <w:tcW w:w="1701" w:type="pct"/>
                <w:tcBorders>
                  <w:top w:val="single" w:color="auto" w:sz="4" w:space="0"/>
                  <w:left w:val="single" w:color="auto" w:sz="4" w:space="0"/>
                  <w:bottom w:val="single" w:color="auto" w:sz="4" w:space="0"/>
                  <w:right w:val="single" w:color="auto" w:sz="4" w:space="0"/>
                </w:tcBorders>
                <w:vAlign w:val="center"/>
              </w:tcPr>
              <w:p w14:paraId="0C1646C7">
                <w:pPr>
                  <w:jc w:val="right"/>
                  <w:rPr>
                    <w:rFonts w:cs="Times New Roman"/>
                  </w:rPr>
                </w:pPr>
                <w:r>
                  <w:rPr>
                    <w:rFonts w:cs="Times New Roman"/>
                  </w:rPr>
                  <w:t>200,000,000.00</w:t>
                </w:r>
              </w:p>
            </w:tc>
          </w:tr>
        </w:sdtContent>
      </w:sdt>
      <w:sdt>
        <w:sdtPr>
          <w:alias w:val="未确认递延所得税资产明细"/>
          <w:tag w:val="_GBC_dececa13e6ec42e9a7b6dc670fa5ccbb"/>
          <w:id w:val="-2142562692"/>
          <w:placeholder>
            <w:docPart w:val="{6f30955f-b77f-4afe-8b09-25f848106008}"/>
          </w:placeholder>
        </w:sdtPr>
        <w:sdtEndPr>
          <w:rPr>
            <w:rFonts w:cs="Times New Roman"/>
          </w:rPr>
        </w:sdtEndPr>
        <w:sdtContent>
          <w:tr w14:paraId="3874A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a867b83c897e41619f1515baeb2b55ff"/>
                <w:id w:val="1858621034"/>
              </w:sdtPr>
              <w:sdtContent>
                <w:tc>
                  <w:tcPr>
                    <w:tcW w:w="1595" w:type="pct"/>
                    <w:tcBorders>
                      <w:top w:val="single" w:color="auto" w:sz="4" w:space="0"/>
                      <w:left w:val="single" w:color="auto" w:sz="4" w:space="0"/>
                      <w:bottom w:val="single" w:color="auto" w:sz="4" w:space="0"/>
                      <w:right w:val="single" w:color="auto" w:sz="4" w:space="0"/>
                    </w:tcBorders>
                    <w:vAlign w:val="center"/>
                  </w:tcPr>
                  <w:p w14:paraId="4779DE6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sdtContent>
            </w:sdt>
            <w:tc>
              <w:tcPr>
                <w:tcW w:w="1702" w:type="pct"/>
                <w:tcBorders>
                  <w:top w:val="single" w:color="auto" w:sz="4" w:space="0"/>
                  <w:left w:val="single" w:color="auto" w:sz="4" w:space="0"/>
                  <w:bottom w:val="single" w:color="auto" w:sz="4" w:space="0"/>
                  <w:right w:val="single" w:color="auto" w:sz="4" w:space="0"/>
                </w:tcBorders>
                <w:vAlign w:val="center"/>
              </w:tcPr>
              <w:p w14:paraId="1EE956A2">
                <w:pPr>
                  <w:jc w:val="right"/>
                  <w:rPr>
                    <w:rFonts w:cs="Times New Roman"/>
                  </w:rPr>
                </w:pPr>
                <w:r>
                  <w:rPr>
                    <w:rFonts w:cs="Times New Roman"/>
                  </w:rPr>
                  <w:t>5,869,789,652.30</w:t>
                </w:r>
              </w:p>
            </w:tc>
            <w:tc>
              <w:tcPr>
                <w:tcW w:w="1701" w:type="pct"/>
                <w:tcBorders>
                  <w:top w:val="single" w:color="auto" w:sz="4" w:space="0"/>
                  <w:left w:val="single" w:color="auto" w:sz="4" w:space="0"/>
                  <w:bottom w:val="single" w:color="auto" w:sz="4" w:space="0"/>
                  <w:right w:val="single" w:color="auto" w:sz="4" w:space="0"/>
                </w:tcBorders>
                <w:vAlign w:val="center"/>
              </w:tcPr>
              <w:p w14:paraId="0C34A131">
                <w:pPr>
                  <w:jc w:val="right"/>
                  <w:rPr>
                    <w:rFonts w:cs="Times New Roman"/>
                  </w:rPr>
                </w:pPr>
                <w:r>
                  <w:rPr>
                    <w:rFonts w:cs="Times New Roman"/>
                  </w:rPr>
                  <w:t>6,039,888,853.08</w:t>
                </w:r>
              </w:p>
            </w:tc>
          </w:tr>
        </w:sdtContent>
      </w:sdt>
    </w:tbl>
    <w:p w14:paraId="7CF4D8B2">
      <w:pPr>
        <w:rPr>
          <w:color w:val="000000" w:themeColor="text1"/>
          <w14:textFill>
            <w14:solidFill>
              <w14:schemeClr w14:val="tx1"/>
            </w14:solidFill>
          </w14:textFill>
        </w:rPr>
      </w:pPr>
    </w:p>
    <w:bookmarkEnd w:id="343"/>
    <w:p w14:paraId="4D4C2C3C">
      <w:pPr>
        <w:pStyle w:val="58"/>
        <w:numPr>
          <w:ilvl w:val="0"/>
          <w:numId w:val="77"/>
        </w:numPr>
        <w:tabs>
          <w:tab w:val="left" w:pos="588"/>
          <w:tab w:val="left" w:pos="616"/>
        </w:tabs>
        <w:rPr>
          <w:rFonts w:ascii="宋体" w:hAnsi="宋体"/>
          <w:color w:val="000000" w:themeColor="text1"/>
          <w14:textFill>
            <w14:solidFill>
              <w14:schemeClr w14:val="tx1"/>
            </w14:solidFill>
          </w14:textFill>
        </w:rPr>
      </w:pPr>
      <w:bookmarkStart w:id="344" w:name="_Hlk11160672"/>
      <w:r>
        <w:rPr>
          <w:rFonts w:hint="eastAsia" w:ascii="宋体" w:hAnsi="宋体"/>
          <w:color w:val="000000" w:themeColor="text1"/>
          <w14:textFill>
            <w14:solidFill>
              <w14:schemeClr w14:val="tx1"/>
            </w14:solidFill>
          </w14:textFill>
        </w:rPr>
        <w:t>未确认递延所得税资产的可抵扣亏损将于以下年度到期</w:t>
      </w:r>
    </w:p>
    <w:sdt>
      <w:sdtPr>
        <w:rPr>
          <w:color w:val="000000" w:themeColor="text1"/>
          <w14:textFill>
            <w14:solidFill>
              <w14:schemeClr w14:val="tx1"/>
            </w14:solidFill>
          </w14:textFill>
        </w:rPr>
        <w:alias w:val="是否适用：未确认递延所得税资产的可抵扣亏损将于以下年度到期[双击切换]"/>
        <w:tag w:val="_GBC_10d31911cedc4147b90ab71d35742bf4"/>
        <w:id w:val="-396364830"/>
      </w:sdtPr>
      <w:sdtEndPr>
        <w:rPr>
          <w:color w:val="000000" w:themeColor="text1"/>
          <w14:textFill>
            <w14:solidFill>
              <w14:schemeClr w14:val="tx1"/>
            </w14:solidFill>
          </w14:textFill>
        </w:rPr>
      </w:sdtEndPr>
      <w:sdtContent>
        <w:p w14:paraId="7EEEA80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1AD1F1AB">
      <w:pPr>
        <w:ind w:right="57"/>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未确认递延所得税资产的可抵扣亏损将于以下年度到期"/>
          <w:tag w:val="_GBC_e5ae9be2f02b49aa93ff11e0e7a11cca"/>
          <w:id w:val="-2109344940"/>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未确认递延所得税资产的可抵扣亏损将于以下年度到期"/>
          <w:tag w:val="_GBC_83b0fc2196304484aa53ef2b9e2e191a"/>
          <w:id w:val="101149411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6"/>
        <w:gridCol w:w="3089"/>
        <w:gridCol w:w="3142"/>
      </w:tblGrid>
      <w:tr w14:paraId="4C45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sdt>
          <w:sdtPr>
            <w:tag w:val="_PLD_710a470de2b84ef593de891faad46b6b"/>
            <w:id w:val="926532966"/>
          </w:sdtPr>
          <w:sdtContent>
            <w:tc>
              <w:tcPr>
                <w:tcW w:w="1556" w:type="pct"/>
                <w:tcBorders>
                  <w:top w:val="single" w:color="auto" w:sz="4" w:space="0"/>
                  <w:left w:val="single" w:color="auto" w:sz="4" w:space="0"/>
                  <w:bottom w:val="single" w:color="auto" w:sz="4" w:space="0"/>
                  <w:right w:val="single" w:color="auto" w:sz="4" w:space="0"/>
                </w:tcBorders>
                <w:vAlign w:val="center"/>
              </w:tcPr>
              <w:p w14:paraId="12AF17F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年份</w:t>
                </w:r>
              </w:p>
            </w:tc>
          </w:sdtContent>
        </w:sdt>
        <w:sdt>
          <w:sdtPr>
            <w:tag w:val="_PLD_a6335ab4fba14ab8946b823c64f03503"/>
            <w:id w:val="964230075"/>
          </w:sdtPr>
          <w:sdtContent>
            <w:tc>
              <w:tcPr>
                <w:tcW w:w="1707" w:type="pct"/>
                <w:tcBorders>
                  <w:top w:val="single" w:color="auto" w:sz="4" w:space="0"/>
                  <w:left w:val="single" w:color="auto" w:sz="4" w:space="0"/>
                  <w:bottom w:val="single" w:color="auto" w:sz="4" w:space="0"/>
                  <w:right w:val="single" w:color="auto" w:sz="4" w:space="0"/>
                </w:tcBorders>
                <w:vAlign w:val="center"/>
              </w:tcPr>
              <w:p w14:paraId="52786BE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期末金额</w:t>
                </w:r>
              </w:p>
            </w:tc>
          </w:sdtContent>
        </w:sdt>
        <w:sdt>
          <w:sdtPr>
            <w:tag w:val="_PLD_7582e6645cec4513a5606c104f2d83f1"/>
            <w:id w:val="-1274703408"/>
          </w:sdtPr>
          <w:sdtContent>
            <w:tc>
              <w:tcPr>
                <w:tcW w:w="1736" w:type="pct"/>
                <w:tcBorders>
                  <w:top w:val="single" w:color="auto" w:sz="4" w:space="0"/>
                  <w:left w:val="single" w:color="auto" w:sz="4" w:space="0"/>
                  <w:bottom w:val="single" w:color="auto" w:sz="4" w:space="0"/>
                  <w:right w:val="single" w:color="auto" w:sz="4" w:space="0"/>
                </w:tcBorders>
                <w:vAlign w:val="center"/>
              </w:tcPr>
              <w:p w14:paraId="3FFA4D3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期初金额</w:t>
                </w:r>
              </w:p>
            </w:tc>
          </w:sdtContent>
        </w:sdt>
      </w:tr>
      <w:sdt>
        <w:sdtPr>
          <w:rPr>
            <w:rFonts w:hint="eastAsia"/>
            <w:color w:val="000000" w:themeColor="text1"/>
            <w14:textFill>
              <w14:solidFill>
                <w14:schemeClr w14:val="tx1"/>
              </w14:solidFill>
            </w14:textFill>
          </w:rPr>
          <w:alias w:val="未确认递延所得税资产的可抵扣亏损到期明细"/>
          <w:tag w:val="_GBC_a44a3a947eba4ff199b2b5473e07ff8b"/>
          <w:id w:val="1189253804"/>
          <w:placeholder>
            <w:docPart w:val="{c0812664-2cda-4da8-b779-e64626bb2ba7}"/>
          </w:placeholder>
        </w:sdtPr>
        <w:sdtEndPr>
          <w:rPr>
            <w:rFonts w:hint="eastAsia"/>
            <w:color w:val="000000" w:themeColor="text1"/>
            <w14:textFill>
              <w14:solidFill>
                <w14:schemeClr w14:val="tx1"/>
              </w14:solidFill>
            </w14:textFill>
          </w:rPr>
        </w:sdtEndPr>
        <w:sdtContent>
          <w:tr w14:paraId="22BF3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56" w:type="pct"/>
                <w:tcBorders>
                  <w:top w:val="single" w:color="auto" w:sz="4" w:space="0"/>
                  <w:left w:val="single" w:color="auto" w:sz="4" w:space="0"/>
                  <w:bottom w:val="single" w:color="auto" w:sz="4" w:space="0"/>
                  <w:right w:val="single" w:color="auto" w:sz="4" w:space="0"/>
                </w:tcBorders>
              </w:tcPr>
              <w:p w14:paraId="64E9A4DF">
                <w:r>
                  <w:rPr>
                    <w:rFonts w:hint="eastAsia"/>
                  </w:rPr>
                  <w:t>2025</w:t>
                </w:r>
              </w:p>
            </w:tc>
            <w:tc>
              <w:tcPr>
                <w:tcW w:w="1707" w:type="pct"/>
                <w:tcBorders>
                  <w:top w:val="single" w:color="auto" w:sz="4" w:space="0"/>
                  <w:left w:val="single" w:color="auto" w:sz="4" w:space="0"/>
                  <w:bottom w:val="single" w:color="auto" w:sz="4" w:space="0"/>
                  <w:right w:val="single" w:color="auto" w:sz="4" w:space="0"/>
                </w:tcBorders>
                <w:vAlign w:val="center"/>
              </w:tcPr>
              <w:p w14:paraId="0BE92726">
                <w:pPr>
                  <w:jc w:val="right"/>
                </w:pPr>
                <w:r>
                  <w:rPr>
                    <w:rFonts w:hint="eastAsia"/>
                  </w:rPr>
                  <w:t>250,294,051.96</w:t>
                </w:r>
              </w:p>
            </w:tc>
            <w:tc>
              <w:tcPr>
                <w:tcW w:w="1736" w:type="pct"/>
                <w:tcBorders>
                  <w:top w:val="single" w:color="auto" w:sz="4" w:space="0"/>
                  <w:left w:val="single" w:color="auto" w:sz="4" w:space="0"/>
                  <w:bottom w:val="single" w:color="auto" w:sz="4" w:space="0"/>
                  <w:right w:val="single" w:color="auto" w:sz="4" w:space="0"/>
                </w:tcBorders>
                <w:vAlign w:val="center"/>
              </w:tcPr>
              <w:p w14:paraId="7E9CF466">
                <w:pPr>
                  <w:jc w:val="right"/>
                </w:pPr>
                <w:r>
                  <w:rPr>
                    <w:rFonts w:hint="eastAsia"/>
                  </w:rPr>
                  <w:t>250,294,051.96</w:t>
                </w:r>
              </w:p>
            </w:tc>
          </w:tr>
        </w:sdtContent>
      </w:sdt>
      <w:sdt>
        <w:sdtPr>
          <w:rPr>
            <w:rFonts w:hint="eastAsia"/>
            <w:color w:val="000000" w:themeColor="text1"/>
            <w14:textFill>
              <w14:solidFill>
                <w14:schemeClr w14:val="tx1"/>
              </w14:solidFill>
            </w14:textFill>
          </w:rPr>
          <w:alias w:val="未确认递延所得税资产的可抵扣亏损到期明细"/>
          <w:tag w:val="_GBC_a44a3a947eba4ff199b2b5473e07ff8b"/>
          <w:id w:val="889306553"/>
          <w:placeholder>
            <w:docPart w:val="{c0812664-2cda-4da8-b779-e64626bb2ba7}"/>
          </w:placeholder>
        </w:sdtPr>
        <w:sdtEndPr>
          <w:rPr>
            <w:rFonts w:hint="eastAsia"/>
            <w:color w:val="000000" w:themeColor="text1"/>
            <w14:textFill>
              <w14:solidFill>
                <w14:schemeClr w14:val="tx1"/>
              </w14:solidFill>
            </w14:textFill>
          </w:rPr>
        </w:sdtEndPr>
        <w:sdtContent>
          <w:tr w14:paraId="7D3E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56" w:type="pct"/>
                <w:tcBorders>
                  <w:top w:val="single" w:color="auto" w:sz="4" w:space="0"/>
                  <w:left w:val="single" w:color="auto" w:sz="4" w:space="0"/>
                  <w:bottom w:val="single" w:color="auto" w:sz="4" w:space="0"/>
                  <w:right w:val="single" w:color="auto" w:sz="4" w:space="0"/>
                </w:tcBorders>
              </w:tcPr>
              <w:p w14:paraId="117F0587">
                <w:r>
                  <w:rPr>
                    <w:rFonts w:hint="eastAsia"/>
                  </w:rPr>
                  <w:t>2026</w:t>
                </w:r>
              </w:p>
            </w:tc>
            <w:tc>
              <w:tcPr>
                <w:tcW w:w="1707" w:type="pct"/>
                <w:tcBorders>
                  <w:top w:val="single" w:color="auto" w:sz="4" w:space="0"/>
                  <w:left w:val="single" w:color="auto" w:sz="4" w:space="0"/>
                  <w:bottom w:val="single" w:color="auto" w:sz="4" w:space="0"/>
                  <w:right w:val="single" w:color="auto" w:sz="4" w:space="0"/>
                </w:tcBorders>
                <w:vAlign w:val="center"/>
              </w:tcPr>
              <w:p w14:paraId="709D6C34">
                <w:pPr>
                  <w:jc w:val="right"/>
                </w:pPr>
                <w:r>
                  <w:rPr>
                    <w:rFonts w:hint="eastAsia"/>
                  </w:rPr>
                  <w:t>275,683,580.72</w:t>
                </w:r>
              </w:p>
            </w:tc>
            <w:tc>
              <w:tcPr>
                <w:tcW w:w="1736" w:type="pct"/>
                <w:tcBorders>
                  <w:top w:val="single" w:color="auto" w:sz="4" w:space="0"/>
                  <w:left w:val="single" w:color="auto" w:sz="4" w:space="0"/>
                  <w:bottom w:val="single" w:color="auto" w:sz="4" w:space="0"/>
                  <w:right w:val="single" w:color="auto" w:sz="4" w:space="0"/>
                </w:tcBorders>
                <w:vAlign w:val="center"/>
              </w:tcPr>
              <w:p w14:paraId="4A9C1EF0">
                <w:pPr>
                  <w:jc w:val="right"/>
                </w:pPr>
                <w:r>
                  <w:rPr>
                    <w:rFonts w:hint="eastAsia"/>
                  </w:rPr>
                  <w:t>275,683,580.72</w:t>
                </w:r>
              </w:p>
            </w:tc>
          </w:tr>
        </w:sdtContent>
      </w:sdt>
      <w:sdt>
        <w:sdtPr>
          <w:rPr>
            <w:rFonts w:hint="eastAsia"/>
            <w:color w:val="000000" w:themeColor="text1"/>
            <w14:textFill>
              <w14:solidFill>
                <w14:schemeClr w14:val="tx1"/>
              </w14:solidFill>
            </w14:textFill>
          </w:rPr>
          <w:alias w:val="未确认递延所得税资产的可抵扣亏损到期明细"/>
          <w:tag w:val="_GBC_a44a3a947eba4ff199b2b5473e07ff8b"/>
          <w:id w:val="-760212723"/>
          <w:placeholder>
            <w:docPart w:val="{c0812664-2cda-4da8-b779-e64626bb2ba7}"/>
          </w:placeholder>
        </w:sdtPr>
        <w:sdtEndPr>
          <w:rPr>
            <w:rFonts w:hint="eastAsia"/>
            <w:color w:val="000000" w:themeColor="text1"/>
            <w14:textFill>
              <w14:solidFill>
                <w14:schemeClr w14:val="tx1"/>
              </w14:solidFill>
            </w14:textFill>
          </w:rPr>
        </w:sdtEndPr>
        <w:sdtContent>
          <w:tr w14:paraId="24D2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56" w:type="pct"/>
                <w:tcBorders>
                  <w:top w:val="single" w:color="auto" w:sz="4" w:space="0"/>
                  <w:left w:val="single" w:color="auto" w:sz="4" w:space="0"/>
                  <w:bottom w:val="single" w:color="auto" w:sz="4" w:space="0"/>
                  <w:right w:val="single" w:color="auto" w:sz="4" w:space="0"/>
                </w:tcBorders>
              </w:tcPr>
              <w:p w14:paraId="3276314C">
                <w:r>
                  <w:rPr>
                    <w:rFonts w:hint="eastAsia"/>
                  </w:rPr>
                  <w:t>2027</w:t>
                </w:r>
              </w:p>
            </w:tc>
            <w:tc>
              <w:tcPr>
                <w:tcW w:w="1707" w:type="pct"/>
                <w:tcBorders>
                  <w:top w:val="single" w:color="auto" w:sz="4" w:space="0"/>
                  <w:left w:val="single" w:color="auto" w:sz="4" w:space="0"/>
                  <w:bottom w:val="single" w:color="auto" w:sz="4" w:space="0"/>
                  <w:right w:val="single" w:color="auto" w:sz="4" w:space="0"/>
                </w:tcBorders>
                <w:vAlign w:val="center"/>
              </w:tcPr>
              <w:p w14:paraId="6DEFEFF8">
                <w:pPr>
                  <w:jc w:val="right"/>
                </w:pPr>
                <w:r>
                  <w:rPr>
                    <w:rFonts w:hint="eastAsia"/>
                  </w:rPr>
                  <w:t>291,535,334.15</w:t>
                </w:r>
              </w:p>
            </w:tc>
            <w:tc>
              <w:tcPr>
                <w:tcW w:w="1736" w:type="pct"/>
                <w:tcBorders>
                  <w:top w:val="single" w:color="auto" w:sz="4" w:space="0"/>
                  <w:left w:val="single" w:color="auto" w:sz="4" w:space="0"/>
                  <w:bottom w:val="single" w:color="auto" w:sz="4" w:space="0"/>
                  <w:right w:val="single" w:color="auto" w:sz="4" w:space="0"/>
                </w:tcBorders>
                <w:vAlign w:val="center"/>
              </w:tcPr>
              <w:p w14:paraId="21318AA0">
                <w:pPr>
                  <w:jc w:val="right"/>
                </w:pPr>
                <w:r>
                  <w:rPr>
                    <w:rFonts w:hint="eastAsia"/>
                  </w:rPr>
                  <w:t>296,952,995.83</w:t>
                </w:r>
              </w:p>
            </w:tc>
          </w:tr>
        </w:sdtContent>
      </w:sdt>
      <w:sdt>
        <w:sdtPr>
          <w:rPr>
            <w:rFonts w:hint="eastAsia"/>
            <w:color w:val="000000" w:themeColor="text1"/>
            <w14:textFill>
              <w14:solidFill>
                <w14:schemeClr w14:val="tx1"/>
              </w14:solidFill>
            </w14:textFill>
          </w:rPr>
          <w:alias w:val="未确认递延所得税资产的可抵扣亏损到期明细"/>
          <w:tag w:val="_GBC_a44a3a947eba4ff199b2b5473e07ff8b"/>
          <w:id w:val="381761742"/>
          <w:placeholder>
            <w:docPart w:val="{c0812664-2cda-4da8-b779-e64626bb2ba7}"/>
          </w:placeholder>
        </w:sdtPr>
        <w:sdtEndPr>
          <w:rPr>
            <w:rFonts w:hint="eastAsia"/>
            <w:color w:val="000000" w:themeColor="text1"/>
            <w14:textFill>
              <w14:solidFill>
                <w14:schemeClr w14:val="tx1"/>
              </w14:solidFill>
            </w14:textFill>
          </w:rPr>
        </w:sdtEndPr>
        <w:sdtContent>
          <w:tr w14:paraId="3B56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56" w:type="pct"/>
                <w:tcBorders>
                  <w:top w:val="single" w:color="auto" w:sz="4" w:space="0"/>
                  <w:left w:val="single" w:color="auto" w:sz="4" w:space="0"/>
                  <w:bottom w:val="single" w:color="auto" w:sz="4" w:space="0"/>
                  <w:right w:val="single" w:color="auto" w:sz="4" w:space="0"/>
                </w:tcBorders>
              </w:tcPr>
              <w:p w14:paraId="29310FBB">
                <w:r>
                  <w:rPr>
                    <w:rFonts w:hint="eastAsia"/>
                  </w:rPr>
                  <w:t>2028</w:t>
                </w:r>
              </w:p>
            </w:tc>
            <w:tc>
              <w:tcPr>
                <w:tcW w:w="1707" w:type="pct"/>
                <w:tcBorders>
                  <w:top w:val="single" w:color="auto" w:sz="4" w:space="0"/>
                  <w:left w:val="single" w:color="auto" w:sz="4" w:space="0"/>
                  <w:bottom w:val="single" w:color="auto" w:sz="4" w:space="0"/>
                  <w:right w:val="single" w:color="auto" w:sz="4" w:space="0"/>
                </w:tcBorders>
                <w:vAlign w:val="center"/>
              </w:tcPr>
              <w:p w14:paraId="034BDD87">
                <w:pPr>
                  <w:jc w:val="right"/>
                </w:pPr>
                <w:r>
                  <w:rPr>
                    <w:rFonts w:hint="eastAsia"/>
                  </w:rPr>
                  <w:t>284,542,521.22</w:t>
                </w:r>
              </w:p>
            </w:tc>
            <w:tc>
              <w:tcPr>
                <w:tcW w:w="1736" w:type="pct"/>
                <w:tcBorders>
                  <w:top w:val="single" w:color="auto" w:sz="4" w:space="0"/>
                  <w:left w:val="single" w:color="auto" w:sz="4" w:space="0"/>
                  <w:bottom w:val="single" w:color="auto" w:sz="4" w:space="0"/>
                  <w:right w:val="single" w:color="auto" w:sz="4" w:space="0"/>
                </w:tcBorders>
                <w:vAlign w:val="center"/>
              </w:tcPr>
              <w:p w14:paraId="22FA271A">
                <w:pPr>
                  <w:jc w:val="right"/>
                </w:pPr>
                <w:r>
                  <w:rPr>
                    <w:rFonts w:hint="eastAsia"/>
                  </w:rPr>
                  <w:t>284,542,521.22</w:t>
                </w:r>
              </w:p>
            </w:tc>
          </w:tr>
        </w:sdtContent>
      </w:sdt>
      <w:sdt>
        <w:sdtPr>
          <w:rPr>
            <w:rFonts w:hint="eastAsia"/>
            <w:color w:val="000000" w:themeColor="text1"/>
            <w14:textFill>
              <w14:solidFill>
                <w14:schemeClr w14:val="tx1"/>
              </w14:solidFill>
            </w14:textFill>
          </w:rPr>
          <w:alias w:val="未确认递延所得税资产的可抵扣亏损到期明细"/>
          <w:tag w:val="_GBC_a44a3a947eba4ff199b2b5473e07ff8b"/>
          <w:id w:val="-1853562300"/>
          <w:placeholder>
            <w:docPart w:val="{c0812664-2cda-4da8-b779-e64626bb2ba7}"/>
          </w:placeholder>
        </w:sdtPr>
        <w:sdtEndPr>
          <w:rPr>
            <w:rFonts w:hint="eastAsia"/>
            <w:color w:val="000000" w:themeColor="text1"/>
            <w14:textFill>
              <w14:solidFill>
                <w14:schemeClr w14:val="tx1"/>
              </w14:solidFill>
            </w14:textFill>
          </w:rPr>
        </w:sdtEndPr>
        <w:sdtContent>
          <w:tr w14:paraId="6EC1C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56" w:type="pct"/>
                <w:tcBorders>
                  <w:top w:val="single" w:color="auto" w:sz="4" w:space="0"/>
                  <w:left w:val="single" w:color="auto" w:sz="4" w:space="0"/>
                  <w:bottom w:val="single" w:color="auto" w:sz="4" w:space="0"/>
                  <w:right w:val="single" w:color="auto" w:sz="4" w:space="0"/>
                </w:tcBorders>
              </w:tcPr>
              <w:p w14:paraId="6D13FD9A">
                <w:r>
                  <w:rPr>
                    <w:rFonts w:hint="eastAsia"/>
                  </w:rPr>
                  <w:t>2029</w:t>
                </w:r>
              </w:p>
            </w:tc>
            <w:tc>
              <w:tcPr>
                <w:tcW w:w="1707" w:type="pct"/>
                <w:tcBorders>
                  <w:top w:val="single" w:color="auto" w:sz="4" w:space="0"/>
                  <w:left w:val="single" w:color="auto" w:sz="4" w:space="0"/>
                  <w:bottom w:val="single" w:color="auto" w:sz="4" w:space="0"/>
                  <w:right w:val="single" w:color="auto" w:sz="4" w:space="0"/>
                </w:tcBorders>
                <w:vAlign w:val="center"/>
              </w:tcPr>
              <w:p w14:paraId="444EB3D7">
                <w:pPr>
                  <w:jc w:val="right"/>
                </w:pPr>
                <w:r>
                  <w:rPr>
                    <w:rFonts w:hint="eastAsia"/>
                  </w:rPr>
                  <w:t>1,290,090,869.63</w:t>
                </w:r>
              </w:p>
            </w:tc>
            <w:tc>
              <w:tcPr>
                <w:tcW w:w="1736" w:type="pct"/>
                <w:tcBorders>
                  <w:top w:val="single" w:color="auto" w:sz="4" w:space="0"/>
                  <w:left w:val="single" w:color="auto" w:sz="4" w:space="0"/>
                  <w:bottom w:val="single" w:color="auto" w:sz="4" w:space="0"/>
                  <w:right w:val="single" w:color="auto" w:sz="4" w:space="0"/>
                </w:tcBorders>
                <w:vAlign w:val="center"/>
              </w:tcPr>
              <w:p w14:paraId="074EFA80">
                <w:pPr>
                  <w:jc w:val="right"/>
                </w:pPr>
                <w:r>
                  <w:rPr>
                    <w:rFonts w:hint="eastAsia"/>
                  </w:rPr>
                  <w:t>1,362,471,739.89</w:t>
                </w:r>
              </w:p>
            </w:tc>
          </w:tr>
        </w:sdtContent>
      </w:sdt>
      <w:sdt>
        <w:sdtPr>
          <w:rPr>
            <w:rFonts w:hint="eastAsia"/>
            <w:color w:val="000000" w:themeColor="text1"/>
            <w14:textFill>
              <w14:solidFill>
                <w14:schemeClr w14:val="tx1"/>
              </w14:solidFill>
            </w14:textFill>
          </w:rPr>
          <w:alias w:val="未确认递延所得税资产的可抵扣亏损到期明细"/>
          <w:tag w:val="_GBC_a44a3a947eba4ff199b2b5473e07ff8b"/>
          <w:id w:val="-993948195"/>
          <w:placeholder>
            <w:docPart w:val="{c0812664-2cda-4da8-b779-e64626bb2ba7}"/>
          </w:placeholder>
        </w:sdtPr>
        <w:sdtEndPr>
          <w:rPr>
            <w:rFonts w:hint="eastAsia"/>
            <w:color w:val="000000" w:themeColor="text1"/>
            <w14:textFill>
              <w14:solidFill>
                <w14:schemeClr w14:val="tx1"/>
              </w14:solidFill>
            </w14:textFill>
          </w:rPr>
        </w:sdtEndPr>
        <w:sdtContent>
          <w:tr w14:paraId="193D2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56" w:type="pct"/>
                <w:tcBorders>
                  <w:top w:val="single" w:color="auto" w:sz="4" w:space="0"/>
                  <w:left w:val="single" w:color="auto" w:sz="4" w:space="0"/>
                  <w:bottom w:val="single" w:color="auto" w:sz="4" w:space="0"/>
                  <w:right w:val="single" w:color="auto" w:sz="4" w:space="0"/>
                </w:tcBorders>
              </w:tcPr>
              <w:p w14:paraId="3856870B">
                <w:r>
                  <w:rPr>
                    <w:rFonts w:hint="eastAsia"/>
                  </w:rPr>
                  <w:t>2030</w:t>
                </w:r>
              </w:p>
            </w:tc>
            <w:tc>
              <w:tcPr>
                <w:tcW w:w="1707" w:type="pct"/>
                <w:tcBorders>
                  <w:top w:val="single" w:color="auto" w:sz="4" w:space="0"/>
                  <w:left w:val="single" w:color="auto" w:sz="4" w:space="0"/>
                  <w:bottom w:val="single" w:color="auto" w:sz="4" w:space="0"/>
                  <w:right w:val="single" w:color="auto" w:sz="4" w:space="0"/>
                </w:tcBorders>
                <w:vAlign w:val="center"/>
              </w:tcPr>
              <w:p w14:paraId="098FF940">
                <w:pPr>
                  <w:jc w:val="right"/>
                </w:pPr>
                <w:r>
                  <w:rPr>
                    <w:rFonts w:hint="eastAsia"/>
                  </w:rPr>
                  <w:t>114,542,473.19</w:t>
                </w:r>
              </w:p>
            </w:tc>
            <w:tc>
              <w:tcPr>
                <w:tcW w:w="1736" w:type="pct"/>
                <w:tcBorders>
                  <w:top w:val="single" w:color="auto" w:sz="4" w:space="0"/>
                  <w:left w:val="single" w:color="auto" w:sz="4" w:space="0"/>
                  <w:bottom w:val="single" w:color="auto" w:sz="4" w:space="0"/>
                  <w:right w:val="single" w:color="auto" w:sz="4" w:space="0"/>
                </w:tcBorders>
                <w:vAlign w:val="center"/>
              </w:tcPr>
              <w:p w14:paraId="42E9895A">
                <w:pPr>
                  <w:jc w:val="right"/>
                </w:pPr>
              </w:p>
            </w:tc>
          </w:tr>
        </w:sdtContent>
      </w:sdt>
      <w:tr w14:paraId="29F1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46168047d07447b6bd845849845604bb"/>
            <w:id w:val="-1418702501"/>
          </w:sdtPr>
          <w:sdtContent>
            <w:tc>
              <w:tcPr>
                <w:tcW w:w="1556" w:type="pct"/>
                <w:tcBorders>
                  <w:top w:val="single" w:color="auto" w:sz="4" w:space="0"/>
                  <w:left w:val="single" w:color="auto" w:sz="4" w:space="0"/>
                  <w:bottom w:val="single" w:color="auto" w:sz="4" w:space="0"/>
                  <w:right w:val="single" w:color="auto" w:sz="4" w:space="0"/>
                </w:tcBorders>
                <w:vAlign w:val="bottom"/>
              </w:tcPr>
              <w:p w14:paraId="2179D1F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sdtContent>
        </w:sdt>
        <w:tc>
          <w:tcPr>
            <w:tcW w:w="1707" w:type="pct"/>
            <w:tcBorders>
              <w:top w:val="single" w:color="auto" w:sz="4" w:space="0"/>
              <w:left w:val="single" w:color="auto" w:sz="4" w:space="0"/>
              <w:bottom w:val="single" w:color="auto" w:sz="4" w:space="0"/>
              <w:right w:val="single" w:color="auto" w:sz="4" w:space="0"/>
            </w:tcBorders>
            <w:vAlign w:val="center"/>
          </w:tcPr>
          <w:p w14:paraId="6DA11371">
            <w:pPr>
              <w:jc w:val="right"/>
            </w:pPr>
            <w:r>
              <w:rPr>
                <w:rFonts w:hint="eastAsia"/>
              </w:rPr>
              <w:t>2,506,688,830.87</w:t>
            </w:r>
          </w:p>
        </w:tc>
        <w:tc>
          <w:tcPr>
            <w:tcW w:w="1736" w:type="pct"/>
            <w:tcBorders>
              <w:top w:val="single" w:color="auto" w:sz="4" w:space="0"/>
              <w:left w:val="single" w:color="auto" w:sz="4" w:space="0"/>
              <w:bottom w:val="single" w:color="auto" w:sz="4" w:space="0"/>
              <w:right w:val="single" w:color="auto" w:sz="4" w:space="0"/>
            </w:tcBorders>
            <w:vAlign w:val="center"/>
          </w:tcPr>
          <w:p w14:paraId="1964E027">
            <w:pPr>
              <w:jc w:val="right"/>
            </w:pPr>
            <w:r>
              <w:rPr>
                <w:rFonts w:hint="eastAsia"/>
              </w:rPr>
              <w:t>2,469,944,889.62</w:t>
            </w:r>
          </w:p>
        </w:tc>
      </w:tr>
    </w:tbl>
    <w:p w14:paraId="13BBA949">
      <w:pPr>
        <w:rPr>
          <w:color w:val="000000" w:themeColor="text1"/>
          <w14:textFill>
            <w14:solidFill>
              <w14:schemeClr w14:val="tx1"/>
            </w14:solidFill>
          </w14:textFill>
        </w:rPr>
      </w:pPr>
    </w:p>
    <w:bookmarkEnd w:id="344"/>
    <w:p w14:paraId="1A225B88">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递延所得税资产和递延所得税负债的说明[双击切换]"/>
        <w:tag w:val="_GBC_06478ceb6b7447a791a4a5cbf8cc7e95"/>
        <w:id w:val="147469926"/>
        <w:placeholder>
          <w:docPart w:val="GBC22222222222222222222222222222"/>
        </w:placeholder>
      </w:sdtPr>
      <w:sdtEndPr>
        <w:rPr>
          <w:color w:val="000000" w:themeColor="text1"/>
          <w14:textFill>
            <w14:solidFill>
              <w14:schemeClr w14:val="tx1"/>
            </w14:solidFill>
          </w14:textFill>
        </w:rPr>
      </w:sdtEndPr>
      <w:sdtContent>
        <w:p w14:paraId="113023C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D2EFCD1">
      <w:pPr>
        <w:rPr>
          <w:color w:val="000000" w:themeColor="text1"/>
          <w14:textFill>
            <w14:solidFill>
              <w14:schemeClr w14:val="tx1"/>
            </w14:solidFill>
          </w14:textFill>
        </w:rPr>
        <w:sectPr>
          <w:pgSz w:w="11906" w:h="16838"/>
          <w:pgMar w:top="1525" w:right="1276" w:bottom="1440" w:left="1797" w:header="856" w:footer="992" w:gutter="0"/>
          <w:cols w:space="425" w:num="1"/>
          <w:docGrid w:linePitch="312" w:charSpace="0"/>
        </w:sectPr>
      </w:pPr>
    </w:p>
    <w:p w14:paraId="6EDC902F">
      <w:pPr>
        <w:pStyle w:val="57"/>
        <w:numPr>
          <w:ilvl w:val="0"/>
          <w:numId w:val="54"/>
        </w:numPr>
        <w:rPr>
          <w:color w:val="000000" w:themeColor="text1"/>
          <w:szCs w:val="21"/>
          <w14:textFill>
            <w14:solidFill>
              <w14:schemeClr w14:val="tx1"/>
            </w14:solidFill>
          </w14:textFill>
        </w:rPr>
      </w:pPr>
      <w:bookmarkStart w:id="345" w:name="_Hlk10535308"/>
      <w:r>
        <w:rPr>
          <w:color w:val="000000" w:themeColor="text1"/>
          <w:szCs w:val="21"/>
          <w14:textFill>
            <w14:solidFill>
              <w14:schemeClr w14:val="tx1"/>
            </w14:solidFill>
          </w14:textFill>
        </w:rPr>
        <w:t>其他非流动资产</w:t>
      </w:r>
    </w:p>
    <w:sdt>
      <w:sdtPr>
        <w:rPr>
          <w:color w:val="000000" w:themeColor="text1"/>
          <w14:textFill>
            <w14:solidFill>
              <w14:schemeClr w14:val="tx1"/>
            </w14:solidFill>
          </w14:textFill>
        </w:rPr>
        <w:alias w:val="是否适用：其他非流动资产[双击切换]"/>
        <w:tag w:val="_GBC_227882aeaa9b4aa98d6af8bcac2af7a5"/>
        <w:id w:val="147451586"/>
        <w:placeholder>
          <w:docPart w:val="GBC22222222222222222222222222222"/>
        </w:placeholder>
      </w:sdtPr>
      <w:sdtEndPr>
        <w:rPr>
          <w:color w:val="000000" w:themeColor="text1"/>
          <w14:textFill>
            <w14:solidFill>
              <w14:schemeClr w14:val="tx1"/>
            </w14:solidFill>
          </w14:textFill>
        </w:rPr>
      </w:sdtEndPr>
      <w:sdtContent>
        <w:p w14:paraId="4680046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EA89EC4">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color w:val="000000" w:themeColor="text1"/>
            <w14:textFill>
              <w14:solidFill>
                <w14:schemeClr w14:val="tx1"/>
              </w14:solidFill>
            </w14:textFill>
          </w:rPr>
          <w:alias w:val="单位：财务附注：其他非流动资产"/>
          <w:tag w:val="_GBC_5fd172528c7e4c4c8619b250ae90cdb4"/>
          <w:id w:val="1474571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其他非流动资产"/>
          <w:tag w:val="_GBC_4cd5c26035ba4f7384dee597c98f0cb6"/>
          <w:id w:val="1474739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2169"/>
        <w:gridCol w:w="1983"/>
        <w:gridCol w:w="1983"/>
        <w:gridCol w:w="1988"/>
        <w:gridCol w:w="1983"/>
        <w:gridCol w:w="1983"/>
        <w:gridCol w:w="1991"/>
      </w:tblGrid>
      <w:tr w14:paraId="7277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a0072e7adb6c49bb95cec91e0b7ec491"/>
            <w:id w:val="147454869"/>
          </w:sdtPr>
          <w:sdtContent>
            <w:tc>
              <w:tcPr>
                <w:tcW w:w="770" w:type="pct"/>
                <w:vMerge w:val="restart"/>
                <w:vAlign w:val="center"/>
              </w:tcPr>
              <w:p w14:paraId="09A67B6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9557fd4b49c84b3db8c9ae69c7346562"/>
            <w:id w:val="147465021"/>
          </w:sdtPr>
          <w:sdtContent>
            <w:tc>
              <w:tcPr>
                <w:tcW w:w="2114" w:type="pct"/>
                <w:gridSpan w:val="3"/>
                <w:vAlign w:val="center"/>
              </w:tcPr>
              <w:p w14:paraId="15301ED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dad73a13c6c344aaa0bec642175f96c3"/>
            <w:id w:val="147451314"/>
          </w:sdtPr>
          <w:sdtContent>
            <w:tc>
              <w:tcPr>
                <w:tcW w:w="2115" w:type="pct"/>
                <w:gridSpan w:val="3"/>
                <w:vAlign w:val="center"/>
              </w:tcPr>
              <w:p w14:paraId="1450B48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677BB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70" w:type="pct"/>
            <w:vMerge w:val="continue"/>
            <w:vAlign w:val="center"/>
          </w:tcPr>
          <w:p w14:paraId="49CA2FBA">
            <w:pPr>
              <w:jc w:val="center"/>
              <w:rPr>
                <w:color w:val="000000" w:themeColor="text1"/>
                <w14:textFill>
                  <w14:solidFill>
                    <w14:schemeClr w14:val="tx1"/>
                  </w14:solidFill>
                </w14:textFill>
              </w:rPr>
            </w:pPr>
          </w:p>
        </w:tc>
        <w:tc>
          <w:tcPr>
            <w:tcW w:w="704" w:type="pct"/>
            <w:vAlign w:val="center"/>
          </w:tcPr>
          <w:sdt>
            <w:sdtPr>
              <w:tag w:val="_PLD_93d316b5ed8d45ea95cfce051b0f999d"/>
              <w:id w:val="147471898"/>
            </w:sdtPr>
            <w:sdtContent>
              <w:p w14:paraId="328905C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账面余额</w:t>
                </w:r>
              </w:p>
            </w:sdtContent>
          </w:sdt>
        </w:tc>
        <w:tc>
          <w:tcPr>
            <w:tcW w:w="704" w:type="pct"/>
            <w:vAlign w:val="center"/>
          </w:tcPr>
          <w:sdt>
            <w:sdtPr>
              <w:tag w:val="_PLD_ce9573e9b47f4859912e77c530974f87"/>
              <w:id w:val="147464541"/>
            </w:sdtPr>
            <w:sdtContent>
              <w:p w14:paraId="36646546">
                <w:pPr>
                  <w:jc w:val="center"/>
                  <w:rPr>
                    <w:color w:val="000000" w:themeColor="text1"/>
                    <w14:textFill>
                      <w14:solidFill>
                        <w14:schemeClr w14:val="tx1"/>
                      </w14:solidFill>
                    </w14:textFill>
                  </w:rPr>
                </w:pPr>
                <w:r>
                  <w:rPr>
                    <w:color w:val="000000" w:themeColor="text1"/>
                    <w14:textFill>
                      <w14:solidFill>
                        <w14:schemeClr w14:val="tx1"/>
                      </w14:solidFill>
                    </w14:textFill>
                  </w:rPr>
                  <w:t>减值准备</w:t>
                </w:r>
              </w:p>
            </w:sdtContent>
          </w:sdt>
        </w:tc>
        <w:tc>
          <w:tcPr>
            <w:tcW w:w="705" w:type="pct"/>
            <w:vAlign w:val="center"/>
          </w:tcPr>
          <w:sdt>
            <w:sdtPr>
              <w:tag w:val="_PLD_4b72c2cb7df84a3a9384f2eaa1acaf3a"/>
              <w:id w:val="147459762"/>
            </w:sdtPr>
            <w:sdtContent>
              <w:p w14:paraId="484A7AC7">
                <w:pPr>
                  <w:jc w:val="center"/>
                  <w:rPr>
                    <w:color w:val="000000" w:themeColor="text1"/>
                    <w14:textFill>
                      <w14:solidFill>
                        <w14:schemeClr w14:val="tx1"/>
                      </w14:solidFill>
                    </w14:textFill>
                  </w:rPr>
                </w:pPr>
                <w:r>
                  <w:rPr>
                    <w:color w:val="000000" w:themeColor="text1"/>
                    <w14:textFill>
                      <w14:solidFill>
                        <w14:schemeClr w14:val="tx1"/>
                      </w14:solidFill>
                    </w14:textFill>
                  </w:rPr>
                  <w:t>账面价值</w:t>
                </w:r>
              </w:p>
            </w:sdtContent>
          </w:sdt>
        </w:tc>
        <w:tc>
          <w:tcPr>
            <w:tcW w:w="704" w:type="pct"/>
            <w:vAlign w:val="center"/>
          </w:tcPr>
          <w:sdt>
            <w:sdtPr>
              <w:tag w:val="_PLD_31abd03025c54702bba8f28fbcd435be"/>
              <w:id w:val="147456941"/>
            </w:sdtPr>
            <w:sdtContent>
              <w:p w14:paraId="1637E0E7">
                <w:pPr>
                  <w:jc w:val="center"/>
                  <w:rPr>
                    <w:color w:val="000000" w:themeColor="text1"/>
                    <w14:textFill>
                      <w14:solidFill>
                        <w14:schemeClr w14:val="tx1"/>
                      </w14:solidFill>
                    </w14:textFill>
                  </w:rPr>
                </w:pPr>
                <w:r>
                  <w:rPr>
                    <w:color w:val="000000" w:themeColor="text1"/>
                    <w14:textFill>
                      <w14:solidFill>
                        <w14:schemeClr w14:val="tx1"/>
                      </w14:solidFill>
                    </w14:textFill>
                  </w:rPr>
                  <w:t>账面余额</w:t>
                </w:r>
              </w:p>
            </w:sdtContent>
          </w:sdt>
        </w:tc>
        <w:tc>
          <w:tcPr>
            <w:tcW w:w="704" w:type="pct"/>
            <w:vAlign w:val="center"/>
          </w:tcPr>
          <w:sdt>
            <w:sdtPr>
              <w:tag w:val="_PLD_5650816a035d4b9d999e9f87d1506d3b"/>
              <w:id w:val="147465947"/>
            </w:sdtPr>
            <w:sdtContent>
              <w:p w14:paraId="7679D545">
                <w:pPr>
                  <w:jc w:val="center"/>
                  <w:rPr>
                    <w:color w:val="000000" w:themeColor="text1"/>
                    <w14:textFill>
                      <w14:solidFill>
                        <w14:schemeClr w14:val="tx1"/>
                      </w14:solidFill>
                    </w14:textFill>
                  </w:rPr>
                </w:pPr>
                <w:r>
                  <w:rPr>
                    <w:color w:val="000000" w:themeColor="text1"/>
                    <w14:textFill>
                      <w14:solidFill>
                        <w14:schemeClr w14:val="tx1"/>
                      </w14:solidFill>
                    </w14:textFill>
                  </w:rPr>
                  <w:t>减值准备</w:t>
                </w:r>
              </w:p>
            </w:sdtContent>
          </w:sdt>
        </w:tc>
        <w:tc>
          <w:tcPr>
            <w:tcW w:w="706" w:type="pct"/>
            <w:vAlign w:val="center"/>
          </w:tcPr>
          <w:sdt>
            <w:sdtPr>
              <w:tag w:val="_PLD_76b67d2d1c1543c0b22ec33e5ae8e28a"/>
              <w:id w:val="147475396"/>
            </w:sdtPr>
            <w:sdtContent>
              <w:p w14:paraId="0ED745C6">
                <w:pPr>
                  <w:jc w:val="center"/>
                  <w:rPr>
                    <w:color w:val="000000" w:themeColor="text1"/>
                    <w14:textFill>
                      <w14:solidFill>
                        <w14:schemeClr w14:val="tx1"/>
                      </w14:solidFill>
                    </w14:textFill>
                  </w:rPr>
                </w:pPr>
                <w:r>
                  <w:rPr>
                    <w:color w:val="000000" w:themeColor="text1"/>
                    <w14:textFill>
                      <w14:solidFill>
                        <w14:schemeClr w14:val="tx1"/>
                      </w14:solidFill>
                    </w14:textFill>
                  </w:rPr>
                  <w:t>账面价值</w:t>
                </w:r>
              </w:p>
            </w:sdtContent>
          </w:sdt>
        </w:tc>
      </w:tr>
      <w:tr w14:paraId="2A29A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70" w:type="pct"/>
            <w:vAlign w:val="center"/>
          </w:tcPr>
          <w:p w14:paraId="1AE1F0C1">
            <w:pPr>
              <w:jc w:val="both"/>
              <w:textAlignment w:val="center"/>
              <w:rPr>
                <w:rFonts w:cs="Times New Roman"/>
                <w:color w:val="000000" w:themeColor="text1"/>
                <w14:textFill>
                  <w14:solidFill>
                    <w14:schemeClr w14:val="tx1"/>
                  </w14:solidFill>
                </w14:textFill>
              </w:rPr>
            </w:pPr>
            <w:r>
              <w:rPr>
                <w:rFonts w:cs="Times New Roman"/>
                <w:color w:val="000000"/>
                <w:lang w:bidi="ar"/>
              </w:rPr>
              <w:t>预付土地出让金</w:t>
            </w:r>
          </w:p>
        </w:tc>
        <w:tc>
          <w:tcPr>
            <w:tcW w:w="704" w:type="pct"/>
            <w:vAlign w:val="center"/>
          </w:tcPr>
          <w:p w14:paraId="4CA5B506">
            <w:pPr>
              <w:jc w:val="right"/>
              <w:textAlignment w:val="center"/>
              <w:rPr>
                <w:rFonts w:cs="Times New Roman"/>
              </w:rPr>
            </w:pPr>
            <w:r>
              <w:rPr>
                <w:rFonts w:cs="Times New Roman"/>
                <w:color w:val="000000"/>
              </w:rPr>
              <w:t>4,226,176.00</w:t>
            </w:r>
          </w:p>
        </w:tc>
        <w:tc>
          <w:tcPr>
            <w:tcW w:w="704" w:type="pct"/>
            <w:vAlign w:val="center"/>
          </w:tcPr>
          <w:p w14:paraId="0572BA02">
            <w:pPr>
              <w:jc w:val="right"/>
              <w:rPr>
                <w:rFonts w:cs="Times New Roman"/>
              </w:rPr>
            </w:pPr>
          </w:p>
        </w:tc>
        <w:tc>
          <w:tcPr>
            <w:tcW w:w="705" w:type="pct"/>
            <w:vAlign w:val="center"/>
          </w:tcPr>
          <w:p w14:paraId="04818102">
            <w:pPr>
              <w:jc w:val="right"/>
              <w:textAlignment w:val="center"/>
              <w:rPr>
                <w:rFonts w:cs="Times New Roman"/>
              </w:rPr>
            </w:pPr>
            <w:r>
              <w:rPr>
                <w:rFonts w:cs="Times New Roman"/>
                <w:color w:val="000000"/>
              </w:rPr>
              <w:t>4,226,176.00</w:t>
            </w:r>
          </w:p>
        </w:tc>
        <w:tc>
          <w:tcPr>
            <w:tcW w:w="704" w:type="pct"/>
            <w:vAlign w:val="center"/>
          </w:tcPr>
          <w:p w14:paraId="785FF418">
            <w:pPr>
              <w:jc w:val="right"/>
              <w:textAlignment w:val="center"/>
              <w:rPr>
                <w:rFonts w:cs="Times New Roman"/>
              </w:rPr>
            </w:pPr>
            <w:r>
              <w:rPr>
                <w:rFonts w:cs="Times New Roman"/>
                <w:color w:val="000000"/>
              </w:rPr>
              <w:t>4,226,176.00</w:t>
            </w:r>
          </w:p>
        </w:tc>
        <w:tc>
          <w:tcPr>
            <w:tcW w:w="704" w:type="pct"/>
            <w:vAlign w:val="center"/>
          </w:tcPr>
          <w:p w14:paraId="5F3A6636">
            <w:pPr>
              <w:jc w:val="right"/>
              <w:rPr>
                <w:rFonts w:cs="Times New Roman"/>
              </w:rPr>
            </w:pPr>
          </w:p>
        </w:tc>
        <w:tc>
          <w:tcPr>
            <w:tcW w:w="706" w:type="pct"/>
            <w:vAlign w:val="center"/>
          </w:tcPr>
          <w:p w14:paraId="032E7F36">
            <w:pPr>
              <w:jc w:val="right"/>
              <w:textAlignment w:val="center"/>
              <w:rPr>
                <w:rFonts w:cs="Times New Roman"/>
              </w:rPr>
            </w:pPr>
            <w:r>
              <w:rPr>
                <w:rFonts w:cs="Times New Roman"/>
                <w:color w:val="000000"/>
              </w:rPr>
              <w:t>4,226,176.00</w:t>
            </w:r>
          </w:p>
        </w:tc>
      </w:tr>
      <w:tr w14:paraId="314E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70" w:type="pct"/>
            <w:vAlign w:val="center"/>
          </w:tcPr>
          <w:p w14:paraId="68BED029">
            <w:pPr>
              <w:jc w:val="both"/>
              <w:textAlignment w:val="center"/>
              <w:rPr>
                <w:rFonts w:cs="Times New Roman"/>
                <w:color w:val="000000" w:themeColor="text1"/>
                <w14:textFill>
                  <w14:solidFill>
                    <w14:schemeClr w14:val="tx1"/>
                  </w14:solidFill>
                </w14:textFill>
              </w:rPr>
            </w:pPr>
            <w:r>
              <w:rPr>
                <w:rFonts w:cs="Times New Roman"/>
                <w:color w:val="000000"/>
                <w:lang w:bidi="ar"/>
              </w:rPr>
              <w:t>预付工程、设备款</w:t>
            </w:r>
          </w:p>
        </w:tc>
        <w:tc>
          <w:tcPr>
            <w:tcW w:w="704" w:type="pct"/>
            <w:vAlign w:val="center"/>
          </w:tcPr>
          <w:p w14:paraId="49288A81">
            <w:pPr>
              <w:jc w:val="right"/>
              <w:textAlignment w:val="center"/>
              <w:rPr>
                <w:rFonts w:cs="Times New Roman"/>
              </w:rPr>
            </w:pPr>
            <w:r>
              <w:rPr>
                <w:rFonts w:cs="Times New Roman"/>
                <w:color w:val="000000"/>
              </w:rPr>
              <w:t>118,444,315.42</w:t>
            </w:r>
          </w:p>
        </w:tc>
        <w:tc>
          <w:tcPr>
            <w:tcW w:w="704" w:type="pct"/>
            <w:vAlign w:val="center"/>
          </w:tcPr>
          <w:p w14:paraId="3C322BC6">
            <w:pPr>
              <w:jc w:val="right"/>
              <w:rPr>
                <w:rFonts w:cs="Times New Roman"/>
              </w:rPr>
            </w:pPr>
          </w:p>
        </w:tc>
        <w:tc>
          <w:tcPr>
            <w:tcW w:w="705" w:type="pct"/>
            <w:vAlign w:val="center"/>
          </w:tcPr>
          <w:p w14:paraId="64075AA8">
            <w:pPr>
              <w:jc w:val="right"/>
              <w:textAlignment w:val="center"/>
              <w:rPr>
                <w:rFonts w:cs="Times New Roman"/>
              </w:rPr>
            </w:pPr>
            <w:r>
              <w:rPr>
                <w:rFonts w:cs="Times New Roman"/>
                <w:color w:val="000000"/>
              </w:rPr>
              <w:t>118,444,315.42</w:t>
            </w:r>
          </w:p>
        </w:tc>
        <w:tc>
          <w:tcPr>
            <w:tcW w:w="704" w:type="pct"/>
            <w:vAlign w:val="center"/>
          </w:tcPr>
          <w:p w14:paraId="4200EB8E">
            <w:pPr>
              <w:jc w:val="right"/>
              <w:textAlignment w:val="center"/>
              <w:rPr>
                <w:rFonts w:cs="Times New Roman"/>
              </w:rPr>
            </w:pPr>
            <w:r>
              <w:rPr>
                <w:rFonts w:cs="Times New Roman"/>
                <w:color w:val="000000"/>
              </w:rPr>
              <w:t>71,265,929.05</w:t>
            </w:r>
          </w:p>
        </w:tc>
        <w:tc>
          <w:tcPr>
            <w:tcW w:w="704" w:type="pct"/>
            <w:vAlign w:val="center"/>
          </w:tcPr>
          <w:p w14:paraId="2C43D825">
            <w:pPr>
              <w:jc w:val="right"/>
              <w:rPr>
                <w:rFonts w:cs="Times New Roman"/>
              </w:rPr>
            </w:pPr>
          </w:p>
        </w:tc>
        <w:tc>
          <w:tcPr>
            <w:tcW w:w="706" w:type="pct"/>
            <w:vAlign w:val="center"/>
          </w:tcPr>
          <w:p w14:paraId="70340C00">
            <w:pPr>
              <w:jc w:val="right"/>
              <w:textAlignment w:val="center"/>
              <w:rPr>
                <w:rFonts w:cs="Times New Roman"/>
              </w:rPr>
            </w:pPr>
            <w:r>
              <w:rPr>
                <w:rFonts w:cs="Times New Roman"/>
                <w:color w:val="000000"/>
              </w:rPr>
              <w:t>71,265,929.05</w:t>
            </w:r>
          </w:p>
        </w:tc>
      </w:tr>
      <w:tr w14:paraId="69D0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70" w:type="pct"/>
            <w:vAlign w:val="center"/>
          </w:tcPr>
          <w:p w14:paraId="3FD870ED">
            <w:pPr>
              <w:jc w:val="both"/>
              <w:textAlignment w:val="center"/>
              <w:rPr>
                <w:rFonts w:cs="Times New Roman"/>
                <w:color w:val="000000" w:themeColor="text1"/>
                <w14:textFill>
                  <w14:solidFill>
                    <w14:schemeClr w14:val="tx1"/>
                  </w14:solidFill>
                </w14:textFill>
              </w:rPr>
            </w:pPr>
            <w:r>
              <w:rPr>
                <w:rFonts w:cs="Times New Roman"/>
                <w:color w:val="000000"/>
                <w:lang w:bidi="ar"/>
              </w:rPr>
              <w:t>兰州土地事项</w:t>
            </w:r>
          </w:p>
        </w:tc>
        <w:tc>
          <w:tcPr>
            <w:tcW w:w="704" w:type="pct"/>
            <w:vAlign w:val="center"/>
          </w:tcPr>
          <w:p w14:paraId="7A2030A2">
            <w:pPr>
              <w:jc w:val="right"/>
              <w:textAlignment w:val="center"/>
              <w:rPr>
                <w:rFonts w:cs="Times New Roman"/>
              </w:rPr>
            </w:pPr>
            <w:r>
              <w:rPr>
                <w:rFonts w:cs="Times New Roman"/>
                <w:color w:val="000000"/>
              </w:rPr>
              <w:t>865,000,000.00</w:t>
            </w:r>
          </w:p>
        </w:tc>
        <w:tc>
          <w:tcPr>
            <w:tcW w:w="704" w:type="pct"/>
            <w:vAlign w:val="center"/>
          </w:tcPr>
          <w:p w14:paraId="799D4D17">
            <w:pPr>
              <w:jc w:val="right"/>
              <w:textAlignment w:val="center"/>
              <w:rPr>
                <w:rFonts w:cs="Times New Roman"/>
              </w:rPr>
            </w:pPr>
            <w:r>
              <w:rPr>
                <w:rFonts w:cs="Times New Roman"/>
                <w:color w:val="000000"/>
              </w:rPr>
              <w:t>142,541,927.91</w:t>
            </w:r>
          </w:p>
        </w:tc>
        <w:tc>
          <w:tcPr>
            <w:tcW w:w="705" w:type="pct"/>
            <w:vAlign w:val="center"/>
          </w:tcPr>
          <w:p w14:paraId="278AB576">
            <w:pPr>
              <w:jc w:val="right"/>
              <w:textAlignment w:val="center"/>
              <w:rPr>
                <w:rFonts w:cs="Times New Roman"/>
              </w:rPr>
            </w:pPr>
            <w:r>
              <w:rPr>
                <w:rFonts w:cs="Times New Roman"/>
                <w:color w:val="000000"/>
              </w:rPr>
              <w:t>722,458,072.09</w:t>
            </w:r>
          </w:p>
        </w:tc>
        <w:tc>
          <w:tcPr>
            <w:tcW w:w="704" w:type="pct"/>
            <w:vAlign w:val="center"/>
          </w:tcPr>
          <w:p w14:paraId="792AA251">
            <w:pPr>
              <w:jc w:val="right"/>
              <w:textAlignment w:val="center"/>
              <w:rPr>
                <w:rFonts w:cs="Times New Roman"/>
              </w:rPr>
            </w:pPr>
            <w:r>
              <w:rPr>
                <w:rFonts w:cs="Times New Roman"/>
                <w:color w:val="000000"/>
              </w:rPr>
              <w:t>865,000,000.00</w:t>
            </w:r>
          </w:p>
        </w:tc>
        <w:tc>
          <w:tcPr>
            <w:tcW w:w="704" w:type="pct"/>
            <w:vAlign w:val="center"/>
          </w:tcPr>
          <w:p w14:paraId="0F00132E">
            <w:pPr>
              <w:jc w:val="right"/>
              <w:textAlignment w:val="center"/>
              <w:rPr>
                <w:rFonts w:cs="Times New Roman"/>
              </w:rPr>
            </w:pPr>
            <w:r>
              <w:rPr>
                <w:rFonts w:cs="Times New Roman"/>
                <w:color w:val="000000"/>
              </w:rPr>
              <w:t>142,541,927.91</w:t>
            </w:r>
          </w:p>
        </w:tc>
        <w:tc>
          <w:tcPr>
            <w:tcW w:w="706" w:type="pct"/>
            <w:vAlign w:val="center"/>
          </w:tcPr>
          <w:p w14:paraId="4B97FEC5">
            <w:pPr>
              <w:jc w:val="right"/>
              <w:textAlignment w:val="center"/>
              <w:rPr>
                <w:rFonts w:cs="Times New Roman"/>
              </w:rPr>
            </w:pPr>
            <w:r>
              <w:rPr>
                <w:rFonts w:cs="Times New Roman"/>
                <w:color w:val="000000"/>
              </w:rPr>
              <w:t>722,458,072.09</w:t>
            </w:r>
          </w:p>
        </w:tc>
      </w:tr>
      <w:tr w14:paraId="4B7E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70" w:type="pct"/>
            <w:vAlign w:val="center"/>
          </w:tcPr>
          <w:p w14:paraId="4AC05F0C">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704" w:type="pct"/>
            <w:vAlign w:val="center"/>
          </w:tcPr>
          <w:p w14:paraId="50A12091">
            <w:pPr>
              <w:jc w:val="right"/>
              <w:textAlignment w:val="center"/>
              <w:rPr>
                <w:rFonts w:cs="Times New Roman"/>
              </w:rPr>
            </w:pPr>
            <w:r>
              <w:rPr>
                <w:rFonts w:cs="Times New Roman"/>
                <w:color w:val="000000"/>
              </w:rPr>
              <w:t>987,670,491.42</w:t>
            </w:r>
          </w:p>
        </w:tc>
        <w:tc>
          <w:tcPr>
            <w:tcW w:w="704" w:type="pct"/>
            <w:vAlign w:val="center"/>
          </w:tcPr>
          <w:p w14:paraId="6B7DE115">
            <w:pPr>
              <w:jc w:val="right"/>
              <w:textAlignment w:val="center"/>
              <w:rPr>
                <w:rFonts w:cs="Times New Roman"/>
              </w:rPr>
            </w:pPr>
            <w:r>
              <w:rPr>
                <w:rFonts w:cs="Times New Roman"/>
                <w:color w:val="000000"/>
              </w:rPr>
              <w:t>142,541,927.91</w:t>
            </w:r>
          </w:p>
        </w:tc>
        <w:tc>
          <w:tcPr>
            <w:tcW w:w="705" w:type="pct"/>
            <w:vAlign w:val="center"/>
          </w:tcPr>
          <w:p w14:paraId="40895DE9">
            <w:pPr>
              <w:jc w:val="right"/>
              <w:textAlignment w:val="center"/>
              <w:rPr>
                <w:rFonts w:cs="Times New Roman"/>
              </w:rPr>
            </w:pPr>
            <w:r>
              <w:rPr>
                <w:rFonts w:cs="Times New Roman"/>
                <w:color w:val="000000"/>
              </w:rPr>
              <w:t>845,128,563.51</w:t>
            </w:r>
          </w:p>
        </w:tc>
        <w:tc>
          <w:tcPr>
            <w:tcW w:w="704" w:type="pct"/>
            <w:vAlign w:val="center"/>
          </w:tcPr>
          <w:p w14:paraId="780803FF">
            <w:pPr>
              <w:jc w:val="right"/>
              <w:textAlignment w:val="center"/>
              <w:rPr>
                <w:rFonts w:cs="Times New Roman"/>
              </w:rPr>
            </w:pPr>
            <w:r>
              <w:rPr>
                <w:rFonts w:cs="Times New Roman"/>
                <w:color w:val="000000"/>
              </w:rPr>
              <w:t>940,492,105.05</w:t>
            </w:r>
          </w:p>
        </w:tc>
        <w:tc>
          <w:tcPr>
            <w:tcW w:w="704" w:type="pct"/>
            <w:vAlign w:val="center"/>
          </w:tcPr>
          <w:p w14:paraId="6502EBBF">
            <w:pPr>
              <w:jc w:val="right"/>
              <w:textAlignment w:val="center"/>
              <w:rPr>
                <w:rFonts w:cs="Times New Roman"/>
              </w:rPr>
            </w:pPr>
            <w:r>
              <w:rPr>
                <w:rFonts w:cs="Times New Roman"/>
                <w:color w:val="000000"/>
              </w:rPr>
              <w:t>142,541,927.91</w:t>
            </w:r>
          </w:p>
        </w:tc>
        <w:tc>
          <w:tcPr>
            <w:tcW w:w="706" w:type="pct"/>
            <w:vAlign w:val="center"/>
          </w:tcPr>
          <w:p w14:paraId="67A9C280">
            <w:pPr>
              <w:jc w:val="right"/>
              <w:textAlignment w:val="center"/>
              <w:rPr>
                <w:rFonts w:cs="Times New Roman"/>
              </w:rPr>
            </w:pPr>
            <w:r>
              <w:rPr>
                <w:rFonts w:cs="Times New Roman"/>
                <w:color w:val="000000"/>
              </w:rPr>
              <w:t>797,950,177.14</w:t>
            </w:r>
          </w:p>
        </w:tc>
      </w:tr>
    </w:tbl>
    <w:p w14:paraId="6513E843">
      <w:pPr>
        <w:rPr>
          <w:color w:val="000000" w:themeColor="text1"/>
          <w14:textFill>
            <w14:solidFill>
              <w14:schemeClr w14:val="tx1"/>
            </w14:solidFill>
          </w14:textFill>
        </w:rPr>
      </w:pPr>
      <w:r>
        <w:rPr>
          <w:rFonts w:cs="Times New Roman"/>
          <w:color w:val="000000" w:themeColor="text1"/>
          <w14:textFill>
            <w14:solidFill>
              <w14:schemeClr w14:val="tx1"/>
            </w14:solidFill>
          </w14:textFill>
        </w:rPr>
        <w:t>其他说明：</w:t>
      </w:r>
    </w:p>
    <w:p w14:paraId="268D7AC7">
      <w:pPr>
        <w:rPr>
          <w:color w:val="000000" w:themeColor="text1"/>
          <w14:textFill>
            <w14:solidFill>
              <w14:schemeClr w14:val="tx1"/>
            </w14:solidFill>
          </w14:textFill>
        </w:rPr>
      </w:pPr>
      <w:sdt>
        <w:sdtPr>
          <w:rPr>
            <w:color w:val="000000" w:themeColor="text1"/>
            <w14:textFill>
              <w14:solidFill>
                <w14:schemeClr w14:val="tx1"/>
              </w14:solidFill>
            </w14:textFill>
          </w:rPr>
          <w:alias w:val="其他长期资产的说明"/>
          <w:tag w:val="_GBC_c90d49970b64411f909938927f41ebe5"/>
          <w:id w:val="147469120"/>
          <w:placeholder>
            <w:docPart w:val="GBC22222222222222222222222222222"/>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无</w:t>
          </w:r>
        </w:sdtContent>
      </w:sdt>
    </w:p>
    <w:bookmarkEnd w:id="345"/>
    <w:p w14:paraId="10CE3FC1">
      <w:pPr>
        <w:pStyle w:val="57"/>
        <w:numPr>
          <w:ilvl w:val="0"/>
          <w:numId w:val="54"/>
        </w:num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所有权或使用权受限资产</w:t>
      </w:r>
    </w:p>
    <w:sdt>
      <w:sdtPr>
        <w:rPr>
          <w:color w:val="000000" w:themeColor="text1"/>
          <w14:textFill>
            <w14:solidFill>
              <w14:schemeClr w14:val="tx1"/>
            </w14:solidFill>
          </w14:textFill>
        </w:rPr>
        <w:alias w:val="是否适用：所有权或使用权受到限制的资产[双击切换]"/>
        <w:tag w:val="_GBC_006357d26b6d46ec8496596e5de014f0"/>
        <w:id w:val="1868095426"/>
      </w:sdtPr>
      <w:sdtEndPr>
        <w:rPr>
          <w:color w:val="000000" w:themeColor="text1"/>
          <w14:textFill>
            <w14:solidFill>
              <w14:schemeClr w14:val="tx1"/>
            </w14:solidFill>
          </w14:textFill>
        </w:rPr>
      </w:sdtEndPr>
      <w:sdtContent>
        <w:p w14:paraId="1C9CAF9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1116BF3D">
      <w:pPr>
        <w:pStyle w:val="50"/>
        <w:ind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财务附注：所有权或使用权受到限制的资产"/>
          <w:tag w:val="_GBC_a7102ff3db4e4d8a94bd9f34e41fd91f"/>
          <w:id w:val="1954290279"/>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财务附注：所有权或使用权受到限制的资产"/>
          <w:tag w:val="_GBC_95c4fec9be7647a5baa402b14dcb9f69"/>
          <w:id w:val="97888343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604"/>
        <w:gridCol w:w="1636"/>
        <w:gridCol w:w="1113"/>
        <w:gridCol w:w="1723"/>
        <w:gridCol w:w="1593"/>
        <w:gridCol w:w="1669"/>
        <w:gridCol w:w="1287"/>
        <w:gridCol w:w="1757"/>
      </w:tblGrid>
      <w:tr w14:paraId="6EE4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1faeb04f4bf14b349ad8c59d6667b0fb"/>
            <w:id w:val="2139212605"/>
          </w:sdtPr>
          <w:sdtEndPr>
            <w:rPr>
              <w:rFonts w:cs="Times New Roman"/>
            </w:rPr>
          </w:sdtEndPr>
          <w:sdtContent>
            <w:tc>
              <w:tcPr>
                <w:tcW w:w="1701" w:type="dxa"/>
                <w:vMerge w:val="restart"/>
                <w:vAlign w:val="center"/>
              </w:tcPr>
              <w:p w14:paraId="40C8FD8E">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c2f91c04994b44019d90769d6b563b17"/>
            <w:id w:val="1235047186"/>
          </w:sdtPr>
          <w:sdtEndPr>
            <w:rPr>
              <w:rFonts w:cs="Times New Roman"/>
            </w:rPr>
          </w:sdtEndPr>
          <w:sdtContent>
            <w:tc>
              <w:tcPr>
                <w:tcW w:w="6076" w:type="dxa"/>
                <w:gridSpan w:val="4"/>
                <w:vAlign w:val="center"/>
              </w:tcPr>
              <w:p w14:paraId="49445FF8">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w:t>
                </w:r>
              </w:p>
            </w:tc>
          </w:sdtContent>
        </w:sdt>
        <w:sdt>
          <w:sdtPr>
            <w:rPr>
              <w:rFonts w:cs="Times New Roman"/>
            </w:rPr>
            <w:tag w:val="_PLD_a4db33e8a01e48af856e896d9a21aa2b"/>
            <w:id w:val="483674951"/>
          </w:sdtPr>
          <w:sdtEndPr>
            <w:rPr>
              <w:rFonts w:cs="Times New Roman"/>
            </w:rPr>
          </w:sdtEndPr>
          <w:sdtContent>
            <w:tc>
              <w:tcPr>
                <w:tcW w:w="6306" w:type="dxa"/>
                <w:gridSpan w:val="4"/>
                <w:vAlign w:val="center"/>
              </w:tcPr>
              <w:p w14:paraId="57F559AD">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w:t>
                </w:r>
              </w:p>
            </w:tc>
          </w:sdtContent>
        </w:sdt>
      </w:tr>
      <w:tr w14:paraId="0E7B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701" w:type="dxa"/>
            <w:vMerge w:val="continue"/>
            <w:vAlign w:val="center"/>
          </w:tcPr>
          <w:p w14:paraId="60489F55">
            <w:pPr>
              <w:widowControl w:val="0"/>
              <w:jc w:val="center"/>
              <w:rPr>
                <w:rFonts w:cs="Times New Roman"/>
                <w:color w:val="000000" w:themeColor="text1"/>
                <w14:textFill>
                  <w14:solidFill>
                    <w14:schemeClr w14:val="tx1"/>
                  </w14:solidFill>
                </w14:textFill>
              </w:rPr>
            </w:pPr>
          </w:p>
        </w:tc>
        <w:sdt>
          <w:sdtPr>
            <w:rPr>
              <w:rFonts w:cs="Times New Roman"/>
            </w:rPr>
            <w:tag w:val="_PLD_4ba4c960e2ab4b31a1704a41594547f5"/>
            <w:id w:val="667762832"/>
          </w:sdtPr>
          <w:sdtEndPr>
            <w:rPr>
              <w:rFonts w:cs="Times New Roman"/>
            </w:rPr>
          </w:sdtEndPr>
          <w:sdtContent>
            <w:tc>
              <w:tcPr>
                <w:tcW w:w="1604" w:type="dxa"/>
                <w:vAlign w:val="center"/>
              </w:tcPr>
              <w:p w14:paraId="4225863F">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账面余额</w:t>
                </w:r>
              </w:p>
            </w:tc>
          </w:sdtContent>
        </w:sdt>
        <w:sdt>
          <w:sdtPr>
            <w:rPr>
              <w:rFonts w:cs="Times New Roman"/>
            </w:rPr>
            <w:tag w:val="_PLD_73e1cd74d6d14f48b88c0ac46580634a"/>
            <w:id w:val="382915344"/>
          </w:sdtPr>
          <w:sdtEndPr>
            <w:rPr>
              <w:rFonts w:cs="Times New Roman"/>
            </w:rPr>
          </w:sdtEndPr>
          <w:sdtContent>
            <w:tc>
              <w:tcPr>
                <w:tcW w:w="1636" w:type="dxa"/>
                <w:vAlign w:val="center"/>
              </w:tcPr>
              <w:p w14:paraId="2F01EA68">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账面价值</w:t>
                </w:r>
              </w:p>
            </w:tc>
          </w:sdtContent>
        </w:sdt>
        <w:sdt>
          <w:sdtPr>
            <w:rPr>
              <w:rFonts w:cs="Times New Roman"/>
            </w:rPr>
            <w:tag w:val="_PLD_7e2b8d1452f04530979fb1795878387b"/>
            <w:id w:val="2071617621"/>
          </w:sdtPr>
          <w:sdtEndPr>
            <w:rPr>
              <w:rFonts w:cs="Times New Roman"/>
            </w:rPr>
          </w:sdtEndPr>
          <w:sdtContent>
            <w:tc>
              <w:tcPr>
                <w:tcW w:w="1113" w:type="dxa"/>
                <w:vAlign w:val="center"/>
              </w:tcPr>
              <w:p w14:paraId="5BF6BB10">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受限类型</w:t>
                </w:r>
              </w:p>
            </w:tc>
          </w:sdtContent>
        </w:sdt>
        <w:sdt>
          <w:sdtPr>
            <w:rPr>
              <w:rFonts w:cs="Times New Roman"/>
            </w:rPr>
            <w:tag w:val="_PLD_85649273a58f4daebca471b337c689b7"/>
            <w:id w:val="-257835027"/>
          </w:sdtPr>
          <w:sdtEndPr>
            <w:rPr>
              <w:rFonts w:cs="Times New Roman"/>
            </w:rPr>
          </w:sdtEndPr>
          <w:sdtContent>
            <w:tc>
              <w:tcPr>
                <w:tcW w:w="1723" w:type="dxa"/>
                <w:vAlign w:val="center"/>
              </w:tcPr>
              <w:p w14:paraId="25FEFA3E">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受限情况</w:t>
                </w:r>
              </w:p>
            </w:tc>
          </w:sdtContent>
        </w:sdt>
        <w:sdt>
          <w:sdtPr>
            <w:rPr>
              <w:rFonts w:cs="Times New Roman"/>
            </w:rPr>
            <w:tag w:val="_PLD_185f68e2333346e5b0c53a9ec276e404"/>
            <w:id w:val="1192419590"/>
          </w:sdtPr>
          <w:sdtEndPr>
            <w:rPr>
              <w:rFonts w:cs="Times New Roman"/>
            </w:rPr>
          </w:sdtEndPr>
          <w:sdtContent>
            <w:tc>
              <w:tcPr>
                <w:tcW w:w="1593" w:type="dxa"/>
                <w:vAlign w:val="center"/>
              </w:tcPr>
              <w:p w14:paraId="53D0A7D0">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账面余额</w:t>
                </w:r>
              </w:p>
            </w:tc>
          </w:sdtContent>
        </w:sdt>
        <w:sdt>
          <w:sdtPr>
            <w:rPr>
              <w:rFonts w:cs="Times New Roman"/>
            </w:rPr>
            <w:tag w:val="_PLD_c92ffe9b652b42a095b39310603e580a"/>
            <w:id w:val="148487841"/>
          </w:sdtPr>
          <w:sdtEndPr>
            <w:rPr>
              <w:rFonts w:cs="Times New Roman"/>
            </w:rPr>
          </w:sdtEndPr>
          <w:sdtContent>
            <w:tc>
              <w:tcPr>
                <w:tcW w:w="1669" w:type="dxa"/>
                <w:vAlign w:val="center"/>
              </w:tcPr>
              <w:p w14:paraId="5D468452">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账面价值</w:t>
                </w:r>
              </w:p>
            </w:tc>
          </w:sdtContent>
        </w:sdt>
        <w:sdt>
          <w:sdtPr>
            <w:rPr>
              <w:rFonts w:cs="Times New Roman"/>
            </w:rPr>
            <w:tag w:val="_PLD_8acb0a1b50e14924933495ec38dd30e1"/>
            <w:id w:val="-2075276205"/>
          </w:sdtPr>
          <w:sdtEndPr>
            <w:rPr>
              <w:rFonts w:cs="Times New Roman"/>
            </w:rPr>
          </w:sdtEndPr>
          <w:sdtContent>
            <w:tc>
              <w:tcPr>
                <w:tcW w:w="1287" w:type="dxa"/>
                <w:vAlign w:val="center"/>
              </w:tcPr>
              <w:p w14:paraId="12B18B4F">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受限类型</w:t>
                </w:r>
              </w:p>
            </w:tc>
          </w:sdtContent>
        </w:sdt>
        <w:sdt>
          <w:sdtPr>
            <w:rPr>
              <w:rFonts w:cs="Times New Roman"/>
            </w:rPr>
            <w:tag w:val="_PLD_6297a0a81c884eab9519ec385b0b6dbe"/>
            <w:id w:val="-124544344"/>
          </w:sdtPr>
          <w:sdtEndPr>
            <w:rPr>
              <w:rFonts w:cs="Times New Roman"/>
            </w:rPr>
          </w:sdtEndPr>
          <w:sdtContent>
            <w:tc>
              <w:tcPr>
                <w:tcW w:w="1757" w:type="dxa"/>
                <w:vAlign w:val="center"/>
              </w:tcPr>
              <w:p w14:paraId="6CA0DB57">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受限情况</w:t>
                </w:r>
              </w:p>
            </w:tc>
          </w:sdtContent>
        </w:sdt>
      </w:tr>
      <w:tr w14:paraId="6E90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3a00013ba95449388856c598fec1142e"/>
            <w:id w:val="1861781213"/>
          </w:sdtPr>
          <w:sdtEndPr>
            <w:rPr>
              <w:rFonts w:cs="Times New Roman"/>
            </w:rPr>
          </w:sdtEndPr>
          <w:sdtContent>
            <w:tc>
              <w:tcPr>
                <w:tcW w:w="1701" w:type="dxa"/>
                <w:vAlign w:val="center"/>
              </w:tcPr>
              <w:p w14:paraId="613EF19F">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货币资金</w:t>
                </w:r>
              </w:p>
            </w:tc>
          </w:sdtContent>
        </w:sdt>
        <w:tc>
          <w:tcPr>
            <w:tcW w:w="1604" w:type="dxa"/>
            <w:vAlign w:val="center"/>
          </w:tcPr>
          <w:p w14:paraId="12C1B87E">
            <w:pPr>
              <w:widowControl w:val="0"/>
              <w:jc w:val="right"/>
              <w:rPr>
                <w:rFonts w:cs="Times New Roman"/>
              </w:rPr>
            </w:pPr>
            <w:r>
              <w:rPr>
                <w:rFonts w:cs="Times New Roman"/>
              </w:rPr>
              <w:t>183,950,074.32</w:t>
            </w:r>
          </w:p>
        </w:tc>
        <w:tc>
          <w:tcPr>
            <w:tcW w:w="1636" w:type="dxa"/>
            <w:vAlign w:val="center"/>
          </w:tcPr>
          <w:p w14:paraId="1B140D93">
            <w:pPr>
              <w:widowControl w:val="0"/>
              <w:jc w:val="right"/>
              <w:rPr>
                <w:rFonts w:cs="Times New Roman"/>
              </w:rPr>
            </w:pPr>
            <w:r>
              <w:rPr>
                <w:rFonts w:cs="Times New Roman"/>
              </w:rPr>
              <w:t>183,950,074.32</w:t>
            </w:r>
          </w:p>
        </w:tc>
        <w:sdt>
          <w:sdtPr>
            <w:rPr>
              <w:rFonts w:cs="Times New Roman"/>
              <w:color w:val="000000" w:themeColor="text1"/>
              <w14:textFill>
                <w14:solidFill>
                  <w14:schemeClr w14:val="tx1"/>
                </w14:solidFill>
              </w14:textFill>
            </w:rPr>
            <w:alias w:val="所有权或使用权受到限制的资产中货币资金受限类型"/>
            <w:tag w:val="_GBC_8cc22d65983f45c5b27d977237a92b9b"/>
            <w:id w:val="556899017"/>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rPr>
              <w:rFonts w:cs="Times New Roman"/>
              <w:color w:val="000000" w:themeColor="text1"/>
              <w14:textFill>
                <w14:solidFill>
                  <w14:schemeClr w14:val="tx1"/>
                </w14:solidFill>
              </w14:textFill>
            </w:rPr>
          </w:sdtEndPr>
          <w:sdtContent>
            <w:tc>
              <w:tcPr>
                <w:tcW w:w="1113" w:type="dxa"/>
                <w:vAlign w:val="center"/>
              </w:tcPr>
              <w:p w14:paraId="6564AB45">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w:t>
                </w:r>
              </w:p>
            </w:tc>
          </w:sdtContent>
        </w:sdt>
        <w:tc>
          <w:tcPr>
            <w:tcW w:w="1723" w:type="dxa"/>
            <w:vAlign w:val="center"/>
          </w:tcPr>
          <w:p w14:paraId="3585DBDF">
            <w:pPr>
              <w:widowControl w:val="0"/>
              <w:jc w:val="center"/>
              <w:rPr>
                <w:rFonts w:cs="Times New Roman"/>
              </w:rPr>
            </w:pPr>
            <w:r>
              <w:rPr>
                <w:rFonts w:cs="Times New Roman"/>
              </w:rPr>
              <w:t>详见“附注七注释1”</w:t>
            </w:r>
          </w:p>
        </w:tc>
        <w:tc>
          <w:tcPr>
            <w:tcW w:w="1593" w:type="dxa"/>
            <w:vAlign w:val="center"/>
          </w:tcPr>
          <w:p w14:paraId="574DCFCC">
            <w:pPr>
              <w:widowControl w:val="0"/>
              <w:jc w:val="right"/>
              <w:rPr>
                <w:rFonts w:cs="Times New Roman"/>
              </w:rPr>
            </w:pPr>
            <w:r>
              <w:rPr>
                <w:rFonts w:cs="Times New Roman"/>
              </w:rPr>
              <w:t>240,657,438.64</w:t>
            </w:r>
          </w:p>
        </w:tc>
        <w:tc>
          <w:tcPr>
            <w:tcW w:w="1669" w:type="dxa"/>
            <w:vAlign w:val="center"/>
          </w:tcPr>
          <w:p w14:paraId="7357B27D">
            <w:pPr>
              <w:widowControl w:val="0"/>
              <w:jc w:val="right"/>
              <w:rPr>
                <w:rFonts w:cs="Times New Roman"/>
              </w:rPr>
            </w:pPr>
            <w:r>
              <w:rPr>
                <w:rFonts w:cs="Times New Roman"/>
              </w:rPr>
              <w:t>240,657,438.64</w:t>
            </w:r>
          </w:p>
        </w:tc>
        <w:sdt>
          <w:sdtPr>
            <w:rPr>
              <w:rFonts w:cs="Times New Roman"/>
              <w:color w:val="000000" w:themeColor="text1"/>
              <w14:textFill>
                <w14:solidFill>
                  <w14:schemeClr w14:val="tx1"/>
                </w14:solidFill>
              </w14:textFill>
            </w:rPr>
            <w:alias w:val="所有权或使用权受到限制的资产中货币资金受限类型"/>
            <w:tag w:val="_GBC_688a2cf08119461992fafe5efc0252ae"/>
            <w:id w:val="2037543665"/>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rPr>
              <w:rFonts w:cs="Times New Roman"/>
              <w:color w:val="000000" w:themeColor="text1"/>
              <w14:textFill>
                <w14:solidFill>
                  <w14:schemeClr w14:val="tx1"/>
                </w14:solidFill>
              </w14:textFill>
            </w:rPr>
          </w:sdtEndPr>
          <w:sdtContent>
            <w:tc>
              <w:tcPr>
                <w:tcW w:w="1287" w:type="dxa"/>
                <w:vAlign w:val="center"/>
              </w:tcPr>
              <w:p w14:paraId="16EE8AB4">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w:t>
                </w:r>
              </w:p>
            </w:tc>
          </w:sdtContent>
        </w:sdt>
        <w:tc>
          <w:tcPr>
            <w:tcW w:w="1757" w:type="dxa"/>
            <w:vAlign w:val="center"/>
          </w:tcPr>
          <w:p w14:paraId="4F5ACC41">
            <w:pPr>
              <w:widowControl w:val="0"/>
              <w:jc w:val="center"/>
              <w:rPr>
                <w:rFonts w:cs="Times New Roman"/>
              </w:rPr>
            </w:pPr>
            <w:r>
              <w:rPr>
                <w:rFonts w:cs="Times New Roman"/>
              </w:rPr>
              <w:t>详见“附注七注释1”</w:t>
            </w:r>
          </w:p>
        </w:tc>
      </w:tr>
      <w:tr w14:paraId="6099A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4ba10dd2e3a8491fbc6003ce8ca32fe7"/>
            <w:id w:val="-817499547"/>
          </w:sdtPr>
          <w:sdtEndPr>
            <w:rPr>
              <w:rFonts w:cs="Times New Roman"/>
            </w:rPr>
          </w:sdtEndPr>
          <w:sdtContent>
            <w:tc>
              <w:tcPr>
                <w:tcW w:w="1701" w:type="dxa"/>
                <w:vAlign w:val="center"/>
              </w:tcPr>
              <w:p w14:paraId="50DD2E6D">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固定资产</w:t>
                </w:r>
              </w:p>
            </w:tc>
          </w:sdtContent>
        </w:sdt>
        <w:tc>
          <w:tcPr>
            <w:tcW w:w="1604" w:type="dxa"/>
            <w:vAlign w:val="center"/>
          </w:tcPr>
          <w:p w14:paraId="2F0820F5">
            <w:pPr>
              <w:widowControl w:val="0"/>
              <w:jc w:val="right"/>
              <w:rPr>
                <w:rFonts w:cs="Times New Roman"/>
              </w:rPr>
            </w:pPr>
            <w:r>
              <w:rPr>
                <w:rFonts w:cs="Times New Roman"/>
              </w:rPr>
              <w:t>146,709,327.00</w:t>
            </w:r>
          </w:p>
        </w:tc>
        <w:tc>
          <w:tcPr>
            <w:tcW w:w="1636" w:type="dxa"/>
            <w:vAlign w:val="center"/>
          </w:tcPr>
          <w:p w14:paraId="73D41A27">
            <w:pPr>
              <w:widowControl w:val="0"/>
              <w:jc w:val="right"/>
              <w:rPr>
                <w:rFonts w:cs="Times New Roman"/>
              </w:rPr>
            </w:pPr>
            <w:r>
              <w:rPr>
                <w:rFonts w:cs="Times New Roman"/>
              </w:rPr>
              <w:t>55,705,732.10</w:t>
            </w:r>
          </w:p>
        </w:tc>
        <w:sdt>
          <w:sdtPr>
            <w:rPr>
              <w:rFonts w:cs="Times New Roman"/>
              <w:color w:val="000000" w:themeColor="text1"/>
              <w14:textFill>
                <w14:solidFill>
                  <w14:schemeClr w14:val="tx1"/>
                </w14:solidFill>
              </w14:textFill>
            </w:rPr>
            <w:alias w:val="所有权或使用权受到限制的资产中固定资产受限类型"/>
            <w:tag w:val="_GBC_8e338588728e480389b3dfb7c90fdb40"/>
            <w:id w:val="-2062934126"/>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rPr>
              <w:rFonts w:cs="Times New Roman"/>
              <w:color w:val="000000" w:themeColor="text1"/>
              <w14:textFill>
                <w14:solidFill>
                  <w14:schemeClr w14:val="tx1"/>
                </w14:solidFill>
              </w14:textFill>
            </w:rPr>
          </w:sdtEndPr>
          <w:sdtContent>
            <w:tc>
              <w:tcPr>
                <w:tcW w:w="1113" w:type="dxa"/>
                <w:vAlign w:val="center"/>
              </w:tcPr>
              <w:p w14:paraId="6888A27E">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抵押</w:t>
                </w:r>
              </w:p>
            </w:tc>
          </w:sdtContent>
        </w:sdt>
        <w:tc>
          <w:tcPr>
            <w:tcW w:w="1723" w:type="dxa"/>
            <w:vAlign w:val="center"/>
          </w:tcPr>
          <w:p w14:paraId="11FD280B">
            <w:pPr>
              <w:widowControl w:val="0"/>
              <w:jc w:val="center"/>
              <w:rPr>
                <w:rFonts w:cs="Times New Roman"/>
              </w:rPr>
            </w:pPr>
            <w:r>
              <w:rPr>
                <w:rFonts w:cs="Times New Roman"/>
              </w:rPr>
              <w:t>抵押借款、抵押用于开具银行承兑汇票</w:t>
            </w:r>
          </w:p>
        </w:tc>
        <w:tc>
          <w:tcPr>
            <w:tcW w:w="1593" w:type="dxa"/>
            <w:vAlign w:val="center"/>
          </w:tcPr>
          <w:p w14:paraId="5B646930">
            <w:pPr>
              <w:widowControl w:val="0"/>
              <w:jc w:val="right"/>
              <w:rPr>
                <w:rFonts w:cs="Times New Roman"/>
              </w:rPr>
            </w:pPr>
            <w:r>
              <w:rPr>
                <w:rFonts w:cs="Times New Roman"/>
              </w:rPr>
              <w:t>49,126,609.74</w:t>
            </w:r>
          </w:p>
        </w:tc>
        <w:tc>
          <w:tcPr>
            <w:tcW w:w="1669" w:type="dxa"/>
            <w:vAlign w:val="center"/>
          </w:tcPr>
          <w:p w14:paraId="432D610B">
            <w:pPr>
              <w:widowControl w:val="0"/>
              <w:jc w:val="right"/>
              <w:rPr>
                <w:rFonts w:cs="Times New Roman"/>
              </w:rPr>
            </w:pPr>
            <w:r>
              <w:rPr>
                <w:rFonts w:cs="Times New Roman"/>
              </w:rPr>
              <w:t>45,125,579.75</w:t>
            </w:r>
          </w:p>
        </w:tc>
        <w:sdt>
          <w:sdtPr>
            <w:rPr>
              <w:rFonts w:cs="Times New Roman"/>
              <w:color w:val="000000" w:themeColor="text1"/>
              <w14:textFill>
                <w14:solidFill>
                  <w14:schemeClr w14:val="tx1"/>
                </w14:solidFill>
              </w14:textFill>
            </w:rPr>
            <w:alias w:val="所有权或使用权受到限制的资产中固定资产受限类型"/>
            <w:tag w:val="_GBC_952dd7a24a1c472587dc908d56703287"/>
            <w:id w:val="1804728465"/>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rPr>
              <w:rFonts w:cs="Times New Roman"/>
              <w:color w:val="000000" w:themeColor="text1"/>
              <w14:textFill>
                <w14:solidFill>
                  <w14:schemeClr w14:val="tx1"/>
                </w14:solidFill>
              </w14:textFill>
            </w:rPr>
          </w:sdtEndPr>
          <w:sdtContent>
            <w:tc>
              <w:tcPr>
                <w:tcW w:w="1287" w:type="dxa"/>
                <w:vAlign w:val="center"/>
              </w:tcPr>
              <w:p w14:paraId="12BF5B07">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抵押</w:t>
                </w:r>
              </w:p>
            </w:tc>
          </w:sdtContent>
        </w:sdt>
        <w:tc>
          <w:tcPr>
            <w:tcW w:w="1757" w:type="dxa"/>
            <w:vAlign w:val="center"/>
          </w:tcPr>
          <w:p w14:paraId="24B8760F">
            <w:pPr>
              <w:widowControl w:val="0"/>
              <w:jc w:val="center"/>
              <w:rPr>
                <w:rFonts w:cs="Times New Roman"/>
              </w:rPr>
            </w:pPr>
            <w:r>
              <w:rPr>
                <w:rFonts w:cs="Times New Roman"/>
              </w:rPr>
              <w:t>抵押借款</w:t>
            </w:r>
          </w:p>
        </w:tc>
      </w:tr>
      <w:tr w14:paraId="6FCF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89bbd95ddc8948acb9dfe88c8164ef2c"/>
            <w:id w:val="1096757170"/>
          </w:sdtPr>
          <w:sdtEndPr>
            <w:rPr>
              <w:rFonts w:cs="Times New Roman"/>
            </w:rPr>
          </w:sdtEndPr>
          <w:sdtContent>
            <w:tc>
              <w:tcPr>
                <w:tcW w:w="1701" w:type="dxa"/>
                <w:tcBorders>
                  <w:bottom w:val="single" w:color="auto" w:sz="4" w:space="0"/>
                </w:tcBorders>
                <w:vAlign w:val="center"/>
              </w:tcPr>
              <w:p w14:paraId="2EF3159F">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无形资产</w:t>
                </w:r>
              </w:p>
            </w:tc>
          </w:sdtContent>
        </w:sdt>
        <w:tc>
          <w:tcPr>
            <w:tcW w:w="1604" w:type="dxa"/>
            <w:vAlign w:val="center"/>
          </w:tcPr>
          <w:p w14:paraId="597653AA">
            <w:pPr>
              <w:widowControl w:val="0"/>
              <w:jc w:val="right"/>
              <w:rPr>
                <w:rFonts w:cs="Times New Roman"/>
              </w:rPr>
            </w:pPr>
            <w:r>
              <w:rPr>
                <w:rFonts w:cs="Times New Roman"/>
              </w:rPr>
              <w:t>61,563,159.00</w:t>
            </w:r>
          </w:p>
        </w:tc>
        <w:tc>
          <w:tcPr>
            <w:tcW w:w="1636" w:type="dxa"/>
            <w:vAlign w:val="center"/>
          </w:tcPr>
          <w:p w14:paraId="5F337451">
            <w:pPr>
              <w:widowControl w:val="0"/>
              <w:jc w:val="right"/>
              <w:rPr>
                <w:rFonts w:cs="Times New Roman"/>
              </w:rPr>
            </w:pPr>
            <w:r>
              <w:rPr>
                <w:rFonts w:cs="Times New Roman"/>
              </w:rPr>
              <w:t>42,165,044.32</w:t>
            </w:r>
          </w:p>
        </w:tc>
        <w:sdt>
          <w:sdtPr>
            <w:rPr>
              <w:rFonts w:cs="Times New Roman"/>
              <w:color w:val="000000" w:themeColor="text1"/>
              <w14:textFill>
                <w14:solidFill>
                  <w14:schemeClr w14:val="tx1"/>
                </w14:solidFill>
              </w14:textFill>
            </w:rPr>
            <w:alias w:val="所有权或使用权受到限制的资产中无形资产受限类型"/>
            <w:tag w:val="_GBC_1f42ad2f973343a9b6f8a7cd60a3de2a"/>
            <w:id w:val="351766110"/>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rPr>
              <w:rFonts w:cs="Times New Roman"/>
              <w:color w:val="000000" w:themeColor="text1"/>
              <w14:textFill>
                <w14:solidFill>
                  <w14:schemeClr w14:val="tx1"/>
                </w14:solidFill>
              </w14:textFill>
            </w:rPr>
          </w:sdtEndPr>
          <w:sdtContent>
            <w:tc>
              <w:tcPr>
                <w:tcW w:w="1113" w:type="dxa"/>
                <w:vAlign w:val="center"/>
              </w:tcPr>
              <w:p w14:paraId="59529943">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抵押</w:t>
                </w:r>
              </w:p>
            </w:tc>
          </w:sdtContent>
        </w:sdt>
        <w:tc>
          <w:tcPr>
            <w:tcW w:w="1723" w:type="dxa"/>
            <w:vAlign w:val="center"/>
          </w:tcPr>
          <w:p w14:paraId="5259404F">
            <w:pPr>
              <w:widowControl w:val="0"/>
              <w:jc w:val="center"/>
              <w:rPr>
                <w:rFonts w:cs="Times New Roman"/>
              </w:rPr>
            </w:pPr>
            <w:r>
              <w:rPr>
                <w:rFonts w:cs="Times New Roman"/>
              </w:rPr>
              <w:t>抵押用于开具银行承兑汇票</w:t>
            </w:r>
          </w:p>
        </w:tc>
        <w:tc>
          <w:tcPr>
            <w:tcW w:w="1593" w:type="dxa"/>
            <w:vAlign w:val="center"/>
          </w:tcPr>
          <w:p w14:paraId="33A9E6A4">
            <w:pPr>
              <w:widowControl w:val="0"/>
              <w:jc w:val="right"/>
              <w:rPr>
                <w:rFonts w:cs="Times New Roman"/>
              </w:rPr>
            </w:pPr>
            <w:r>
              <w:rPr>
                <w:rFonts w:cs="Times New Roman"/>
              </w:rPr>
              <w:t>5,952,265.97</w:t>
            </w:r>
          </w:p>
        </w:tc>
        <w:tc>
          <w:tcPr>
            <w:tcW w:w="1669" w:type="dxa"/>
            <w:vAlign w:val="center"/>
          </w:tcPr>
          <w:p w14:paraId="4D311D85">
            <w:pPr>
              <w:widowControl w:val="0"/>
              <w:jc w:val="right"/>
              <w:rPr>
                <w:rFonts w:cs="Times New Roman"/>
              </w:rPr>
            </w:pPr>
            <w:r>
              <w:rPr>
                <w:rFonts w:cs="Times New Roman"/>
              </w:rPr>
              <w:t>5,361,437.36</w:t>
            </w:r>
          </w:p>
        </w:tc>
        <w:sdt>
          <w:sdtPr>
            <w:rPr>
              <w:rFonts w:cs="Times New Roman"/>
              <w:color w:val="000000" w:themeColor="text1"/>
              <w14:textFill>
                <w14:solidFill>
                  <w14:schemeClr w14:val="tx1"/>
                </w14:solidFill>
              </w14:textFill>
            </w:rPr>
            <w:alias w:val="所有权或使用权受到限制的资产中无形资产受限类型"/>
            <w:tag w:val="_GBC_d5c87ecebd2149918317cf7f94dda1db"/>
            <w:id w:val="268516766"/>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rPr>
              <w:rFonts w:cs="Times New Roman"/>
              <w:color w:val="000000" w:themeColor="text1"/>
              <w14:textFill>
                <w14:solidFill>
                  <w14:schemeClr w14:val="tx1"/>
                </w14:solidFill>
              </w14:textFill>
            </w:rPr>
          </w:sdtEndPr>
          <w:sdtContent>
            <w:tc>
              <w:tcPr>
                <w:tcW w:w="1287" w:type="dxa"/>
                <w:vAlign w:val="center"/>
              </w:tcPr>
              <w:p w14:paraId="19931407">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抵押</w:t>
                </w:r>
              </w:p>
            </w:tc>
          </w:sdtContent>
        </w:sdt>
        <w:tc>
          <w:tcPr>
            <w:tcW w:w="1757" w:type="dxa"/>
            <w:vAlign w:val="center"/>
          </w:tcPr>
          <w:p w14:paraId="56A8027D">
            <w:pPr>
              <w:widowControl w:val="0"/>
              <w:jc w:val="center"/>
              <w:rPr>
                <w:rFonts w:cs="Times New Roman"/>
              </w:rPr>
            </w:pPr>
            <w:r>
              <w:rPr>
                <w:rFonts w:cs="Times New Roman"/>
              </w:rPr>
              <w:t>抵押借款</w:t>
            </w:r>
          </w:p>
        </w:tc>
      </w:tr>
      <w:sdt>
        <w:sdtPr>
          <w:rPr>
            <w:rFonts w:cs="Times New Roman"/>
            <w:color w:val="000000" w:themeColor="text1"/>
            <w14:textFill>
              <w14:solidFill>
                <w14:schemeClr w14:val="tx1"/>
              </w14:solidFill>
            </w14:textFill>
          </w:rPr>
          <w:alias w:val="所有权或使用权受到限制的资产明细"/>
          <w:tag w:val="_TUP_92bb46574a684a5b91786e73cda9619c"/>
          <w:id w:val="468099392"/>
          <w:placeholder>
            <w:docPart w:val="{dd9af3e3-6bdb-41c8-af00-dfb93af6e7d3}"/>
          </w:placeholder>
        </w:sdtPr>
        <w:sdtEndPr>
          <w:rPr>
            <w:rFonts w:cs="Times New Roman"/>
            <w:color w:val="000000" w:themeColor="text1"/>
            <w14:textFill>
              <w14:solidFill>
                <w14:schemeClr w14:val="tx1"/>
              </w14:solidFill>
            </w14:textFill>
          </w:rPr>
        </w:sdtEndPr>
        <w:sdtContent>
          <w:tr w14:paraId="4F91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14:paraId="137E4790">
                <w:pPr>
                  <w:widowControl w:val="0"/>
                  <w:jc w:val="center"/>
                  <w:rPr>
                    <w:rFonts w:cs="Times New Roman"/>
                  </w:rPr>
                </w:pPr>
                <w:r>
                  <w:rPr>
                    <w:rFonts w:cs="Times New Roman"/>
                  </w:rPr>
                  <w:t>投资性房地产</w:t>
                </w:r>
              </w:p>
            </w:tc>
            <w:tc>
              <w:tcPr>
                <w:tcW w:w="1604" w:type="dxa"/>
                <w:vAlign w:val="center"/>
              </w:tcPr>
              <w:p w14:paraId="2292326D">
                <w:pPr>
                  <w:widowControl w:val="0"/>
                  <w:jc w:val="right"/>
                  <w:rPr>
                    <w:rFonts w:cs="Times New Roman"/>
                  </w:rPr>
                </w:pPr>
                <w:r>
                  <w:rPr>
                    <w:rFonts w:cs="Times New Roman"/>
                  </w:rPr>
                  <w:t>60,000,000.00</w:t>
                </w:r>
              </w:p>
            </w:tc>
            <w:tc>
              <w:tcPr>
                <w:tcW w:w="1636" w:type="dxa"/>
                <w:vAlign w:val="center"/>
              </w:tcPr>
              <w:p w14:paraId="2CCADC9D">
                <w:pPr>
                  <w:widowControl w:val="0"/>
                  <w:jc w:val="right"/>
                  <w:rPr>
                    <w:rFonts w:cs="Times New Roman"/>
                  </w:rPr>
                </w:pPr>
                <w:r>
                  <w:rPr>
                    <w:rFonts w:cs="Times New Roman"/>
                  </w:rPr>
                  <w:t>51,806,250.00</w:t>
                </w:r>
              </w:p>
            </w:tc>
            <w:sdt>
              <w:sdtPr>
                <w:rPr>
                  <w:rFonts w:cs="Times New Roman"/>
                  <w:color w:val="000000" w:themeColor="text1"/>
                  <w14:textFill>
                    <w14:solidFill>
                      <w14:schemeClr w14:val="tx1"/>
                    </w14:solidFill>
                  </w14:textFill>
                </w:rPr>
                <w:alias w:val="所有权或使用权受到限制的资产明细-受限类型"/>
                <w:tag w:val="_GBC_c7ea23ecfb27482288d3919202d12248"/>
                <w:id w:val="940875126"/>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rPr>
                  <w:rFonts w:cs="Times New Roman"/>
                  <w:color w:val="000000" w:themeColor="text1"/>
                  <w14:textFill>
                    <w14:solidFill>
                      <w14:schemeClr w14:val="tx1"/>
                    </w14:solidFill>
                  </w14:textFill>
                </w:rPr>
              </w:sdtEndPr>
              <w:sdtContent>
                <w:tc>
                  <w:tcPr>
                    <w:tcW w:w="1113" w:type="dxa"/>
                    <w:vAlign w:val="center"/>
                  </w:tcPr>
                  <w:p w14:paraId="4018ABF2">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抵押</w:t>
                    </w:r>
                  </w:p>
                </w:tc>
              </w:sdtContent>
            </w:sdt>
            <w:tc>
              <w:tcPr>
                <w:tcW w:w="1723" w:type="dxa"/>
                <w:vAlign w:val="center"/>
              </w:tcPr>
              <w:p w14:paraId="5778376E">
                <w:pPr>
                  <w:widowControl w:val="0"/>
                  <w:jc w:val="center"/>
                  <w:rPr>
                    <w:rFonts w:cs="Times New Roman"/>
                  </w:rPr>
                </w:pPr>
                <w:r>
                  <w:rPr>
                    <w:rFonts w:cs="Times New Roman"/>
                  </w:rPr>
                  <w:t>抵押用于开具银行承兑汇票</w:t>
                </w:r>
              </w:p>
            </w:tc>
            <w:tc>
              <w:tcPr>
                <w:tcW w:w="1593" w:type="dxa"/>
                <w:vAlign w:val="center"/>
              </w:tcPr>
              <w:p w14:paraId="10A7B750">
                <w:pPr>
                  <w:widowControl w:val="0"/>
                  <w:jc w:val="right"/>
                  <w:rPr>
                    <w:rFonts w:cs="Times New Roman"/>
                  </w:rPr>
                </w:pPr>
              </w:p>
            </w:tc>
            <w:tc>
              <w:tcPr>
                <w:tcW w:w="1669" w:type="dxa"/>
                <w:vAlign w:val="center"/>
              </w:tcPr>
              <w:p w14:paraId="0C28C920">
                <w:pPr>
                  <w:widowControl w:val="0"/>
                  <w:jc w:val="right"/>
                  <w:rPr>
                    <w:rFonts w:cs="Times New Roman"/>
                  </w:rPr>
                </w:pPr>
              </w:p>
            </w:tc>
            <w:sdt>
              <w:sdtPr>
                <w:rPr>
                  <w:rFonts w:cs="Times New Roman"/>
                  <w:color w:val="000000" w:themeColor="text1"/>
                  <w14:textFill>
                    <w14:solidFill>
                      <w14:schemeClr w14:val="tx1"/>
                    </w14:solidFill>
                  </w14:textFill>
                </w:rPr>
                <w:alias w:val="所有权或使用权受到限制的资产明细-受限类型"/>
                <w:tag w:val="_GBC_e9bde470b4204f318420b24dbd1607ac"/>
                <w:id w:val="693586251"/>
                <w:showingPlcHdr/>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rPr>
                  <w:rFonts w:cs="Times New Roman"/>
                  <w:color w:val="000000" w:themeColor="text1"/>
                  <w14:textFill>
                    <w14:solidFill>
                      <w14:schemeClr w14:val="tx1"/>
                    </w14:solidFill>
                  </w14:textFill>
                </w:rPr>
              </w:sdtEndPr>
              <w:sdtContent>
                <w:tc>
                  <w:tcPr>
                    <w:tcW w:w="1287" w:type="dxa"/>
                    <w:vAlign w:val="center"/>
                  </w:tcPr>
                  <w:p w14:paraId="36A12B34">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w:t>
                    </w:r>
                  </w:p>
                </w:tc>
              </w:sdtContent>
            </w:sdt>
            <w:tc>
              <w:tcPr>
                <w:tcW w:w="1757" w:type="dxa"/>
                <w:vAlign w:val="center"/>
              </w:tcPr>
              <w:p w14:paraId="116D962F">
                <w:pPr>
                  <w:widowControl w:val="0"/>
                  <w:jc w:val="center"/>
                  <w:rPr>
                    <w:rFonts w:cs="Times New Roman"/>
                  </w:rPr>
                </w:pPr>
              </w:p>
            </w:tc>
          </w:tr>
        </w:sdtContent>
      </w:sdt>
      <w:sdt>
        <w:sdtPr>
          <w:rPr>
            <w:rFonts w:cs="Times New Roman"/>
          </w:rPr>
          <w:alias w:val="所有权或使用权受到限制的资产明细"/>
          <w:tag w:val="_TUP_92bb46574a684a5b91786e73cda9619c"/>
          <w:id w:val="-753212533"/>
          <w:placeholder>
            <w:docPart w:val="{dd9af3e3-6bdb-41c8-af00-dfb93af6e7d3}"/>
          </w:placeholder>
        </w:sdtPr>
        <w:sdtEndPr>
          <w:rPr>
            <w:rFonts w:cs="Times New Roman"/>
          </w:rPr>
        </w:sdtEndPr>
        <w:sdtContent>
          <w:tr w14:paraId="35D27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sdt>
              <w:sdtPr>
                <w:rPr>
                  <w:rFonts w:cs="Times New Roman"/>
                </w:rPr>
                <w:tag w:val="_PLD_8e96e852697e4c4fa4b9910713bcdd1b"/>
                <w:id w:val="-2052682951"/>
              </w:sdtPr>
              <w:sdtEndPr>
                <w:rPr>
                  <w:rFonts w:cs="Times New Roman"/>
                </w:rPr>
              </w:sdtEndPr>
              <w:sdtContent>
                <w:tc>
                  <w:tcPr>
                    <w:tcW w:w="1701" w:type="dxa"/>
                    <w:vAlign w:val="center"/>
                  </w:tcPr>
                  <w:p w14:paraId="586131DD">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c>
              <w:tcPr>
                <w:tcW w:w="1604" w:type="dxa"/>
                <w:vAlign w:val="center"/>
              </w:tcPr>
              <w:p w14:paraId="4A58A1BE">
                <w:pPr>
                  <w:widowControl w:val="0"/>
                  <w:jc w:val="right"/>
                  <w:rPr>
                    <w:rFonts w:cs="Times New Roman"/>
                  </w:rPr>
                </w:pPr>
                <w:r>
                  <w:rPr>
                    <w:rFonts w:cs="Times New Roman"/>
                  </w:rPr>
                  <w:t>452,222,560.32</w:t>
                </w:r>
              </w:p>
            </w:tc>
            <w:tc>
              <w:tcPr>
                <w:tcW w:w="1636" w:type="dxa"/>
                <w:vAlign w:val="center"/>
              </w:tcPr>
              <w:p w14:paraId="04A47A06">
                <w:pPr>
                  <w:widowControl w:val="0"/>
                  <w:jc w:val="right"/>
                  <w:rPr>
                    <w:rFonts w:cs="Times New Roman"/>
                  </w:rPr>
                </w:pPr>
                <w:r>
                  <w:rPr>
                    <w:rFonts w:cs="Times New Roman"/>
                  </w:rPr>
                  <w:t>333,627,100.74</w:t>
                </w:r>
              </w:p>
            </w:tc>
            <w:tc>
              <w:tcPr>
                <w:tcW w:w="1113" w:type="dxa"/>
                <w:vAlign w:val="center"/>
              </w:tcPr>
              <w:p w14:paraId="4A93014F">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723" w:type="dxa"/>
                <w:vAlign w:val="center"/>
              </w:tcPr>
              <w:p w14:paraId="6C34207B">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593" w:type="dxa"/>
                <w:vAlign w:val="center"/>
              </w:tcPr>
              <w:p w14:paraId="35039440">
                <w:pPr>
                  <w:widowControl w:val="0"/>
                  <w:jc w:val="right"/>
                  <w:rPr>
                    <w:rFonts w:cs="Times New Roman"/>
                  </w:rPr>
                </w:pPr>
                <w:r>
                  <w:rPr>
                    <w:rFonts w:cs="Times New Roman"/>
                  </w:rPr>
                  <w:t>295,736,314.35</w:t>
                </w:r>
              </w:p>
            </w:tc>
            <w:tc>
              <w:tcPr>
                <w:tcW w:w="1669" w:type="dxa"/>
                <w:vAlign w:val="center"/>
              </w:tcPr>
              <w:p w14:paraId="77284498">
                <w:pPr>
                  <w:widowControl w:val="0"/>
                  <w:jc w:val="right"/>
                  <w:rPr>
                    <w:rFonts w:cs="Times New Roman"/>
                  </w:rPr>
                </w:pPr>
                <w:r>
                  <w:rPr>
                    <w:rFonts w:cs="Times New Roman"/>
                  </w:rPr>
                  <w:t>291,144,455.75</w:t>
                </w:r>
              </w:p>
            </w:tc>
            <w:tc>
              <w:tcPr>
                <w:tcW w:w="1287" w:type="dxa"/>
                <w:vAlign w:val="center"/>
              </w:tcPr>
              <w:p w14:paraId="1E8EB011">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757" w:type="dxa"/>
                <w:vAlign w:val="center"/>
              </w:tcPr>
              <w:sdt>
                <w:sdtPr>
                  <w:rPr>
                    <w:rFonts w:cs="Times New Roman"/>
                  </w:rPr>
                  <w:tag w:val="_PLD_b9cb1112dd404e308fc59336a030a2c9"/>
                  <w:id w:val="1556663171"/>
                </w:sdtPr>
                <w:sdtEndPr>
                  <w:rPr>
                    <w:rFonts w:cs="Times New Roman"/>
                  </w:rPr>
                </w:sdtEndPr>
                <w:sdtContent>
                  <w:p w14:paraId="27588E1F">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sdtContent>
              </w:sdt>
            </w:tc>
          </w:tr>
        </w:sdtContent>
      </w:sdt>
    </w:tbl>
    <w:p w14:paraId="3B96B11F">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所有权或使用权受到限制的资产的其他说明"/>
        <w:tag w:val="_GBC_571ebdda2c564d648db287965351cd50"/>
        <w:id w:val="-1494103442"/>
      </w:sdtPr>
      <w:sdtEndPr>
        <w:rPr>
          <w:color w:val="000000" w:themeColor="text1"/>
          <w14:textFill>
            <w14:solidFill>
              <w14:schemeClr w14:val="tx1"/>
            </w14:solidFill>
          </w14:textFill>
        </w:rPr>
      </w:sdtEndPr>
      <w:sdtContent>
        <w:p w14:paraId="3B6AA74E">
          <w:pPr>
            <w:rPr>
              <w:color w:val="000000" w:themeColor="text1"/>
              <w14:textFill>
                <w14:solidFill>
                  <w14:schemeClr w14:val="tx1"/>
                </w14:solidFill>
              </w14:textFill>
            </w:rPr>
          </w:pPr>
          <w:r>
            <w:rPr>
              <w:color w:val="000000" w:themeColor="text1"/>
              <w14:textFill>
                <w14:solidFill>
                  <w14:schemeClr w14:val="tx1"/>
                </w14:solidFill>
              </w14:textFill>
            </w:rPr>
            <w:t>无</w:t>
          </w:r>
        </w:p>
      </w:sdtContent>
    </w:sdt>
    <w:p w14:paraId="31563AB6">
      <w:pPr>
        <w:rPr>
          <w:color w:val="000000" w:themeColor="text1"/>
          <w14:textFill>
            <w14:solidFill>
              <w14:schemeClr w14:val="tx1"/>
            </w14:solidFill>
          </w14:textFill>
        </w:rPr>
        <w:sectPr>
          <w:pgSz w:w="16838" w:h="11906" w:orient="landscape"/>
          <w:pgMar w:top="1797" w:right="1525" w:bottom="1276" w:left="1440" w:header="856" w:footer="992" w:gutter="0"/>
          <w:cols w:space="425" w:num="1"/>
          <w:docGrid w:linePitch="312" w:charSpace="0"/>
        </w:sectPr>
      </w:pPr>
    </w:p>
    <w:p w14:paraId="6D39508D">
      <w:pPr>
        <w:rPr>
          <w:color w:val="000000" w:themeColor="text1"/>
          <w14:textFill>
            <w14:solidFill>
              <w14:schemeClr w14:val="tx1"/>
            </w14:solidFill>
          </w14:textFill>
        </w:rPr>
      </w:pPr>
    </w:p>
    <w:p w14:paraId="11E4C0A3">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短期借款</w:t>
      </w:r>
    </w:p>
    <w:p w14:paraId="286FF99C">
      <w:pPr>
        <w:pStyle w:val="58"/>
        <w:numPr>
          <w:ilvl w:val="0"/>
          <w:numId w:val="78"/>
        </w:numPr>
        <w:tabs>
          <w:tab w:val="left" w:pos="630"/>
        </w:tabs>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短期借款分类</w:t>
      </w:r>
    </w:p>
    <w:sdt>
      <w:sdtPr>
        <w:rPr>
          <w:color w:val="000000" w:themeColor="text1"/>
          <w14:textFill>
            <w14:solidFill>
              <w14:schemeClr w14:val="tx1"/>
            </w14:solidFill>
          </w14:textFill>
        </w:rPr>
        <w:alias w:val="是否适用：短期借款分类[双击切换]"/>
        <w:tag w:val="_GBC_1074387a68b64f6b9270b522de53ad85"/>
        <w:id w:val="147454935"/>
        <w:placeholder>
          <w:docPart w:val="GBC22222222222222222222222222222"/>
        </w:placeholder>
      </w:sdtPr>
      <w:sdtEndPr>
        <w:rPr>
          <w:color w:val="000000" w:themeColor="text1"/>
          <w14:textFill>
            <w14:solidFill>
              <w14:schemeClr w14:val="tx1"/>
            </w14:solidFill>
          </w14:textFill>
        </w:rPr>
      </w:sdtEndPr>
      <w:sdtContent>
        <w:p w14:paraId="0916D32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372DF9C">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短期借款分类"/>
          <w:tag w:val="_GBC_f3353209b65c4921b63143340e11aac9"/>
          <w:id w:val="1474828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短期借款分类"/>
          <w:tag w:val="_GBC_b3a1802faad14eae96cfab316b25f639"/>
          <w:id w:val="1474797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869"/>
        <w:gridCol w:w="3004"/>
        <w:gridCol w:w="3020"/>
      </w:tblGrid>
      <w:tr w14:paraId="5A20C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3476605067da474199aa03dc83e3d88c"/>
            <w:id w:val="147453749"/>
          </w:sdtPr>
          <w:sdtContent>
            <w:tc>
              <w:tcPr>
                <w:tcW w:w="1613" w:type="pct"/>
                <w:vAlign w:val="center"/>
              </w:tcPr>
              <w:p w14:paraId="30083BBF">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ccd6dc2751cc421e8a2f26f78a44b4c5"/>
            <w:id w:val="147460206"/>
          </w:sdtPr>
          <w:sdtContent>
            <w:tc>
              <w:tcPr>
                <w:tcW w:w="1688" w:type="pct"/>
                <w:vAlign w:val="center"/>
              </w:tcPr>
              <w:p w14:paraId="4ACCD66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c16f582c583d4324abc605c4bc563081"/>
            <w:id w:val="147483290"/>
          </w:sdtPr>
          <w:sdtContent>
            <w:tc>
              <w:tcPr>
                <w:tcW w:w="1697" w:type="pct"/>
                <w:vAlign w:val="center"/>
              </w:tcPr>
              <w:p w14:paraId="68C3606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5FF8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tcPr>
          <w:p w14:paraId="294DACB4">
            <w:pPr>
              <w:autoSpaceDE w:val="0"/>
              <w:autoSpaceDN w:val="0"/>
              <w:adjustRightInd w:val="0"/>
              <w:snapToGrid w:val="0"/>
              <w:spacing w:line="240" w:lineRule="atLeast"/>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抵押借款</w:t>
            </w:r>
          </w:p>
        </w:tc>
        <w:tc>
          <w:tcPr>
            <w:tcW w:w="1688" w:type="pct"/>
            <w:vAlign w:val="center"/>
          </w:tcPr>
          <w:p w14:paraId="02940867">
            <w:pPr>
              <w:jc w:val="right"/>
              <w:textAlignment w:val="center"/>
              <w:rPr>
                <w:rFonts w:cs="Times New Roman"/>
              </w:rPr>
            </w:pPr>
            <w:r>
              <w:rPr>
                <w:rFonts w:cs="Times New Roman"/>
                <w:color w:val="000000"/>
              </w:rPr>
              <w:t>10,008,000.00</w:t>
            </w:r>
          </w:p>
        </w:tc>
        <w:tc>
          <w:tcPr>
            <w:tcW w:w="1697" w:type="pct"/>
            <w:vAlign w:val="center"/>
          </w:tcPr>
          <w:p w14:paraId="02633E4E">
            <w:pPr>
              <w:jc w:val="right"/>
              <w:textAlignment w:val="center"/>
              <w:rPr>
                <w:rFonts w:cs="Times New Roman"/>
              </w:rPr>
            </w:pPr>
            <w:r>
              <w:rPr>
                <w:rFonts w:cs="Times New Roman"/>
                <w:color w:val="000000"/>
              </w:rPr>
              <w:t>10,009,583.33</w:t>
            </w:r>
          </w:p>
        </w:tc>
      </w:tr>
      <w:tr w14:paraId="50279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37" w:hRule="atLeast"/>
        </w:trPr>
        <w:tc>
          <w:tcPr>
            <w:tcW w:w="1613" w:type="pct"/>
          </w:tcPr>
          <w:p w14:paraId="340369D0">
            <w:pPr>
              <w:autoSpaceDE w:val="0"/>
              <w:autoSpaceDN w:val="0"/>
              <w:adjustRightInd w:val="0"/>
              <w:snapToGrid w:val="0"/>
              <w:spacing w:line="240" w:lineRule="atLeast"/>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信用借款</w:t>
            </w:r>
          </w:p>
        </w:tc>
        <w:tc>
          <w:tcPr>
            <w:tcW w:w="1688" w:type="pct"/>
            <w:vAlign w:val="center"/>
          </w:tcPr>
          <w:p w14:paraId="50655547">
            <w:pPr>
              <w:jc w:val="right"/>
              <w:textAlignment w:val="center"/>
              <w:rPr>
                <w:rFonts w:cs="Times New Roman"/>
              </w:rPr>
            </w:pPr>
            <w:r>
              <w:rPr>
                <w:rFonts w:cs="Times New Roman"/>
                <w:color w:val="000000"/>
              </w:rPr>
              <w:t>279,512,293.40</w:t>
            </w:r>
          </w:p>
        </w:tc>
        <w:tc>
          <w:tcPr>
            <w:tcW w:w="1697" w:type="pct"/>
            <w:vAlign w:val="center"/>
          </w:tcPr>
          <w:p w14:paraId="13CD12B6">
            <w:pPr>
              <w:jc w:val="right"/>
              <w:textAlignment w:val="center"/>
              <w:rPr>
                <w:rFonts w:cs="Times New Roman"/>
              </w:rPr>
            </w:pPr>
            <w:r>
              <w:rPr>
                <w:rFonts w:cs="Times New Roman"/>
                <w:color w:val="000000"/>
              </w:rPr>
              <w:t>430,176,747.17</w:t>
            </w:r>
          </w:p>
        </w:tc>
      </w:tr>
      <w:tr w14:paraId="417B5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vAlign w:val="center"/>
          </w:tcPr>
          <w:p w14:paraId="2241773D">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688" w:type="pct"/>
            <w:vAlign w:val="center"/>
          </w:tcPr>
          <w:p w14:paraId="6EBC28AB">
            <w:pPr>
              <w:jc w:val="right"/>
              <w:textAlignment w:val="center"/>
              <w:rPr>
                <w:rFonts w:cs="Times New Roman"/>
              </w:rPr>
            </w:pPr>
            <w:r>
              <w:rPr>
                <w:rFonts w:cs="Times New Roman"/>
                <w:color w:val="000000"/>
              </w:rPr>
              <w:t>289,520,293.40</w:t>
            </w:r>
          </w:p>
        </w:tc>
        <w:tc>
          <w:tcPr>
            <w:tcW w:w="1697" w:type="pct"/>
            <w:vAlign w:val="center"/>
          </w:tcPr>
          <w:p w14:paraId="657C109C">
            <w:pPr>
              <w:jc w:val="right"/>
              <w:textAlignment w:val="center"/>
              <w:rPr>
                <w:rFonts w:cs="Times New Roman"/>
              </w:rPr>
            </w:pPr>
            <w:r>
              <w:rPr>
                <w:rFonts w:cs="Times New Roman"/>
                <w:color w:val="000000"/>
              </w:rPr>
              <w:t>440,186,330.50</w:t>
            </w:r>
          </w:p>
        </w:tc>
      </w:tr>
    </w:tbl>
    <w:p w14:paraId="38AC806C">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短期借款分类的说明：</w:t>
      </w:r>
    </w:p>
    <w:sdt>
      <w:sdtPr>
        <w:rPr>
          <w:rFonts w:cs="Times New Roman"/>
          <w:color w:val="000000" w:themeColor="text1"/>
          <w14:textFill>
            <w14:solidFill>
              <w14:schemeClr w14:val="tx1"/>
            </w14:solidFill>
          </w14:textFill>
        </w:rPr>
        <w:alias w:val="短期借款分类的说明"/>
        <w:tag w:val="_GBC_fc19e133dd4f4dbdb9d583e76175b714"/>
        <w:id w:val="147459037"/>
        <w:placeholder>
          <w:docPart w:val="GBC22222222222222222222222222222"/>
        </w:placeholder>
      </w:sdtPr>
      <w:sdtEndPr>
        <w:rPr>
          <w:rFonts w:cs="Times New Roman"/>
          <w:color w:val="000000" w:themeColor="text1"/>
          <w14:textFill>
            <w14:solidFill>
              <w14:schemeClr w14:val="tx1"/>
            </w14:solidFill>
          </w14:textFill>
        </w:rPr>
      </w:sdtEndPr>
      <w:sdtContent>
        <w:p w14:paraId="409866EC">
          <w:pPr>
            <w:snapToGrid w:val="0"/>
            <w:spacing w:line="240" w:lineRule="atLeast"/>
            <w:ind w:firstLine="420" w:firstLine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抵押借款为本公司之子公司际华三五二二装具饰品有限公司以房地产作为抵押从中国邮政储蓄银行股份有限公司天津西青区支行取得借款1,000.00万元。</w:t>
          </w:r>
        </w:p>
      </w:sdtContent>
    </w:sdt>
    <w:p w14:paraId="691BCA19">
      <w:pPr>
        <w:snapToGrid w:val="0"/>
        <w:spacing w:line="240" w:lineRule="atLeast"/>
        <w:ind w:right="-153" w:rightChars="-73"/>
        <w:rPr>
          <w:b/>
          <w:color w:val="000000" w:themeColor="text1"/>
          <w14:textFill>
            <w14:solidFill>
              <w14:schemeClr w14:val="tx1"/>
            </w14:solidFill>
          </w14:textFill>
        </w:rPr>
      </w:pPr>
    </w:p>
    <w:p w14:paraId="6DAF752E">
      <w:pPr>
        <w:pStyle w:val="58"/>
        <w:numPr>
          <w:ilvl w:val="0"/>
          <w:numId w:val="78"/>
        </w:numPr>
        <w:tabs>
          <w:tab w:val="left" w:pos="630"/>
        </w:tabs>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已逾期未偿还的短期借款情况</w:t>
      </w:r>
    </w:p>
    <w:sdt>
      <w:sdtPr>
        <w:rPr>
          <w:color w:val="000000" w:themeColor="text1"/>
          <w14:textFill>
            <w14:solidFill>
              <w14:schemeClr w14:val="tx1"/>
            </w14:solidFill>
          </w14:textFill>
        </w:rPr>
        <w:alias w:val="是否适用：已逾期未偿还的短期借款情况[双击切换]"/>
        <w:tag w:val="_GBC_57f74ff95a304f19a7c06d7996fc30c7"/>
        <w:id w:val="147453132"/>
        <w:placeholder>
          <w:docPart w:val="GBC22222222222222222222222222222"/>
        </w:placeholder>
      </w:sdtPr>
      <w:sdtEndPr>
        <w:rPr>
          <w:color w:val="000000" w:themeColor="text1"/>
          <w14:textFill>
            <w14:solidFill>
              <w14:schemeClr w14:val="tx1"/>
            </w14:solidFill>
          </w14:textFill>
        </w:rPr>
      </w:sdtEndPr>
      <w:sdtContent>
        <w:p w14:paraId="582A96B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F9D51CB">
      <w:pPr>
        <w:rPr>
          <w:color w:val="000000" w:themeColor="text1"/>
          <w14:textFill>
            <w14:solidFill>
              <w14:schemeClr w14:val="tx1"/>
            </w14:solidFill>
          </w14:textFill>
        </w:rPr>
      </w:pPr>
    </w:p>
    <w:p w14:paraId="1230B0EC">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短期借款的说明[双击切换]"/>
        <w:tag w:val="_GBC_663e3ee6df014147bb9c7daa18ccb062"/>
        <w:id w:val="147455910"/>
        <w:placeholder>
          <w:docPart w:val="GBC22222222222222222222222222222"/>
        </w:placeholder>
      </w:sdtPr>
      <w:sdtEndPr>
        <w:rPr>
          <w:color w:val="000000" w:themeColor="text1"/>
          <w14:textFill>
            <w14:solidFill>
              <w14:schemeClr w14:val="tx1"/>
            </w14:solidFill>
          </w14:textFill>
        </w:rPr>
      </w:sdtEndPr>
      <w:sdtContent>
        <w:p w14:paraId="439600D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C2EFCEA">
      <w:pPr>
        <w:rPr>
          <w:color w:val="000000" w:themeColor="text1"/>
          <w14:textFill>
            <w14:solidFill>
              <w14:schemeClr w14:val="tx1"/>
            </w14:solidFill>
          </w14:textFill>
        </w:rPr>
      </w:pPr>
    </w:p>
    <w:p w14:paraId="639789A8">
      <w:pPr>
        <w:pStyle w:val="57"/>
        <w:numPr>
          <w:ilvl w:val="0"/>
          <w:numId w:val="54"/>
        </w:numPr>
        <w:rPr>
          <w:color w:val="000000" w:themeColor="text1"/>
          <w:szCs w:val="21"/>
          <w14:textFill>
            <w14:solidFill>
              <w14:schemeClr w14:val="tx1"/>
            </w14:solidFill>
          </w14:textFill>
        </w:rPr>
      </w:pPr>
      <w:bookmarkStart w:id="346" w:name="_Hlk167960253"/>
      <w:bookmarkStart w:id="347" w:name="_Hlk533670147"/>
      <w:bookmarkStart w:id="348" w:name="_Hlk533422954"/>
      <w:r>
        <w:rPr>
          <w:color w:val="000000" w:themeColor="text1"/>
          <w:szCs w:val="21"/>
          <w14:textFill>
            <w14:solidFill>
              <w14:schemeClr w14:val="tx1"/>
            </w14:solidFill>
          </w14:textFill>
        </w:rPr>
        <w:t>交易性金融负债</w:t>
      </w:r>
    </w:p>
    <w:sdt>
      <w:sdtPr>
        <w:rPr>
          <w:color w:val="000000" w:themeColor="text1"/>
          <w14:textFill>
            <w14:solidFill>
              <w14:schemeClr w14:val="tx1"/>
            </w14:solidFill>
          </w14:textFill>
        </w:rPr>
        <w:alias w:val="是否适用：交易性金融负债[双击切换]"/>
        <w:tag w:val="_GBC_c80a748cb25743768dff0a872a281bca"/>
        <w:id w:val="147475128"/>
        <w:placeholder>
          <w:docPart w:val="GBC22222222222222222222222222222"/>
        </w:placeholder>
      </w:sdtPr>
      <w:sdtEndPr>
        <w:rPr>
          <w:color w:val="000000" w:themeColor="text1"/>
          <w14:textFill>
            <w14:solidFill>
              <w14:schemeClr w14:val="tx1"/>
            </w14:solidFill>
          </w14:textFill>
        </w:rPr>
      </w:sdtEndPr>
      <w:sdtContent>
        <w:p w14:paraId="60BF44F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106F9F5">
      <w:pPr>
        <w:rPr>
          <w:color w:val="000000" w:themeColor="text1"/>
          <w14:textFill>
            <w14:solidFill>
              <w14:schemeClr w14:val="tx1"/>
            </w14:solidFill>
          </w14:textFill>
        </w:rPr>
      </w:pPr>
    </w:p>
    <w:p w14:paraId="5B17D140">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说明</w:t>
      </w:r>
      <w:r>
        <w:rPr>
          <w:rFonts w:hint="eastAsia"/>
          <w:color w:val="000000" w:themeColor="text1"/>
          <w14:textFill>
            <w14:solidFill>
              <w14:schemeClr w14:val="tx1"/>
            </w14:solidFill>
          </w14:textFill>
        </w:rPr>
        <w:t>：</w:t>
      </w:r>
    </w:p>
    <w:sdt>
      <w:sdtPr>
        <w:rPr>
          <w:color w:val="000000" w:themeColor="text1"/>
          <w14:textFill>
            <w14:solidFill>
              <w14:schemeClr w14:val="tx1"/>
            </w14:solidFill>
          </w14:textFill>
        </w:rPr>
        <w:alias w:val="是否适用：交易性金融负债的说明[双击切换]"/>
        <w:tag w:val="_GBC_692d0bb6340447f685684271256fa188"/>
        <w:id w:val="147468535"/>
        <w:placeholder>
          <w:docPart w:val="GBC22222222222222222222222222222"/>
        </w:placeholder>
      </w:sdtPr>
      <w:sdtEndPr>
        <w:rPr>
          <w:color w:val="000000" w:themeColor="text1"/>
          <w14:textFill>
            <w14:solidFill>
              <w14:schemeClr w14:val="tx1"/>
            </w14:solidFill>
          </w14:textFill>
        </w:rPr>
      </w:sdtEndPr>
      <w:sdtContent>
        <w:p w14:paraId="1C9B8DA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8CF02E5">
      <w:pPr>
        <w:rPr>
          <w:color w:val="000000" w:themeColor="text1"/>
          <w14:textFill>
            <w14:solidFill>
              <w14:schemeClr w14:val="tx1"/>
            </w14:solidFill>
          </w14:textFill>
        </w:rPr>
      </w:pPr>
    </w:p>
    <w:bookmarkEnd w:id="346"/>
    <w:bookmarkEnd w:id="347"/>
    <w:bookmarkEnd w:id="348"/>
    <w:p w14:paraId="676C01F9">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衍生金融负债</w:t>
      </w:r>
    </w:p>
    <w:sdt>
      <w:sdtPr>
        <w:rPr>
          <w:color w:val="000000" w:themeColor="text1"/>
          <w14:textFill>
            <w14:solidFill>
              <w14:schemeClr w14:val="tx1"/>
            </w14:solidFill>
          </w14:textFill>
        </w:rPr>
        <w:alias w:val="是否适用：衍生金融负债[双击切换]"/>
        <w:tag w:val="_GBC_3a60c0d3d0534eba80b93475b0a6411f"/>
        <w:id w:val="147474665"/>
        <w:placeholder>
          <w:docPart w:val="GBC22222222222222222222222222222"/>
        </w:placeholder>
      </w:sdtPr>
      <w:sdtEndPr>
        <w:rPr>
          <w:color w:val="000000" w:themeColor="text1"/>
          <w14:textFill>
            <w14:solidFill>
              <w14:schemeClr w14:val="tx1"/>
            </w14:solidFill>
          </w14:textFill>
        </w:rPr>
      </w:sdtEndPr>
      <w:sdtContent>
        <w:p w14:paraId="037FD3B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47889E1">
      <w:pPr>
        <w:rPr>
          <w:color w:val="000000" w:themeColor="text1"/>
          <w14:textFill>
            <w14:solidFill>
              <w14:schemeClr w14:val="tx1"/>
            </w14:solidFill>
          </w14:textFill>
        </w:rPr>
      </w:pPr>
    </w:p>
    <w:p w14:paraId="0ED7D664">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应付票据</w:t>
      </w:r>
    </w:p>
    <w:sdt>
      <w:sdtPr>
        <w:rPr>
          <w:color w:val="000000" w:themeColor="text1"/>
          <w14:textFill>
            <w14:solidFill>
              <w14:schemeClr w14:val="tx1"/>
            </w14:solidFill>
          </w14:textFill>
        </w:rPr>
        <w:alias w:val="是否适用：应付票据[双击切换]"/>
        <w:tag w:val="_GBC_57c67181b34944e782b23a48b1843e8f"/>
        <w:id w:val="147455442"/>
        <w:lock w:val="contentLocked"/>
        <w:placeholder>
          <w:docPart w:val="GBC22222222222222222222222222222"/>
        </w:placeholder>
      </w:sdtPr>
      <w:sdtEndPr>
        <w:rPr>
          <w:color w:val="000000" w:themeColor="text1"/>
          <w14:textFill>
            <w14:solidFill>
              <w14:schemeClr w14:val="tx1"/>
            </w14:solidFill>
          </w14:textFill>
        </w:rPr>
      </w:sdtEndPr>
      <w:sdtContent>
        <w:p w14:paraId="6531966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6F45AE1">
      <w:pPr>
        <w:jc w:val="right"/>
        <w:rPr>
          <w:color w:val="000000" w:themeColor="text1"/>
          <w14:textFill>
            <w14:solidFill>
              <w14:schemeClr w14:val="tx1"/>
            </w14:solidFill>
          </w14:textFill>
        </w:rPr>
      </w:pPr>
      <w:bookmarkStart w:id="349" w:name="_Hlk167960344"/>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应付票据"/>
          <w:tag w:val="_GBC_db69c246a0d14735805df636930e34ba"/>
          <w:id w:val="1474607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应付票据"/>
          <w:tag w:val="_GBC_f734b21fc72c43feb20eaf84762dfd7f"/>
          <w:id w:val="1474554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310"/>
        <w:gridCol w:w="3338"/>
        <w:gridCol w:w="3245"/>
      </w:tblGrid>
      <w:tr w14:paraId="676CB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faa4f5cfe5ae4b0a9c786ca922191e7e"/>
            <w:id w:val="147469763"/>
          </w:sdtPr>
          <w:sdtContent>
            <w:tc>
              <w:tcPr>
                <w:tcW w:w="1299" w:type="pct"/>
                <w:vAlign w:val="center"/>
              </w:tcPr>
              <w:p w14:paraId="42BC20DB">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种类</w:t>
                </w:r>
              </w:p>
            </w:tc>
          </w:sdtContent>
        </w:sdt>
        <w:sdt>
          <w:sdtPr>
            <w:tag w:val="_PLD_b51f0f25994640289becfaca28eb1d5c"/>
            <w:id w:val="147455287"/>
          </w:sdtPr>
          <w:sdtContent>
            <w:tc>
              <w:tcPr>
                <w:tcW w:w="1877" w:type="pct"/>
                <w:vAlign w:val="center"/>
              </w:tcPr>
              <w:p w14:paraId="71FC0FE2">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996d96c1a15e479289fa9e0699e2822e"/>
            <w:id w:val="147456034"/>
          </w:sdtPr>
          <w:sdtContent>
            <w:tc>
              <w:tcPr>
                <w:tcW w:w="1824" w:type="pct"/>
                <w:vAlign w:val="center"/>
              </w:tcPr>
              <w:p w14:paraId="03CB0ED8">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01AE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9" w:type="pct"/>
          </w:tcPr>
          <w:p w14:paraId="7F5971D3">
            <w:pPr>
              <w:autoSpaceDE w:val="0"/>
              <w:autoSpaceDN w:val="0"/>
              <w:adjustRightInd w:val="0"/>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商业承兑汇票</w:t>
            </w:r>
          </w:p>
        </w:tc>
        <w:tc>
          <w:tcPr>
            <w:tcW w:w="1877" w:type="pct"/>
            <w:vAlign w:val="center"/>
          </w:tcPr>
          <w:p w14:paraId="248BFF18">
            <w:pPr>
              <w:jc w:val="right"/>
              <w:textAlignment w:val="center"/>
              <w:rPr>
                <w:rFonts w:cs="Times New Roman"/>
              </w:rPr>
            </w:pPr>
            <w:r>
              <w:rPr>
                <w:rFonts w:cs="Times New Roman"/>
                <w:color w:val="000000"/>
              </w:rPr>
              <w:t>7,500,000.00</w:t>
            </w:r>
          </w:p>
        </w:tc>
        <w:tc>
          <w:tcPr>
            <w:tcW w:w="1824" w:type="pct"/>
            <w:vAlign w:val="center"/>
          </w:tcPr>
          <w:p w14:paraId="3B33E74A">
            <w:pPr>
              <w:jc w:val="right"/>
              <w:textAlignment w:val="center"/>
              <w:rPr>
                <w:rFonts w:cs="Times New Roman"/>
              </w:rPr>
            </w:pPr>
            <w:r>
              <w:rPr>
                <w:rFonts w:cs="Times New Roman"/>
                <w:color w:val="000000"/>
              </w:rPr>
              <w:t>17,470,000.00</w:t>
            </w:r>
          </w:p>
        </w:tc>
      </w:tr>
      <w:tr w14:paraId="4BB00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9" w:type="pct"/>
          </w:tcPr>
          <w:p w14:paraId="521C5FE1">
            <w:pPr>
              <w:autoSpaceDE w:val="0"/>
              <w:autoSpaceDN w:val="0"/>
              <w:adjustRightInd w:val="0"/>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银行承兑汇票</w:t>
            </w:r>
          </w:p>
        </w:tc>
        <w:tc>
          <w:tcPr>
            <w:tcW w:w="1877" w:type="pct"/>
            <w:vAlign w:val="center"/>
          </w:tcPr>
          <w:p w14:paraId="66A16F1D">
            <w:pPr>
              <w:jc w:val="right"/>
              <w:textAlignment w:val="center"/>
              <w:rPr>
                <w:rFonts w:cs="Times New Roman"/>
              </w:rPr>
            </w:pPr>
            <w:r>
              <w:rPr>
                <w:rFonts w:cs="Times New Roman"/>
                <w:color w:val="000000"/>
              </w:rPr>
              <w:t>357,718,903.78</w:t>
            </w:r>
          </w:p>
        </w:tc>
        <w:tc>
          <w:tcPr>
            <w:tcW w:w="1824" w:type="pct"/>
            <w:vAlign w:val="center"/>
          </w:tcPr>
          <w:p w14:paraId="0D35FAA2">
            <w:pPr>
              <w:jc w:val="right"/>
              <w:textAlignment w:val="center"/>
              <w:rPr>
                <w:rFonts w:cs="Times New Roman"/>
              </w:rPr>
            </w:pPr>
            <w:r>
              <w:rPr>
                <w:rFonts w:cs="Times New Roman"/>
                <w:color w:val="000000"/>
              </w:rPr>
              <w:t>489,812,516.18</w:t>
            </w:r>
          </w:p>
        </w:tc>
      </w:tr>
      <w:tr w14:paraId="06DE3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9" w:type="pct"/>
          </w:tcPr>
          <w:p w14:paraId="489ED769">
            <w:pPr>
              <w:autoSpaceDE w:val="0"/>
              <w:autoSpaceDN w:val="0"/>
              <w:adjustRightInd w:val="0"/>
              <w:snapToGrid w:val="0"/>
              <w:spacing w:line="240" w:lineRule="atLeast"/>
            </w:pPr>
            <w:r>
              <w:rPr>
                <w:rFonts w:hint="eastAsia"/>
              </w:rPr>
              <w:t>财务公司承兑汇票</w:t>
            </w:r>
          </w:p>
        </w:tc>
        <w:tc>
          <w:tcPr>
            <w:tcW w:w="1877" w:type="pct"/>
            <w:vAlign w:val="center"/>
          </w:tcPr>
          <w:p w14:paraId="762EEA8B">
            <w:pPr>
              <w:jc w:val="right"/>
              <w:textAlignment w:val="center"/>
              <w:rPr>
                <w:rFonts w:cs="Times New Roman"/>
              </w:rPr>
            </w:pPr>
            <w:r>
              <w:rPr>
                <w:rFonts w:cs="Times New Roman"/>
                <w:color w:val="000000"/>
              </w:rPr>
              <w:t>700,000.00</w:t>
            </w:r>
          </w:p>
        </w:tc>
        <w:tc>
          <w:tcPr>
            <w:tcW w:w="1824" w:type="pct"/>
            <w:vAlign w:val="center"/>
          </w:tcPr>
          <w:p w14:paraId="27ABA7AC">
            <w:pPr>
              <w:jc w:val="right"/>
              <w:textAlignment w:val="center"/>
              <w:rPr>
                <w:rFonts w:cs="Times New Roman"/>
              </w:rPr>
            </w:pPr>
            <w:r>
              <w:rPr>
                <w:rFonts w:cs="Times New Roman"/>
                <w:color w:val="000000"/>
              </w:rPr>
              <w:t>50,009,000.00</w:t>
            </w:r>
          </w:p>
        </w:tc>
      </w:tr>
      <w:tr w14:paraId="21CB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9" w:type="pct"/>
            <w:vAlign w:val="center"/>
          </w:tcPr>
          <w:p w14:paraId="5C196BBD">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877" w:type="pct"/>
            <w:vAlign w:val="center"/>
          </w:tcPr>
          <w:p w14:paraId="104AA20B">
            <w:pPr>
              <w:jc w:val="right"/>
              <w:textAlignment w:val="center"/>
              <w:rPr>
                <w:rFonts w:cs="Times New Roman"/>
              </w:rPr>
            </w:pPr>
            <w:r>
              <w:rPr>
                <w:rFonts w:cs="Times New Roman"/>
                <w:color w:val="000000"/>
              </w:rPr>
              <w:t>365,918,903.78</w:t>
            </w:r>
          </w:p>
        </w:tc>
        <w:tc>
          <w:tcPr>
            <w:tcW w:w="1824" w:type="pct"/>
            <w:vAlign w:val="center"/>
          </w:tcPr>
          <w:p w14:paraId="7C1E018A">
            <w:pPr>
              <w:jc w:val="right"/>
              <w:textAlignment w:val="center"/>
              <w:rPr>
                <w:rFonts w:cs="Times New Roman"/>
              </w:rPr>
            </w:pPr>
            <w:r>
              <w:rPr>
                <w:rFonts w:cs="Times New Roman"/>
                <w:color w:val="000000"/>
              </w:rPr>
              <w:t>557,291,516.18</w:t>
            </w:r>
          </w:p>
        </w:tc>
      </w:tr>
    </w:tbl>
    <w:p w14:paraId="78221B88">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本期末已到期未支付的应付票据总额为</w:t>
      </w:r>
      <w:sdt>
        <w:sdtPr>
          <w:rPr>
            <w:rFonts w:hint="eastAsia"/>
            <w:color w:val="000000" w:themeColor="text1"/>
            <w14:textFill>
              <w14:solidFill>
                <w14:schemeClr w14:val="tx1"/>
              </w14:solidFill>
            </w14:textFill>
          </w:rPr>
          <w:alias w:val="已到期未支付的应付票据总额"/>
          <w:tag w:val="_GBC_c9651441e218453780f22db83f133e6a"/>
          <w:id w:val="147470300"/>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w:t>
          </w:r>
        </w:sdtContent>
      </w:sdt>
      <w:r>
        <w:rPr>
          <w:rFonts w:hint="eastAsia"/>
          <w:color w:val="000000" w:themeColor="text1"/>
          <w14:textFill>
            <w14:solidFill>
              <w14:schemeClr w14:val="tx1"/>
            </w14:solidFill>
          </w14:textFill>
        </w:rPr>
        <w:t xml:space="preserve"> 元。到期未付的原因是</w:t>
      </w:r>
      <w:sdt>
        <w:sdtPr>
          <w:rPr>
            <w:rFonts w:hint="eastAsia"/>
            <w:color w:val="000000" w:themeColor="text1"/>
            <w14:textFill>
              <w14:solidFill>
                <w14:schemeClr w14:val="tx1"/>
              </w14:solidFill>
            </w14:textFill>
          </w:rPr>
          <w:alias w:val="应付票据到期未付的原因"/>
          <w:tag w:val="_GBC_73acd2fa7a344753a71cf43e98373b73"/>
          <w:id w:val="147466828"/>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无</w:t>
          </w:r>
        </w:sdtContent>
      </w:sdt>
    </w:p>
    <w:p w14:paraId="79E65311">
      <w:pPr>
        <w:snapToGrid w:val="0"/>
        <w:spacing w:line="240" w:lineRule="atLeast"/>
        <w:rPr>
          <w:color w:val="000000" w:themeColor="text1"/>
          <w14:textFill>
            <w14:solidFill>
              <w14:schemeClr w14:val="tx1"/>
            </w14:solidFill>
          </w14:textFill>
        </w:rPr>
      </w:pPr>
    </w:p>
    <w:bookmarkEnd w:id="349"/>
    <w:p w14:paraId="4DFEFBF7">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应付账款</w:t>
      </w:r>
    </w:p>
    <w:p w14:paraId="19B2906E">
      <w:pPr>
        <w:pStyle w:val="5"/>
        <w:numPr>
          <w:ilvl w:val="0"/>
          <w:numId w:val="79"/>
        </w:numPr>
        <w:tabs>
          <w:tab w:val="left" w:pos="588"/>
        </w:tabs>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应付账款列示</w:t>
      </w:r>
    </w:p>
    <w:sdt>
      <w:sdtPr>
        <w:rPr>
          <w:color w:val="000000" w:themeColor="text1"/>
          <w14:textFill>
            <w14:solidFill>
              <w14:schemeClr w14:val="tx1"/>
            </w14:solidFill>
          </w14:textFill>
        </w:rPr>
        <w:alias w:val="是否适用：应付账款列示[双击切换]"/>
        <w:tag w:val="_GBC_8531771c226a4fb0b98e3cdaf7271c71"/>
        <w:id w:val="1061907958"/>
      </w:sdtPr>
      <w:sdtEndPr>
        <w:rPr>
          <w:color w:val="000000" w:themeColor="text1"/>
          <w14:textFill>
            <w14:solidFill>
              <w14:schemeClr w14:val="tx1"/>
            </w14:solidFill>
          </w14:textFill>
        </w:rPr>
      </w:sdtEndPr>
      <w:sdtContent>
        <w:p w14:paraId="07DBED8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190789A7">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应付账款情况"/>
          <w:tag w:val="_GBC_53c05e3ea1bb4f08bbe5cf204a0947b9"/>
          <w:id w:val="-871755380"/>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应付账款情况"/>
          <w:tag w:val="_GBC_e10cb0a664ca4400817c8a2bcf9247fc"/>
          <w:id w:val="196932062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2867"/>
        <w:gridCol w:w="3341"/>
      </w:tblGrid>
      <w:tr w14:paraId="48F1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rFonts w:cs="Times New Roman"/>
            </w:rPr>
            <w:tag w:val="_PLD_7dae27caeee34d74add24cd985083c75"/>
            <w:id w:val="559675302"/>
          </w:sdtPr>
          <w:sdtEndPr>
            <w:rPr>
              <w:rFonts w:cs="Times New Roman"/>
            </w:rPr>
          </w:sdtEndPr>
          <w:sdtContent>
            <w:tc>
              <w:tcPr>
                <w:tcW w:w="1570" w:type="pct"/>
              </w:tcPr>
              <w:p w14:paraId="42D8AC0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136ba417561e421ea02da8004fdf8b33"/>
            <w:id w:val="154654238"/>
          </w:sdtPr>
          <w:sdtEndPr>
            <w:rPr>
              <w:rFonts w:cs="Times New Roman"/>
            </w:rPr>
          </w:sdtEndPr>
          <w:sdtContent>
            <w:tc>
              <w:tcPr>
                <w:tcW w:w="1584" w:type="pct"/>
              </w:tcPr>
              <w:p w14:paraId="4A6F823C">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bc4b311c1ee54bd48b7b2ba2ab79c364"/>
            <w:id w:val="-1802216127"/>
          </w:sdtPr>
          <w:sdtEndPr>
            <w:rPr>
              <w:rFonts w:cs="Times New Roman"/>
            </w:rPr>
          </w:sdtEndPr>
          <w:sdtContent>
            <w:tc>
              <w:tcPr>
                <w:tcW w:w="1846" w:type="pct"/>
              </w:tcPr>
              <w:p w14:paraId="66C50B1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tr>
      <w:sdt>
        <w:sdtPr>
          <w:rPr>
            <w:rFonts w:cs="Times New Roman"/>
            <w:color w:val="000000" w:themeColor="text1"/>
            <w14:textFill>
              <w14:solidFill>
                <w14:schemeClr w14:val="tx1"/>
              </w14:solidFill>
            </w14:textFill>
          </w:rPr>
          <w:alias w:val="应付账款情况明细"/>
          <w:tag w:val="_GBC_6a9eb940fbe64774bcca168078c6adaa"/>
          <w:id w:val="-859049819"/>
          <w:placeholder>
            <w:docPart w:val="{675b4e51-4ded-4f81-868b-1cf1e144ab31}"/>
          </w:placeholder>
        </w:sdtPr>
        <w:sdtEndPr>
          <w:rPr>
            <w:rFonts w:cs="Times New Roman"/>
            <w:color w:val="000000" w:themeColor="text1"/>
            <w14:textFill>
              <w14:solidFill>
                <w14:schemeClr w14:val="tx1"/>
              </w14:solidFill>
            </w14:textFill>
          </w:rPr>
        </w:sdtEndPr>
        <w:sdtContent>
          <w:tr w14:paraId="1FCA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Pr>
              <w:p w14:paraId="2AD2748E">
                <w:pPr>
                  <w:rPr>
                    <w:rFonts w:cs="Times New Roman"/>
                  </w:rPr>
                </w:pPr>
                <w:r>
                  <w:rPr>
                    <w:rFonts w:cs="Times New Roman"/>
                  </w:rPr>
                  <w:t>应付材料款</w:t>
                </w:r>
              </w:p>
            </w:tc>
            <w:tc>
              <w:tcPr>
                <w:tcW w:w="1584" w:type="pct"/>
                <w:vAlign w:val="center"/>
              </w:tcPr>
              <w:p w14:paraId="17DEB37C">
                <w:pPr>
                  <w:jc w:val="right"/>
                  <w:rPr>
                    <w:rFonts w:cs="Times New Roman"/>
                  </w:rPr>
                </w:pPr>
                <w:r>
                  <w:rPr>
                    <w:rFonts w:cs="Times New Roman"/>
                  </w:rPr>
                  <w:t>1,128,698,291.99</w:t>
                </w:r>
              </w:p>
            </w:tc>
            <w:tc>
              <w:tcPr>
                <w:tcW w:w="1846" w:type="pct"/>
                <w:vAlign w:val="center"/>
              </w:tcPr>
              <w:p w14:paraId="5AFAD1FF">
                <w:pPr>
                  <w:jc w:val="right"/>
                  <w:rPr>
                    <w:rFonts w:cs="Times New Roman"/>
                  </w:rPr>
                </w:pPr>
                <w:r>
                  <w:rPr>
                    <w:rFonts w:cs="Times New Roman"/>
                  </w:rPr>
                  <w:t>1,648,231,398.68</w:t>
                </w:r>
              </w:p>
            </w:tc>
          </w:tr>
        </w:sdtContent>
      </w:sdt>
      <w:sdt>
        <w:sdtPr>
          <w:rPr>
            <w:rFonts w:cs="Times New Roman"/>
            <w:color w:val="000000" w:themeColor="text1"/>
            <w14:textFill>
              <w14:solidFill>
                <w14:schemeClr w14:val="tx1"/>
              </w14:solidFill>
            </w14:textFill>
          </w:rPr>
          <w:alias w:val="应付账款情况明细"/>
          <w:tag w:val="_GBC_6a9eb940fbe64774bcca168078c6adaa"/>
          <w:id w:val="1177004306"/>
          <w:placeholder>
            <w:docPart w:val="{675b4e51-4ded-4f81-868b-1cf1e144ab31}"/>
          </w:placeholder>
        </w:sdtPr>
        <w:sdtEndPr>
          <w:rPr>
            <w:rFonts w:cs="Times New Roman"/>
            <w:color w:val="000000" w:themeColor="text1"/>
            <w14:textFill>
              <w14:solidFill>
                <w14:schemeClr w14:val="tx1"/>
              </w14:solidFill>
            </w14:textFill>
          </w:rPr>
        </w:sdtEndPr>
        <w:sdtContent>
          <w:tr w14:paraId="79FB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Pr>
              <w:p w14:paraId="28D0D890">
                <w:pPr>
                  <w:rPr>
                    <w:rFonts w:cs="Times New Roman"/>
                  </w:rPr>
                </w:pPr>
                <w:r>
                  <w:rPr>
                    <w:rFonts w:cs="Times New Roman"/>
                  </w:rPr>
                  <w:t>应付劳务费</w:t>
                </w:r>
              </w:p>
            </w:tc>
            <w:tc>
              <w:tcPr>
                <w:tcW w:w="1584" w:type="pct"/>
                <w:vAlign w:val="center"/>
              </w:tcPr>
              <w:p w14:paraId="67CFE84A">
                <w:pPr>
                  <w:jc w:val="right"/>
                  <w:rPr>
                    <w:rFonts w:cs="Times New Roman"/>
                  </w:rPr>
                </w:pPr>
                <w:r>
                  <w:rPr>
                    <w:rFonts w:cs="Times New Roman"/>
                  </w:rPr>
                  <w:t>261,641,796.17</w:t>
                </w:r>
              </w:p>
            </w:tc>
            <w:tc>
              <w:tcPr>
                <w:tcW w:w="1846" w:type="pct"/>
                <w:vAlign w:val="center"/>
              </w:tcPr>
              <w:p w14:paraId="4F2F4595">
                <w:pPr>
                  <w:jc w:val="right"/>
                  <w:rPr>
                    <w:rFonts w:cs="Times New Roman"/>
                  </w:rPr>
                </w:pPr>
                <w:r>
                  <w:rPr>
                    <w:rFonts w:cs="Times New Roman"/>
                  </w:rPr>
                  <w:t>456,347,943.93</w:t>
                </w:r>
              </w:p>
            </w:tc>
          </w:tr>
        </w:sdtContent>
      </w:sdt>
      <w:sdt>
        <w:sdtPr>
          <w:rPr>
            <w:rFonts w:cs="Times New Roman"/>
            <w:color w:val="000000" w:themeColor="text1"/>
            <w14:textFill>
              <w14:solidFill>
                <w14:schemeClr w14:val="tx1"/>
              </w14:solidFill>
            </w14:textFill>
          </w:rPr>
          <w:alias w:val="应付账款情况明细"/>
          <w:tag w:val="_GBC_6a9eb940fbe64774bcca168078c6adaa"/>
          <w:id w:val="2042544859"/>
          <w:placeholder>
            <w:docPart w:val="{675b4e51-4ded-4f81-868b-1cf1e144ab31}"/>
          </w:placeholder>
        </w:sdtPr>
        <w:sdtEndPr>
          <w:rPr>
            <w:rFonts w:cs="Times New Roman"/>
            <w:color w:val="000000" w:themeColor="text1"/>
            <w14:textFill>
              <w14:solidFill>
                <w14:schemeClr w14:val="tx1"/>
              </w14:solidFill>
            </w14:textFill>
          </w:rPr>
        </w:sdtEndPr>
        <w:sdtContent>
          <w:tr w14:paraId="5958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Pr>
              <w:p w14:paraId="7AB0B730">
                <w:pPr>
                  <w:rPr>
                    <w:rFonts w:cs="Times New Roman"/>
                  </w:rPr>
                </w:pPr>
                <w:r>
                  <w:rPr>
                    <w:rFonts w:cs="Times New Roman"/>
                  </w:rPr>
                  <w:t>应付货款</w:t>
                </w:r>
              </w:p>
            </w:tc>
            <w:tc>
              <w:tcPr>
                <w:tcW w:w="1584" w:type="pct"/>
                <w:vAlign w:val="center"/>
              </w:tcPr>
              <w:p w14:paraId="5CAC3D94">
                <w:pPr>
                  <w:jc w:val="right"/>
                  <w:rPr>
                    <w:rFonts w:cs="Times New Roman"/>
                  </w:rPr>
                </w:pPr>
                <w:r>
                  <w:rPr>
                    <w:rFonts w:cs="Times New Roman"/>
                  </w:rPr>
                  <w:t>631,871,885.73</w:t>
                </w:r>
              </w:p>
            </w:tc>
            <w:tc>
              <w:tcPr>
                <w:tcW w:w="1846" w:type="pct"/>
                <w:vAlign w:val="center"/>
              </w:tcPr>
              <w:p w14:paraId="6A67B24B">
                <w:pPr>
                  <w:jc w:val="right"/>
                  <w:rPr>
                    <w:rFonts w:cs="Times New Roman"/>
                  </w:rPr>
                </w:pPr>
                <w:r>
                  <w:rPr>
                    <w:rFonts w:cs="Times New Roman"/>
                  </w:rPr>
                  <w:t>660,062,871.54</w:t>
                </w:r>
              </w:p>
            </w:tc>
          </w:tr>
        </w:sdtContent>
      </w:sdt>
      <w:sdt>
        <w:sdtPr>
          <w:rPr>
            <w:rFonts w:cs="Times New Roman"/>
            <w:color w:val="000000" w:themeColor="text1"/>
            <w14:textFill>
              <w14:solidFill>
                <w14:schemeClr w14:val="tx1"/>
              </w14:solidFill>
            </w14:textFill>
          </w:rPr>
          <w:alias w:val="应付账款情况明细"/>
          <w:tag w:val="_GBC_6a9eb940fbe64774bcca168078c6adaa"/>
          <w:id w:val="-1086146432"/>
          <w:placeholder>
            <w:docPart w:val="{675b4e51-4ded-4f81-868b-1cf1e144ab31}"/>
          </w:placeholder>
        </w:sdtPr>
        <w:sdtEndPr>
          <w:rPr>
            <w:rFonts w:cs="Times New Roman"/>
            <w:color w:val="000000" w:themeColor="text1"/>
            <w14:textFill>
              <w14:solidFill>
                <w14:schemeClr w14:val="tx1"/>
              </w14:solidFill>
            </w14:textFill>
          </w:rPr>
        </w:sdtEndPr>
        <w:sdtContent>
          <w:tr w14:paraId="1242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Pr>
              <w:p w14:paraId="46BEE29D">
                <w:pPr>
                  <w:rPr>
                    <w:rFonts w:cs="Times New Roman"/>
                  </w:rPr>
                </w:pPr>
                <w:r>
                  <w:rPr>
                    <w:rFonts w:cs="Times New Roman"/>
                  </w:rPr>
                  <w:t>应付运费</w:t>
                </w:r>
              </w:p>
            </w:tc>
            <w:tc>
              <w:tcPr>
                <w:tcW w:w="1584" w:type="pct"/>
                <w:vAlign w:val="center"/>
              </w:tcPr>
              <w:p w14:paraId="4A3AD7FB">
                <w:pPr>
                  <w:jc w:val="right"/>
                  <w:rPr>
                    <w:rFonts w:cs="Times New Roman"/>
                  </w:rPr>
                </w:pPr>
                <w:r>
                  <w:rPr>
                    <w:rFonts w:cs="Times New Roman"/>
                  </w:rPr>
                  <w:t>5,207,951.17</w:t>
                </w:r>
              </w:p>
            </w:tc>
            <w:tc>
              <w:tcPr>
                <w:tcW w:w="1846" w:type="pct"/>
                <w:vAlign w:val="center"/>
              </w:tcPr>
              <w:p w14:paraId="0DA6163E">
                <w:pPr>
                  <w:jc w:val="right"/>
                  <w:rPr>
                    <w:rFonts w:cs="Times New Roman"/>
                  </w:rPr>
                </w:pPr>
                <w:r>
                  <w:rPr>
                    <w:rFonts w:cs="Times New Roman"/>
                  </w:rPr>
                  <w:t>5,943,588.84</w:t>
                </w:r>
              </w:p>
            </w:tc>
          </w:tr>
        </w:sdtContent>
      </w:sdt>
      <w:sdt>
        <w:sdtPr>
          <w:rPr>
            <w:rFonts w:cs="Times New Roman"/>
            <w:color w:val="000000" w:themeColor="text1"/>
            <w14:textFill>
              <w14:solidFill>
                <w14:schemeClr w14:val="tx1"/>
              </w14:solidFill>
            </w14:textFill>
          </w:rPr>
          <w:alias w:val="应付账款情况明细"/>
          <w:tag w:val="_GBC_6a9eb940fbe64774bcca168078c6adaa"/>
          <w:id w:val="1713146399"/>
          <w:placeholder>
            <w:docPart w:val="{675b4e51-4ded-4f81-868b-1cf1e144ab31}"/>
          </w:placeholder>
        </w:sdtPr>
        <w:sdtEndPr>
          <w:rPr>
            <w:rFonts w:cs="Times New Roman"/>
            <w:color w:val="000000" w:themeColor="text1"/>
            <w14:textFill>
              <w14:solidFill>
                <w14:schemeClr w14:val="tx1"/>
              </w14:solidFill>
            </w14:textFill>
          </w:rPr>
        </w:sdtEndPr>
        <w:sdtContent>
          <w:tr w14:paraId="53B5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Pr>
              <w:p w14:paraId="0D76E58C">
                <w:pPr>
                  <w:rPr>
                    <w:rFonts w:cs="Times New Roman"/>
                  </w:rPr>
                </w:pPr>
                <w:r>
                  <w:rPr>
                    <w:rFonts w:cs="Times New Roman"/>
                  </w:rPr>
                  <w:t>应付工程款</w:t>
                </w:r>
              </w:p>
            </w:tc>
            <w:tc>
              <w:tcPr>
                <w:tcW w:w="1584" w:type="pct"/>
                <w:vAlign w:val="center"/>
              </w:tcPr>
              <w:p w14:paraId="302FE6E3">
                <w:pPr>
                  <w:jc w:val="right"/>
                  <w:rPr>
                    <w:rFonts w:cs="Times New Roman"/>
                  </w:rPr>
                </w:pPr>
                <w:r>
                  <w:rPr>
                    <w:rFonts w:cs="Times New Roman"/>
                  </w:rPr>
                  <w:t>286,265,100.51</w:t>
                </w:r>
              </w:p>
            </w:tc>
            <w:tc>
              <w:tcPr>
                <w:tcW w:w="1846" w:type="pct"/>
                <w:vAlign w:val="center"/>
              </w:tcPr>
              <w:p w14:paraId="3B0AEF6F">
                <w:pPr>
                  <w:jc w:val="right"/>
                  <w:rPr>
                    <w:rFonts w:cs="Times New Roman"/>
                  </w:rPr>
                </w:pPr>
                <w:r>
                  <w:rPr>
                    <w:rFonts w:cs="Times New Roman"/>
                  </w:rPr>
                  <w:t>326,195,551.85</w:t>
                </w:r>
              </w:p>
            </w:tc>
          </w:tr>
        </w:sdtContent>
      </w:sdt>
      <w:sdt>
        <w:sdtPr>
          <w:rPr>
            <w:rFonts w:cs="Times New Roman"/>
            <w:color w:val="000000" w:themeColor="text1"/>
            <w14:textFill>
              <w14:solidFill>
                <w14:schemeClr w14:val="tx1"/>
              </w14:solidFill>
            </w14:textFill>
          </w:rPr>
          <w:alias w:val="应付账款情况明细"/>
          <w:tag w:val="_GBC_6a9eb940fbe64774bcca168078c6adaa"/>
          <w:id w:val="700053672"/>
          <w:placeholder>
            <w:docPart w:val="{675b4e51-4ded-4f81-868b-1cf1e144ab31}"/>
          </w:placeholder>
        </w:sdtPr>
        <w:sdtEndPr>
          <w:rPr>
            <w:rFonts w:cs="Times New Roman"/>
            <w:color w:val="000000" w:themeColor="text1"/>
            <w14:textFill>
              <w14:solidFill>
                <w14:schemeClr w14:val="tx1"/>
              </w14:solidFill>
            </w14:textFill>
          </w:rPr>
        </w:sdtEndPr>
        <w:sdtContent>
          <w:tr w14:paraId="0BD9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Pr>
              <w:p w14:paraId="29F94BB2">
                <w:pPr>
                  <w:rPr>
                    <w:rFonts w:cs="Times New Roman"/>
                  </w:rPr>
                </w:pPr>
                <w:r>
                  <w:rPr>
                    <w:rFonts w:cs="Times New Roman"/>
                  </w:rPr>
                  <w:t>应付设备款</w:t>
                </w:r>
              </w:p>
            </w:tc>
            <w:tc>
              <w:tcPr>
                <w:tcW w:w="1584" w:type="pct"/>
                <w:vAlign w:val="center"/>
              </w:tcPr>
              <w:p w14:paraId="7F59E861">
                <w:pPr>
                  <w:jc w:val="right"/>
                  <w:rPr>
                    <w:rFonts w:cs="Times New Roman"/>
                  </w:rPr>
                </w:pPr>
                <w:r>
                  <w:rPr>
                    <w:rFonts w:cs="Times New Roman"/>
                  </w:rPr>
                  <w:t>90,862,519.70</w:t>
                </w:r>
              </w:p>
            </w:tc>
            <w:tc>
              <w:tcPr>
                <w:tcW w:w="1846" w:type="pct"/>
                <w:vAlign w:val="center"/>
              </w:tcPr>
              <w:p w14:paraId="4C9F6F94">
                <w:pPr>
                  <w:jc w:val="right"/>
                  <w:rPr>
                    <w:rFonts w:cs="Times New Roman"/>
                  </w:rPr>
                </w:pPr>
                <w:r>
                  <w:rPr>
                    <w:rFonts w:cs="Times New Roman"/>
                  </w:rPr>
                  <w:t>99,322,485.15</w:t>
                </w:r>
              </w:p>
            </w:tc>
          </w:tr>
        </w:sdtContent>
      </w:sdt>
      <w:sdt>
        <w:sdtPr>
          <w:rPr>
            <w:rFonts w:cs="Times New Roman"/>
            <w:color w:val="000000" w:themeColor="text1"/>
            <w14:textFill>
              <w14:solidFill>
                <w14:schemeClr w14:val="tx1"/>
              </w14:solidFill>
            </w14:textFill>
          </w:rPr>
          <w:alias w:val="应付账款情况明细"/>
          <w:tag w:val="_GBC_6a9eb940fbe64774bcca168078c6adaa"/>
          <w:id w:val="-371300835"/>
          <w:placeholder>
            <w:docPart w:val="{675b4e51-4ded-4f81-868b-1cf1e144ab31}"/>
          </w:placeholder>
        </w:sdtPr>
        <w:sdtEndPr>
          <w:rPr>
            <w:rFonts w:cs="Times New Roman"/>
            <w:color w:val="000000" w:themeColor="text1"/>
            <w14:textFill>
              <w14:solidFill>
                <w14:schemeClr w14:val="tx1"/>
              </w14:solidFill>
            </w14:textFill>
          </w:rPr>
        </w:sdtEndPr>
        <w:sdtContent>
          <w:tr w14:paraId="2CD46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Pr>
              <w:p w14:paraId="5098779A">
                <w:pPr>
                  <w:rPr>
                    <w:rFonts w:cs="Times New Roman"/>
                  </w:rPr>
                </w:pPr>
                <w:r>
                  <w:rPr>
                    <w:rFonts w:cs="Times New Roman"/>
                  </w:rPr>
                  <w:t>其他</w:t>
                </w:r>
              </w:p>
            </w:tc>
            <w:tc>
              <w:tcPr>
                <w:tcW w:w="1584" w:type="pct"/>
                <w:vAlign w:val="center"/>
              </w:tcPr>
              <w:p w14:paraId="7A88DD08">
                <w:pPr>
                  <w:jc w:val="right"/>
                  <w:rPr>
                    <w:rFonts w:cs="Times New Roman"/>
                  </w:rPr>
                </w:pPr>
                <w:r>
                  <w:rPr>
                    <w:rFonts w:cs="Times New Roman"/>
                  </w:rPr>
                  <w:t>56,532,554.89</w:t>
                </w:r>
              </w:p>
            </w:tc>
            <w:tc>
              <w:tcPr>
                <w:tcW w:w="1846" w:type="pct"/>
                <w:vAlign w:val="center"/>
              </w:tcPr>
              <w:p w14:paraId="31AE8160">
                <w:pPr>
                  <w:jc w:val="right"/>
                  <w:rPr>
                    <w:rFonts w:cs="Times New Roman"/>
                  </w:rPr>
                </w:pPr>
                <w:r>
                  <w:rPr>
                    <w:rFonts w:cs="Times New Roman"/>
                  </w:rPr>
                  <w:t>56,953,125.77</w:t>
                </w:r>
              </w:p>
            </w:tc>
          </w:tr>
        </w:sdtContent>
      </w:sdt>
      <w:tr w14:paraId="5A00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b82b4cb1d4fa4c8fb75bed463f2da31b"/>
            <w:id w:val="-1088533841"/>
          </w:sdtPr>
          <w:sdtEndPr>
            <w:rPr>
              <w:rFonts w:cs="Times New Roman"/>
            </w:rPr>
          </w:sdtEndPr>
          <w:sdtContent>
            <w:tc>
              <w:tcPr>
                <w:tcW w:w="1570" w:type="pct"/>
              </w:tcPr>
              <w:p w14:paraId="4C6AE2E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c>
          <w:tcPr>
            <w:tcW w:w="1584" w:type="pct"/>
            <w:vAlign w:val="center"/>
          </w:tcPr>
          <w:p w14:paraId="67633928">
            <w:pPr>
              <w:jc w:val="right"/>
              <w:rPr>
                <w:rFonts w:cs="Times New Roman"/>
              </w:rPr>
            </w:pPr>
            <w:r>
              <w:rPr>
                <w:rFonts w:cs="Times New Roman"/>
              </w:rPr>
              <w:t>2,461,080,100.16</w:t>
            </w:r>
          </w:p>
        </w:tc>
        <w:tc>
          <w:tcPr>
            <w:tcW w:w="1846" w:type="pct"/>
            <w:vAlign w:val="center"/>
          </w:tcPr>
          <w:p w14:paraId="7277A3AA">
            <w:pPr>
              <w:jc w:val="right"/>
              <w:rPr>
                <w:rFonts w:cs="Times New Roman"/>
              </w:rPr>
            </w:pPr>
            <w:r>
              <w:rPr>
                <w:rFonts w:cs="Times New Roman"/>
              </w:rPr>
              <w:t>3,253,056,965.76</w:t>
            </w:r>
          </w:p>
        </w:tc>
      </w:tr>
    </w:tbl>
    <w:p w14:paraId="217BBB3B">
      <w:pPr>
        <w:rPr>
          <w:color w:val="000000" w:themeColor="text1"/>
          <w14:textFill>
            <w14:solidFill>
              <w14:schemeClr w14:val="tx1"/>
            </w14:solidFill>
          </w14:textFill>
        </w:rPr>
      </w:pPr>
    </w:p>
    <w:p w14:paraId="6EFCA590">
      <w:pPr>
        <w:pStyle w:val="5"/>
        <w:numPr>
          <w:ilvl w:val="0"/>
          <w:numId w:val="79"/>
        </w:numPr>
        <w:tabs>
          <w:tab w:val="left" w:pos="588"/>
        </w:tabs>
        <w:rPr>
          <w:rFonts w:ascii="宋体" w:hAnsi="宋体"/>
          <w:color w:val="000000" w:themeColor="text1"/>
          <w:kern w:val="0"/>
          <w14:textFill>
            <w14:solidFill>
              <w14:schemeClr w14:val="tx1"/>
            </w14:solidFill>
          </w14:textFill>
        </w:rPr>
      </w:pPr>
      <w:r>
        <w:rPr>
          <w:rFonts w:hint="eastAsia" w:ascii="宋体" w:hAnsi="宋体"/>
          <w:color w:val="000000" w:themeColor="text1"/>
          <w:kern w:val="0"/>
          <w14:textFill>
            <w14:solidFill>
              <w14:schemeClr w14:val="tx1"/>
            </w14:solidFill>
          </w14:textFill>
        </w:rPr>
        <w:t>账龄超过</w:t>
      </w:r>
      <w:r>
        <w:rPr>
          <w:rFonts w:ascii="宋体" w:hAnsi="宋体"/>
          <w:color w:val="000000" w:themeColor="text1"/>
          <w:kern w:val="0"/>
          <w14:textFill>
            <w14:solidFill>
              <w14:schemeClr w14:val="tx1"/>
            </w14:solidFill>
          </w14:textFill>
        </w:rPr>
        <w:t>1年</w:t>
      </w:r>
      <w:r>
        <w:rPr>
          <w:rFonts w:hint="eastAsia" w:ascii="宋体" w:hAnsi="宋体"/>
          <w:color w:val="000000" w:themeColor="text1"/>
          <w:kern w:val="0"/>
          <w14:textFill>
            <w14:solidFill>
              <w14:schemeClr w14:val="tx1"/>
            </w14:solidFill>
          </w14:textFill>
        </w:rPr>
        <w:t>或逾期</w:t>
      </w:r>
      <w:r>
        <w:rPr>
          <w:rFonts w:ascii="宋体" w:hAnsi="宋体"/>
          <w:color w:val="000000" w:themeColor="text1"/>
          <w:kern w:val="0"/>
          <w14:textFill>
            <w14:solidFill>
              <w14:schemeClr w14:val="tx1"/>
            </w14:solidFill>
          </w14:textFill>
        </w:rPr>
        <w:t>的重要应付账款</w:t>
      </w:r>
    </w:p>
    <w:sdt>
      <w:sdtPr>
        <w:rPr>
          <w:color w:val="000000" w:themeColor="text1"/>
          <w14:textFill>
            <w14:solidFill>
              <w14:schemeClr w14:val="tx1"/>
            </w14:solidFill>
          </w14:textFill>
        </w:rPr>
        <w:alias w:val="是否适用：账龄超过1年的重要应付账款[双击切换]"/>
        <w:tag w:val="_GBC_02c6e7ed8ae149e8a09f5b80217deb89"/>
        <w:id w:val="1746609124"/>
      </w:sdtPr>
      <w:sdtEndPr>
        <w:rPr>
          <w:color w:val="000000" w:themeColor="text1"/>
          <w14:textFill>
            <w14:solidFill>
              <w14:schemeClr w14:val="tx1"/>
            </w14:solidFill>
          </w14:textFill>
        </w:rPr>
      </w:sdtEndPr>
      <w:sdtContent>
        <w:p w14:paraId="59FB5A1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7DED639A">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重要的账龄超过1年的应付账款"/>
          <w:tag w:val="_GBC_4828fbb06386477f83dfc0c7b55875e7"/>
          <w:id w:val="975339712"/>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重要的账龄超过1年的应付账款"/>
          <w:tag w:val="_GBC_56837a7d36f94902b75d8fe132af82b6"/>
          <w:id w:val="-160079158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3"/>
        <w:gridCol w:w="2827"/>
        <w:gridCol w:w="2939"/>
      </w:tblGrid>
      <w:tr w14:paraId="0EBD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31272c72b1bc41e2a47d7fbfb0839e2b"/>
            <w:id w:val="-506599668"/>
          </w:sdtPr>
          <w:sdtEndPr>
            <w:rPr>
              <w:rFonts w:cs="Times New Roman"/>
            </w:rPr>
          </w:sdtEndPr>
          <w:sdtContent>
            <w:tc>
              <w:tcPr>
                <w:tcW w:w="1814" w:type="pct"/>
                <w:vAlign w:val="center"/>
              </w:tcPr>
              <w:p w14:paraId="0587C8B0">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41b9d7d7e0c84d6c9f8c3a0a59e37c14"/>
            <w:id w:val="528607402"/>
          </w:sdtPr>
          <w:sdtEndPr>
            <w:rPr>
              <w:rFonts w:cs="Times New Roman"/>
            </w:rPr>
          </w:sdtEndPr>
          <w:sdtContent>
            <w:tc>
              <w:tcPr>
                <w:tcW w:w="1562" w:type="pct"/>
                <w:vAlign w:val="center"/>
              </w:tcPr>
              <w:p w14:paraId="083D439F">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49e0f43ba09d42649fabb4ecc22986ca"/>
            <w:id w:val="699439603"/>
          </w:sdtPr>
          <w:sdtEndPr>
            <w:rPr>
              <w:rFonts w:cs="Times New Roman"/>
            </w:rPr>
          </w:sdtEndPr>
          <w:sdtContent>
            <w:tc>
              <w:tcPr>
                <w:tcW w:w="1624" w:type="pct"/>
                <w:vAlign w:val="center"/>
              </w:tcPr>
              <w:p w14:paraId="3187F86C">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未偿还或结转的原因</w:t>
                </w:r>
              </w:p>
            </w:tc>
          </w:sdtContent>
        </w:sdt>
      </w:tr>
      <w:sdt>
        <w:sdtPr>
          <w:rPr>
            <w:rFonts w:cs="Times New Roman"/>
            <w:color w:val="000000" w:themeColor="text1"/>
            <w14:textFill>
              <w14:solidFill>
                <w14:schemeClr w14:val="tx1"/>
              </w14:solidFill>
            </w14:textFill>
          </w:rPr>
          <w:alias w:val="重要的账龄超过1年的应付账款明细"/>
          <w:tag w:val="_GBC_3c24b8450a0a47bd8859f88e883aa952"/>
          <w:id w:val="1725645732"/>
          <w:placeholder>
            <w:docPart w:val="{b46afa6c-b4bd-4b7d-bcbe-7ec724afd91c}"/>
          </w:placeholder>
        </w:sdtPr>
        <w:sdtEndPr>
          <w:rPr>
            <w:rFonts w:cs="Times New Roman"/>
            <w:color w:val="000000" w:themeColor="text1"/>
            <w14:textFill>
              <w14:solidFill>
                <w14:schemeClr w14:val="tx1"/>
              </w14:solidFill>
            </w14:textFill>
          </w:rPr>
        </w:sdtEndPr>
        <w:sdtContent>
          <w:tr w14:paraId="7969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tcPr>
              <w:p w14:paraId="317A7946">
                <w:pPr>
                  <w:rPr>
                    <w:rFonts w:cs="Times New Roman"/>
                  </w:rPr>
                </w:pPr>
                <w:r>
                  <w:rPr>
                    <w:rFonts w:cs="Times New Roman"/>
                  </w:rPr>
                  <w:t>应付材料款</w:t>
                </w:r>
              </w:p>
            </w:tc>
            <w:tc>
              <w:tcPr>
                <w:tcW w:w="1562" w:type="pct"/>
                <w:vAlign w:val="center"/>
              </w:tcPr>
              <w:p w14:paraId="3CB14CC3">
                <w:pPr>
                  <w:jc w:val="right"/>
                  <w:rPr>
                    <w:rFonts w:cs="Times New Roman"/>
                  </w:rPr>
                </w:pPr>
                <w:r>
                  <w:rPr>
                    <w:rFonts w:cs="Times New Roman"/>
                  </w:rPr>
                  <w:t>16,047,660.00</w:t>
                </w:r>
              </w:p>
            </w:tc>
            <w:tc>
              <w:tcPr>
                <w:tcW w:w="1624" w:type="pct"/>
              </w:tcPr>
              <w:p w14:paraId="78AAF890">
                <w:pPr>
                  <w:rPr>
                    <w:rFonts w:cs="Times New Roman"/>
                  </w:rPr>
                </w:pPr>
                <w:r>
                  <w:rPr>
                    <w:rFonts w:cs="Times New Roman"/>
                  </w:rPr>
                  <w:t>合同尚未执行完毕</w:t>
                </w:r>
              </w:p>
            </w:tc>
          </w:tr>
        </w:sdtContent>
      </w:sdt>
      <w:sdt>
        <w:sdtPr>
          <w:rPr>
            <w:rFonts w:cs="Times New Roman"/>
            <w:color w:val="000000" w:themeColor="text1"/>
            <w14:textFill>
              <w14:solidFill>
                <w14:schemeClr w14:val="tx1"/>
              </w14:solidFill>
            </w14:textFill>
          </w:rPr>
          <w:alias w:val="重要的账龄超过1年的应付账款明细"/>
          <w:tag w:val="_GBC_3c24b8450a0a47bd8859f88e883aa952"/>
          <w:id w:val="1159884440"/>
          <w:placeholder>
            <w:docPart w:val="{b46afa6c-b4bd-4b7d-bcbe-7ec724afd91c}"/>
          </w:placeholder>
        </w:sdtPr>
        <w:sdtEndPr>
          <w:rPr>
            <w:rFonts w:cs="Times New Roman"/>
            <w:color w:val="000000" w:themeColor="text1"/>
            <w14:textFill>
              <w14:solidFill>
                <w14:schemeClr w14:val="tx1"/>
              </w14:solidFill>
            </w14:textFill>
          </w:rPr>
        </w:sdtEndPr>
        <w:sdtContent>
          <w:tr w14:paraId="03D66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tcPr>
              <w:p w14:paraId="72DA6BD7">
                <w:pPr>
                  <w:rPr>
                    <w:rFonts w:cs="Times New Roman"/>
                  </w:rPr>
                </w:pPr>
                <w:r>
                  <w:rPr>
                    <w:rFonts w:cs="Times New Roman"/>
                  </w:rPr>
                  <w:t>应付工程款</w:t>
                </w:r>
              </w:p>
            </w:tc>
            <w:tc>
              <w:tcPr>
                <w:tcW w:w="1562" w:type="pct"/>
                <w:vAlign w:val="center"/>
              </w:tcPr>
              <w:p w14:paraId="517DE188">
                <w:pPr>
                  <w:jc w:val="right"/>
                  <w:rPr>
                    <w:rFonts w:cs="Times New Roman"/>
                  </w:rPr>
                </w:pPr>
                <w:r>
                  <w:rPr>
                    <w:rFonts w:cs="Times New Roman"/>
                  </w:rPr>
                  <w:t>169,845,978.77</w:t>
                </w:r>
              </w:p>
            </w:tc>
            <w:tc>
              <w:tcPr>
                <w:tcW w:w="1624" w:type="pct"/>
              </w:tcPr>
              <w:p w14:paraId="3D4B5D62">
                <w:pPr>
                  <w:rPr>
                    <w:rFonts w:cs="Times New Roman"/>
                  </w:rPr>
                </w:pPr>
                <w:r>
                  <w:rPr>
                    <w:rFonts w:cs="Times New Roman"/>
                  </w:rPr>
                  <w:t>合同尚未执行完毕</w:t>
                </w:r>
              </w:p>
            </w:tc>
          </w:tr>
        </w:sdtContent>
      </w:sdt>
      <w:sdt>
        <w:sdtPr>
          <w:rPr>
            <w:rFonts w:cs="Times New Roman"/>
            <w:color w:val="000000" w:themeColor="text1"/>
            <w14:textFill>
              <w14:solidFill>
                <w14:schemeClr w14:val="tx1"/>
              </w14:solidFill>
            </w14:textFill>
          </w:rPr>
          <w:alias w:val="重要的账龄超过1年的应付账款明细"/>
          <w:tag w:val="_GBC_3c24b8450a0a47bd8859f88e883aa952"/>
          <w:id w:val="627899704"/>
          <w:placeholder>
            <w:docPart w:val="{b46afa6c-b4bd-4b7d-bcbe-7ec724afd91c}"/>
          </w:placeholder>
        </w:sdtPr>
        <w:sdtEndPr>
          <w:rPr>
            <w:rFonts w:cs="Times New Roman"/>
            <w:color w:val="000000" w:themeColor="text1"/>
            <w14:textFill>
              <w14:solidFill>
                <w14:schemeClr w14:val="tx1"/>
              </w14:solidFill>
            </w14:textFill>
          </w:rPr>
        </w:sdtEndPr>
        <w:sdtContent>
          <w:tr w14:paraId="6DCA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tcPr>
              <w:p w14:paraId="7955E52C">
                <w:pPr>
                  <w:rPr>
                    <w:rFonts w:cs="Times New Roman"/>
                  </w:rPr>
                </w:pPr>
                <w:r>
                  <w:rPr>
                    <w:rFonts w:cs="Times New Roman"/>
                  </w:rPr>
                  <w:t>应付货款</w:t>
                </w:r>
              </w:p>
            </w:tc>
            <w:tc>
              <w:tcPr>
                <w:tcW w:w="1562" w:type="pct"/>
                <w:vAlign w:val="center"/>
              </w:tcPr>
              <w:p w14:paraId="0BBAEBD3">
                <w:pPr>
                  <w:jc w:val="right"/>
                  <w:rPr>
                    <w:rFonts w:cs="Times New Roman"/>
                  </w:rPr>
                </w:pPr>
                <w:r>
                  <w:rPr>
                    <w:rFonts w:cs="Times New Roman"/>
                  </w:rPr>
                  <w:t>114,244,071.12</w:t>
                </w:r>
              </w:p>
            </w:tc>
            <w:tc>
              <w:tcPr>
                <w:tcW w:w="1624" w:type="pct"/>
              </w:tcPr>
              <w:p w14:paraId="698A1142">
                <w:pPr>
                  <w:rPr>
                    <w:rFonts w:cs="Times New Roman"/>
                  </w:rPr>
                </w:pPr>
                <w:r>
                  <w:rPr>
                    <w:rFonts w:cs="Times New Roman"/>
                  </w:rPr>
                  <w:t>合同尚未执行完毕</w:t>
                </w:r>
              </w:p>
            </w:tc>
          </w:tr>
        </w:sdtContent>
      </w:sdt>
      <w:tr w14:paraId="78A55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eca4761bb44d46c18cd4488e72a6e130"/>
            <w:id w:val="-1375079066"/>
          </w:sdtPr>
          <w:sdtEndPr>
            <w:rPr>
              <w:rFonts w:cs="Times New Roman"/>
            </w:rPr>
          </w:sdtEndPr>
          <w:sdtContent>
            <w:tc>
              <w:tcPr>
                <w:tcW w:w="1814" w:type="pct"/>
                <w:vAlign w:val="center"/>
              </w:tcPr>
              <w:p w14:paraId="7B48FC84">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c>
          <w:tcPr>
            <w:tcW w:w="1562" w:type="pct"/>
            <w:vAlign w:val="center"/>
          </w:tcPr>
          <w:p w14:paraId="25C4B7DA">
            <w:pPr>
              <w:jc w:val="right"/>
              <w:rPr>
                <w:rFonts w:cs="Times New Roman"/>
              </w:rPr>
            </w:pPr>
            <w:r>
              <w:rPr>
                <w:rFonts w:cs="Times New Roman"/>
              </w:rPr>
              <w:t>300,137,709.89</w:t>
            </w:r>
          </w:p>
        </w:tc>
        <w:tc>
          <w:tcPr>
            <w:tcW w:w="1624" w:type="pct"/>
          </w:tcPr>
          <w:p w14:paraId="353EDE9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bl>
    <w:p w14:paraId="3CF4FE3D">
      <w:pPr>
        <w:rPr>
          <w:color w:val="000000" w:themeColor="text1"/>
          <w14:textFill>
            <w14:solidFill>
              <w14:schemeClr w14:val="tx1"/>
            </w14:solidFill>
          </w14:textFill>
        </w:rPr>
      </w:pPr>
    </w:p>
    <w:p w14:paraId="3360E3F9">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应付账款的其他说明[双击切换]"/>
        <w:tag w:val="_GBC_9a797e83ea1747e9aca4221e6cdfe89f"/>
        <w:id w:val="147465837"/>
        <w:placeholder>
          <w:docPart w:val="GBC22222222222222222222222222222"/>
        </w:placeholder>
      </w:sdtPr>
      <w:sdtEndPr>
        <w:rPr>
          <w:color w:val="000000" w:themeColor="text1"/>
          <w14:textFill>
            <w14:solidFill>
              <w14:schemeClr w14:val="tx1"/>
            </w14:solidFill>
          </w14:textFill>
        </w:rPr>
      </w:sdtEndPr>
      <w:sdtContent>
        <w:p w14:paraId="2FF4C83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038A51A">
      <w:pPr>
        <w:snapToGrid w:val="0"/>
        <w:spacing w:line="240" w:lineRule="atLeast"/>
        <w:rPr>
          <w:color w:val="000000" w:themeColor="text1"/>
          <w14:textFill>
            <w14:solidFill>
              <w14:schemeClr w14:val="tx1"/>
            </w14:solidFill>
          </w14:textFill>
        </w:rPr>
      </w:pPr>
    </w:p>
    <w:p w14:paraId="1414E9EA">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预收款项</w:t>
      </w:r>
    </w:p>
    <w:p w14:paraId="1CEDD131">
      <w:pPr>
        <w:pStyle w:val="5"/>
        <w:numPr>
          <w:ilvl w:val="0"/>
          <w:numId w:val="80"/>
        </w:num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预收账款项列示</w:t>
      </w:r>
    </w:p>
    <w:sdt>
      <w:sdtPr>
        <w:rPr>
          <w:color w:val="000000" w:themeColor="text1"/>
          <w14:textFill>
            <w14:solidFill>
              <w14:schemeClr w14:val="tx1"/>
            </w14:solidFill>
          </w14:textFill>
        </w:rPr>
        <w:alias w:val="是否适用：预收账款项列示[双击切换]"/>
        <w:tag w:val="_GBC_cf9ab7f5f12c4f788a9bbb6e3ef9c9de"/>
        <w:id w:val="-1316023497"/>
      </w:sdtPr>
      <w:sdtEndPr>
        <w:rPr>
          <w:color w:val="000000" w:themeColor="text1"/>
          <w14:textFill>
            <w14:solidFill>
              <w14:schemeClr w14:val="tx1"/>
            </w14:solidFill>
          </w14:textFill>
        </w:rPr>
      </w:sdtEndPr>
      <w:sdtContent>
        <w:p w14:paraId="3D26916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22FC7459">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预收账款情况"/>
          <w:tag w:val="_GBC_f4564e0d7a8a4a9589aae9168c4c8fdb"/>
          <w:id w:val="1706374298"/>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预收账款情况"/>
          <w:tag w:val="_GBC_e993db46bf3641c59c10bd3e14a930d9"/>
          <w:id w:val="122965363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3078"/>
        <w:gridCol w:w="3074"/>
      </w:tblGrid>
      <w:tr w14:paraId="29B0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d5dd98b095374d108e2df93a96e434bb"/>
            <w:id w:val="1508251053"/>
          </w:sdtPr>
          <w:sdtEndPr>
            <w:rPr>
              <w:rFonts w:cs="Times New Roman"/>
            </w:rPr>
          </w:sdtEndPr>
          <w:sdtContent>
            <w:tc>
              <w:tcPr>
                <w:tcW w:w="1600" w:type="pct"/>
              </w:tcPr>
              <w:p w14:paraId="303563E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9fc077db74354318b54c7ec24cd1ce0c"/>
            <w:id w:val="-899360937"/>
          </w:sdtPr>
          <w:sdtEndPr>
            <w:rPr>
              <w:rFonts w:cs="Times New Roman"/>
            </w:rPr>
          </w:sdtEndPr>
          <w:sdtContent>
            <w:tc>
              <w:tcPr>
                <w:tcW w:w="1700" w:type="pct"/>
              </w:tcPr>
              <w:p w14:paraId="6F2B2F4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aa9447699c054ad4b698586b835a3180"/>
            <w:id w:val="-2098012702"/>
          </w:sdtPr>
          <w:sdtEndPr>
            <w:rPr>
              <w:rFonts w:cs="Times New Roman"/>
            </w:rPr>
          </w:sdtEndPr>
          <w:sdtContent>
            <w:tc>
              <w:tcPr>
                <w:tcW w:w="1698" w:type="pct"/>
              </w:tcPr>
              <w:p w14:paraId="4658444A">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tr>
      <w:sdt>
        <w:sdtPr>
          <w:rPr>
            <w:rFonts w:cs="Times New Roman"/>
            <w:color w:val="000000" w:themeColor="text1"/>
            <w14:textFill>
              <w14:solidFill>
                <w14:schemeClr w14:val="tx1"/>
              </w14:solidFill>
            </w14:textFill>
          </w:rPr>
          <w:alias w:val="预收账款情况明细"/>
          <w:tag w:val="_GBC_230853c1febc415e90da55e0c713ce54"/>
          <w:id w:val="-1852942619"/>
          <w:placeholder>
            <w:docPart w:val="{77489c01-767b-4814-8639-35fe896fae20}"/>
          </w:placeholder>
        </w:sdtPr>
        <w:sdtEndPr>
          <w:rPr>
            <w:rFonts w:cs="Times New Roman"/>
            <w:color w:val="000000" w:themeColor="text1"/>
            <w14:textFill>
              <w14:solidFill>
                <w14:schemeClr w14:val="tx1"/>
              </w14:solidFill>
            </w14:textFill>
          </w:rPr>
        </w:sdtEndPr>
        <w:sdtContent>
          <w:tr w14:paraId="0A550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tcPr>
              <w:p w14:paraId="451F3339">
                <w:pPr>
                  <w:rPr>
                    <w:rFonts w:cs="Times New Roman"/>
                  </w:rPr>
                </w:pPr>
                <w:r>
                  <w:rPr>
                    <w:rFonts w:cs="Times New Roman"/>
                  </w:rPr>
                  <w:t>预收租金</w:t>
                </w:r>
              </w:p>
            </w:tc>
            <w:tc>
              <w:tcPr>
                <w:tcW w:w="1700" w:type="pct"/>
                <w:vAlign w:val="center"/>
              </w:tcPr>
              <w:p w14:paraId="2E61F14B">
                <w:pPr>
                  <w:jc w:val="right"/>
                  <w:rPr>
                    <w:rFonts w:cs="Times New Roman"/>
                  </w:rPr>
                </w:pPr>
                <w:r>
                  <w:rPr>
                    <w:rFonts w:cs="Times New Roman"/>
                  </w:rPr>
                  <w:t>19,861,549.47</w:t>
                </w:r>
              </w:p>
            </w:tc>
            <w:tc>
              <w:tcPr>
                <w:tcW w:w="1698" w:type="pct"/>
                <w:vAlign w:val="center"/>
              </w:tcPr>
              <w:p w14:paraId="6AE6E5D0">
                <w:pPr>
                  <w:jc w:val="right"/>
                  <w:rPr>
                    <w:rFonts w:cs="Times New Roman"/>
                  </w:rPr>
                </w:pPr>
                <w:r>
                  <w:rPr>
                    <w:rFonts w:cs="Times New Roman"/>
                  </w:rPr>
                  <w:t>30,609,636.04</w:t>
                </w:r>
              </w:p>
            </w:tc>
          </w:tr>
        </w:sdtContent>
      </w:sdt>
      <w:sdt>
        <w:sdtPr>
          <w:rPr>
            <w:rFonts w:cs="Times New Roman"/>
          </w:rPr>
          <w:alias w:val="预收账款情况明细"/>
          <w:tag w:val="_GBC_230853c1febc415e90da55e0c713ce54"/>
          <w:id w:val="1314993608"/>
          <w:placeholder>
            <w:docPart w:val="{77489c01-767b-4814-8639-35fe896fae20}"/>
          </w:placeholder>
        </w:sdtPr>
        <w:sdtEndPr>
          <w:rPr>
            <w:rFonts w:cs="Times New Roman"/>
          </w:rPr>
        </w:sdtEndPr>
        <w:sdtContent>
          <w:tr w14:paraId="0DD9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dbdcdc98ceee47408e8ac7a0d53c5b39"/>
                <w:id w:val="-214280392"/>
              </w:sdtPr>
              <w:sdtEndPr>
                <w:rPr>
                  <w:rFonts w:cs="Times New Roman"/>
                </w:rPr>
              </w:sdtEndPr>
              <w:sdtContent>
                <w:tc>
                  <w:tcPr>
                    <w:tcW w:w="1600" w:type="pct"/>
                  </w:tcPr>
                  <w:p w14:paraId="1A266E4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c>
              <w:tcPr>
                <w:tcW w:w="1700" w:type="pct"/>
                <w:vAlign w:val="center"/>
              </w:tcPr>
              <w:p w14:paraId="5762E5B8">
                <w:pPr>
                  <w:jc w:val="right"/>
                  <w:rPr>
                    <w:rFonts w:cs="Times New Roman"/>
                  </w:rPr>
                </w:pPr>
                <w:r>
                  <w:rPr>
                    <w:rFonts w:cs="Times New Roman"/>
                  </w:rPr>
                  <w:t>19,861,549.47</w:t>
                </w:r>
              </w:p>
            </w:tc>
            <w:tc>
              <w:tcPr>
                <w:tcW w:w="1698" w:type="pct"/>
                <w:vAlign w:val="center"/>
              </w:tcPr>
              <w:p w14:paraId="144532D3">
                <w:pPr>
                  <w:jc w:val="right"/>
                  <w:rPr>
                    <w:rFonts w:cs="Times New Roman"/>
                  </w:rPr>
                </w:pPr>
                <w:r>
                  <w:rPr>
                    <w:rFonts w:cs="Times New Roman"/>
                  </w:rPr>
                  <w:t>30,609,636.04</w:t>
                </w:r>
              </w:p>
            </w:tc>
          </w:tr>
        </w:sdtContent>
      </w:sdt>
    </w:tbl>
    <w:p w14:paraId="7BB76602">
      <w:pPr>
        <w:rPr>
          <w:color w:val="000000" w:themeColor="text1"/>
          <w14:textFill>
            <w14:solidFill>
              <w14:schemeClr w14:val="tx1"/>
            </w14:solidFill>
          </w14:textFill>
        </w:rPr>
      </w:pPr>
    </w:p>
    <w:p w14:paraId="43B95EA2">
      <w:pPr>
        <w:pStyle w:val="5"/>
        <w:numPr>
          <w:ilvl w:val="0"/>
          <w:numId w:val="80"/>
        </w:num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账龄超过1年的重要预收款项</w:t>
      </w:r>
    </w:p>
    <w:sdt>
      <w:sdtPr>
        <w:rPr>
          <w:color w:val="000000" w:themeColor="text1"/>
          <w14:textFill>
            <w14:solidFill>
              <w14:schemeClr w14:val="tx1"/>
            </w14:solidFill>
          </w14:textFill>
        </w:rPr>
        <w:alias w:val="是否适用：账龄超过1年的重要预收款项[双击切换]"/>
        <w:tag w:val="_GBC_ae7ea5bab4b04b2cb170af5020f86302"/>
        <w:id w:val="147465762"/>
        <w:placeholder>
          <w:docPart w:val="GBC22222222222222222222222222222"/>
        </w:placeholder>
      </w:sdtPr>
      <w:sdtEndPr>
        <w:rPr>
          <w:color w:val="000000" w:themeColor="text1"/>
          <w14:textFill>
            <w14:solidFill>
              <w14:schemeClr w14:val="tx1"/>
            </w14:solidFill>
          </w14:textFill>
        </w:rPr>
      </w:sdtEndPr>
      <w:sdtContent>
        <w:p w14:paraId="15B3D85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01FDDFA">
      <w:pPr>
        <w:rPr>
          <w:rFonts w:cstheme="minorBidi"/>
          <w:color w:val="000000" w:themeColor="text1"/>
          <w14:textFill>
            <w14:solidFill>
              <w14:schemeClr w14:val="tx1"/>
            </w14:solidFill>
          </w14:textFill>
        </w:rPr>
      </w:pPr>
    </w:p>
    <w:p w14:paraId="715FC698">
      <w:pPr>
        <w:pStyle w:val="5"/>
        <w:numPr>
          <w:ilvl w:val="0"/>
          <w:numId w:val="80"/>
        </w:numPr>
        <w:rPr>
          <w:rFonts w:ascii="宋体" w:hAnsi="宋体"/>
          <w:color w:val="000000" w:themeColor="text1"/>
          <w:szCs w:val="21"/>
          <w14:textFill>
            <w14:solidFill>
              <w14:schemeClr w14:val="tx1"/>
            </w14:solidFill>
          </w14:textFill>
        </w:rPr>
      </w:pPr>
      <w:bookmarkStart w:id="350" w:name="_Hlk167960464"/>
      <w:r>
        <w:rPr>
          <w:rFonts w:hint="eastAsia" w:ascii="宋体" w:hAnsi="宋体"/>
          <w:color w:val="000000" w:themeColor="text1"/>
          <w:szCs w:val="21"/>
          <w14:textFill>
            <w14:solidFill>
              <w14:schemeClr w14:val="tx1"/>
            </w14:solidFill>
          </w14:textFill>
        </w:rPr>
        <w:t>报告期内账面价值发生重大变动的金额和原因</w:t>
      </w:r>
    </w:p>
    <w:sdt>
      <w:sdtPr>
        <w:rPr>
          <w:color w:val="000000" w:themeColor="text1"/>
          <w14:textFill>
            <w14:solidFill>
              <w14:schemeClr w14:val="tx1"/>
            </w14:solidFill>
          </w14:textFill>
        </w:rPr>
        <w:alias w:val="是否适用：预收款项账面价值发生重大变动的金额和原因?[双击切换]"/>
        <w:tag w:val="_GBC_e406dc580328407abd4af2aa60e13e28"/>
        <w:id w:val="147464422"/>
        <w:placeholder>
          <w:docPart w:val="GBC22222222222222222222222222222"/>
        </w:placeholder>
      </w:sdtPr>
      <w:sdtEndPr>
        <w:rPr>
          <w:color w:val="000000" w:themeColor="text1"/>
          <w14:textFill>
            <w14:solidFill>
              <w14:schemeClr w14:val="tx1"/>
            </w14:solidFill>
          </w14:textFill>
        </w:rPr>
      </w:sdtEndPr>
      <w:sdtContent>
        <w:p w14:paraId="6D39477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A46A2DA">
      <w:pPr>
        <w:rPr>
          <w:color w:val="000000" w:themeColor="text1"/>
          <w14:textFill>
            <w14:solidFill>
              <w14:schemeClr w14:val="tx1"/>
            </w14:solidFill>
          </w14:textFill>
        </w:rPr>
      </w:pPr>
    </w:p>
    <w:bookmarkEnd w:id="350"/>
    <w:p w14:paraId="2C8FDDE3">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预收账款的其他说明[双击切换]"/>
        <w:tag w:val="_GBC_f473b6b28a104ffc812e6da4cf5177e5"/>
        <w:id w:val="147457565"/>
        <w:placeholder>
          <w:docPart w:val="GBC22222222222222222222222222222"/>
        </w:placeholder>
      </w:sdtPr>
      <w:sdtEndPr>
        <w:rPr>
          <w:color w:val="000000" w:themeColor="text1"/>
          <w14:textFill>
            <w14:solidFill>
              <w14:schemeClr w14:val="tx1"/>
            </w14:solidFill>
          </w14:textFill>
        </w:rPr>
      </w:sdtEndPr>
      <w:sdtContent>
        <w:p w14:paraId="2878612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25AADFA">
      <w:pPr>
        <w:rPr>
          <w:color w:val="000000" w:themeColor="text1"/>
          <w14:textFill>
            <w14:solidFill>
              <w14:schemeClr w14:val="tx1"/>
            </w14:solidFill>
          </w14:textFill>
        </w:rPr>
      </w:pPr>
    </w:p>
    <w:p w14:paraId="6E21C4CC">
      <w:pPr>
        <w:pStyle w:val="57"/>
        <w:numPr>
          <w:ilvl w:val="0"/>
          <w:numId w:val="54"/>
        </w:numPr>
        <w:rPr>
          <w:color w:val="000000" w:themeColor="text1"/>
          <w:szCs w:val="21"/>
          <w14:textFill>
            <w14:solidFill>
              <w14:schemeClr w14:val="tx1"/>
            </w14:solidFill>
          </w14:textFill>
        </w:rPr>
      </w:pPr>
      <w:bookmarkStart w:id="351" w:name="_Hlk10535609"/>
      <w:r>
        <w:rPr>
          <w:rFonts w:hint="eastAsia"/>
          <w:color w:val="000000" w:themeColor="text1"/>
          <w:szCs w:val="21"/>
          <w14:textFill>
            <w14:solidFill>
              <w14:schemeClr w14:val="tx1"/>
            </w14:solidFill>
          </w14:textFill>
        </w:rPr>
        <w:t>合同负债</w:t>
      </w:r>
    </w:p>
    <w:p w14:paraId="0E10EBC6">
      <w:pPr>
        <w:pStyle w:val="58"/>
        <w:numPr>
          <w:ilvl w:val="0"/>
          <w:numId w:val="81"/>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合同负债情况</w:t>
      </w:r>
    </w:p>
    <w:sdt>
      <w:sdtPr>
        <w:rPr>
          <w:color w:val="000000" w:themeColor="text1"/>
          <w14:textFill>
            <w14:solidFill>
              <w14:schemeClr w14:val="tx1"/>
            </w14:solidFill>
          </w14:textFill>
        </w:rPr>
        <w:alias w:val="是否适用：合同负债情况[双击切换]"/>
        <w:tag w:val="_GBC_2b6238a8ea00438eab947f83a5f6451d"/>
        <w:id w:val="2028208023"/>
      </w:sdtPr>
      <w:sdtEndPr>
        <w:rPr>
          <w:color w:val="000000" w:themeColor="text1"/>
          <w14:textFill>
            <w14:solidFill>
              <w14:schemeClr w14:val="tx1"/>
            </w14:solidFill>
          </w14:textFill>
        </w:rPr>
      </w:sdtEndPr>
      <w:sdtContent>
        <w:p w14:paraId="0C5DCFC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0B0BACE6">
      <w:pPr>
        <w:ind w:left="36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合同负债情况"/>
          <w:tag w:val="_GBC_0024c0ddc3514b009e8166b63dc10ae9"/>
          <w:id w:val="-1252042438"/>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合同负债情况"/>
          <w:tag w:val="_GBC_154d9411b9764a4f8e1412d0a22c8375"/>
          <w:id w:val="142476859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3078"/>
        <w:gridCol w:w="3074"/>
      </w:tblGrid>
      <w:tr w14:paraId="755C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c5e783ac966e416184ff57e436f98be2"/>
            <w:id w:val="316380902"/>
          </w:sdtPr>
          <w:sdtEndPr>
            <w:rPr>
              <w:rFonts w:cs="Times New Roman"/>
            </w:rPr>
          </w:sdtEndPr>
          <w:sdtContent>
            <w:tc>
              <w:tcPr>
                <w:tcW w:w="1601" w:type="pct"/>
              </w:tcPr>
              <w:p w14:paraId="1A9B07B9">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a4f8a9567271447e9f7bc01f59c6eed6"/>
            <w:id w:val="1158193484"/>
          </w:sdtPr>
          <w:sdtEndPr>
            <w:rPr>
              <w:rFonts w:cs="Times New Roman"/>
            </w:rPr>
          </w:sdtEndPr>
          <w:sdtContent>
            <w:tc>
              <w:tcPr>
                <w:tcW w:w="1701" w:type="pct"/>
                <w:vAlign w:val="center"/>
              </w:tcPr>
              <w:p w14:paraId="20AB43AF">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b8f751ec83834a96b0e87c862d2ae80b"/>
            <w:id w:val="1116258119"/>
          </w:sdtPr>
          <w:sdtEndPr>
            <w:rPr>
              <w:rFonts w:cs="Times New Roman"/>
            </w:rPr>
          </w:sdtEndPr>
          <w:sdtContent>
            <w:tc>
              <w:tcPr>
                <w:tcW w:w="1698" w:type="pct"/>
                <w:vAlign w:val="center"/>
              </w:tcPr>
              <w:p w14:paraId="250B3359">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tr>
      <w:sdt>
        <w:sdtPr>
          <w:rPr>
            <w:rFonts w:cs="Times New Roman"/>
            <w:color w:val="000000" w:themeColor="text1"/>
            <w14:textFill>
              <w14:solidFill>
                <w14:schemeClr w14:val="tx1"/>
              </w14:solidFill>
            </w14:textFill>
          </w:rPr>
          <w:alias w:val="合同负债明细"/>
          <w:tag w:val="_TUP_d1c7a7f050fb40619e0f52b844ab99a2"/>
          <w:id w:val="1794556465"/>
          <w:placeholder>
            <w:docPart w:val="{3d117078-d684-4d51-9e6b-7f31e594f04d}"/>
          </w:placeholder>
        </w:sdtPr>
        <w:sdtEndPr>
          <w:rPr>
            <w:rFonts w:cs="Times New Roman"/>
            <w:color w:val="000000" w:themeColor="text1"/>
            <w14:textFill>
              <w14:solidFill>
                <w14:schemeClr w14:val="tx1"/>
              </w14:solidFill>
            </w14:textFill>
          </w:rPr>
        </w:sdtEndPr>
        <w:sdtContent>
          <w:tr w14:paraId="7E73F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Pr>
              <w:p w14:paraId="3FA86642">
                <w:pPr>
                  <w:rPr>
                    <w:rFonts w:cs="Times New Roman"/>
                  </w:rPr>
                </w:pPr>
                <w:r>
                  <w:rPr>
                    <w:rFonts w:cs="Times New Roman"/>
                  </w:rPr>
                  <w:t>预收货款</w:t>
                </w:r>
              </w:p>
            </w:tc>
            <w:tc>
              <w:tcPr>
                <w:tcW w:w="1701" w:type="pct"/>
                <w:vAlign w:val="center"/>
              </w:tcPr>
              <w:p w14:paraId="4DC6DD40">
                <w:pPr>
                  <w:jc w:val="right"/>
                  <w:rPr>
                    <w:rFonts w:cs="Times New Roman"/>
                  </w:rPr>
                </w:pPr>
                <w:r>
                  <w:rPr>
                    <w:rFonts w:cs="Times New Roman"/>
                  </w:rPr>
                  <w:t>502,596,189.52</w:t>
                </w:r>
              </w:p>
            </w:tc>
            <w:tc>
              <w:tcPr>
                <w:tcW w:w="1698" w:type="pct"/>
                <w:vAlign w:val="center"/>
              </w:tcPr>
              <w:p w14:paraId="1A5A06E3">
                <w:pPr>
                  <w:jc w:val="right"/>
                  <w:rPr>
                    <w:rFonts w:cs="Times New Roman"/>
                  </w:rPr>
                </w:pPr>
                <w:r>
                  <w:rPr>
                    <w:rFonts w:cs="Times New Roman"/>
                  </w:rPr>
                  <w:t>741,649,367.11</w:t>
                </w:r>
              </w:p>
            </w:tc>
          </w:tr>
        </w:sdtContent>
      </w:sdt>
      <w:sdt>
        <w:sdtPr>
          <w:rPr>
            <w:rFonts w:cs="Times New Roman"/>
            <w:color w:val="000000" w:themeColor="text1"/>
            <w14:textFill>
              <w14:solidFill>
                <w14:schemeClr w14:val="tx1"/>
              </w14:solidFill>
            </w14:textFill>
          </w:rPr>
          <w:alias w:val="合同负债明细"/>
          <w:tag w:val="_TUP_d1c7a7f050fb40619e0f52b844ab99a2"/>
          <w:id w:val="969713123"/>
          <w:placeholder>
            <w:docPart w:val="{3d117078-d684-4d51-9e6b-7f31e594f04d}"/>
          </w:placeholder>
        </w:sdtPr>
        <w:sdtEndPr>
          <w:rPr>
            <w:rFonts w:cs="Times New Roman"/>
            <w:color w:val="000000" w:themeColor="text1"/>
            <w14:textFill>
              <w14:solidFill>
                <w14:schemeClr w14:val="tx1"/>
              </w14:solidFill>
            </w14:textFill>
          </w:rPr>
        </w:sdtEndPr>
        <w:sdtContent>
          <w:tr w14:paraId="3DF82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Pr>
              <w:p w14:paraId="568F4052">
                <w:pPr>
                  <w:rPr>
                    <w:rFonts w:cs="Times New Roman"/>
                  </w:rPr>
                </w:pPr>
                <w:r>
                  <w:rPr>
                    <w:rFonts w:cs="Times New Roman"/>
                  </w:rPr>
                  <w:t>预收房款</w:t>
                </w:r>
              </w:p>
            </w:tc>
            <w:tc>
              <w:tcPr>
                <w:tcW w:w="1701" w:type="pct"/>
                <w:vAlign w:val="center"/>
              </w:tcPr>
              <w:p w14:paraId="3E46D5B5">
                <w:pPr>
                  <w:jc w:val="right"/>
                  <w:rPr>
                    <w:rFonts w:cs="Times New Roman"/>
                  </w:rPr>
                </w:pPr>
                <w:r>
                  <w:rPr>
                    <w:rFonts w:cs="Times New Roman"/>
                  </w:rPr>
                  <w:t>433,331,164.07</w:t>
                </w:r>
              </w:p>
            </w:tc>
            <w:tc>
              <w:tcPr>
                <w:tcW w:w="1698" w:type="pct"/>
                <w:vAlign w:val="center"/>
              </w:tcPr>
              <w:p w14:paraId="71285DB7">
                <w:pPr>
                  <w:jc w:val="right"/>
                  <w:rPr>
                    <w:rFonts w:cs="Times New Roman"/>
                  </w:rPr>
                </w:pPr>
                <w:r>
                  <w:rPr>
                    <w:rFonts w:cs="Times New Roman"/>
                  </w:rPr>
                  <w:t>200,747,583.17</w:t>
                </w:r>
              </w:p>
            </w:tc>
          </w:tr>
        </w:sdtContent>
      </w:sdt>
      <w:tr w14:paraId="6A40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749720f346f74db784b99fec9408ed39"/>
            <w:id w:val="1701048390"/>
          </w:sdtPr>
          <w:sdtEndPr>
            <w:rPr>
              <w:rFonts w:cs="Times New Roman"/>
            </w:rPr>
          </w:sdtEndPr>
          <w:sdtContent>
            <w:tc>
              <w:tcPr>
                <w:tcW w:w="1601" w:type="pct"/>
              </w:tcPr>
              <w:p w14:paraId="04C003A7">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c>
          <w:tcPr>
            <w:tcW w:w="1701" w:type="pct"/>
            <w:vAlign w:val="center"/>
          </w:tcPr>
          <w:p w14:paraId="0195FB52">
            <w:pPr>
              <w:jc w:val="right"/>
              <w:rPr>
                <w:rFonts w:cs="Times New Roman"/>
              </w:rPr>
            </w:pPr>
            <w:r>
              <w:rPr>
                <w:rFonts w:cs="Times New Roman"/>
              </w:rPr>
              <w:t>935,927,353.59</w:t>
            </w:r>
          </w:p>
        </w:tc>
        <w:tc>
          <w:tcPr>
            <w:tcW w:w="1698" w:type="pct"/>
            <w:vAlign w:val="center"/>
          </w:tcPr>
          <w:p w14:paraId="45A6082A">
            <w:pPr>
              <w:jc w:val="right"/>
              <w:rPr>
                <w:rFonts w:cs="Times New Roman"/>
              </w:rPr>
            </w:pPr>
            <w:r>
              <w:rPr>
                <w:rFonts w:cs="Times New Roman"/>
              </w:rPr>
              <w:t>942,396,950.28</w:t>
            </w:r>
          </w:p>
        </w:tc>
      </w:tr>
    </w:tbl>
    <w:p w14:paraId="0600955F">
      <w:pPr>
        <w:rPr>
          <w:color w:val="000000" w:themeColor="text1"/>
          <w14:textFill>
            <w14:solidFill>
              <w14:schemeClr w14:val="tx1"/>
            </w14:solidFill>
          </w14:textFill>
        </w:rPr>
      </w:pPr>
    </w:p>
    <w:p w14:paraId="000AFEB1">
      <w:pPr>
        <w:rPr>
          <w:color w:val="000000" w:themeColor="text1"/>
          <w14:textFill>
            <w14:solidFill>
              <w14:schemeClr w14:val="tx1"/>
            </w14:solidFill>
          </w14:textFill>
        </w:rPr>
      </w:pPr>
    </w:p>
    <w:bookmarkEnd w:id="351"/>
    <w:p w14:paraId="6A816611">
      <w:pPr>
        <w:pStyle w:val="58"/>
        <w:numPr>
          <w:ilvl w:val="0"/>
          <w:numId w:val="81"/>
        </w:numPr>
        <w:rPr>
          <w:rFonts w:ascii="宋体" w:hAnsi="宋体"/>
          <w:color w:val="000000" w:themeColor="text1"/>
          <w14:textFill>
            <w14:solidFill>
              <w14:schemeClr w14:val="tx1"/>
            </w14:solidFill>
          </w14:textFill>
        </w:rPr>
      </w:pPr>
      <w:bookmarkStart w:id="352" w:name="_Hlk167960548"/>
      <w:r>
        <w:rPr>
          <w:rFonts w:hint="eastAsia" w:ascii="宋体" w:hAnsi="宋体"/>
          <w:color w:val="000000" w:themeColor="text1"/>
          <w14:textFill>
            <w14:solidFill>
              <w14:schemeClr w14:val="tx1"/>
            </w14:solidFill>
          </w14:textFill>
        </w:rPr>
        <w:t>账龄超过1年的重要合同负债</w:t>
      </w:r>
    </w:p>
    <w:sdt>
      <w:sdtPr>
        <w:rPr>
          <w:color w:val="000000" w:themeColor="text1"/>
          <w14:textFill>
            <w14:solidFill>
              <w14:schemeClr w14:val="tx1"/>
            </w14:solidFill>
          </w14:textFill>
        </w:rPr>
        <w:alias w:val="是否适用：账龄超过1年的重要合同负债明细[双击切换]"/>
        <w:tag w:val="_GBC_aef24e08ea524c9a9a25ec0e93c6c574"/>
        <w:id w:val="480739107"/>
      </w:sdtPr>
      <w:sdtEndPr>
        <w:rPr>
          <w:color w:val="000000" w:themeColor="text1"/>
          <w14:textFill>
            <w14:solidFill>
              <w14:schemeClr w14:val="tx1"/>
            </w14:solidFill>
          </w14:textFill>
        </w:rPr>
      </w:sdtEndPr>
      <w:sdtContent>
        <w:p w14:paraId="29874DA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06087900">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账龄超过2年的重要合同负债明细"/>
          <w:tag w:val="_GBC_053e1a97fea0488280aee989bba6e363"/>
          <w:id w:val="-949243477"/>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账龄超过3年的重要合同负债明细"/>
          <w:tag w:val="_GBC_52195bdb13b0483ba0133c69acccf3f0"/>
          <w:id w:val="1048419164"/>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2"/>
        <w:gridCol w:w="2438"/>
        <w:gridCol w:w="3049"/>
      </w:tblGrid>
      <w:tr w14:paraId="1506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1983e85101bf4be392ffaddbf00b542a"/>
            <w:id w:val="1906574387"/>
          </w:sdtPr>
          <w:sdtEndPr>
            <w:rPr>
              <w:rFonts w:cs="Times New Roman"/>
            </w:rPr>
          </w:sdtEndPr>
          <w:sdtContent>
            <w:tc>
              <w:tcPr>
                <w:tcW w:w="1968" w:type="pct"/>
                <w:vAlign w:val="center"/>
              </w:tcPr>
              <w:p w14:paraId="6DB3A6B7">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dbc00cae273249b18efa889a4b2e726e"/>
            <w:id w:val="1788920629"/>
          </w:sdtPr>
          <w:sdtEndPr>
            <w:rPr>
              <w:rFonts w:cs="Times New Roman"/>
            </w:rPr>
          </w:sdtEndPr>
          <w:sdtContent>
            <w:tc>
              <w:tcPr>
                <w:tcW w:w="1347" w:type="pct"/>
                <w:vAlign w:val="center"/>
              </w:tcPr>
              <w:p w14:paraId="123814D0">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357d74a4b9a84205bc2d12fa07d440ac"/>
            <w:id w:val="618110933"/>
          </w:sdtPr>
          <w:sdtEndPr>
            <w:rPr>
              <w:rFonts w:cs="Times New Roman"/>
            </w:rPr>
          </w:sdtEndPr>
          <w:sdtContent>
            <w:tc>
              <w:tcPr>
                <w:tcW w:w="1684" w:type="pct"/>
                <w:vAlign w:val="center"/>
              </w:tcPr>
              <w:p w14:paraId="6074DF1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未偿还或结转的原因</w:t>
                </w:r>
              </w:p>
            </w:tc>
          </w:sdtContent>
        </w:sdt>
      </w:tr>
      <w:sdt>
        <w:sdtPr>
          <w:rPr>
            <w:rFonts w:cs="Times New Roman"/>
            <w:color w:val="000000" w:themeColor="text1"/>
            <w14:textFill>
              <w14:solidFill>
                <w14:schemeClr w14:val="tx1"/>
              </w14:solidFill>
            </w14:textFill>
          </w:rPr>
          <w:alias w:val="账龄超过1年的重要合同负债明细"/>
          <w:tag w:val="_TUP_bb86390c50984c5daa7d8bcd0395c750"/>
          <w:id w:val="109169666"/>
          <w:placeholder>
            <w:docPart w:val="{2cc8f0d7-c5d6-4c8a-a47f-adb2d612b16a}"/>
          </w:placeholder>
        </w:sdtPr>
        <w:sdtEndPr>
          <w:rPr>
            <w:rFonts w:cs="Times New Roman"/>
            <w:color w:val="000000" w:themeColor="text1"/>
            <w14:textFill>
              <w14:solidFill>
                <w14:schemeClr w14:val="tx1"/>
              </w14:solidFill>
            </w14:textFill>
          </w:rPr>
        </w:sdtEndPr>
        <w:sdtContent>
          <w:tr w14:paraId="1ECB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pct"/>
                <w:tcBorders>
                  <w:bottom w:val="single" w:color="auto" w:sz="4" w:space="0"/>
                </w:tcBorders>
              </w:tcPr>
              <w:p w14:paraId="1D28E24D">
                <w:pPr>
                  <w:rPr>
                    <w:rFonts w:cs="Times New Roman"/>
                  </w:rPr>
                </w:pPr>
                <w:r>
                  <w:rPr>
                    <w:rFonts w:cs="Times New Roman"/>
                  </w:rPr>
                  <w:t>北京鑫源荣海装备科技有限公司</w:t>
                </w:r>
              </w:p>
            </w:tc>
            <w:tc>
              <w:tcPr>
                <w:tcW w:w="1347" w:type="pct"/>
                <w:vAlign w:val="center"/>
              </w:tcPr>
              <w:p w14:paraId="32BDF061">
                <w:pPr>
                  <w:jc w:val="right"/>
                  <w:rPr>
                    <w:rFonts w:cs="Times New Roman"/>
                  </w:rPr>
                </w:pPr>
                <w:r>
                  <w:rPr>
                    <w:rFonts w:cs="Times New Roman"/>
                  </w:rPr>
                  <w:t>38,672,654.87</w:t>
                </w:r>
              </w:p>
            </w:tc>
            <w:tc>
              <w:tcPr>
                <w:tcW w:w="1684" w:type="pct"/>
              </w:tcPr>
              <w:p w14:paraId="4CDAB0F1">
                <w:pPr>
                  <w:rPr>
                    <w:rFonts w:cs="Times New Roman"/>
                  </w:rPr>
                </w:pPr>
                <w:r>
                  <w:rPr>
                    <w:rFonts w:cs="Times New Roman"/>
                  </w:rPr>
                  <w:t>尚未结算</w:t>
                </w:r>
              </w:p>
            </w:tc>
          </w:tr>
        </w:sdtContent>
      </w:sdt>
      <w:sdt>
        <w:sdtPr>
          <w:rPr>
            <w:rFonts w:cs="Times New Roman"/>
            <w:color w:val="000000" w:themeColor="text1"/>
            <w14:textFill>
              <w14:solidFill>
                <w14:schemeClr w14:val="tx1"/>
              </w14:solidFill>
            </w14:textFill>
          </w:rPr>
          <w:alias w:val="账龄超过1年的重要合同负债明细"/>
          <w:tag w:val="_TUP_bb86390c50984c5daa7d8bcd0395c750"/>
          <w:id w:val="-1019148170"/>
          <w:placeholder>
            <w:docPart w:val="{2cc8f0d7-c5d6-4c8a-a47f-adb2d612b16a}"/>
          </w:placeholder>
        </w:sdtPr>
        <w:sdtEndPr>
          <w:rPr>
            <w:rFonts w:cs="Times New Roman"/>
            <w:color w:val="000000" w:themeColor="text1"/>
            <w14:textFill>
              <w14:solidFill>
                <w14:schemeClr w14:val="tx1"/>
              </w14:solidFill>
            </w14:textFill>
          </w:rPr>
        </w:sdtEndPr>
        <w:sdtContent>
          <w:tr w14:paraId="4FFCF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pct"/>
                <w:tcBorders>
                  <w:bottom w:val="single" w:color="auto" w:sz="4" w:space="0"/>
                </w:tcBorders>
              </w:tcPr>
              <w:p w14:paraId="2C5C04B0">
                <w:pPr>
                  <w:rPr>
                    <w:rFonts w:cs="Times New Roman"/>
                  </w:rPr>
                </w:pPr>
                <w:r>
                  <w:rPr>
                    <w:rFonts w:cs="Times New Roman"/>
                  </w:rPr>
                  <w:t>江苏禹尧化工有限公司</w:t>
                </w:r>
              </w:p>
            </w:tc>
            <w:tc>
              <w:tcPr>
                <w:tcW w:w="1347" w:type="pct"/>
                <w:vAlign w:val="center"/>
              </w:tcPr>
              <w:p w14:paraId="55058D18">
                <w:pPr>
                  <w:jc w:val="right"/>
                  <w:rPr>
                    <w:rFonts w:cs="Times New Roman"/>
                  </w:rPr>
                </w:pPr>
                <w:r>
                  <w:rPr>
                    <w:rFonts w:cs="Times New Roman"/>
                  </w:rPr>
                  <w:t>76,372,764.60</w:t>
                </w:r>
              </w:p>
            </w:tc>
            <w:tc>
              <w:tcPr>
                <w:tcW w:w="1684" w:type="pct"/>
              </w:tcPr>
              <w:p w14:paraId="145379C6">
                <w:pPr>
                  <w:rPr>
                    <w:rFonts w:cs="Times New Roman"/>
                  </w:rPr>
                </w:pPr>
                <w:r>
                  <w:rPr>
                    <w:rFonts w:cs="Times New Roman"/>
                  </w:rPr>
                  <w:t>尚未结算</w:t>
                </w:r>
              </w:p>
            </w:tc>
          </w:tr>
        </w:sdtContent>
      </w:sdt>
      <w:sdt>
        <w:sdtPr>
          <w:rPr>
            <w:rFonts w:cs="Times New Roman"/>
            <w:color w:val="000000" w:themeColor="text1"/>
            <w14:textFill>
              <w14:solidFill>
                <w14:schemeClr w14:val="tx1"/>
              </w14:solidFill>
            </w14:textFill>
          </w:rPr>
          <w:alias w:val="账龄超过1年的重要合同负债明细"/>
          <w:tag w:val="_TUP_bb86390c50984c5daa7d8bcd0395c750"/>
          <w:id w:val="-713819489"/>
          <w:placeholder>
            <w:docPart w:val="{2cc8f0d7-c5d6-4c8a-a47f-adb2d612b16a}"/>
          </w:placeholder>
        </w:sdtPr>
        <w:sdtEndPr>
          <w:rPr>
            <w:rFonts w:cs="Times New Roman"/>
            <w:color w:val="000000" w:themeColor="text1"/>
            <w14:textFill>
              <w14:solidFill>
                <w14:schemeClr w14:val="tx1"/>
              </w14:solidFill>
            </w14:textFill>
          </w:rPr>
        </w:sdtEndPr>
        <w:sdtContent>
          <w:tr w14:paraId="18C1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pct"/>
                <w:tcBorders>
                  <w:bottom w:val="single" w:color="auto" w:sz="4" w:space="0"/>
                </w:tcBorders>
              </w:tcPr>
              <w:p w14:paraId="23343E90">
                <w:pPr>
                  <w:rPr>
                    <w:rFonts w:cs="Times New Roman"/>
                  </w:rPr>
                </w:pPr>
                <w:r>
                  <w:rPr>
                    <w:rFonts w:cs="Times New Roman"/>
                  </w:rPr>
                  <w:t>江苏正信和荣石油化工有限公司</w:t>
                </w:r>
              </w:p>
            </w:tc>
            <w:tc>
              <w:tcPr>
                <w:tcW w:w="1347" w:type="pct"/>
                <w:vAlign w:val="center"/>
              </w:tcPr>
              <w:p w14:paraId="68D2C7C5">
                <w:pPr>
                  <w:jc w:val="right"/>
                  <w:rPr>
                    <w:rFonts w:cs="Times New Roman"/>
                  </w:rPr>
                </w:pPr>
                <w:r>
                  <w:rPr>
                    <w:rFonts w:cs="Times New Roman"/>
                  </w:rPr>
                  <w:t>35,890,892.04</w:t>
                </w:r>
              </w:p>
            </w:tc>
            <w:tc>
              <w:tcPr>
                <w:tcW w:w="1684" w:type="pct"/>
              </w:tcPr>
              <w:p w14:paraId="65CBD3F9">
                <w:pPr>
                  <w:rPr>
                    <w:rFonts w:cs="Times New Roman"/>
                  </w:rPr>
                </w:pPr>
                <w:r>
                  <w:rPr>
                    <w:rFonts w:cs="Times New Roman"/>
                  </w:rPr>
                  <w:t>尚未结算</w:t>
                </w:r>
              </w:p>
            </w:tc>
          </w:tr>
        </w:sdtContent>
      </w:sdt>
      <w:tr w14:paraId="2AB7D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pct"/>
            <w:vAlign w:val="center"/>
          </w:tcPr>
          <w:sdt>
            <w:sdtPr>
              <w:rPr>
                <w:rFonts w:cs="Times New Roman"/>
              </w:rPr>
              <w:tag w:val="_PLD_e3b3258c46d743d0b0195710d25d46b9"/>
              <w:id w:val="392397991"/>
            </w:sdtPr>
            <w:sdtEndPr>
              <w:rPr>
                <w:rFonts w:cs="Times New Roman"/>
              </w:rPr>
            </w:sdtEndPr>
            <w:sdtContent>
              <w:p w14:paraId="7AF761C4">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sdtContent>
          </w:sdt>
        </w:tc>
        <w:tc>
          <w:tcPr>
            <w:tcW w:w="1347" w:type="pct"/>
            <w:vAlign w:val="center"/>
          </w:tcPr>
          <w:p w14:paraId="59129252">
            <w:pPr>
              <w:jc w:val="right"/>
              <w:rPr>
                <w:rFonts w:cs="Times New Roman"/>
              </w:rPr>
            </w:pPr>
            <w:r>
              <w:rPr>
                <w:rFonts w:cs="Times New Roman"/>
              </w:rPr>
              <w:t>150,936,311.51</w:t>
            </w:r>
          </w:p>
        </w:tc>
        <w:tc>
          <w:tcPr>
            <w:tcW w:w="1684" w:type="pct"/>
          </w:tcPr>
          <w:sdt>
            <w:sdtPr>
              <w:rPr>
                <w:rFonts w:cs="Times New Roman"/>
              </w:rPr>
              <w:tag w:val="_PLD_5388a40f5f0145e08ca6997c29794a7a"/>
              <w:id w:val="1415433671"/>
            </w:sdtPr>
            <w:sdtEndPr>
              <w:rPr>
                <w:rFonts w:cs="Times New Roman"/>
              </w:rPr>
            </w:sdtEndPr>
            <w:sdtContent>
              <w:p w14:paraId="0B0D48B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sdtContent>
          </w:sdt>
        </w:tc>
      </w:tr>
    </w:tbl>
    <w:p w14:paraId="27BBF631">
      <w:pPr>
        <w:rPr>
          <w:color w:val="000000" w:themeColor="text1"/>
          <w14:textFill>
            <w14:solidFill>
              <w14:schemeClr w14:val="tx1"/>
            </w14:solidFill>
          </w14:textFill>
        </w:rPr>
      </w:pPr>
    </w:p>
    <w:bookmarkEnd w:id="352"/>
    <w:p w14:paraId="7A261D5D">
      <w:pPr>
        <w:pStyle w:val="58"/>
        <w:numPr>
          <w:ilvl w:val="0"/>
          <w:numId w:val="81"/>
        </w:numPr>
        <w:rPr>
          <w:rFonts w:ascii="宋体" w:hAnsi="宋体"/>
          <w:color w:val="000000" w:themeColor="text1"/>
          <w14:textFill>
            <w14:solidFill>
              <w14:schemeClr w14:val="tx1"/>
            </w14:solidFill>
          </w14:textFill>
        </w:rPr>
      </w:pPr>
      <w:bookmarkStart w:id="353" w:name="_Hlk10535674"/>
      <w:r>
        <w:rPr>
          <w:rFonts w:hint="eastAsia" w:ascii="宋体" w:hAnsi="宋体"/>
          <w:color w:val="000000" w:themeColor="text1"/>
          <w14:textFill>
            <w14:solidFill>
              <w14:schemeClr w14:val="tx1"/>
            </w14:solidFill>
          </w14:textFill>
        </w:rPr>
        <w:t>报告期内账面价值发生重大变动的金额和原因</w:t>
      </w:r>
    </w:p>
    <w:sdt>
      <w:sdtPr>
        <w:rPr>
          <w:color w:val="000000" w:themeColor="text1"/>
          <w14:textFill>
            <w14:solidFill>
              <w14:schemeClr w14:val="tx1"/>
            </w14:solidFill>
          </w14:textFill>
        </w:rPr>
        <w:alias w:val="是否适用：合同负债账面价值发生重大变动[双击切换]"/>
        <w:tag w:val="_GBC_18d9cdd7095d4bda8f22860c58746248"/>
        <w:id w:val="147456737"/>
        <w:placeholder>
          <w:docPart w:val="GBC22222222222222222222222222222"/>
        </w:placeholder>
      </w:sdtPr>
      <w:sdtEndPr>
        <w:rPr>
          <w:color w:val="000000" w:themeColor="text1"/>
          <w14:textFill>
            <w14:solidFill>
              <w14:schemeClr w14:val="tx1"/>
            </w14:solidFill>
          </w14:textFill>
        </w:rPr>
      </w:sdtEndPr>
      <w:sdtContent>
        <w:p w14:paraId="183D117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3EF565D">
      <w:pPr>
        <w:rPr>
          <w:color w:val="000000" w:themeColor="text1"/>
          <w14:textFill>
            <w14:solidFill>
              <w14:schemeClr w14:val="tx1"/>
            </w14:solidFill>
          </w14:textFill>
        </w:rPr>
      </w:pPr>
    </w:p>
    <w:bookmarkEnd w:id="353"/>
    <w:p w14:paraId="31C454BA">
      <w:pPr>
        <w:rPr>
          <w:color w:val="000000" w:themeColor="text1"/>
          <w14:textFill>
            <w14:solidFill>
              <w14:schemeClr w14:val="tx1"/>
            </w14:solidFill>
          </w14:textFill>
        </w:rPr>
      </w:pPr>
      <w:bookmarkStart w:id="354" w:name="_Hlk10535687"/>
      <w:bookmarkStart w:id="355" w:name="_Hlk10535696"/>
      <w:r>
        <w:rPr>
          <w:rFonts w:hint="eastAsia"/>
          <w:color w:val="000000" w:themeColor="text1"/>
          <w14:textFill>
            <w14:solidFill>
              <w14:schemeClr w14:val="tx1"/>
            </w14:solidFill>
          </w14:textFill>
        </w:rPr>
        <w:t>其他说明：</w:t>
      </w:r>
      <w:bookmarkEnd w:id="354"/>
    </w:p>
    <w:sdt>
      <w:sdtPr>
        <w:rPr>
          <w:color w:val="000000" w:themeColor="text1"/>
          <w14:textFill>
            <w14:solidFill>
              <w14:schemeClr w14:val="tx1"/>
            </w14:solidFill>
          </w14:textFill>
        </w:rPr>
        <w:alias w:val="是否适用：合同负债其他说明[双击切换]"/>
        <w:tag w:val="_GBC_f73cf097b72042508657c656d4dc0c08"/>
        <w:id w:val="147478618"/>
        <w:placeholder>
          <w:docPart w:val="GBC22222222222222222222222222222"/>
        </w:placeholder>
      </w:sdtPr>
      <w:sdtEndPr>
        <w:rPr>
          <w:color w:val="000000" w:themeColor="text1"/>
          <w14:textFill>
            <w14:solidFill>
              <w14:schemeClr w14:val="tx1"/>
            </w14:solidFill>
          </w14:textFill>
        </w:rPr>
      </w:sdtEndPr>
      <w:sdtContent>
        <w:p w14:paraId="6B5FB3E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55"/>
    <w:p w14:paraId="400BB9E3">
      <w:pPr>
        <w:rPr>
          <w:color w:val="000000" w:themeColor="text1"/>
          <w14:textFill>
            <w14:solidFill>
              <w14:schemeClr w14:val="tx1"/>
            </w14:solidFill>
          </w14:textFill>
        </w:rPr>
      </w:pPr>
    </w:p>
    <w:p w14:paraId="241E2A59">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应付职工薪酬</w:t>
      </w:r>
    </w:p>
    <w:p w14:paraId="377B1966">
      <w:pPr>
        <w:pStyle w:val="58"/>
        <w:numPr>
          <w:ilvl w:val="0"/>
          <w:numId w:val="82"/>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应付职工薪酬列示</w:t>
      </w:r>
    </w:p>
    <w:sdt>
      <w:sdtPr>
        <w:rPr>
          <w:color w:val="000000" w:themeColor="text1"/>
          <w14:textFill>
            <w14:solidFill>
              <w14:schemeClr w14:val="tx1"/>
            </w14:solidFill>
          </w14:textFill>
        </w:rPr>
        <w:alias w:val="是否适用：应付职工薪酬列示[双击切换]"/>
        <w:tag w:val="_GBC_88faccc480a843dca589c1af0d3fee37"/>
        <w:id w:val="147472960"/>
        <w:placeholder>
          <w:docPart w:val="GBC22222222222222222222222222222"/>
        </w:placeholder>
      </w:sdtPr>
      <w:sdtEndPr>
        <w:rPr>
          <w:color w:val="000000" w:themeColor="text1"/>
          <w14:textFill>
            <w14:solidFill>
              <w14:schemeClr w14:val="tx1"/>
            </w14:solidFill>
          </w14:textFill>
        </w:rPr>
      </w:sdtEndPr>
      <w:sdtContent>
        <w:p w14:paraId="192CAFA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DF0FF2A">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应付职工薪酬"/>
          <w:tag w:val="_GBC_5c4cdcd7cd924c4ca8e87f806bc459b0"/>
          <w:id w:val="1474732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应付职工薪酬"/>
          <w:tag w:val="_GBC_1b7f0fd0ca54470ca12f1037c092be9a"/>
          <w:id w:val="1474670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5"/>
        <w:gridCol w:w="1609"/>
        <w:gridCol w:w="1607"/>
        <w:gridCol w:w="1608"/>
        <w:gridCol w:w="1617"/>
      </w:tblGrid>
      <w:tr w14:paraId="50919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481bea2acb8f49ac9b4cfc92cd4a426e"/>
            <w:id w:val="147472223"/>
          </w:sdtPr>
          <w:sdtEndPr>
            <w:rPr>
              <w:rFonts w:cs="Times New Roman"/>
            </w:rPr>
          </w:sdtEndPr>
          <w:sdtContent>
            <w:tc>
              <w:tcPr>
                <w:tcW w:w="1438" w:type="pct"/>
                <w:vAlign w:val="center"/>
              </w:tcPr>
              <w:p w14:paraId="20B1E14F">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ff27c0f5bcb94d9b932762b91edf2ff1"/>
            <w:id w:val="147470840"/>
          </w:sdtPr>
          <w:sdtEndPr>
            <w:rPr>
              <w:rFonts w:cs="Times New Roman"/>
            </w:rPr>
          </w:sdtEndPr>
          <w:sdtContent>
            <w:tc>
              <w:tcPr>
                <w:tcW w:w="889" w:type="pct"/>
                <w:vAlign w:val="center"/>
              </w:tcPr>
              <w:p w14:paraId="6807F93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sdt>
          <w:sdtPr>
            <w:rPr>
              <w:rFonts w:cs="Times New Roman"/>
            </w:rPr>
            <w:tag w:val="_PLD_7274636f27ae4e048ade60bfddaa8164"/>
            <w:id w:val="147461376"/>
          </w:sdtPr>
          <w:sdtEndPr>
            <w:rPr>
              <w:rFonts w:cs="Times New Roman"/>
            </w:rPr>
          </w:sdtEndPr>
          <w:sdtContent>
            <w:tc>
              <w:tcPr>
                <w:tcW w:w="888" w:type="pct"/>
                <w:vAlign w:val="center"/>
              </w:tcPr>
              <w:p w14:paraId="0797ABC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本期增加</w:t>
                </w:r>
              </w:p>
            </w:tc>
          </w:sdtContent>
        </w:sdt>
        <w:sdt>
          <w:sdtPr>
            <w:rPr>
              <w:rFonts w:cs="Times New Roman"/>
            </w:rPr>
            <w:tag w:val="_PLD_07ae572963de436aa2308d649a28c23b"/>
            <w:id w:val="147460154"/>
          </w:sdtPr>
          <w:sdtEndPr>
            <w:rPr>
              <w:rFonts w:cs="Times New Roman"/>
            </w:rPr>
          </w:sdtEndPr>
          <w:sdtContent>
            <w:tc>
              <w:tcPr>
                <w:tcW w:w="889" w:type="pct"/>
                <w:vAlign w:val="center"/>
              </w:tcPr>
              <w:p w14:paraId="20EFF83F">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本期减少</w:t>
                </w:r>
              </w:p>
            </w:tc>
          </w:sdtContent>
        </w:sdt>
        <w:sdt>
          <w:sdtPr>
            <w:rPr>
              <w:rFonts w:cs="Times New Roman"/>
            </w:rPr>
            <w:tag w:val="_PLD_27069329d7654e34bc45ca7dee532204"/>
            <w:id w:val="147452715"/>
          </w:sdtPr>
          <w:sdtEndPr>
            <w:rPr>
              <w:rFonts w:cs="Times New Roman"/>
            </w:rPr>
          </w:sdtEndPr>
          <w:sdtContent>
            <w:tc>
              <w:tcPr>
                <w:tcW w:w="894" w:type="pct"/>
                <w:vAlign w:val="center"/>
              </w:tcPr>
              <w:p w14:paraId="3FD794A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tr>
      <w:tr w14:paraId="5465B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pct"/>
          </w:tcPr>
          <w:p w14:paraId="154CE23D">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一、短期薪酬</w:t>
            </w:r>
          </w:p>
        </w:tc>
        <w:tc>
          <w:tcPr>
            <w:tcW w:w="889" w:type="pct"/>
            <w:vAlign w:val="center"/>
          </w:tcPr>
          <w:p w14:paraId="36C931FC">
            <w:pPr>
              <w:jc w:val="right"/>
              <w:textAlignment w:val="center"/>
              <w:rPr>
                <w:rFonts w:cs="Times New Roman"/>
              </w:rPr>
            </w:pPr>
            <w:r>
              <w:rPr>
                <w:rFonts w:cs="Times New Roman"/>
                <w:color w:val="000000"/>
              </w:rPr>
              <w:t>262,415,077.75</w:t>
            </w:r>
          </w:p>
        </w:tc>
        <w:tc>
          <w:tcPr>
            <w:tcW w:w="888" w:type="pct"/>
            <w:vAlign w:val="center"/>
          </w:tcPr>
          <w:p w14:paraId="06D8C5D3">
            <w:pPr>
              <w:jc w:val="right"/>
              <w:textAlignment w:val="center"/>
              <w:rPr>
                <w:rFonts w:cs="Times New Roman"/>
              </w:rPr>
            </w:pPr>
            <w:r>
              <w:rPr>
                <w:rFonts w:cs="Times New Roman"/>
                <w:color w:val="000000"/>
              </w:rPr>
              <w:t>558,460,506.08</w:t>
            </w:r>
          </w:p>
        </w:tc>
        <w:tc>
          <w:tcPr>
            <w:tcW w:w="889" w:type="pct"/>
            <w:vAlign w:val="center"/>
          </w:tcPr>
          <w:p w14:paraId="445DCF8A">
            <w:pPr>
              <w:jc w:val="right"/>
              <w:textAlignment w:val="center"/>
              <w:rPr>
                <w:rFonts w:cs="Times New Roman"/>
              </w:rPr>
            </w:pPr>
            <w:r>
              <w:rPr>
                <w:rFonts w:cs="Times New Roman"/>
                <w:color w:val="000000"/>
              </w:rPr>
              <w:t>677,463,522.21</w:t>
            </w:r>
          </w:p>
        </w:tc>
        <w:tc>
          <w:tcPr>
            <w:tcW w:w="894" w:type="pct"/>
            <w:vAlign w:val="center"/>
          </w:tcPr>
          <w:p w14:paraId="77EE73C3">
            <w:pPr>
              <w:jc w:val="right"/>
              <w:textAlignment w:val="center"/>
              <w:rPr>
                <w:rFonts w:cs="Times New Roman"/>
              </w:rPr>
            </w:pPr>
            <w:r>
              <w:rPr>
                <w:rFonts w:cs="Times New Roman"/>
                <w:color w:val="000000"/>
              </w:rPr>
              <w:t>143,412,061.62</w:t>
            </w:r>
          </w:p>
        </w:tc>
      </w:tr>
      <w:tr w14:paraId="28563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pct"/>
          </w:tcPr>
          <w:p w14:paraId="07C92877">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二、离职后福利-设定提存计划</w:t>
            </w:r>
          </w:p>
        </w:tc>
        <w:tc>
          <w:tcPr>
            <w:tcW w:w="889" w:type="pct"/>
            <w:vAlign w:val="center"/>
          </w:tcPr>
          <w:p w14:paraId="46D78865">
            <w:pPr>
              <w:jc w:val="right"/>
              <w:textAlignment w:val="center"/>
              <w:rPr>
                <w:rFonts w:cs="Times New Roman"/>
              </w:rPr>
            </w:pPr>
            <w:r>
              <w:rPr>
                <w:rFonts w:cs="Times New Roman"/>
                <w:color w:val="000000"/>
              </w:rPr>
              <w:t>1,903,969.25</w:t>
            </w:r>
          </w:p>
        </w:tc>
        <w:tc>
          <w:tcPr>
            <w:tcW w:w="888" w:type="pct"/>
            <w:vAlign w:val="center"/>
          </w:tcPr>
          <w:p w14:paraId="6253491F">
            <w:pPr>
              <w:jc w:val="right"/>
              <w:textAlignment w:val="center"/>
              <w:rPr>
                <w:rFonts w:cs="Times New Roman"/>
              </w:rPr>
            </w:pPr>
            <w:r>
              <w:rPr>
                <w:rFonts w:cs="Times New Roman"/>
                <w:color w:val="000000"/>
              </w:rPr>
              <w:t>78,355,360.78</w:t>
            </w:r>
          </w:p>
        </w:tc>
        <w:tc>
          <w:tcPr>
            <w:tcW w:w="889" w:type="pct"/>
            <w:vAlign w:val="center"/>
          </w:tcPr>
          <w:p w14:paraId="11D505E5">
            <w:pPr>
              <w:jc w:val="right"/>
              <w:textAlignment w:val="center"/>
              <w:rPr>
                <w:rFonts w:cs="Times New Roman"/>
              </w:rPr>
            </w:pPr>
            <w:r>
              <w:rPr>
                <w:rFonts w:cs="Times New Roman"/>
                <w:color w:val="000000"/>
              </w:rPr>
              <w:t>77,210,083.42</w:t>
            </w:r>
          </w:p>
        </w:tc>
        <w:tc>
          <w:tcPr>
            <w:tcW w:w="894" w:type="pct"/>
            <w:vAlign w:val="center"/>
          </w:tcPr>
          <w:p w14:paraId="12D7E562">
            <w:pPr>
              <w:jc w:val="right"/>
              <w:textAlignment w:val="center"/>
              <w:rPr>
                <w:rFonts w:cs="Times New Roman"/>
              </w:rPr>
            </w:pPr>
            <w:r>
              <w:rPr>
                <w:rFonts w:cs="Times New Roman"/>
                <w:color w:val="000000"/>
              </w:rPr>
              <w:t>3,049,246.61</w:t>
            </w:r>
          </w:p>
        </w:tc>
      </w:tr>
      <w:tr w14:paraId="3949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pct"/>
          </w:tcPr>
          <w:p w14:paraId="1F36D853">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三、辞退福利</w:t>
            </w:r>
          </w:p>
        </w:tc>
        <w:tc>
          <w:tcPr>
            <w:tcW w:w="889" w:type="pct"/>
            <w:vAlign w:val="center"/>
          </w:tcPr>
          <w:p w14:paraId="1877D7D1">
            <w:pPr>
              <w:jc w:val="right"/>
              <w:textAlignment w:val="center"/>
              <w:rPr>
                <w:rFonts w:cs="Times New Roman"/>
              </w:rPr>
            </w:pPr>
            <w:r>
              <w:rPr>
                <w:rFonts w:cs="Times New Roman"/>
                <w:color w:val="000000"/>
              </w:rPr>
              <w:t>461,319.94</w:t>
            </w:r>
          </w:p>
        </w:tc>
        <w:tc>
          <w:tcPr>
            <w:tcW w:w="888" w:type="pct"/>
            <w:vAlign w:val="center"/>
          </w:tcPr>
          <w:p w14:paraId="516A814D">
            <w:pPr>
              <w:jc w:val="right"/>
              <w:textAlignment w:val="center"/>
              <w:rPr>
                <w:rFonts w:cs="Times New Roman"/>
              </w:rPr>
            </w:pPr>
            <w:r>
              <w:rPr>
                <w:rFonts w:cs="Times New Roman"/>
                <w:color w:val="000000"/>
              </w:rPr>
              <w:t>1,782,359.13</w:t>
            </w:r>
          </w:p>
        </w:tc>
        <w:tc>
          <w:tcPr>
            <w:tcW w:w="889" w:type="pct"/>
            <w:vAlign w:val="center"/>
          </w:tcPr>
          <w:p w14:paraId="361690EF">
            <w:pPr>
              <w:jc w:val="right"/>
              <w:textAlignment w:val="center"/>
              <w:rPr>
                <w:rFonts w:cs="Times New Roman"/>
              </w:rPr>
            </w:pPr>
            <w:r>
              <w:rPr>
                <w:rFonts w:cs="Times New Roman"/>
                <w:color w:val="000000"/>
              </w:rPr>
              <w:t>2,173,810.25</w:t>
            </w:r>
          </w:p>
        </w:tc>
        <w:tc>
          <w:tcPr>
            <w:tcW w:w="894" w:type="pct"/>
            <w:vAlign w:val="center"/>
          </w:tcPr>
          <w:p w14:paraId="2A3E7FC2">
            <w:pPr>
              <w:jc w:val="right"/>
              <w:textAlignment w:val="center"/>
              <w:rPr>
                <w:rFonts w:cs="Times New Roman"/>
              </w:rPr>
            </w:pPr>
            <w:r>
              <w:rPr>
                <w:rFonts w:cs="Times New Roman"/>
                <w:color w:val="000000"/>
              </w:rPr>
              <w:t>69,868.82</w:t>
            </w:r>
          </w:p>
        </w:tc>
      </w:tr>
      <w:tr w14:paraId="083E7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pct"/>
          </w:tcPr>
          <w:p w14:paraId="6561BD27">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四、一年内到期的其他福利</w:t>
            </w:r>
          </w:p>
        </w:tc>
        <w:tc>
          <w:tcPr>
            <w:tcW w:w="889" w:type="pct"/>
            <w:vAlign w:val="center"/>
          </w:tcPr>
          <w:p w14:paraId="37415E7C">
            <w:pPr>
              <w:jc w:val="right"/>
              <w:textAlignment w:val="center"/>
              <w:rPr>
                <w:rFonts w:cs="Times New Roman"/>
              </w:rPr>
            </w:pPr>
            <w:r>
              <w:rPr>
                <w:rFonts w:cs="Times New Roman"/>
                <w:color w:val="000000"/>
              </w:rPr>
              <w:t>31,369,567.00</w:t>
            </w:r>
          </w:p>
        </w:tc>
        <w:tc>
          <w:tcPr>
            <w:tcW w:w="888" w:type="pct"/>
            <w:vAlign w:val="center"/>
          </w:tcPr>
          <w:p w14:paraId="235A4011">
            <w:pPr>
              <w:jc w:val="right"/>
              <w:textAlignment w:val="center"/>
              <w:rPr>
                <w:rFonts w:cs="Times New Roman"/>
              </w:rPr>
            </w:pPr>
            <w:r>
              <w:rPr>
                <w:rFonts w:cs="Times New Roman"/>
                <w:color w:val="000000"/>
              </w:rPr>
              <w:t>355,905.07</w:t>
            </w:r>
          </w:p>
        </w:tc>
        <w:tc>
          <w:tcPr>
            <w:tcW w:w="889" w:type="pct"/>
            <w:vAlign w:val="center"/>
          </w:tcPr>
          <w:p w14:paraId="44FBF76F">
            <w:pPr>
              <w:jc w:val="right"/>
              <w:textAlignment w:val="center"/>
              <w:rPr>
                <w:rFonts w:cs="Times New Roman"/>
              </w:rPr>
            </w:pPr>
            <w:r>
              <w:rPr>
                <w:rFonts w:cs="Times New Roman"/>
                <w:color w:val="000000"/>
              </w:rPr>
              <w:t>17,752,372.91</w:t>
            </w:r>
          </w:p>
        </w:tc>
        <w:tc>
          <w:tcPr>
            <w:tcW w:w="894" w:type="pct"/>
            <w:vAlign w:val="center"/>
          </w:tcPr>
          <w:p w14:paraId="32A1FE01">
            <w:pPr>
              <w:jc w:val="right"/>
              <w:textAlignment w:val="center"/>
              <w:rPr>
                <w:rFonts w:cs="Times New Roman"/>
              </w:rPr>
            </w:pPr>
            <w:r>
              <w:rPr>
                <w:rFonts w:cs="Times New Roman"/>
                <w:color w:val="000000"/>
              </w:rPr>
              <w:t>13,973,099.16</w:t>
            </w:r>
          </w:p>
        </w:tc>
      </w:tr>
      <w:tr w14:paraId="7657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pct"/>
            <w:vAlign w:val="center"/>
          </w:tcPr>
          <w:p w14:paraId="7E1471AE">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889" w:type="pct"/>
            <w:vAlign w:val="center"/>
          </w:tcPr>
          <w:p w14:paraId="314099FA">
            <w:pPr>
              <w:jc w:val="right"/>
              <w:textAlignment w:val="center"/>
              <w:rPr>
                <w:rFonts w:cs="Times New Roman"/>
              </w:rPr>
            </w:pPr>
            <w:r>
              <w:rPr>
                <w:rFonts w:cs="Times New Roman"/>
                <w:color w:val="000000"/>
              </w:rPr>
              <w:t>296,149,933.94</w:t>
            </w:r>
          </w:p>
        </w:tc>
        <w:tc>
          <w:tcPr>
            <w:tcW w:w="888" w:type="pct"/>
            <w:vAlign w:val="center"/>
          </w:tcPr>
          <w:p w14:paraId="0BC43C2E">
            <w:pPr>
              <w:jc w:val="right"/>
              <w:textAlignment w:val="center"/>
              <w:rPr>
                <w:rFonts w:cs="Times New Roman"/>
              </w:rPr>
            </w:pPr>
            <w:r>
              <w:rPr>
                <w:rFonts w:cs="Times New Roman"/>
                <w:color w:val="000000"/>
              </w:rPr>
              <w:t>638,954,131.06</w:t>
            </w:r>
          </w:p>
        </w:tc>
        <w:tc>
          <w:tcPr>
            <w:tcW w:w="889" w:type="pct"/>
            <w:vAlign w:val="center"/>
          </w:tcPr>
          <w:p w14:paraId="62488DAF">
            <w:pPr>
              <w:jc w:val="right"/>
              <w:textAlignment w:val="center"/>
              <w:rPr>
                <w:rFonts w:cs="Times New Roman"/>
              </w:rPr>
            </w:pPr>
            <w:r>
              <w:rPr>
                <w:rFonts w:cs="Times New Roman"/>
                <w:color w:val="000000"/>
              </w:rPr>
              <w:t>774,599,788.79</w:t>
            </w:r>
          </w:p>
        </w:tc>
        <w:tc>
          <w:tcPr>
            <w:tcW w:w="894" w:type="pct"/>
            <w:vAlign w:val="center"/>
          </w:tcPr>
          <w:p w14:paraId="447E5F54">
            <w:pPr>
              <w:jc w:val="right"/>
              <w:textAlignment w:val="center"/>
              <w:rPr>
                <w:rFonts w:cs="Times New Roman"/>
              </w:rPr>
            </w:pPr>
            <w:r>
              <w:rPr>
                <w:rFonts w:cs="Times New Roman"/>
                <w:color w:val="000000"/>
              </w:rPr>
              <w:t>160,504,276.21</w:t>
            </w:r>
          </w:p>
        </w:tc>
      </w:tr>
    </w:tbl>
    <w:p w14:paraId="5FE4D9A3">
      <w:pPr>
        <w:rPr>
          <w:color w:val="000000" w:themeColor="text1"/>
          <w14:textFill>
            <w14:solidFill>
              <w14:schemeClr w14:val="tx1"/>
            </w14:solidFill>
          </w14:textFill>
        </w:rPr>
      </w:pPr>
    </w:p>
    <w:p w14:paraId="77BD20CE">
      <w:pPr>
        <w:pStyle w:val="58"/>
        <w:numPr>
          <w:ilvl w:val="0"/>
          <w:numId w:val="82"/>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短期薪酬列示</w:t>
      </w:r>
    </w:p>
    <w:sdt>
      <w:sdtPr>
        <w:rPr>
          <w:color w:val="000000" w:themeColor="text1"/>
          <w14:textFill>
            <w14:solidFill>
              <w14:schemeClr w14:val="tx1"/>
            </w14:solidFill>
          </w14:textFill>
        </w:rPr>
        <w:alias w:val="是否适用：短期薪酬列示[双击切换]"/>
        <w:tag w:val="_GBC_fe9cc4ffdf524f4695448b31c76167ce"/>
        <w:id w:val="147464146"/>
        <w:placeholder>
          <w:docPart w:val="GBC22222222222222222222222222222"/>
        </w:placeholder>
      </w:sdtPr>
      <w:sdtEndPr>
        <w:rPr>
          <w:color w:val="000000" w:themeColor="text1"/>
          <w14:textFill>
            <w14:solidFill>
              <w14:schemeClr w14:val="tx1"/>
            </w14:solidFill>
          </w14:textFill>
        </w:rPr>
      </w:sdtEndPr>
      <w:sdtContent>
        <w:p w14:paraId="790D543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CF9B9E7">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短期薪酬"/>
          <w:tag w:val="_GBC_f5a2a934147944d68f11ca2bcce4d80f"/>
          <w:id w:val="1474804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短期薪酬"/>
          <w:tag w:val="_GBC_ded097d86a7d48b8a8b1d9689a73bd5d"/>
          <w:id w:val="1474717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3"/>
        <w:gridCol w:w="1612"/>
        <w:gridCol w:w="1595"/>
        <w:gridCol w:w="1609"/>
        <w:gridCol w:w="1619"/>
      </w:tblGrid>
      <w:tr w14:paraId="0F991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7b5378bc64e24511ae79d643c80f9c98"/>
            <w:id w:val="147473264"/>
          </w:sdtPr>
          <w:sdtEndPr>
            <w:rPr>
              <w:rFonts w:cs="Times New Roman"/>
            </w:rPr>
          </w:sdtEndPr>
          <w:sdtContent>
            <w:tc>
              <w:tcPr>
                <w:tcW w:w="1444" w:type="pct"/>
                <w:tcBorders>
                  <w:top w:val="single" w:color="auto" w:sz="4" w:space="0"/>
                  <w:left w:val="single" w:color="auto" w:sz="4" w:space="0"/>
                  <w:bottom w:val="single" w:color="auto" w:sz="4" w:space="0"/>
                  <w:right w:val="single" w:color="auto" w:sz="4" w:space="0"/>
                </w:tcBorders>
                <w:vAlign w:val="center"/>
              </w:tcPr>
              <w:p w14:paraId="53C95421">
                <w:pPr>
                  <w:autoSpaceDE w:val="0"/>
                  <w:autoSpaceDN w:val="0"/>
                  <w:adjustRightIn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0144fa4bad154236aa75e1dcc0a89e56"/>
            <w:id w:val="147467849"/>
          </w:sdtPr>
          <w:sdtEndPr>
            <w:rPr>
              <w:rFonts w:cs="Times New Roman"/>
            </w:rPr>
          </w:sdtEndPr>
          <w:sdtContent>
            <w:tc>
              <w:tcPr>
                <w:tcW w:w="891" w:type="pct"/>
                <w:tcBorders>
                  <w:top w:val="single" w:color="auto" w:sz="4" w:space="0"/>
                  <w:left w:val="single" w:color="auto" w:sz="4" w:space="0"/>
                  <w:bottom w:val="single" w:color="auto" w:sz="4" w:space="0"/>
                  <w:right w:val="single" w:color="auto" w:sz="4" w:space="0"/>
                </w:tcBorders>
                <w:vAlign w:val="center"/>
              </w:tcPr>
              <w:p w14:paraId="0056E157">
                <w:pPr>
                  <w:autoSpaceDE w:val="0"/>
                  <w:autoSpaceDN w:val="0"/>
                  <w:adjustRightIn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sdt>
          <w:sdtPr>
            <w:rPr>
              <w:rFonts w:cs="Times New Roman"/>
            </w:rPr>
            <w:tag w:val="_PLD_2d15a4a9e10b4386a7ed67bc2137e04a"/>
            <w:id w:val="147482850"/>
          </w:sdtPr>
          <w:sdtEndPr>
            <w:rPr>
              <w:rFonts w:cs="Times New Roman"/>
            </w:rPr>
          </w:sdtEndPr>
          <w:sdtContent>
            <w:tc>
              <w:tcPr>
                <w:tcW w:w="881" w:type="pct"/>
                <w:tcBorders>
                  <w:top w:val="single" w:color="auto" w:sz="4" w:space="0"/>
                  <w:left w:val="single" w:color="auto" w:sz="4" w:space="0"/>
                  <w:bottom w:val="single" w:color="auto" w:sz="4" w:space="0"/>
                  <w:right w:val="single" w:color="auto" w:sz="4" w:space="0"/>
                </w:tcBorders>
                <w:vAlign w:val="center"/>
              </w:tcPr>
              <w:p w14:paraId="49FE85F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本期增加</w:t>
                </w:r>
              </w:p>
            </w:tc>
          </w:sdtContent>
        </w:sdt>
        <w:sdt>
          <w:sdtPr>
            <w:rPr>
              <w:rFonts w:cs="Times New Roman"/>
            </w:rPr>
            <w:tag w:val="_PLD_12a2bbefe0874cde83fdb77f4a4158a1"/>
            <w:id w:val="147468718"/>
          </w:sdtPr>
          <w:sdtEndPr>
            <w:rPr>
              <w:rFonts w:cs="Times New Roman"/>
            </w:rPr>
          </w:sdtEndPr>
          <w:sdtContent>
            <w:tc>
              <w:tcPr>
                <w:tcW w:w="889" w:type="pct"/>
                <w:tcBorders>
                  <w:top w:val="single" w:color="auto" w:sz="4" w:space="0"/>
                  <w:left w:val="single" w:color="auto" w:sz="4" w:space="0"/>
                  <w:bottom w:val="single" w:color="auto" w:sz="4" w:space="0"/>
                  <w:right w:val="single" w:color="auto" w:sz="4" w:space="0"/>
                </w:tcBorders>
                <w:vAlign w:val="center"/>
              </w:tcPr>
              <w:p w14:paraId="44DEB2B7">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本期减少</w:t>
                </w:r>
              </w:p>
            </w:tc>
          </w:sdtContent>
        </w:sdt>
        <w:sdt>
          <w:sdtPr>
            <w:rPr>
              <w:rFonts w:cs="Times New Roman"/>
            </w:rPr>
            <w:tag w:val="_PLD_190d6bcbbde148ffb48f230c6d9d7186"/>
            <w:id w:val="147469394"/>
          </w:sdtPr>
          <w:sdtEndPr>
            <w:rPr>
              <w:rFonts w:cs="Times New Roman"/>
            </w:rPr>
          </w:sdtEndPr>
          <w:sdtContent>
            <w:tc>
              <w:tcPr>
                <w:tcW w:w="895" w:type="pct"/>
                <w:tcBorders>
                  <w:top w:val="single" w:color="auto" w:sz="4" w:space="0"/>
                  <w:left w:val="single" w:color="auto" w:sz="4" w:space="0"/>
                  <w:bottom w:val="single" w:color="auto" w:sz="4" w:space="0"/>
                  <w:right w:val="single" w:color="auto" w:sz="4" w:space="0"/>
                </w:tcBorders>
                <w:vAlign w:val="center"/>
              </w:tcPr>
              <w:p w14:paraId="30942144">
                <w:pPr>
                  <w:autoSpaceDE w:val="0"/>
                  <w:autoSpaceDN w:val="0"/>
                  <w:adjustRightIn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tr>
      <w:tr w14:paraId="21B24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pct"/>
            <w:tcBorders>
              <w:top w:val="single" w:color="auto" w:sz="4" w:space="0"/>
              <w:left w:val="single" w:color="auto" w:sz="4" w:space="0"/>
              <w:bottom w:val="single" w:color="auto" w:sz="4" w:space="0"/>
              <w:right w:val="single" w:color="auto" w:sz="4" w:space="0"/>
            </w:tcBorders>
          </w:tcPr>
          <w:p w14:paraId="22892D9D">
            <w:pPr>
              <w:autoSpaceDE w:val="0"/>
              <w:autoSpaceDN w:val="0"/>
              <w:adjustRightInd w:val="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一、工资、奖金、津贴和补贴</w:t>
            </w:r>
          </w:p>
        </w:tc>
        <w:tc>
          <w:tcPr>
            <w:tcW w:w="891" w:type="pct"/>
            <w:tcBorders>
              <w:top w:val="single" w:color="auto" w:sz="4" w:space="0"/>
              <w:left w:val="single" w:color="auto" w:sz="4" w:space="0"/>
              <w:bottom w:val="single" w:color="auto" w:sz="4" w:space="0"/>
              <w:right w:val="single" w:color="auto" w:sz="4" w:space="0"/>
            </w:tcBorders>
            <w:vAlign w:val="center"/>
          </w:tcPr>
          <w:p w14:paraId="40D4D791">
            <w:pPr>
              <w:jc w:val="right"/>
              <w:textAlignment w:val="center"/>
              <w:rPr>
                <w:rFonts w:cs="Times New Roman"/>
              </w:rPr>
            </w:pPr>
            <w:r>
              <w:rPr>
                <w:rFonts w:cs="Times New Roman"/>
                <w:color w:val="000000"/>
              </w:rPr>
              <w:t>184,020,654.19</w:t>
            </w:r>
          </w:p>
        </w:tc>
        <w:tc>
          <w:tcPr>
            <w:tcW w:w="881" w:type="pct"/>
            <w:tcBorders>
              <w:top w:val="single" w:color="auto" w:sz="4" w:space="0"/>
              <w:left w:val="single" w:color="auto" w:sz="4" w:space="0"/>
              <w:bottom w:val="single" w:color="auto" w:sz="4" w:space="0"/>
              <w:right w:val="single" w:color="auto" w:sz="4" w:space="0"/>
            </w:tcBorders>
            <w:vAlign w:val="center"/>
          </w:tcPr>
          <w:p w14:paraId="0FD23B1F">
            <w:pPr>
              <w:jc w:val="right"/>
              <w:textAlignment w:val="center"/>
              <w:rPr>
                <w:rFonts w:cs="Times New Roman"/>
              </w:rPr>
            </w:pPr>
            <w:r>
              <w:rPr>
                <w:rFonts w:cs="Times New Roman"/>
                <w:color w:val="000000"/>
              </w:rPr>
              <w:t>446,704,712.40</w:t>
            </w:r>
          </w:p>
        </w:tc>
        <w:tc>
          <w:tcPr>
            <w:tcW w:w="889" w:type="pct"/>
            <w:tcBorders>
              <w:top w:val="single" w:color="auto" w:sz="4" w:space="0"/>
              <w:left w:val="single" w:color="auto" w:sz="4" w:space="0"/>
              <w:bottom w:val="single" w:color="auto" w:sz="4" w:space="0"/>
              <w:right w:val="single" w:color="auto" w:sz="4" w:space="0"/>
            </w:tcBorders>
            <w:vAlign w:val="center"/>
          </w:tcPr>
          <w:p w14:paraId="610CB40E">
            <w:pPr>
              <w:jc w:val="right"/>
              <w:textAlignment w:val="center"/>
              <w:rPr>
                <w:rFonts w:cs="Times New Roman"/>
              </w:rPr>
            </w:pPr>
            <w:r>
              <w:rPr>
                <w:rFonts w:cs="Times New Roman"/>
                <w:color w:val="000000"/>
              </w:rPr>
              <w:t>564,963,482.42</w:t>
            </w:r>
          </w:p>
        </w:tc>
        <w:tc>
          <w:tcPr>
            <w:tcW w:w="895" w:type="pct"/>
            <w:tcBorders>
              <w:top w:val="single" w:color="auto" w:sz="4" w:space="0"/>
              <w:left w:val="single" w:color="auto" w:sz="4" w:space="0"/>
              <w:bottom w:val="single" w:color="auto" w:sz="4" w:space="0"/>
              <w:right w:val="single" w:color="auto" w:sz="4" w:space="0"/>
            </w:tcBorders>
            <w:vAlign w:val="center"/>
          </w:tcPr>
          <w:p w14:paraId="30C7C258">
            <w:pPr>
              <w:jc w:val="right"/>
              <w:textAlignment w:val="center"/>
              <w:rPr>
                <w:rFonts w:cs="Times New Roman"/>
              </w:rPr>
            </w:pPr>
            <w:r>
              <w:rPr>
                <w:rFonts w:cs="Times New Roman"/>
                <w:color w:val="000000"/>
              </w:rPr>
              <w:t>65,761,884.17</w:t>
            </w:r>
          </w:p>
        </w:tc>
      </w:tr>
      <w:tr w14:paraId="4AC75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pct"/>
            <w:tcBorders>
              <w:top w:val="single" w:color="auto" w:sz="4" w:space="0"/>
              <w:left w:val="single" w:color="auto" w:sz="4" w:space="0"/>
              <w:bottom w:val="single" w:color="auto" w:sz="4" w:space="0"/>
              <w:right w:val="single" w:color="auto" w:sz="4" w:space="0"/>
            </w:tcBorders>
          </w:tcPr>
          <w:p w14:paraId="39ABBC7E">
            <w:pPr>
              <w:autoSpaceDE w:val="0"/>
              <w:autoSpaceDN w:val="0"/>
              <w:adjustRightInd w:val="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二、职工福利费</w:t>
            </w:r>
          </w:p>
        </w:tc>
        <w:tc>
          <w:tcPr>
            <w:tcW w:w="891" w:type="pct"/>
            <w:tcBorders>
              <w:top w:val="single" w:color="auto" w:sz="4" w:space="0"/>
              <w:left w:val="single" w:color="auto" w:sz="4" w:space="0"/>
              <w:bottom w:val="single" w:color="auto" w:sz="4" w:space="0"/>
              <w:right w:val="single" w:color="auto" w:sz="4" w:space="0"/>
            </w:tcBorders>
            <w:vAlign w:val="center"/>
          </w:tcPr>
          <w:p w14:paraId="6B3E6D2B">
            <w:pPr>
              <w:jc w:val="right"/>
              <w:textAlignment w:val="center"/>
              <w:rPr>
                <w:rFonts w:cs="Times New Roman"/>
              </w:rPr>
            </w:pPr>
            <w:r>
              <w:rPr>
                <w:rFonts w:cs="Times New Roman"/>
                <w:color w:val="000000"/>
              </w:rPr>
              <w:t>347,898.30</w:t>
            </w:r>
          </w:p>
        </w:tc>
        <w:tc>
          <w:tcPr>
            <w:tcW w:w="881" w:type="pct"/>
            <w:tcBorders>
              <w:top w:val="single" w:color="auto" w:sz="4" w:space="0"/>
              <w:left w:val="single" w:color="auto" w:sz="4" w:space="0"/>
              <w:bottom w:val="single" w:color="auto" w:sz="4" w:space="0"/>
              <w:right w:val="single" w:color="auto" w:sz="4" w:space="0"/>
            </w:tcBorders>
            <w:vAlign w:val="center"/>
          </w:tcPr>
          <w:p w14:paraId="5D70E071">
            <w:pPr>
              <w:jc w:val="right"/>
              <w:textAlignment w:val="center"/>
              <w:rPr>
                <w:rFonts w:cs="Times New Roman"/>
              </w:rPr>
            </w:pPr>
            <w:r>
              <w:rPr>
                <w:rFonts w:cs="Times New Roman"/>
                <w:color w:val="000000"/>
              </w:rPr>
              <w:t>19,781,098.10</w:t>
            </w:r>
          </w:p>
        </w:tc>
        <w:tc>
          <w:tcPr>
            <w:tcW w:w="889" w:type="pct"/>
            <w:tcBorders>
              <w:top w:val="single" w:color="auto" w:sz="4" w:space="0"/>
              <w:left w:val="single" w:color="auto" w:sz="4" w:space="0"/>
              <w:bottom w:val="single" w:color="auto" w:sz="4" w:space="0"/>
              <w:right w:val="single" w:color="auto" w:sz="4" w:space="0"/>
            </w:tcBorders>
            <w:vAlign w:val="center"/>
          </w:tcPr>
          <w:p w14:paraId="3B3C6CEF">
            <w:pPr>
              <w:jc w:val="right"/>
              <w:textAlignment w:val="center"/>
              <w:rPr>
                <w:rFonts w:cs="Times New Roman"/>
              </w:rPr>
            </w:pPr>
            <w:r>
              <w:rPr>
                <w:rFonts w:cs="Times New Roman"/>
                <w:color w:val="000000"/>
              </w:rPr>
              <w:t>20,084,853.38</w:t>
            </w:r>
          </w:p>
        </w:tc>
        <w:tc>
          <w:tcPr>
            <w:tcW w:w="895" w:type="pct"/>
            <w:tcBorders>
              <w:top w:val="single" w:color="auto" w:sz="4" w:space="0"/>
              <w:left w:val="single" w:color="auto" w:sz="4" w:space="0"/>
              <w:bottom w:val="single" w:color="auto" w:sz="4" w:space="0"/>
              <w:right w:val="single" w:color="auto" w:sz="4" w:space="0"/>
            </w:tcBorders>
            <w:vAlign w:val="center"/>
          </w:tcPr>
          <w:p w14:paraId="5144F101">
            <w:pPr>
              <w:jc w:val="right"/>
              <w:textAlignment w:val="center"/>
              <w:rPr>
                <w:rFonts w:cs="Times New Roman"/>
              </w:rPr>
            </w:pPr>
            <w:r>
              <w:rPr>
                <w:rFonts w:cs="Times New Roman"/>
                <w:color w:val="000000"/>
              </w:rPr>
              <w:t>44,143.02</w:t>
            </w:r>
          </w:p>
        </w:tc>
      </w:tr>
      <w:tr w14:paraId="47EC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pct"/>
            <w:tcBorders>
              <w:top w:val="single" w:color="auto" w:sz="4" w:space="0"/>
              <w:left w:val="single" w:color="auto" w:sz="4" w:space="0"/>
              <w:bottom w:val="single" w:color="auto" w:sz="4" w:space="0"/>
              <w:right w:val="single" w:color="auto" w:sz="4" w:space="0"/>
            </w:tcBorders>
          </w:tcPr>
          <w:p w14:paraId="319AFBDD">
            <w:pPr>
              <w:autoSpaceDE w:val="0"/>
              <w:autoSpaceDN w:val="0"/>
              <w:adjustRightInd w:val="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三、社会保险费</w:t>
            </w:r>
          </w:p>
        </w:tc>
        <w:tc>
          <w:tcPr>
            <w:tcW w:w="891" w:type="pct"/>
            <w:tcBorders>
              <w:top w:val="single" w:color="auto" w:sz="4" w:space="0"/>
              <w:left w:val="single" w:color="auto" w:sz="4" w:space="0"/>
              <w:bottom w:val="single" w:color="auto" w:sz="4" w:space="0"/>
              <w:right w:val="single" w:color="auto" w:sz="4" w:space="0"/>
            </w:tcBorders>
            <w:vAlign w:val="center"/>
          </w:tcPr>
          <w:p w14:paraId="637E291E">
            <w:pPr>
              <w:jc w:val="right"/>
              <w:textAlignment w:val="center"/>
              <w:rPr>
                <w:rFonts w:cs="Times New Roman"/>
              </w:rPr>
            </w:pPr>
            <w:r>
              <w:rPr>
                <w:rFonts w:cs="Times New Roman"/>
                <w:color w:val="000000"/>
              </w:rPr>
              <w:t>3,085,384.48</w:t>
            </w:r>
          </w:p>
        </w:tc>
        <w:tc>
          <w:tcPr>
            <w:tcW w:w="881" w:type="pct"/>
            <w:tcBorders>
              <w:top w:val="single" w:color="auto" w:sz="4" w:space="0"/>
              <w:left w:val="single" w:color="auto" w:sz="4" w:space="0"/>
              <w:bottom w:val="single" w:color="auto" w:sz="4" w:space="0"/>
              <w:right w:val="single" w:color="auto" w:sz="4" w:space="0"/>
            </w:tcBorders>
            <w:vAlign w:val="center"/>
          </w:tcPr>
          <w:p w14:paraId="7CC6C9AD">
            <w:pPr>
              <w:jc w:val="right"/>
              <w:textAlignment w:val="center"/>
              <w:rPr>
                <w:rFonts w:cs="Times New Roman"/>
              </w:rPr>
            </w:pPr>
            <w:r>
              <w:rPr>
                <w:rFonts w:cs="Times New Roman"/>
                <w:color w:val="000000"/>
              </w:rPr>
              <w:t>42,390,257.98</w:t>
            </w:r>
          </w:p>
        </w:tc>
        <w:tc>
          <w:tcPr>
            <w:tcW w:w="889" w:type="pct"/>
            <w:tcBorders>
              <w:top w:val="single" w:color="auto" w:sz="4" w:space="0"/>
              <w:left w:val="single" w:color="auto" w:sz="4" w:space="0"/>
              <w:bottom w:val="single" w:color="auto" w:sz="4" w:space="0"/>
              <w:right w:val="single" w:color="auto" w:sz="4" w:space="0"/>
            </w:tcBorders>
            <w:vAlign w:val="center"/>
          </w:tcPr>
          <w:p w14:paraId="4949E3FB">
            <w:pPr>
              <w:jc w:val="right"/>
              <w:textAlignment w:val="center"/>
              <w:rPr>
                <w:rFonts w:cs="Times New Roman"/>
              </w:rPr>
            </w:pPr>
            <w:r>
              <w:rPr>
                <w:rFonts w:cs="Times New Roman"/>
                <w:color w:val="000000"/>
              </w:rPr>
              <w:t>41,928,879.55</w:t>
            </w:r>
          </w:p>
        </w:tc>
        <w:tc>
          <w:tcPr>
            <w:tcW w:w="895" w:type="pct"/>
            <w:tcBorders>
              <w:top w:val="single" w:color="auto" w:sz="4" w:space="0"/>
              <w:left w:val="single" w:color="auto" w:sz="4" w:space="0"/>
              <w:bottom w:val="single" w:color="auto" w:sz="4" w:space="0"/>
              <w:right w:val="single" w:color="auto" w:sz="4" w:space="0"/>
            </w:tcBorders>
            <w:vAlign w:val="center"/>
          </w:tcPr>
          <w:p w14:paraId="7BE94327">
            <w:pPr>
              <w:jc w:val="right"/>
              <w:textAlignment w:val="center"/>
              <w:rPr>
                <w:rFonts w:cs="Times New Roman"/>
              </w:rPr>
            </w:pPr>
            <w:r>
              <w:rPr>
                <w:rFonts w:cs="Times New Roman"/>
                <w:color w:val="000000"/>
              </w:rPr>
              <w:t>3,546,762.91</w:t>
            </w:r>
          </w:p>
        </w:tc>
      </w:tr>
      <w:tr w14:paraId="08D5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pct"/>
            <w:tcBorders>
              <w:top w:val="single" w:color="auto" w:sz="4" w:space="0"/>
              <w:left w:val="single" w:color="auto" w:sz="4" w:space="0"/>
              <w:bottom w:val="single" w:color="auto" w:sz="4" w:space="0"/>
              <w:right w:val="single" w:color="auto" w:sz="4" w:space="0"/>
            </w:tcBorders>
          </w:tcPr>
          <w:p w14:paraId="54A059C4">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其中：医疗保险费</w:t>
            </w:r>
          </w:p>
        </w:tc>
        <w:tc>
          <w:tcPr>
            <w:tcW w:w="891" w:type="pct"/>
            <w:tcBorders>
              <w:top w:val="single" w:color="auto" w:sz="4" w:space="0"/>
              <w:left w:val="single" w:color="auto" w:sz="4" w:space="0"/>
              <w:bottom w:val="single" w:color="auto" w:sz="4" w:space="0"/>
              <w:right w:val="single" w:color="auto" w:sz="4" w:space="0"/>
            </w:tcBorders>
            <w:vAlign w:val="center"/>
          </w:tcPr>
          <w:p w14:paraId="20CE4764">
            <w:pPr>
              <w:jc w:val="right"/>
              <w:textAlignment w:val="center"/>
              <w:rPr>
                <w:rFonts w:cs="Times New Roman"/>
              </w:rPr>
            </w:pPr>
            <w:r>
              <w:rPr>
                <w:rFonts w:cs="Times New Roman"/>
                <w:color w:val="000000"/>
              </w:rPr>
              <w:t>3,046,494.70</w:t>
            </w:r>
          </w:p>
        </w:tc>
        <w:tc>
          <w:tcPr>
            <w:tcW w:w="881" w:type="pct"/>
            <w:tcBorders>
              <w:top w:val="single" w:color="auto" w:sz="4" w:space="0"/>
              <w:left w:val="single" w:color="auto" w:sz="4" w:space="0"/>
              <w:bottom w:val="single" w:color="auto" w:sz="4" w:space="0"/>
              <w:right w:val="single" w:color="auto" w:sz="4" w:space="0"/>
            </w:tcBorders>
            <w:vAlign w:val="center"/>
          </w:tcPr>
          <w:p w14:paraId="02E9A1B0">
            <w:pPr>
              <w:jc w:val="right"/>
              <w:textAlignment w:val="center"/>
              <w:rPr>
                <w:rFonts w:cs="Times New Roman"/>
              </w:rPr>
            </w:pPr>
            <w:r>
              <w:rPr>
                <w:rFonts w:cs="Times New Roman"/>
                <w:color w:val="000000"/>
              </w:rPr>
              <w:t>37,283,674.17</w:t>
            </w:r>
          </w:p>
        </w:tc>
        <w:tc>
          <w:tcPr>
            <w:tcW w:w="889" w:type="pct"/>
            <w:tcBorders>
              <w:top w:val="single" w:color="auto" w:sz="4" w:space="0"/>
              <w:left w:val="single" w:color="auto" w:sz="4" w:space="0"/>
              <w:bottom w:val="single" w:color="auto" w:sz="4" w:space="0"/>
              <w:right w:val="single" w:color="auto" w:sz="4" w:space="0"/>
            </w:tcBorders>
            <w:vAlign w:val="center"/>
          </w:tcPr>
          <w:p w14:paraId="27C60425">
            <w:pPr>
              <w:jc w:val="right"/>
              <w:textAlignment w:val="center"/>
              <w:rPr>
                <w:rFonts w:cs="Times New Roman"/>
              </w:rPr>
            </w:pPr>
            <w:r>
              <w:rPr>
                <w:rFonts w:cs="Times New Roman"/>
                <w:color w:val="000000"/>
              </w:rPr>
              <w:t>36,979,979.04</w:t>
            </w:r>
          </w:p>
        </w:tc>
        <w:tc>
          <w:tcPr>
            <w:tcW w:w="895" w:type="pct"/>
            <w:tcBorders>
              <w:top w:val="single" w:color="auto" w:sz="4" w:space="0"/>
              <w:left w:val="single" w:color="auto" w:sz="4" w:space="0"/>
              <w:bottom w:val="single" w:color="auto" w:sz="4" w:space="0"/>
              <w:right w:val="single" w:color="auto" w:sz="4" w:space="0"/>
            </w:tcBorders>
            <w:vAlign w:val="center"/>
          </w:tcPr>
          <w:p w14:paraId="78D87DD5">
            <w:pPr>
              <w:jc w:val="right"/>
              <w:textAlignment w:val="center"/>
              <w:rPr>
                <w:rFonts w:cs="Times New Roman"/>
              </w:rPr>
            </w:pPr>
            <w:r>
              <w:rPr>
                <w:rFonts w:cs="Times New Roman"/>
                <w:color w:val="000000"/>
              </w:rPr>
              <w:t>3,350,189.83</w:t>
            </w:r>
          </w:p>
        </w:tc>
      </w:tr>
      <w:tr w14:paraId="31BE6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pct"/>
            <w:tcBorders>
              <w:top w:val="single" w:color="auto" w:sz="4" w:space="0"/>
              <w:left w:val="single" w:color="auto" w:sz="4" w:space="0"/>
              <w:bottom w:val="single" w:color="auto" w:sz="4" w:space="0"/>
              <w:right w:val="single" w:color="auto" w:sz="4" w:space="0"/>
            </w:tcBorders>
          </w:tcPr>
          <w:p w14:paraId="35A94C40">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工伤保险费</w:t>
            </w:r>
          </w:p>
        </w:tc>
        <w:tc>
          <w:tcPr>
            <w:tcW w:w="891" w:type="pct"/>
            <w:tcBorders>
              <w:top w:val="single" w:color="auto" w:sz="4" w:space="0"/>
              <w:left w:val="single" w:color="auto" w:sz="4" w:space="0"/>
              <w:bottom w:val="single" w:color="auto" w:sz="4" w:space="0"/>
              <w:right w:val="single" w:color="auto" w:sz="4" w:space="0"/>
            </w:tcBorders>
            <w:vAlign w:val="center"/>
          </w:tcPr>
          <w:p w14:paraId="4A1A0095">
            <w:pPr>
              <w:jc w:val="right"/>
              <w:textAlignment w:val="center"/>
              <w:rPr>
                <w:rFonts w:cs="Times New Roman"/>
              </w:rPr>
            </w:pPr>
            <w:r>
              <w:rPr>
                <w:rFonts w:cs="Times New Roman"/>
                <w:color w:val="000000"/>
              </w:rPr>
              <w:t>37,863.20</w:t>
            </w:r>
          </w:p>
        </w:tc>
        <w:tc>
          <w:tcPr>
            <w:tcW w:w="881" w:type="pct"/>
            <w:tcBorders>
              <w:top w:val="single" w:color="auto" w:sz="4" w:space="0"/>
              <w:left w:val="single" w:color="auto" w:sz="4" w:space="0"/>
              <w:bottom w:val="single" w:color="auto" w:sz="4" w:space="0"/>
              <w:right w:val="single" w:color="auto" w:sz="4" w:space="0"/>
            </w:tcBorders>
            <w:vAlign w:val="center"/>
          </w:tcPr>
          <w:p w14:paraId="46F43202">
            <w:pPr>
              <w:jc w:val="right"/>
              <w:textAlignment w:val="center"/>
              <w:rPr>
                <w:rFonts w:cs="Times New Roman"/>
              </w:rPr>
            </w:pPr>
            <w:r>
              <w:rPr>
                <w:rFonts w:cs="Times New Roman"/>
                <w:color w:val="000000"/>
              </w:rPr>
              <w:t>4,318,397.37</w:t>
            </w:r>
          </w:p>
        </w:tc>
        <w:tc>
          <w:tcPr>
            <w:tcW w:w="889" w:type="pct"/>
            <w:tcBorders>
              <w:top w:val="single" w:color="auto" w:sz="4" w:space="0"/>
              <w:left w:val="single" w:color="auto" w:sz="4" w:space="0"/>
              <w:bottom w:val="single" w:color="auto" w:sz="4" w:space="0"/>
              <w:right w:val="single" w:color="auto" w:sz="4" w:space="0"/>
            </w:tcBorders>
            <w:vAlign w:val="center"/>
          </w:tcPr>
          <w:p w14:paraId="795B3BEE">
            <w:pPr>
              <w:jc w:val="right"/>
              <w:textAlignment w:val="center"/>
              <w:rPr>
                <w:rFonts w:cs="Times New Roman"/>
              </w:rPr>
            </w:pPr>
            <w:r>
              <w:rPr>
                <w:rFonts w:cs="Times New Roman"/>
                <w:color w:val="000000"/>
              </w:rPr>
              <w:t>4,201,687.49</w:t>
            </w:r>
          </w:p>
        </w:tc>
        <w:tc>
          <w:tcPr>
            <w:tcW w:w="895" w:type="pct"/>
            <w:tcBorders>
              <w:top w:val="single" w:color="auto" w:sz="4" w:space="0"/>
              <w:left w:val="single" w:color="auto" w:sz="4" w:space="0"/>
              <w:bottom w:val="single" w:color="auto" w:sz="4" w:space="0"/>
              <w:right w:val="single" w:color="auto" w:sz="4" w:space="0"/>
            </w:tcBorders>
            <w:vAlign w:val="center"/>
          </w:tcPr>
          <w:p w14:paraId="1276BA7A">
            <w:pPr>
              <w:jc w:val="right"/>
              <w:textAlignment w:val="center"/>
              <w:rPr>
                <w:rFonts w:cs="Times New Roman"/>
              </w:rPr>
            </w:pPr>
            <w:r>
              <w:rPr>
                <w:rFonts w:cs="Times New Roman"/>
                <w:color w:val="000000"/>
              </w:rPr>
              <w:t>154,573.08</w:t>
            </w:r>
          </w:p>
        </w:tc>
      </w:tr>
      <w:tr w14:paraId="7A84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pct"/>
            <w:tcBorders>
              <w:top w:val="single" w:color="auto" w:sz="4" w:space="0"/>
              <w:left w:val="single" w:color="auto" w:sz="4" w:space="0"/>
              <w:bottom w:val="single" w:color="auto" w:sz="4" w:space="0"/>
              <w:right w:val="single" w:color="auto" w:sz="4" w:space="0"/>
            </w:tcBorders>
          </w:tcPr>
          <w:p w14:paraId="58765558">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生育保险费</w:t>
            </w:r>
          </w:p>
        </w:tc>
        <w:tc>
          <w:tcPr>
            <w:tcW w:w="891" w:type="pct"/>
            <w:tcBorders>
              <w:top w:val="single" w:color="auto" w:sz="4" w:space="0"/>
              <w:left w:val="single" w:color="auto" w:sz="4" w:space="0"/>
              <w:bottom w:val="single" w:color="auto" w:sz="4" w:space="0"/>
              <w:right w:val="single" w:color="auto" w:sz="4" w:space="0"/>
            </w:tcBorders>
            <w:vAlign w:val="center"/>
          </w:tcPr>
          <w:p w14:paraId="063BC6F4">
            <w:pPr>
              <w:jc w:val="right"/>
              <w:textAlignment w:val="center"/>
              <w:rPr>
                <w:rFonts w:cs="Times New Roman"/>
              </w:rPr>
            </w:pPr>
            <w:r>
              <w:rPr>
                <w:rFonts w:cs="Times New Roman"/>
                <w:color w:val="000000"/>
              </w:rPr>
              <w:t>1,026.58</w:t>
            </w:r>
          </w:p>
        </w:tc>
        <w:tc>
          <w:tcPr>
            <w:tcW w:w="881" w:type="pct"/>
            <w:tcBorders>
              <w:top w:val="single" w:color="auto" w:sz="4" w:space="0"/>
              <w:left w:val="single" w:color="auto" w:sz="4" w:space="0"/>
              <w:bottom w:val="single" w:color="auto" w:sz="4" w:space="0"/>
              <w:right w:val="single" w:color="auto" w:sz="4" w:space="0"/>
            </w:tcBorders>
            <w:vAlign w:val="center"/>
          </w:tcPr>
          <w:p w14:paraId="6CA50275">
            <w:pPr>
              <w:jc w:val="right"/>
              <w:textAlignment w:val="center"/>
              <w:rPr>
                <w:rFonts w:cs="Times New Roman"/>
              </w:rPr>
            </w:pPr>
            <w:r>
              <w:rPr>
                <w:rFonts w:cs="Times New Roman"/>
                <w:color w:val="000000"/>
              </w:rPr>
              <w:t>788,186.44</w:t>
            </w:r>
          </w:p>
        </w:tc>
        <w:tc>
          <w:tcPr>
            <w:tcW w:w="889" w:type="pct"/>
            <w:tcBorders>
              <w:top w:val="single" w:color="auto" w:sz="4" w:space="0"/>
              <w:left w:val="single" w:color="auto" w:sz="4" w:space="0"/>
              <w:bottom w:val="single" w:color="auto" w:sz="4" w:space="0"/>
              <w:right w:val="single" w:color="auto" w:sz="4" w:space="0"/>
            </w:tcBorders>
            <w:vAlign w:val="center"/>
          </w:tcPr>
          <w:p w14:paraId="70548259">
            <w:pPr>
              <w:jc w:val="right"/>
              <w:textAlignment w:val="center"/>
              <w:rPr>
                <w:rFonts w:cs="Times New Roman"/>
              </w:rPr>
            </w:pPr>
            <w:r>
              <w:rPr>
                <w:rFonts w:cs="Times New Roman"/>
                <w:color w:val="000000"/>
              </w:rPr>
              <w:t>747,213.02</w:t>
            </w:r>
          </w:p>
        </w:tc>
        <w:tc>
          <w:tcPr>
            <w:tcW w:w="895" w:type="pct"/>
            <w:tcBorders>
              <w:top w:val="single" w:color="auto" w:sz="4" w:space="0"/>
              <w:left w:val="single" w:color="auto" w:sz="4" w:space="0"/>
              <w:bottom w:val="single" w:color="auto" w:sz="4" w:space="0"/>
              <w:right w:val="single" w:color="auto" w:sz="4" w:space="0"/>
            </w:tcBorders>
            <w:vAlign w:val="center"/>
          </w:tcPr>
          <w:p w14:paraId="07C7A17F">
            <w:pPr>
              <w:jc w:val="right"/>
              <w:textAlignment w:val="center"/>
              <w:rPr>
                <w:rFonts w:cs="Times New Roman"/>
              </w:rPr>
            </w:pPr>
            <w:r>
              <w:rPr>
                <w:rFonts w:cs="Times New Roman"/>
                <w:color w:val="000000"/>
              </w:rPr>
              <w:t>42,000.00</w:t>
            </w:r>
          </w:p>
        </w:tc>
      </w:tr>
      <w:tr w14:paraId="7CEC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pct"/>
            <w:tcBorders>
              <w:top w:val="single" w:color="auto" w:sz="4" w:space="0"/>
              <w:left w:val="single" w:color="auto" w:sz="4" w:space="0"/>
              <w:bottom w:val="single" w:color="auto" w:sz="4" w:space="0"/>
              <w:right w:val="single" w:color="auto" w:sz="4" w:space="0"/>
            </w:tcBorders>
          </w:tcPr>
          <w:p w14:paraId="79298DD3">
            <w:pPr>
              <w:autoSpaceDE w:val="0"/>
              <w:autoSpaceDN w:val="0"/>
              <w:adjustRightInd w:val="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四、住房公积金</w:t>
            </w:r>
          </w:p>
        </w:tc>
        <w:tc>
          <w:tcPr>
            <w:tcW w:w="891" w:type="pct"/>
            <w:tcBorders>
              <w:top w:val="single" w:color="auto" w:sz="4" w:space="0"/>
              <w:left w:val="single" w:color="auto" w:sz="4" w:space="0"/>
              <w:bottom w:val="single" w:color="auto" w:sz="4" w:space="0"/>
              <w:right w:val="single" w:color="auto" w:sz="4" w:space="0"/>
            </w:tcBorders>
            <w:vAlign w:val="center"/>
          </w:tcPr>
          <w:p w14:paraId="64CB6555">
            <w:pPr>
              <w:jc w:val="right"/>
              <w:textAlignment w:val="center"/>
              <w:rPr>
                <w:rFonts w:cs="Times New Roman"/>
              </w:rPr>
            </w:pPr>
            <w:r>
              <w:rPr>
                <w:rFonts w:cs="Times New Roman"/>
                <w:color w:val="000000"/>
              </w:rPr>
              <w:t>19,287,522.47</w:t>
            </w:r>
          </w:p>
        </w:tc>
        <w:tc>
          <w:tcPr>
            <w:tcW w:w="881" w:type="pct"/>
            <w:tcBorders>
              <w:top w:val="single" w:color="auto" w:sz="4" w:space="0"/>
              <w:left w:val="single" w:color="auto" w:sz="4" w:space="0"/>
              <w:bottom w:val="single" w:color="auto" w:sz="4" w:space="0"/>
              <w:right w:val="single" w:color="auto" w:sz="4" w:space="0"/>
            </w:tcBorders>
            <w:vAlign w:val="center"/>
          </w:tcPr>
          <w:p w14:paraId="2E31EF3A">
            <w:pPr>
              <w:jc w:val="right"/>
              <w:textAlignment w:val="center"/>
              <w:rPr>
                <w:rFonts w:cs="Times New Roman"/>
              </w:rPr>
            </w:pPr>
            <w:r>
              <w:rPr>
                <w:rFonts w:cs="Times New Roman"/>
                <w:color w:val="000000"/>
              </w:rPr>
              <w:t>33,449,076.44</w:t>
            </w:r>
          </w:p>
        </w:tc>
        <w:tc>
          <w:tcPr>
            <w:tcW w:w="889" w:type="pct"/>
            <w:tcBorders>
              <w:top w:val="single" w:color="auto" w:sz="4" w:space="0"/>
              <w:left w:val="single" w:color="auto" w:sz="4" w:space="0"/>
              <w:bottom w:val="single" w:color="auto" w:sz="4" w:space="0"/>
              <w:right w:val="single" w:color="auto" w:sz="4" w:space="0"/>
            </w:tcBorders>
            <w:vAlign w:val="center"/>
          </w:tcPr>
          <w:p w14:paraId="0FBF020A">
            <w:pPr>
              <w:jc w:val="right"/>
              <w:textAlignment w:val="center"/>
              <w:rPr>
                <w:rFonts w:cs="Times New Roman"/>
              </w:rPr>
            </w:pPr>
            <w:r>
              <w:rPr>
                <w:rFonts w:cs="Times New Roman"/>
                <w:color w:val="000000"/>
              </w:rPr>
              <w:t>32,858,308.98</w:t>
            </w:r>
          </w:p>
        </w:tc>
        <w:tc>
          <w:tcPr>
            <w:tcW w:w="895" w:type="pct"/>
            <w:tcBorders>
              <w:top w:val="single" w:color="auto" w:sz="4" w:space="0"/>
              <w:left w:val="single" w:color="auto" w:sz="4" w:space="0"/>
              <w:bottom w:val="single" w:color="auto" w:sz="4" w:space="0"/>
              <w:right w:val="single" w:color="auto" w:sz="4" w:space="0"/>
            </w:tcBorders>
            <w:vAlign w:val="center"/>
          </w:tcPr>
          <w:p w14:paraId="1321B453">
            <w:pPr>
              <w:jc w:val="right"/>
              <w:textAlignment w:val="center"/>
              <w:rPr>
                <w:rFonts w:cs="Times New Roman"/>
              </w:rPr>
            </w:pPr>
            <w:r>
              <w:rPr>
                <w:rFonts w:cs="Times New Roman"/>
                <w:color w:val="000000"/>
              </w:rPr>
              <w:t>19,878,289.93</w:t>
            </w:r>
          </w:p>
        </w:tc>
      </w:tr>
      <w:tr w14:paraId="002D1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pct"/>
            <w:tcBorders>
              <w:top w:val="single" w:color="auto" w:sz="4" w:space="0"/>
              <w:left w:val="single" w:color="auto" w:sz="4" w:space="0"/>
              <w:bottom w:val="single" w:color="auto" w:sz="4" w:space="0"/>
              <w:right w:val="single" w:color="auto" w:sz="4" w:space="0"/>
            </w:tcBorders>
          </w:tcPr>
          <w:p w14:paraId="3861E9C1">
            <w:pPr>
              <w:autoSpaceDE w:val="0"/>
              <w:autoSpaceDN w:val="0"/>
              <w:adjustRightInd w:val="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五、工会经费和职工教育经费</w:t>
            </w:r>
          </w:p>
        </w:tc>
        <w:tc>
          <w:tcPr>
            <w:tcW w:w="891" w:type="pct"/>
            <w:tcBorders>
              <w:top w:val="single" w:color="auto" w:sz="4" w:space="0"/>
              <w:left w:val="single" w:color="auto" w:sz="4" w:space="0"/>
              <w:bottom w:val="single" w:color="auto" w:sz="4" w:space="0"/>
              <w:right w:val="single" w:color="auto" w:sz="4" w:space="0"/>
            </w:tcBorders>
            <w:vAlign w:val="center"/>
          </w:tcPr>
          <w:p w14:paraId="7088418A">
            <w:pPr>
              <w:jc w:val="right"/>
              <w:textAlignment w:val="center"/>
              <w:rPr>
                <w:rFonts w:cs="Times New Roman"/>
              </w:rPr>
            </w:pPr>
            <w:r>
              <w:rPr>
                <w:rFonts w:cs="Times New Roman"/>
                <w:color w:val="000000"/>
              </w:rPr>
              <w:t>55,570,972.00</w:t>
            </w:r>
          </w:p>
        </w:tc>
        <w:tc>
          <w:tcPr>
            <w:tcW w:w="881" w:type="pct"/>
            <w:tcBorders>
              <w:top w:val="single" w:color="auto" w:sz="4" w:space="0"/>
              <w:left w:val="single" w:color="auto" w:sz="4" w:space="0"/>
              <w:bottom w:val="single" w:color="auto" w:sz="4" w:space="0"/>
              <w:right w:val="single" w:color="auto" w:sz="4" w:space="0"/>
            </w:tcBorders>
            <w:vAlign w:val="center"/>
          </w:tcPr>
          <w:p w14:paraId="0284C0F8">
            <w:pPr>
              <w:jc w:val="right"/>
              <w:textAlignment w:val="center"/>
              <w:rPr>
                <w:rFonts w:cs="Times New Roman"/>
              </w:rPr>
            </w:pPr>
            <w:r>
              <w:rPr>
                <w:rFonts w:cs="Times New Roman"/>
                <w:color w:val="000000"/>
              </w:rPr>
              <w:t>9,186,598.65</w:t>
            </w:r>
          </w:p>
        </w:tc>
        <w:tc>
          <w:tcPr>
            <w:tcW w:w="889" w:type="pct"/>
            <w:tcBorders>
              <w:top w:val="single" w:color="auto" w:sz="4" w:space="0"/>
              <w:left w:val="single" w:color="auto" w:sz="4" w:space="0"/>
              <w:bottom w:val="single" w:color="auto" w:sz="4" w:space="0"/>
              <w:right w:val="single" w:color="auto" w:sz="4" w:space="0"/>
            </w:tcBorders>
            <w:vAlign w:val="center"/>
          </w:tcPr>
          <w:p w14:paraId="2BFA19E9">
            <w:pPr>
              <w:jc w:val="right"/>
              <w:textAlignment w:val="center"/>
              <w:rPr>
                <w:rFonts w:cs="Times New Roman"/>
              </w:rPr>
            </w:pPr>
            <w:r>
              <w:rPr>
                <w:rFonts w:cs="Times New Roman"/>
                <w:color w:val="000000"/>
              </w:rPr>
              <w:t>10,620,385.13</w:t>
            </w:r>
          </w:p>
        </w:tc>
        <w:tc>
          <w:tcPr>
            <w:tcW w:w="895" w:type="pct"/>
            <w:tcBorders>
              <w:top w:val="single" w:color="auto" w:sz="4" w:space="0"/>
              <w:left w:val="single" w:color="auto" w:sz="4" w:space="0"/>
              <w:bottom w:val="single" w:color="auto" w:sz="4" w:space="0"/>
              <w:right w:val="single" w:color="auto" w:sz="4" w:space="0"/>
            </w:tcBorders>
            <w:vAlign w:val="center"/>
          </w:tcPr>
          <w:p w14:paraId="29DC7603">
            <w:pPr>
              <w:jc w:val="right"/>
              <w:textAlignment w:val="center"/>
              <w:rPr>
                <w:rFonts w:cs="Times New Roman"/>
              </w:rPr>
            </w:pPr>
            <w:r>
              <w:rPr>
                <w:rFonts w:cs="Times New Roman"/>
                <w:color w:val="000000"/>
              </w:rPr>
              <w:t>54,137,185.52</w:t>
            </w:r>
          </w:p>
        </w:tc>
      </w:tr>
      <w:tr w14:paraId="60FF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pct"/>
            <w:tcBorders>
              <w:top w:val="single" w:color="auto" w:sz="4" w:space="0"/>
              <w:left w:val="single" w:color="auto" w:sz="4" w:space="0"/>
              <w:bottom w:val="single" w:color="auto" w:sz="4" w:space="0"/>
              <w:right w:val="single" w:color="auto" w:sz="4" w:space="0"/>
            </w:tcBorders>
          </w:tcPr>
          <w:p w14:paraId="62AF446F">
            <w:pPr>
              <w:autoSpaceDE w:val="0"/>
              <w:autoSpaceDN w:val="0"/>
              <w:adjustRightInd w:val="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六、其他短期薪酬</w:t>
            </w:r>
          </w:p>
        </w:tc>
        <w:tc>
          <w:tcPr>
            <w:tcW w:w="891" w:type="pct"/>
            <w:tcBorders>
              <w:top w:val="single" w:color="auto" w:sz="4" w:space="0"/>
              <w:left w:val="single" w:color="auto" w:sz="4" w:space="0"/>
              <w:bottom w:val="single" w:color="auto" w:sz="4" w:space="0"/>
              <w:right w:val="single" w:color="auto" w:sz="4" w:space="0"/>
            </w:tcBorders>
            <w:vAlign w:val="center"/>
          </w:tcPr>
          <w:p w14:paraId="0763E072">
            <w:pPr>
              <w:jc w:val="right"/>
              <w:textAlignment w:val="center"/>
              <w:rPr>
                <w:rFonts w:cs="Times New Roman"/>
              </w:rPr>
            </w:pPr>
            <w:r>
              <w:rPr>
                <w:rFonts w:cs="Times New Roman"/>
                <w:color w:val="000000"/>
              </w:rPr>
              <w:t>102,646.31</w:t>
            </w:r>
          </w:p>
        </w:tc>
        <w:tc>
          <w:tcPr>
            <w:tcW w:w="881" w:type="pct"/>
            <w:tcBorders>
              <w:top w:val="single" w:color="auto" w:sz="4" w:space="0"/>
              <w:left w:val="single" w:color="auto" w:sz="4" w:space="0"/>
              <w:bottom w:val="single" w:color="auto" w:sz="4" w:space="0"/>
              <w:right w:val="single" w:color="auto" w:sz="4" w:space="0"/>
            </w:tcBorders>
            <w:vAlign w:val="center"/>
          </w:tcPr>
          <w:p w14:paraId="45AF1D65">
            <w:pPr>
              <w:jc w:val="right"/>
              <w:textAlignment w:val="center"/>
              <w:rPr>
                <w:rFonts w:cs="Times New Roman"/>
              </w:rPr>
            </w:pPr>
            <w:r>
              <w:rPr>
                <w:rFonts w:cs="Times New Roman"/>
                <w:color w:val="000000"/>
              </w:rPr>
              <w:t>6,948,762.51</w:t>
            </w:r>
          </w:p>
        </w:tc>
        <w:tc>
          <w:tcPr>
            <w:tcW w:w="889" w:type="pct"/>
            <w:tcBorders>
              <w:top w:val="single" w:color="auto" w:sz="4" w:space="0"/>
              <w:left w:val="single" w:color="auto" w:sz="4" w:space="0"/>
              <w:bottom w:val="single" w:color="auto" w:sz="4" w:space="0"/>
              <w:right w:val="single" w:color="auto" w:sz="4" w:space="0"/>
            </w:tcBorders>
            <w:vAlign w:val="center"/>
          </w:tcPr>
          <w:p w14:paraId="724CEE52">
            <w:pPr>
              <w:jc w:val="right"/>
              <w:textAlignment w:val="center"/>
              <w:rPr>
                <w:rFonts w:cs="Times New Roman"/>
              </w:rPr>
            </w:pPr>
            <w:r>
              <w:rPr>
                <w:rFonts w:cs="Times New Roman"/>
                <w:color w:val="000000"/>
              </w:rPr>
              <w:t>7,007,612.75</w:t>
            </w:r>
          </w:p>
        </w:tc>
        <w:tc>
          <w:tcPr>
            <w:tcW w:w="895" w:type="pct"/>
            <w:tcBorders>
              <w:top w:val="single" w:color="auto" w:sz="4" w:space="0"/>
              <w:left w:val="single" w:color="auto" w:sz="4" w:space="0"/>
              <w:bottom w:val="single" w:color="auto" w:sz="4" w:space="0"/>
              <w:right w:val="single" w:color="auto" w:sz="4" w:space="0"/>
            </w:tcBorders>
            <w:vAlign w:val="center"/>
          </w:tcPr>
          <w:p w14:paraId="32790678">
            <w:pPr>
              <w:jc w:val="right"/>
              <w:textAlignment w:val="center"/>
              <w:rPr>
                <w:rFonts w:cs="Times New Roman"/>
              </w:rPr>
            </w:pPr>
            <w:r>
              <w:rPr>
                <w:rFonts w:cs="Times New Roman"/>
                <w:color w:val="000000"/>
              </w:rPr>
              <w:t>43,796.07</w:t>
            </w:r>
          </w:p>
        </w:tc>
      </w:tr>
      <w:tr w14:paraId="1923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pct"/>
            <w:tcBorders>
              <w:top w:val="single" w:color="auto" w:sz="4" w:space="0"/>
              <w:left w:val="single" w:color="auto" w:sz="4" w:space="0"/>
              <w:bottom w:val="single" w:color="auto" w:sz="4" w:space="0"/>
              <w:right w:val="single" w:color="auto" w:sz="4" w:space="0"/>
            </w:tcBorders>
            <w:vAlign w:val="center"/>
          </w:tcPr>
          <w:p w14:paraId="7AC06A94">
            <w:pPr>
              <w:autoSpaceDE w:val="0"/>
              <w:autoSpaceDN w:val="0"/>
              <w:adjustRightIn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891" w:type="pct"/>
            <w:tcBorders>
              <w:top w:val="single" w:color="auto" w:sz="4" w:space="0"/>
              <w:left w:val="single" w:color="auto" w:sz="4" w:space="0"/>
              <w:bottom w:val="single" w:color="auto" w:sz="4" w:space="0"/>
              <w:right w:val="single" w:color="auto" w:sz="4" w:space="0"/>
            </w:tcBorders>
            <w:vAlign w:val="center"/>
          </w:tcPr>
          <w:p w14:paraId="7FEFF9EA">
            <w:pPr>
              <w:jc w:val="right"/>
              <w:textAlignment w:val="center"/>
              <w:rPr>
                <w:rFonts w:cs="Times New Roman"/>
              </w:rPr>
            </w:pPr>
            <w:r>
              <w:rPr>
                <w:rFonts w:cs="Times New Roman"/>
                <w:color w:val="000000"/>
              </w:rPr>
              <w:t>262,415,077.75</w:t>
            </w:r>
          </w:p>
        </w:tc>
        <w:tc>
          <w:tcPr>
            <w:tcW w:w="881" w:type="pct"/>
            <w:tcBorders>
              <w:top w:val="single" w:color="auto" w:sz="4" w:space="0"/>
              <w:left w:val="single" w:color="auto" w:sz="4" w:space="0"/>
              <w:bottom w:val="single" w:color="auto" w:sz="4" w:space="0"/>
              <w:right w:val="single" w:color="auto" w:sz="4" w:space="0"/>
            </w:tcBorders>
            <w:vAlign w:val="center"/>
          </w:tcPr>
          <w:p w14:paraId="6619F717">
            <w:pPr>
              <w:jc w:val="right"/>
              <w:textAlignment w:val="center"/>
              <w:rPr>
                <w:rFonts w:cs="Times New Roman"/>
              </w:rPr>
            </w:pPr>
            <w:r>
              <w:rPr>
                <w:rFonts w:cs="Times New Roman"/>
                <w:color w:val="000000"/>
              </w:rPr>
              <w:t>558,460,506.08</w:t>
            </w:r>
          </w:p>
        </w:tc>
        <w:tc>
          <w:tcPr>
            <w:tcW w:w="889" w:type="pct"/>
            <w:tcBorders>
              <w:top w:val="single" w:color="auto" w:sz="4" w:space="0"/>
              <w:left w:val="single" w:color="auto" w:sz="4" w:space="0"/>
              <w:bottom w:val="single" w:color="auto" w:sz="4" w:space="0"/>
              <w:right w:val="single" w:color="auto" w:sz="4" w:space="0"/>
            </w:tcBorders>
            <w:vAlign w:val="center"/>
          </w:tcPr>
          <w:p w14:paraId="3162F2AE">
            <w:pPr>
              <w:jc w:val="right"/>
              <w:textAlignment w:val="center"/>
              <w:rPr>
                <w:rFonts w:cs="Times New Roman"/>
              </w:rPr>
            </w:pPr>
            <w:r>
              <w:rPr>
                <w:rFonts w:cs="Times New Roman"/>
                <w:color w:val="000000"/>
              </w:rPr>
              <w:t>677,463,522.21</w:t>
            </w:r>
          </w:p>
        </w:tc>
        <w:tc>
          <w:tcPr>
            <w:tcW w:w="895" w:type="pct"/>
            <w:tcBorders>
              <w:top w:val="single" w:color="auto" w:sz="4" w:space="0"/>
              <w:left w:val="single" w:color="auto" w:sz="4" w:space="0"/>
              <w:bottom w:val="single" w:color="auto" w:sz="4" w:space="0"/>
              <w:right w:val="single" w:color="auto" w:sz="4" w:space="0"/>
            </w:tcBorders>
            <w:vAlign w:val="center"/>
          </w:tcPr>
          <w:p w14:paraId="221C733C">
            <w:pPr>
              <w:jc w:val="right"/>
              <w:textAlignment w:val="center"/>
              <w:rPr>
                <w:rFonts w:cs="Times New Roman"/>
              </w:rPr>
            </w:pPr>
            <w:r>
              <w:rPr>
                <w:rFonts w:cs="Times New Roman"/>
                <w:color w:val="000000"/>
              </w:rPr>
              <w:t>143,412,061.62</w:t>
            </w:r>
          </w:p>
        </w:tc>
      </w:tr>
    </w:tbl>
    <w:p w14:paraId="6E028157">
      <w:pPr>
        <w:rPr>
          <w:color w:val="000000" w:themeColor="text1"/>
          <w14:textFill>
            <w14:solidFill>
              <w14:schemeClr w14:val="tx1"/>
            </w14:solidFill>
          </w14:textFill>
        </w:rPr>
      </w:pPr>
    </w:p>
    <w:p w14:paraId="47110D71">
      <w:pPr>
        <w:pStyle w:val="58"/>
        <w:numPr>
          <w:ilvl w:val="0"/>
          <w:numId w:val="82"/>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设定提存计划列示</w:t>
      </w:r>
    </w:p>
    <w:sdt>
      <w:sdtPr>
        <w:rPr>
          <w:color w:val="000000" w:themeColor="text1"/>
          <w14:textFill>
            <w14:solidFill>
              <w14:schemeClr w14:val="tx1"/>
            </w14:solidFill>
          </w14:textFill>
        </w:rPr>
        <w:alias w:val="是否适用：设定提存计划列示[双击切换]"/>
        <w:tag w:val="_GBC_107b7eec6d75473e8809e93d01e00021"/>
        <w:id w:val="147469662"/>
        <w:placeholder>
          <w:docPart w:val="GBC22222222222222222222222222222"/>
        </w:placeholder>
      </w:sdtPr>
      <w:sdtEndPr>
        <w:rPr>
          <w:color w:val="000000" w:themeColor="text1"/>
          <w14:textFill>
            <w14:solidFill>
              <w14:schemeClr w14:val="tx1"/>
            </w14:solidFill>
          </w14:textFill>
        </w:rPr>
      </w:sdtEndPr>
      <w:sdtContent>
        <w:p w14:paraId="1E16F90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B95EB55">
      <w:pPr>
        <w:jc w:val="right"/>
        <w:rPr>
          <w:color w:val="000000" w:themeColor="text1"/>
          <w14:textFill>
            <w14:solidFill>
              <w14:schemeClr w14:val="tx1"/>
            </w14:solidFill>
          </w14:textFill>
        </w:rPr>
      </w:pPr>
    </w:p>
    <w:p w14:paraId="6619998F">
      <w:pPr>
        <w:jc w:val="right"/>
        <w:rPr>
          <w:color w:val="000000" w:themeColor="text1"/>
          <w14:textFill>
            <w14:solidFill>
              <w14:schemeClr w14:val="tx1"/>
            </w14:solidFill>
          </w14:textFill>
        </w:rPr>
      </w:pPr>
    </w:p>
    <w:p w14:paraId="58B38617">
      <w:pPr>
        <w:jc w:val="right"/>
        <w:rPr>
          <w:color w:val="000000" w:themeColor="text1"/>
          <w14:textFill>
            <w14:solidFill>
              <w14:schemeClr w14:val="tx1"/>
            </w14:solidFill>
          </w14:textFill>
        </w:rPr>
      </w:pPr>
    </w:p>
    <w:p w14:paraId="34F89985">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设定提存计划列示"/>
          <w:tag w:val="_GBC_744d8f829e6040c78616ef1951ef7e59"/>
          <w:id w:val="1474537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设定提存计划列示"/>
          <w:tag w:val="_GBC_433e4a4ae9d648a2973673cbec959f23"/>
          <w:id w:val="1474569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6"/>
        <w:gridCol w:w="1624"/>
        <w:gridCol w:w="1609"/>
        <w:gridCol w:w="1638"/>
        <w:gridCol w:w="1593"/>
      </w:tblGrid>
      <w:tr w14:paraId="74F2E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f8a9011ca6bd4cc895a50279da6547e9"/>
            <w:id w:val="147474281"/>
          </w:sdtPr>
          <w:sdtEndPr>
            <w:rPr>
              <w:rFonts w:cs="Times New Roman"/>
            </w:rPr>
          </w:sdtEndPr>
          <w:sdtContent>
            <w:tc>
              <w:tcPr>
                <w:tcW w:w="1429" w:type="pct"/>
                <w:vAlign w:val="center"/>
              </w:tcPr>
              <w:p w14:paraId="251A749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db9ecea0e08e4c1bb5fe2474183a8480"/>
            <w:id w:val="147482063"/>
          </w:sdtPr>
          <w:sdtEndPr>
            <w:rPr>
              <w:rFonts w:cs="Times New Roman"/>
            </w:rPr>
          </w:sdtEndPr>
          <w:sdtContent>
            <w:tc>
              <w:tcPr>
                <w:tcW w:w="897" w:type="pct"/>
                <w:vAlign w:val="center"/>
              </w:tcPr>
              <w:p w14:paraId="40D61D98">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sdt>
          <w:sdtPr>
            <w:rPr>
              <w:rFonts w:cs="Times New Roman"/>
            </w:rPr>
            <w:tag w:val="_PLD_11b6b53867b44c92b19ef791cad0c8c4"/>
            <w:id w:val="147463539"/>
          </w:sdtPr>
          <w:sdtEndPr>
            <w:rPr>
              <w:rFonts w:cs="Times New Roman"/>
            </w:rPr>
          </w:sdtEndPr>
          <w:sdtContent>
            <w:tc>
              <w:tcPr>
                <w:tcW w:w="889" w:type="pct"/>
                <w:vAlign w:val="center"/>
              </w:tcPr>
              <w:p w14:paraId="3C1E6447">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本期增加</w:t>
                </w:r>
              </w:p>
            </w:tc>
          </w:sdtContent>
        </w:sdt>
        <w:sdt>
          <w:sdtPr>
            <w:rPr>
              <w:rFonts w:cs="Times New Roman"/>
            </w:rPr>
            <w:tag w:val="_PLD_c2cbd009dd4248ceb9040da5fc326084"/>
            <w:id w:val="147458963"/>
          </w:sdtPr>
          <w:sdtEndPr>
            <w:rPr>
              <w:rFonts w:cs="Times New Roman"/>
            </w:rPr>
          </w:sdtEndPr>
          <w:sdtContent>
            <w:tc>
              <w:tcPr>
                <w:tcW w:w="905" w:type="pct"/>
                <w:vAlign w:val="center"/>
              </w:tcPr>
              <w:p w14:paraId="52DEF4A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本期减少</w:t>
                </w:r>
              </w:p>
            </w:tc>
          </w:sdtContent>
        </w:sdt>
        <w:sdt>
          <w:sdtPr>
            <w:rPr>
              <w:rFonts w:cs="Times New Roman"/>
            </w:rPr>
            <w:tag w:val="_PLD_0ded00fbf217420ebfe8ace86c12086d"/>
            <w:id w:val="147478875"/>
          </w:sdtPr>
          <w:sdtEndPr>
            <w:rPr>
              <w:rFonts w:cs="Times New Roman"/>
            </w:rPr>
          </w:sdtEndPr>
          <w:sdtContent>
            <w:tc>
              <w:tcPr>
                <w:tcW w:w="880" w:type="pct"/>
                <w:vAlign w:val="center"/>
              </w:tcPr>
              <w:p w14:paraId="6A398189">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tr>
      <w:tr w14:paraId="351D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pct"/>
          </w:tcPr>
          <w:p w14:paraId="6156780D">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1、基本养老保险</w:t>
            </w:r>
          </w:p>
        </w:tc>
        <w:tc>
          <w:tcPr>
            <w:tcW w:w="897" w:type="pct"/>
            <w:vAlign w:val="center"/>
          </w:tcPr>
          <w:p w14:paraId="77B7BF5C">
            <w:pPr>
              <w:jc w:val="right"/>
              <w:textAlignment w:val="center"/>
              <w:rPr>
                <w:rFonts w:cs="Times New Roman"/>
              </w:rPr>
            </w:pPr>
            <w:r>
              <w:rPr>
                <w:rFonts w:cs="Times New Roman"/>
                <w:color w:val="000000"/>
              </w:rPr>
              <w:t>1,833,010.21</w:t>
            </w:r>
          </w:p>
        </w:tc>
        <w:tc>
          <w:tcPr>
            <w:tcW w:w="889" w:type="pct"/>
            <w:vAlign w:val="center"/>
          </w:tcPr>
          <w:p w14:paraId="4C96F298">
            <w:pPr>
              <w:jc w:val="right"/>
              <w:textAlignment w:val="center"/>
              <w:rPr>
                <w:rFonts w:cs="Times New Roman"/>
              </w:rPr>
            </w:pPr>
            <w:r>
              <w:rPr>
                <w:rFonts w:cs="Times New Roman"/>
                <w:color w:val="000000"/>
              </w:rPr>
              <w:t>74,087,739.95</w:t>
            </w:r>
          </w:p>
        </w:tc>
        <w:tc>
          <w:tcPr>
            <w:tcW w:w="905" w:type="pct"/>
            <w:vAlign w:val="center"/>
          </w:tcPr>
          <w:p w14:paraId="4570EF90">
            <w:pPr>
              <w:jc w:val="right"/>
              <w:textAlignment w:val="center"/>
              <w:rPr>
                <w:rFonts w:cs="Times New Roman"/>
              </w:rPr>
            </w:pPr>
            <w:r>
              <w:rPr>
                <w:rFonts w:cs="Times New Roman"/>
                <w:color w:val="000000"/>
              </w:rPr>
              <w:t>73,017,089.67</w:t>
            </w:r>
          </w:p>
        </w:tc>
        <w:tc>
          <w:tcPr>
            <w:tcW w:w="880" w:type="pct"/>
            <w:vAlign w:val="center"/>
          </w:tcPr>
          <w:p w14:paraId="645D4AF3">
            <w:pPr>
              <w:jc w:val="right"/>
              <w:textAlignment w:val="center"/>
              <w:rPr>
                <w:rFonts w:cs="Times New Roman"/>
              </w:rPr>
            </w:pPr>
            <w:r>
              <w:rPr>
                <w:rFonts w:cs="Times New Roman"/>
                <w:color w:val="000000"/>
              </w:rPr>
              <w:t>2,903,660.49</w:t>
            </w:r>
          </w:p>
        </w:tc>
      </w:tr>
      <w:tr w14:paraId="40DD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pct"/>
          </w:tcPr>
          <w:p w14:paraId="78FA336F">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2、失业保险费</w:t>
            </w:r>
          </w:p>
        </w:tc>
        <w:tc>
          <w:tcPr>
            <w:tcW w:w="897" w:type="pct"/>
            <w:vAlign w:val="center"/>
          </w:tcPr>
          <w:p w14:paraId="18FE2357">
            <w:pPr>
              <w:jc w:val="right"/>
              <w:textAlignment w:val="center"/>
              <w:rPr>
                <w:rFonts w:cs="Times New Roman"/>
              </w:rPr>
            </w:pPr>
            <w:r>
              <w:rPr>
                <w:rFonts w:cs="Times New Roman"/>
                <w:color w:val="000000"/>
              </w:rPr>
              <w:t>70,959.04</w:t>
            </w:r>
          </w:p>
        </w:tc>
        <w:tc>
          <w:tcPr>
            <w:tcW w:w="889" w:type="pct"/>
            <w:vAlign w:val="center"/>
          </w:tcPr>
          <w:p w14:paraId="3E555C7A">
            <w:pPr>
              <w:jc w:val="right"/>
              <w:textAlignment w:val="center"/>
              <w:rPr>
                <w:rFonts w:cs="Times New Roman"/>
              </w:rPr>
            </w:pPr>
            <w:r>
              <w:rPr>
                <w:rFonts w:cs="Times New Roman"/>
                <w:color w:val="000000"/>
              </w:rPr>
              <w:t>3,002,803.53</w:t>
            </w:r>
          </w:p>
        </w:tc>
        <w:tc>
          <w:tcPr>
            <w:tcW w:w="905" w:type="pct"/>
            <w:vAlign w:val="center"/>
          </w:tcPr>
          <w:p w14:paraId="0AD6FBC0">
            <w:pPr>
              <w:jc w:val="right"/>
              <w:textAlignment w:val="center"/>
              <w:rPr>
                <w:rFonts w:cs="Times New Roman"/>
              </w:rPr>
            </w:pPr>
            <w:r>
              <w:rPr>
                <w:rFonts w:cs="Times New Roman"/>
                <w:color w:val="000000"/>
              </w:rPr>
              <w:t>2,928,176.45</w:t>
            </w:r>
          </w:p>
        </w:tc>
        <w:tc>
          <w:tcPr>
            <w:tcW w:w="880" w:type="pct"/>
            <w:vAlign w:val="center"/>
          </w:tcPr>
          <w:p w14:paraId="446C9F70">
            <w:pPr>
              <w:jc w:val="right"/>
              <w:textAlignment w:val="center"/>
              <w:rPr>
                <w:rFonts w:cs="Times New Roman"/>
              </w:rPr>
            </w:pPr>
            <w:r>
              <w:rPr>
                <w:rFonts w:cs="Times New Roman"/>
                <w:color w:val="000000"/>
              </w:rPr>
              <w:t>145,586.12</w:t>
            </w:r>
          </w:p>
        </w:tc>
      </w:tr>
      <w:tr w14:paraId="0533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pct"/>
          </w:tcPr>
          <w:p w14:paraId="1B79F226">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3、企业年金缴费</w:t>
            </w:r>
          </w:p>
        </w:tc>
        <w:tc>
          <w:tcPr>
            <w:tcW w:w="897" w:type="pct"/>
            <w:vAlign w:val="center"/>
          </w:tcPr>
          <w:p w14:paraId="7759AE21">
            <w:pPr>
              <w:jc w:val="right"/>
              <w:rPr>
                <w:rFonts w:cs="Times New Roman"/>
              </w:rPr>
            </w:pPr>
          </w:p>
        </w:tc>
        <w:tc>
          <w:tcPr>
            <w:tcW w:w="889" w:type="pct"/>
            <w:vAlign w:val="center"/>
          </w:tcPr>
          <w:p w14:paraId="53932FEE">
            <w:pPr>
              <w:jc w:val="right"/>
              <w:textAlignment w:val="center"/>
              <w:rPr>
                <w:rFonts w:cs="Times New Roman"/>
              </w:rPr>
            </w:pPr>
            <w:r>
              <w:rPr>
                <w:rFonts w:cs="Times New Roman"/>
                <w:color w:val="000000"/>
              </w:rPr>
              <w:t>1,264,817.30</w:t>
            </w:r>
          </w:p>
        </w:tc>
        <w:tc>
          <w:tcPr>
            <w:tcW w:w="905" w:type="pct"/>
            <w:vAlign w:val="center"/>
          </w:tcPr>
          <w:p w14:paraId="6AB2CC91">
            <w:pPr>
              <w:jc w:val="right"/>
              <w:textAlignment w:val="center"/>
              <w:rPr>
                <w:rFonts w:cs="Times New Roman"/>
              </w:rPr>
            </w:pPr>
            <w:r>
              <w:rPr>
                <w:rFonts w:cs="Times New Roman"/>
                <w:color w:val="000000"/>
              </w:rPr>
              <w:t>1,264,817.30</w:t>
            </w:r>
          </w:p>
        </w:tc>
        <w:tc>
          <w:tcPr>
            <w:tcW w:w="880" w:type="pct"/>
            <w:vAlign w:val="center"/>
          </w:tcPr>
          <w:p w14:paraId="7A889402">
            <w:pPr>
              <w:jc w:val="right"/>
              <w:rPr>
                <w:rFonts w:cs="Times New Roman"/>
              </w:rPr>
            </w:pPr>
          </w:p>
        </w:tc>
      </w:tr>
      <w:tr w14:paraId="76B4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pct"/>
            <w:vAlign w:val="center"/>
          </w:tcPr>
          <w:p w14:paraId="36F736D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897" w:type="pct"/>
            <w:vAlign w:val="center"/>
          </w:tcPr>
          <w:p w14:paraId="616336AC">
            <w:pPr>
              <w:jc w:val="right"/>
              <w:textAlignment w:val="center"/>
              <w:rPr>
                <w:rFonts w:cs="Times New Roman"/>
              </w:rPr>
            </w:pPr>
            <w:r>
              <w:rPr>
                <w:rFonts w:cs="Times New Roman"/>
                <w:color w:val="000000"/>
              </w:rPr>
              <w:t>1,903,969.25</w:t>
            </w:r>
          </w:p>
        </w:tc>
        <w:tc>
          <w:tcPr>
            <w:tcW w:w="889" w:type="pct"/>
            <w:vAlign w:val="center"/>
          </w:tcPr>
          <w:p w14:paraId="7BA471F3">
            <w:pPr>
              <w:jc w:val="right"/>
              <w:textAlignment w:val="center"/>
              <w:rPr>
                <w:rFonts w:cs="Times New Roman"/>
              </w:rPr>
            </w:pPr>
            <w:r>
              <w:rPr>
                <w:rFonts w:cs="Times New Roman"/>
                <w:color w:val="000000"/>
              </w:rPr>
              <w:t>78,355,360.78</w:t>
            </w:r>
          </w:p>
        </w:tc>
        <w:tc>
          <w:tcPr>
            <w:tcW w:w="905" w:type="pct"/>
            <w:vAlign w:val="center"/>
          </w:tcPr>
          <w:p w14:paraId="51BCC2E1">
            <w:pPr>
              <w:jc w:val="right"/>
              <w:textAlignment w:val="center"/>
              <w:rPr>
                <w:rFonts w:cs="Times New Roman"/>
              </w:rPr>
            </w:pPr>
            <w:r>
              <w:rPr>
                <w:rFonts w:cs="Times New Roman"/>
                <w:color w:val="000000"/>
              </w:rPr>
              <w:t>77,210,083.42</w:t>
            </w:r>
          </w:p>
        </w:tc>
        <w:tc>
          <w:tcPr>
            <w:tcW w:w="880" w:type="pct"/>
            <w:vAlign w:val="center"/>
          </w:tcPr>
          <w:p w14:paraId="1307B658">
            <w:pPr>
              <w:jc w:val="right"/>
              <w:textAlignment w:val="center"/>
              <w:rPr>
                <w:rFonts w:cs="Times New Roman"/>
              </w:rPr>
            </w:pPr>
            <w:r>
              <w:rPr>
                <w:rFonts w:cs="Times New Roman"/>
                <w:color w:val="000000"/>
              </w:rPr>
              <w:t>3,049,246.61</w:t>
            </w:r>
          </w:p>
        </w:tc>
      </w:tr>
    </w:tbl>
    <w:p w14:paraId="5538CF37">
      <w:pPr>
        <w:autoSpaceDE w:val="0"/>
        <w:autoSpaceDN w:val="0"/>
        <w:adjustRightInd w:val="0"/>
        <w:rPr>
          <w:color w:val="000000" w:themeColor="text1"/>
          <w14:textFill>
            <w14:solidFill>
              <w14:schemeClr w14:val="tx1"/>
            </w14:solidFill>
          </w14:textFill>
        </w:rPr>
      </w:pPr>
    </w:p>
    <w:p w14:paraId="204E0095">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应付职工薪酬的说明[双击切换]"/>
        <w:tag w:val="_GBC_f41ecc08d4994ba99707111806caa376"/>
        <w:id w:val="147480989"/>
        <w:placeholder>
          <w:docPart w:val="GBC22222222222222222222222222222"/>
        </w:placeholder>
      </w:sdtPr>
      <w:sdtEndPr>
        <w:rPr>
          <w:color w:val="000000" w:themeColor="text1"/>
          <w14:textFill>
            <w14:solidFill>
              <w14:schemeClr w14:val="tx1"/>
            </w14:solidFill>
          </w14:textFill>
        </w:rPr>
      </w:sdtEndPr>
      <w:sdtContent>
        <w:p w14:paraId="0F6974CC">
          <w:pPr>
            <w:autoSpaceDE w:val="0"/>
            <w:autoSpaceDN w:val="0"/>
            <w:adjustRightInd w:val="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8D39AEC">
      <w:pPr>
        <w:autoSpaceDE w:val="0"/>
        <w:autoSpaceDN w:val="0"/>
        <w:adjustRightInd w:val="0"/>
        <w:rPr>
          <w:color w:val="000000" w:themeColor="text1"/>
          <w14:textFill>
            <w14:solidFill>
              <w14:schemeClr w14:val="tx1"/>
            </w14:solidFill>
          </w14:textFill>
        </w:rPr>
      </w:pPr>
    </w:p>
    <w:p w14:paraId="6D66E823">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应交税费</w:t>
      </w:r>
    </w:p>
    <w:sdt>
      <w:sdtPr>
        <w:rPr>
          <w:color w:val="000000" w:themeColor="text1"/>
          <w14:textFill>
            <w14:solidFill>
              <w14:schemeClr w14:val="tx1"/>
            </w14:solidFill>
          </w14:textFill>
        </w:rPr>
        <w:alias w:val="是否适用：应交税费[双击切换]"/>
        <w:tag w:val="_GBC_e7e2664720b9408384c5d3cd6d97c132"/>
        <w:id w:val="147457497"/>
        <w:placeholder>
          <w:docPart w:val="GBC22222222222222222222222222222"/>
        </w:placeholder>
      </w:sdtPr>
      <w:sdtEndPr>
        <w:rPr>
          <w:color w:val="000000" w:themeColor="text1"/>
          <w14:textFill>
            <w14:solidFill>
              <w14:schemeClr w14:val="tx1"/>
            </w14:solidFill>
          </w14:textFill>
        </w:rPr>
      </w:sdtEndPr>
      <w:sdtContent>
        <w:p w14:paraId="7ECE6DF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1791A13">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应交税费"/>
          <w:tag w:val="_GBC_a6162c9f021640929018406be611b834"/>
          <w:id w:val="1474510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应交税费"/>
          <w:tag w:val="_GBC_d787fa1c70604797889c69c4c364e711"/>
          <w:id w:val="1474800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2980"/>
        <w:gridCol w:w="2955"/>
        <w:gridCol w:w="2960"/>
      </w:tblGrid>
      <w:tr w14:paraId="3D27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cs="Times New Roman"/>
            </w:rPr>
            <w:tag w:val="_PLD_ab0019be2d10489d885d15626d85168f"/>
            <w:id w:val="147454072"/>
          </w:sdtPr>
          <w:sdtEndPr>
            <w:rPr>
              <w:rFonts w:cs="Times New Roman"/>
            </w:rPr>
          </w:sdtEndPr>
          <w:sdtContent>
            <w:tc>
              <w:tcPr>
                <w:tcW w:w="1675" w:type="pct"/>
                <w:vAlign w:val="center"/>
              </w:tcPr>
              <w:p w14:paraId="58EE502B">
                <w:pPr>
                  <w:ind w:right="105"/>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4d086e8f4e004ee3aa116a5d10a7ecbd"/>
            <w:id w:val="147456315"/>
          </w:sdtPr>
          <w:sdtEndPr>
            <w:rPr>
              <w:rFonts w:cs="Times New Roman"/>
            </w:rPr>
          </w:sdtEndPr>
          <w:sdtContent>
            <w:tc>
              <w:tcPr>
                <w:tcW w:w="1661" w:type="pct"/>
                <w:vAlign w:val="center"/>
              </w:tcPr>
              <w:p w14:paraId="606545B7">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8b866f731e474c6ebfb67cd903ab95c8"/>
            <w:id w:val="147469424"/>
          </w:sdtPr>
          <w:sdtEndPr>
            <w:rPr>
              <w:rFonts w:cs="Times New Roman"/>
            </w:rPr>
          </w:sdtEndPr>
          <w:sdtContent>
            <w:tc>
              <w:tcPr>
                <w:tcW w:w="1664" w:type="pct"/>
                <w:vAlign w:val="center"/>
              </w:tcPr>
              <w:p w14:paraId="15A6DA99">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tr>
      <w:tr w14:paraId="18E1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14:paraId="4EDE884D">
            <w:pPr>
              <w:ind w:right="105"/>
              <w:rPr>
                <w:rFonts w:cs="Times New Roman"/>
                <w:color w:val="000000" w:themeColor="text1"/>
                <w14:textFill>
                  <w14:solidFill>
                    <w14:schemeClr w14:val="tx1"/>
                  </w14:solidFill>
                </w14:textFill>
              </w:rPr>
            </w:pPr>
            <w:r>
              <w:rPr>
                <w:rFonts w:cs="Times New Roman"/>
                <w:color w:val="000000"/>
              </w:rPr>
              <w:t>增值税</w:t>
            </w:r>
          </w:p>
        </w:tc>
        <w:tc>
          <w:tcPr>
            <w:tcW w:w="1661" w:type="pct"/>
            <w:vAlign w:val="center"/>
          </w:tcPr>
          <w:p w14:paraId="5A8A8B9A">
            <w:pPr>
              <w:jc w:val="right"/>
              <w:textAlignment w:val="center"/>
              <w:rPr>
                <w:rFonts w:cs="Times New Roman"/>
              </w:rPr>
            </w:pPr>
            <w:r>
              <w:rPr>
                <w:rFonts w:cs="Times New Roman"/>
                <w:color w:val="000000"/>
              </w:rPr>
              <w:t>13,349,399.31</w:t>
            </w:r>
          </w:p>
        </w:tc>
        <w:tc>
          <w:tcPr>
            <w:tcW w:w="1664" w:type="pct"/>
            <w:vAlign w:val="center"/>
          </w:tcPr>
          <w:p w14:paraId="68A749FD">
            <w:pPr>
              <w:jc w:val="right"/>
              <w:textAlignment w:val="center"/>
              <w:rPr>
                <w:rFonts w:cs="Times New Roman"/>
              </w:rPr>
            </w:pPr>
            <w:r>
              <w:rPr>
                <w:rFonts w:cs="Times New Roman"/>
                <w:color w:val="000000"/>
              </w:rPr>
              <w:t>29,105,530.14</w:t>
            </w:r>
          </w:p>
        </w:tc>
      </w:tr>
      <w:tr w14:paraId="2F53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14:paraId="5E50E05B">
            <w:pPr>
              <w:ind w:right="105"/>
              <w:rPr>
                <w:rFonts w:cs="Times New Roman"/>
                <w:color w:val="000000" w:themeColor="text1"/>
                <w14:textFill>
                  <w14:solidFill>
                    <w14:schemeClr w14:val="tx1"/>
                  </w14:solidFill>
                </w14:textFill>
              </w:rPr>
            </w:pPr>
            <w:r>
              <w:rPr>
                <w:rFonts w:cs="Times New Roman"/>
                <w:color w:val="000000"/>
              </w:rPr>
              <w:t>企业所得税</w:t>
            </w:r>
          </w:p>
        </w:tc>
        <w:tc>
          <w:tcPr>
            <w:tcW w:w="1661" w:type="pct"/>
            <w:vAlign w:val="center"/>
          </w:tcPr>
          <w:p w14:paraId="72ACDF8E">
            <w:pPr>
              <w:jc w:val="right"/>
              <w:textAlignment w:val="center"/>
              <w:rPr>
                <w:rFonts w:cs="Times New Roman"/>
              </w:rPr>
            </w:pPr>
            <w:r>
              <w:rPr>
                <w:rFonts w:cs="Times New Roman"/>
                <w:color w:val="000000"/>
              </w:rPr>
              <w:t>76,265,887.32</w:t>
            </w:r>
          </w:p>
        </w:tc>
        <w:tc>
          <w:tcPr>
            <w:tcW w:w="1664" w:type="pct"/>
            <w:vAlign w:val="center"/>
          </w:tcPr>
          <w:p w14:paraId="7DAFC71B">
            <w:pPr>
              <w:jc w:val="right"/>
              <w:textAlignment w:val="center"/>
              <w:rPr>
                <w:rFonts w:cs="Times New Roman"/>
              </w:rPr>
            </w:pPr>
            <w:r>
              <w:rPr>
                <w:rFonts w:cs="Times New Roman"/>
                <w:color w:val="000000"/>
              </w:rPr>
              <w:t>87,991,185.95</w:t>
            </w:r>
          </w:p>
        </w:tc>
      </w:tr>
      <w:tr w14:paraId="21894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14:paraId="60001FE4">
            <w:pPr>
              <w:ind w:right="105"/>
              <w:rPr>
                <w:rFonts w:cs="Times New Roman"/>
                <w:color w:val="000000" w:themeColor="text1"/>
                <w14:textFill>
                  <w14:solidFill>
                    <w14:schemeClr w14:val="tx1"/>
                  </w14:solidFill>
                </w14:textFill>
              </w:rPr>
            </w:pPr>
            <w:r>
              <w:rPr>
                <w:rFonts w:cs="Times New Roman"/>
                <w:color w:val="000000"/>
              </w:rPr>
              <w:t>个人所得税</w:t>
            </w:r>
          </w:p>
        </w:tc>
        <w:tc>
          <w:tcPr>
            <w:tcW w:w="1661" w:type="pct"/>
            <w:vAlign w:val="center"/>
          </w:tcPr>
          <w:p w14:paraId="1C010009">
            <w:pPr>
              <w:jc w:val="right"/>
              <w:textAlignment w:val="center"/>
              <w:rPr>
                <w:rFonts w:cs="Times New Roman"/>
              </w:rPr>
            </w:pPr>
            <w:r>
              <w:rPr>
                <w:rFonts w:cs="Times New Roman"/>
                <w:color w:val="000000"/>
              </w:rPr>
              <w:t>3,351,030.29</w:t>
            </w:r>
          </w:p>
        </w:tc>
        <w:tc>
          <w:tcPr>
            <w:tcW w:w="1664" w:type="pct"/>
            <w:vAlign w:val="center"/>
          </w:tcPr>
          <w:p w14:paraId="192D0690">
            <w:pPr>
              <w:jc w:val="right"/>
              <w:textAlignment w:val="center"/>
              <w:rPr>
                <w:rFonts w:cs="Times New Roman"/>
              </w:rPr>
            </w:pPr>
            <w:r>
              <w:rPr>
                <w:rFonts w:cs="Times New Roman"/>
                <w:color w:val="000000"/>
              </w:rPr>
              <w:t>5,296,612.80</w:t>
            </w:r>
          </w:p>
        </w:tc>
      </w:tr>
      <w:tr w14:paraId="0FA2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14:paraId="694C0BCB">
            <w:pPr>
              <w:ind w:right="105"/>
              <w:rPr>
                <w:rFonts w:cs="Times New Roman"/>
                <w:color w:val="000000" w:themeColor="text1"/>
                <w14:textFill>
                  <w14:solidFill>
                    <w14:schemeClr w14:val="tx1"/>
                  </w14:solidFill>
                </w14:textFill>
              </w:rPr>
            </w:pPr>
            <w:r>
              <w:rPr>
                <w:rFonts w:cs="Times New Roman"/>
                <w:color w:val="000000"/>
              </w:rPr>
              <w:t>城市维护建设税</w:t>
            </w:r>
          </w:p>
        </w:tc>
        <w:tc>
          <w:tcPr>
            <w:tcW w:w="1661" w:type="pct"/>
            <w:vAlign w:val="center"/>
          </w:tcPr>
          <w:p w14:paraId="7B1A6863">
            <w:pPr>
              <w:jc w:val="right"/>
              <w:textAlignment w:val="center"/>
              <w:rPr>
                <w:rFonts w:cs="Times New Roman"/>
              </w:rPr>
            </w:pPr>
            <w:r>
              <w:rPr>
                <w:rFonts w:cs="Times New Roman"/>
                <w:color w:val="000000"/>
              </w:rPr>
              <w:t>1,271,649.86</w:t>
            </w:r>
          </w:p>
        </w:tc>
        <w:tc>
          <w:tcPr>
            <w:tcW w:w="1664" w:type="pct"/>
            <w:vAlign w:val="center"/>
          </w:tcPr>
          <w:p w14:paraId="40C421E6">
            <w:pPr>
              <w:jc w:val="right"/>
              <w:textAlignment w:val="center"/>
              <w:rPr>
                <w:rFonts w:cs="Times New Roman"/>
              </w:rPr>
            </w:pPr>
            <w:r>
              <w:rPr>
                <w:rFonts w:cs="Times New Roman"/>
                <w:color w:val="000000"/>
              </w:rPr>
              <w:t>1,687,091.97</w:t>
            </w:r>
          </w:p>
        </w:tc>
      </w:tr>
      <w:tr w14:paraId="4EAE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14:paraId="0BAAAFD2">
            <w:pPr>
              <w:ind w:right="105"/>
              <w:rPr>
                <w:rFonts w:cs="Times New Roman"/>
                <w:color w:val="000000" w:themeColor="text1"/>
                <w14:textFill>
                  <w14:solidFill>
                    <w14:schemeClr w14:val="tx1"/>
                  </w14:solidFill>
                </w14:textFill>
              </w:rPr>
            </w:pPr>
            <w:r>
              <w:rPr>
                <w:rFonts w:cs="Times New Roman"/>
                <w:color w:val="000000"/>
              </w:rPr>
              <w:t>房产税</w:t>
            </w:r>
          </w:p>
        </w:tc>
        <w:tc>
          <w:tcPr>
            <w:tcW w:w="1661" w:type="pct"/>
            <w:vAlign w:val="center"/>
          </w:tcPr>
          <w:p w14:paraId="40CB8D6E">
            <w:pPr>
              <w:jc w:val="right"/>
              <w:textAlignment w:val="center"/>
              <w:rPr>
                <w:rFonts w:cs="Times New Roman"/>
              </w:rPr>
            </w:pPr>
            <w:r>
              <w:rPr>
                <w:rFonts w:cs="Times New Roman"/>
                <w:color w:val="000000"/>
              </w:rPr>
              <w:t>4,723,473.11</w:t>
            </w:r>
          </w:p>
        </w:tc>
        <w:tc>
          <w:tcPr>
            <w:tcW w:w="1664" w:type="pct"/>
            <w:vAlign w:val="center"/>
          </w:tcPr>
          <w:p w14:paraId="7C3A4F3B">
            <w:pPr>
              <w:jc w:val="right"/>
              <w:textAlignment w:val="center"/>
              <w:rPr>
                <w:rFonts w:cs="Times New Roman"/>
              </w:rPr>
            </w:pPr>
            <w:r>
              <w:rPr>
                <w:rFonts w:cs="Times New Roman"/>
                <w:color w:val="000000"/>
              </w:rPr>
              <w:t>4,387,643.63</w:t>
            </w:r>
          </w:p>
        </w:tc>
      </w:tr>
      <w:tr w14:paraId="1257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14:paraId="400FB4EE">
            <w:pPr>
              <w:ind w:right="105"/>
              <w:rPr>
                <w:rFonts w:cs="Times New Roman"/>
                <w:color w:val="000000" w:themeColor="text1"/>
                <w14:textFill>
                  <w14:solidFill>
                    <w14:schemeClr w14:val="tx1"/>
                  </w14:solidFill>
                </w14:textFill>
              </w:rPr>
            </w:pPr>
            <w:r>
              <w:rPr>
                <w:rFonts w:cs="Times New Roman"/>
                <w:color w:val="000000"/>
              </w:rPr>
              <w:t>教育费附加</w:t>
            </w:r>
          </w:p>
        </w:tc>
        <w:tc>
          <w:tcPr>
            <w:tcW w:w="1661" w:type="pct"/>
            <w:vAlign w:val="center"/>
          </w:tcPr>
          <w:p w14:paraId="3E0141FC">
            <w:pPr>
              <w:jc w:val="right"/>
              <w:textAlignment w:val="center"/>
              <w:rPr>
                <w:rFonts w:cs="Times New Roman"/>
              </w:rPr>
            </w:pPr>
            <w:r>
              <w:rPr>
                <w:rFonts w:cs="Times New Roman"/>
                <w:color w:val="000000"/>
              </w:rPr>
              <w:t>658,380.68</w:t>
            </w:r>
          </w:p>
        </w:tc>
        <w:tc>
          <w:tcPr>
            <w:tcW w:w="1664" w:type="pct"/>
            <w:vAlign w:val="center"/>
          </w:tcPr>
          <w:p w14:paraId="7476D059">
            <w:pPr>
              <w:jc w:val="right"/>
              <w:textAlignment w:val="center"/>
              <w:rPr>
                <w:rFonts w:cs="Times New Roman"/>
              </w:rPr>
            </w:pPr>
            <w:r>
              <w:rPr>
                <w:rFonts w:cs="Times New Roman"/>
                <w:color w:val="000000"/>
              </w:rPr>
              <w:t>1,326,146.15</w:t>
            </w:r>
          </w:p>
        </w:tc>
      </w:tr>
      <w:tr w14:paraId="2C20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14:paraId="73C24063">
            <w:pPr>
              <w:ind w:right="105"/>
              <w:rPr>
                <w:rFonts w:cs="Times New Roman"/>
              </w:rPr>
            </w:pPr>
            <w:r>
              <w:rPr>
                <w:rFonts w:cs="Times New Roman"/>
                <w:color w:val="000000"/>
              </w:rPr>
              <w:t>土地使用税</w:t>
            </w:r>
          </w:p>
        </w:tc>
        <w:tc>
          <w:tcPr>
            <w:tcW w:w="1661" w:type="pct"/>
            <w:vAlign w:val="center"/>
          </w:tcPr>
          <w:p w14:paraId="1B181F51">
            <w:pPr>
              <w:jc w:val="right"/>
              <w:textAlignment w:val="center"/>
              <w:rPr>
                <w:rFonts w:cs="Times New Roman"/>
              </w:rPr>
            </w:pPr>
            <w:r>
              <w:rPr>
                <w:rFonts w:cs="Times New Roman"/>
                <w:color w:val="000000"/>
              </w:rPr>
              <w:t>5,362,983.16</w:t>
            </w:r>
          </w:p>
        </w:tc>
        <w:tc>
          <w:tcPr>
            <w:tcW w:w="1664" w:type="pct"/>
            <w:vAlign w:val="center"/>
          </w:tcPr>
          <w:p w14:paraId="324936F9">
            <w:pPr>
              <w:jc w:val="right"/>
              <w:textAlignment w:val="center"/>
              <w:rPr>
                <w:rFonts w:cs="Times New Roman"/>
              </w:rPr>
            </w:pPr>
            <w:r>
              <w:rPr>
                <w:rFonts w:cs="Times New Roman"/>
                <w:color w:val="000000"/>
              </w:rPr>
              <w:t>4,826,565.98</w:t>
            </w:r>
          </w:p>
        </w:tc>
      </w:tr>
      <w:tr w14:paraId="0512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14:paraId="11A6D0C7">
            <w:pPr>
              <w:ind w:right="105"/>
              <w:rPr>
                <w:rFonts w:cs="Times New Roman"/>
              </w:rPr>
            </w:pPr>
            <w:r>
              <w:rPr>
                <w:rFonts w:cs="Times New Roman"/>
                <w:color w:val="000000"/>
              </w:rPr>
              <w:t>其他</w:t>
            </w:r>
          </w:p>
        </w:tc>
        <w:tc>
          <w:tcPr>
            <w:tcW w:w="1661" w:type="pct"/>
            <w:vAlign w:val="center"/>
          </w:tcPr>
          <w:p w14:paraId="7FBEBE85">
            <w:pPr>
              <w:jc w:val="right"/>
              <w:textAlignment w:val="center"/>
              <w:rPr>
                <w:rFonts w:cs="Times New Roman"/>
              </w:rPr>
            </w:pPr>
            <w:r>
              <w:rPr>
                <w:rFonts w:cs="Times New Roman"/>
                <w:color w:val="000000"/>
              </w:rPr>
              <w:t>4,281,871.44</w:t>
            </w:r>
          </w:p>
        </w:tc>
        <w:tc>
          <w:tcPr>
            <w:tcW w:w="1664" w:type="pct"/>
            <w:vAlign w:val="center"/>
          </w:tcPr>
          <w:p w14:paraId="378EFB24">
            <w:pPr>
              <w:jc w:val="right"/>
              <w:textAlignment w:val="center"/>
              <w:rPr>
                <w:rFonts w:cs="Times New Roman"/>
              </w:rPr>
            </w:pPr>
            <w:r>
              <w:rPr>
                <w:rFonts w:cs="Times New Roman"/>
                <w:color w:val="000000"/>
              </w:rPr>
              <w:t>4,347,944.58</w:t>
            </w:r>
          </w:p>
        </w:tc>
      </w:tr>
      <w:tr w14:paraId="4EF4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vAlign w:val="center"/>
          </w:tcPr>
          <w:p w14:paraId="2BDF3672">
            <w:pPr>
              <w:ind w:right="105"/>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661" w:type="pct"/>
            <w:vAlign w:val="center"/>
          </w:tcPr>
          <w:p w14:paraId="5A6CEB8C">
            <w:pPr>
              <w:jc w:val="right"/>
              <w:textAlignment w:val="center"/>
              <w:rPr>
                <w:rFonts w:cs="Times New Roman"/>
              </w:rPr>
            </w:pPr>
            <w:r>
              <w:rPr>
                <w:rFonts w:cs="Times New Roman"/>
                <w:color w:val="000000"/>
              </w:rPr>
              <w:t>109,264,675.17</w:t>
            </w:r>
          </w:p>
        </w:tc>
        <w:tc>
          <w:tcPr>
            <w:tcW w:w="1664" w:type="pct"/>
            <w:vAlign w:val="center"/>
          </w:tcPr>
          <w:p w14:paraId="734FFC98">
            <w:pPr>
              <w:jc w:val="right"/>
              <w:textAlignment w:val="center"/>
              <w:rPr>
                <w:rFonts w:cs="Times New Roman"/>
              </w:rPr>
            </w:pPr>
            <w:r>
              <w:rPr>
                <w:rFonts w:cs="Times New Roman"/>
                <w:color w:val="000000"/>
              </w:rPr>
              <w:t>138,968,721.20</w:t>
            </w:r>
          </w:p>
        </w:tc>
      </w:tr>
    </w:tbl>
    <w:p w14:paraId="2DFE2BC5">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应交税金的说明"/>
        <w:tag w:val="_GBC_fb59f8f9de2d41c3aaf0dc3b0970dd91"/>
        <w:id w:val="147483559"/>
        <w:placeholder>
          <w:docPart w:val="GBC22222222222222222222222222222"/>
        </w:placeholder>
      </w:sdtPr>
      <w:sdtEndPr>
        <w:rPr>
          <w:color w:val="000000" w:themeColor="text1"/>
          <w14:textFill>
            <w14:solidFill>
              <w14:schemeClr w14:val="tx1"/>
            </w14:solidFill>
          </w14:textFill>
        </w:rPr>
      </w:sdtEndPr>
      <w:sdtContent>
        <w:p w14:paraId="4D1BF186">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7580B56A">
      <w:pPr>
        <w:rPr>
          <w:color w:val="000000" w:themeColor="text1"/>
          <w14:textFill>
            <w14:solidFill>
              <w14:schemeClr w14:val="tx1"/>
            </w14:solidFill>
          </w14:textFill>
        </w:rPr>
      </w:pPr>
    </w:p>
    <w:p w14:paraId="354F20EC">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其他应付款</w:t>
      </w:r>
    </w:p>
    <w:p w14:paraId="24EC63A1">
      <w:pPr>
        <w:pStyle w:val="58"/>
        <w:numPr>
          <w:ilvl w:val="0"/>
          <w:numId w:val="83"/>
        </w:numPr>
        <w:ind w:left="425" w:hanging="425"/>
        <w:rPr>
          <w:color w:val="000000" w:themeColor="text1"/>
          <w14:textFill>
            <w14:solidFill>
              <w14:schemeClr w14:val="tx1"/>
            </w14:solidFill>
          </w14:textFill>
        </w:rPr>
      </w:pPr>
      <w:bookmarkStart w:id="356" w:name="_Hlk167960650"/>
      <w:r>
        <w:rPr>
          <w:rFonts w:hint="eastAsia"/>
          <w:color w:val="000000" w:themeColor="text1"/>
          <w14:textFill>
            <w14:solidFill>
              <w14:schemeClr w14:val="tx1"/>
            </w14:solidFill>
          </w14:textFill>
        </w:rPr>
        <w:t>项目列示</w:t>
      </w:r>
    </w:p>
    <w:sdt>
      <w:sdtPr>
        <w:rPr>
          <w:color w:val="000000" w:themeColor="text1"/>
          <w14:textFill>
            <w14:solidFill>
              <w14:schemeClr w14:val="tx1"/>
            </w14:solidFill>
          </w14:textFill>
        </w:rPr>
        <w:alias w:val="是否适用：其他应付款分类列示[双击切换]"/>
        <w:tag w:val="_GBC_5827d75493f041f68356cdf43e4b0e52"/>
        <w:id w:val="147457503"/>
        <w:placeholder>
          <w:docPart w:val="GBC22222222222222222222222222222"/>
        </w:placeholder>
      </w:sdtPr>
      <w:sdtEndPr>
        <w:rPr>
          <w:color w:val="000000" w:themeColor="text1"/>
          <w14:textFill>
            <w14:solidFill>
              <w14:schemeClr w14:val="tx1"/>
            </w14:solidFill>
          </w14:textFill>
        </w:rPr>
      </w:sdtEndPr>
      <w:sdtContent>
        <w:p w14:paraId="19FE71F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0CD7CC0">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其他应付款分类列示"/>
          <w:tag w:val="_GBC_2c430d2cae634c2e8376192a2b4c05d5"/>
          <w:id w:val="1474678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其他应付款分类列示"/>
          <w:tag w:val="_GBC_ac9f03788d1745f8afc5195f61ce7b16"/>
          <w:id w:val="1474811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8"/>
        <w:gridCol w:w="2863"/>
        <w:gridCol w:w="2878"/>
      </w:tblGrid>
      <w:tr w14:paraId="7FB1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547406e2caa94b57a871517659cf9c0e"/>
            <w:id w:val="147480490"/>
          </w:sdtPr>
          <w:sdtEndPr>
            <w:rPr>
              <w:rFonts w:cs="Times New Roman"/>
            </w:rPr>
          </w:sdtEndPr>
          <w:sdtContent>
            <w:tc>
              <w:tcPr>
                <w:tcW w:w="1828" w:type="pct"/>
                <w:vAlign w:val="center"/>
              </w:tcPr>
              <w:p w14:paraId="2EED5EE0">
                <w:pPr>
                  <w:tabs>
                    <w:tab w:val="right" w:pos="3690"/>
                    <w:tab w:val="right" w:pos="5130"/>
                    <w:tab w:val="right" w:pos="6030"/>
                    <w:tab w:val="right" w:pos="7650"/>
                    <w:tab w:val="right" w:pos="9270"/>
                  </w:tabs>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d719b36c588443f38353aada8839625f"/>
            <w:id w:val="147454089"/>
          </w:sdtPr>
          <w:sdtEndPr>
            <w:rPr>
              <w:rFonts w:cs="Times New Roman"/>
            </w:rPr>
          </w:sdtEndPr>
          <w:sdtContent>
            <w:tc>
              <w:tcPr>
                <w:tcW w:w="1582" w:type="pct"/>
                <w:vAlign w:val="center"/>
              </w:tcPr>
              <w:p w14:paraId="5FB9E7C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bc6045ff64f3481da65c0cff41edd1d0"/>
            <w:id w:val="147466431"/>
          </w:sdtPr>
          <w:sdtEndPr>
            <w:rPr>
              <w:rFonts w:cs="Times New Roman"/>
            </w:rPr>
          </w:sdtEndPr>
          <w:sdtContent>
            <w:tc>
              <w:tcPr>
                <w:tcW w:w="1590" w:type="pct"/>
                <w:vAlign w:val="center"/>
              </w:tcPr>
              <w:p w14:paraId="094627E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tr>
      <w:tr w14:paraId="259D8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tcPr>
          <w:p w14:paraId="173C66D4">
            <w:pPr>
              <w:tabs>
                <w:tab w:val="right" w:pos="3690"/>
                <w:tab w:val="right" w:pos="5130"/>
                <w:tab w:val="right" w:pos="6030"/>
                <w:tab w:val="right" w:pos="7650"/>
                <w:tab w:val="right" w:pos="9270"/>
              </w:tabs>
              <w:adjustRightInd w:val="0"/>
              <w:snapToGrid w:val="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应付利息</w:t>
            </w:r>
          </w:p>
        </w:tc>
        <w:tc>
          <w:tcPr>
            <w:tcW w:w="1582" w:type="pct"/>
            <w:vAlign w:val="center"/>
          </w:tcPr>
          <w:p w14:paraId="067A8321">
            <w:pPr>
              <w:tabs>
                <w:tab w:val="right" w:pos="3690"/>
                <w:tab w:val="right" w:pos="5130"/>
                <w:tab w:val="right" w:pos="6030"/>
                <w:tab w:val="right" w:pos="7650"/>
                <w:tab w:val="right" w:pos="9270"/>
              </w:tabs>
              <w:adjustRightInd w:val="0"/>
              <w:snapToGrid w:val="0"/>
              <w:jc w:val="right"/>
              <w:rPr>
                <w:rFonts w:cs="Times New Roman"/>
              </w:rPr>
            </w:pPr>
          </w:p>
        </w:tc>
        <w:tc>
          <w:tcPr>
            <w:tcW w:w="1590" w:type="pct"/>
            <w:vAlign w:val="center"/>
          </w:tcPr>
          <w:p w14:paraId="422BA088">
            <w:pPr>
              <w:tabs>
                <w:tab w:val="right" w:pos="3690"/>
                <w:tab w:val="right" w:pos="5130"/>
                <w:tab w:val="right" w:pos="6030"/>
                <w:tab w:val="right" w:pos="7650"/>
                <w:tab w:val="right" w:pos="9270"/>
              </w:tabs>
              <w:adjustRightInd w:val="0"/>
              <w:snapToGrid w:val="0"/>
              <w:jc w:val="right"/>
              <w:rPr>
                <w:rFonts w:cs="Times New Roman"/>
              </w:rPr>
            </w:pPr>
          </w:p>
        </w:tc>
      </w:tr>
      <w:tr w14:paraId="2A77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tcPr>
          <w:p w14:paraId="05D0C0CC">
            <w:pPr>
              <w:tabs>
                <w:tab w:val="right" w:pos="3690"/>
                <w:tab w:val="right" w:pos="5130"/>
                <w:tab w:val="right" w:pos="6030"/>
                <w:tab w:val="right" w:pos="7650"/>
                <w:tab w:val="right" w:pos="9270"/>
              </w:tabs>
              <w:adjustRightInd w:val="0"/>
              <w:snapToGrid w:val="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应付股利</w:t>
            </w:r>
          </w:p>
        </w:tc>
        <w:tc>
          <w:tcPr>
            <w:tcW w:w="1582" w:type="pct"/>
            <w:vAlign w:val="center"/>
          </w:tcPr>
          <w:p w14:paraId="38823326">
            <w:pPr>
              <w:tabs>
                <w:tab w:val="right" w:pos="3690"/>
                <w:tab w:val="right" w:pos="5130"/>
                <w:tab w:val="right" w:pos="6030"/>
                <w:tab w:val="right" w:pos="7650"/>
                <w:tab w:val="right" w:pos="9270"/>
              </w:tabs>
              <w:adjustRightInd w:val="0"/>
              <w:snapToGrid w:val="0"/>
              <w:jc w:val="right"/>
              <w:rPr>
                <w:rFonts w:cs="Times New Roman"/>
              </w:rPr>
            </w:pPr>
          </w:p>
        </w:tc>
        <w:tc>
          <w:tcPr>
            <w:tcW w:w="1590" w:type="pct"/>
            <w:vAlign w:val="center"/>
          </w:tcPr>
          <w:p w14:paraId="2906A6BE">
            <w:pPr>
              <w:tabs>
                <w:tab w:val="right" w:pos="3690"/>
                <w:tab w:val="right" w:pos="5130"/>
                <w:tab w:val="right" w:pos="6030"/>
                <w:tab w:val="right" w:pos="7650"/>
                <w:tab w:val="right" w:pos="9270"/>
              </w:tabs>
              <w:adjustRightInd w:val="0"/>
              <w:snapToGrid w:val="0"/>
              <w:jc w:val="right"/>
              <w:rPr>
                <w:rFonts w:cs="Times New Roman"/>
              </w:rPr>
            </w:pPr>
          </w:p>
        </w:tc>
      </w:tr>
      <w:tr w14:paraId="5878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tcPr>
          <w:p w14:paraId="3DC23E62">
            <w:pPr>
              <w:tabs>
                <w:tab w:val="right" w:pos="3690"/>
                <w:tab w:val="right" w:pos="5130"/>
                <w:tab w:val="right" w:pos="6030"/>
                <w:tab w:val="right" w:pos="7650"/>
                <w:tab w:val="right" w:pos="9270"/>
              </w:tabs>
              <w:adjustRightInd w:val="0"/>
              <w:snapToGrid w:val="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其他应付款</w:t>
            </w:r>
          </w:p>
        </w:tc>
        <w:tc>
          <w:tcPr>
            <w:tcW w:w="2792" w:type="dxa"/>
            <w:vAlign w:val="center"/>
          </w:tcPr>
          <w:p w14:paraId="3867390F">
            <w:pPr>
              <w:jc w:val="right"/>
              <w:textAlignment w:val="center"/>
              <w:rPr>
                <w:rFonts w:cs="Times New Roman"/>
              </w:rPr>
            </w:pPr>
            <w:r>
              <w:rPr>
                <w:rFonts w:eastAsia="Arial Narrow" w:cs="Times New Roman"/>
                <w:color w:val="000000"/>
                <w:lang w:bidi="ar"/>
              </w:rPr>
              <w:t>944,679,877.34</w:t>
            </w:r>
          </w:p>
        </w:tc>
        <w:tc>
          <w:tcPr>
            <w:tcW w:w="1590" w:type="pct"/>
            <w:vAlign w:val="center"/>
          </w:tcPr>
          <w:p w14:paraId="29F51335">
            <w:pPr>
              <w:jc w:val="right"/>
              <w:textAlignment w:val="center"/>
              <w:rPr>
                <w:rFonts w:cs="Times New Roman"/>
              </w:rPr>
            </w:pPr>
            <w:r>
              <w:rPr>
                <w:rFonts w:cs="Times New Roman"/>
                <w:color w:val="000000"/>
              </w:rPr>
              <w:t>958,381,409.24</w:t>
            </w:r>
          </w:p>
        </w:tc>
      </w:tr>
      <w:tr w14:paraId="4D2E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tcPr>
          <w:p w14:paraId="235BA310">
            <w:pPr>
              <w:tabs>
                <w:tab w:val="right" w:pos="3690"/>
                <w:tab w:val="right" w:pos="5130"/>
                <w:tab w:val="right" w:pos="6030"/>
                <w:tab w:val="right" w:pos="7650"/>
                <w:tab w:val="right" w:pos="9270"/>
              </w:tabs>
              <w:adjustRightInd w:val="0"/>
              <w:snapToGrid w:val="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2792" w:type="dxa"/>
            <w:vAlign w:val="center"/>
          </w:tcPr>
          <w:p w14:paraId="70EB60D6">
            <w:pPr>
              <w:jc w:val="right"/>
              <w:textAlignment w:val="center"/>
              <w:rPr>
                <w:rFonts w:cs="Times New Roman"/>
              </w:rPr>
            </w:pPr>
            <w:r>
              <w:rPr>
                <w:rFonts w:eastAsia="Arial Narrow" w:cs="Times New Roman"/>
                <w:color w:val="000000"/>
                <w:lang w:bidi="ar"/>
              </w:rPr>
              <w:t>944,679,877.34</w:t>
            </w:r>
          </w:p>
        </w:tc>
        <w:tc>
          <w:tcPr>
            <w:tcW w:w="1590" w:type="pct"/>
            <w:vAlign w:val="center"/>
          </w:tcPr>
          <w:p w14:paraId="342D8CC3">
            <w:pPr>
              <w:jc w:val="right"/>
              <w:textAlignment w:val="center"/>
              <w:rPr>
                <w:rFonts w:cs="Times New Roman"/>
              </w:rPr>
            </w:pPr>
            <w:r>
              <w:rPr>
                <w:rFonts w:cs="Times New Roman"/>
                <w:color w:val="000000"/>
              </w:rPr>
              <w:t>958,381,409.24</w:t>
            </w:r>
          </w:p>
        </w:tc>
      </w:tr>
    </w:tbl>
    <w:p w14:paraId="1C26FC69">
      <w:pPr>
        <w:rPr>
          <w:color w:val="000000" w:themeColor="text1"/>
          <w14:textFill>
            <w14:solidFill>
              <w14:schemeClr w14:val="tx1"/>
            </w14:solidFill>
          </w14:textFill>
        </w:rPr>
      </w:pPr>
    </w:p>
    <w:bookmarkEnd w:id="356"/>
    <w:p w14:paraId="5C15C2C9">
      <w:pPr>
        <w:pStyle w:val="58"/>
        <w:numPr>
          <w:ilvl w:val="0"/>
          <w:numId w:val="83"/>
        </w:numPr>
        <w:ind w:left="425" w:hanging="425"/>
        <w:rPr>
          <w:color w:val="000000" w:themeColor="text1"/>
          <w14:textFill>
            <w14:solidFill>
              <w14:schemeClr w14:val="tx1"/>
            </w14:solidFill>
          </w14:textFill>
        </w:rPr>
      </w:pPr>
      <w:bookmarkStart w:id="357" w:name="_Hlk10536047"/>
      <w:r>
        <w:rPr>
          <w:rFonts w:hint="eastAsia"/>
          <w:color w:val="000000" w:themeColor="text1"/>
          <w14:textFill>
            <w14:solidFill>
              <w14:schemeClr w14:val="tx1"/>
            </w14:solidFill>
          </w14:textFill>
        </w:rPr>
        <w:t>应付利息</w:t>
      </w:r>
    </w:p>
    <w:sdt>
      <w:sdtPr>
        <w:rPr>
          <w:color w:val="000000" w:themeColor="text1"/>
          <w14:textFill>
            <w14:solidFill>
              <w14:schemeClr w14:val="tx1"/>
            </w14:solidFill>
          </w14:textFill>
        </w:rPr>
        <w:alias w:val="是否适用：应付利息[双击切换]"/>
        <w:tag w:val="_GBC_9058c1c6b0a94f6a8c531ec2dbd35706"/>
        <w:id w:val="147479923"/>
        <w:placeholder>
          <w:docPart w:val="GBC22222222222222222222222222222"/>
        </w:placeholder>
      </w:sdtPr>
      <w:sdtEndPr>
        <w:rPr>
          <w:color w:val="000000" w:themeColor="text1"/>
          <w14:textFill>
            <w14:solidFill>
              <w14:schemeClr w14:val="tx1"/>
            </w14:solidFill>
          </w14:textFill>
        </w:rPr>
      </w:sdtEndPr>
      <w:sdtContent>
        <w:p w14:paraId="0D6C2DF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6B855F4">
      <w:pPr>
        <w:rPr>
          <w:color w:val="000000" w:themeColor="text1"/>
          <w14:textFill>
            <w14:solidFill>
              <w14:schemeClr w14:val="tx1"/>
            </w14:solidFill>
          </w14:textFill>
        </w:rPr>
      </w:pPr>
    </w:p>
    <w:p w14:paraId="2C0F3F46">
      <w:pPr>
        <w:rPr>
          <w:color w:val="000000" w:themeColor="text1"/>
          <w14:textFill>
            <w14:solidFill>
              <w14:schemeClr w14:val="tx1"/>
            </w14:solidFill>
          </w14:textFill>
        </w:rPr>
      </w:pPr>
    </w:p>
    <w:bookmarkEnd w:id="357"/>
    <w:p w14:paraId="298EFB60">
      <w:pPr>
        <w:pStyle w:val="58"/>
        <w:numPr>
          <w:ilvl w:val="0"/>
          <w:numId w:val="83"/>
        </w:numPr>
        <w:ind w:left="425" w:hanging="425"/>
        <w:rPr>
          <w:color w:val="000000" w:themeColor="text1"/>
          <w14:textFill>
            <w14:solidFill>
              <w14:schemeClr w14:val="tx1"/>
            </w14:solidFill>
          </w14:textFill>
        </w:rPr>
      </w:pPr>
      <w:bookmarkStart w:id="358" w:name="_Hlk10536068"/>
      <w:bookmarkStart w:id="359" w:name="_Hlk10536082"/>
      <w:r>
        <w:rPr>
          <w:rFonts w:hint="eastAsia"/>
          <w:color w:val="000000" w:themeColor="text1"/>
          <w14:textFill>
            <w14:solidFill>
              <w14:schemeClr w14:val="tx1"/>
            </w14:solidFill>
          </w14:textFill>
        </w:rPr>
        <w:t>应付股利</w:t>
      </w:r>
      <w:bookmarkEnd w:id="358"/>
    </w:p>
    <w:sdt>
      <w:sdtPr>
        <w:rPr>
          <w:color w:val="000000" w:themeColor="text1"/>
          <w14:textFill>
            <w14:solidFill>
              <w14:schemeClr w14:val="tx1"/>
            </w14:solidFill>
          </w14:textFill>
        </w:rPr>
        <w:alias w:val="是否适用：应付股利[双击切换]"/>
        <w:tag w:val="_GBC_09dc75ba10d44acfb18b03320a40e4c5"/>
        <w:id w:val="147453246"/>
        <w:placeholder>
          <w:docPart w:val="GBC22222222222222222222222222222"/>
        </w:placeholder>
      </w:sdtPr>
      <w:sdtEndPr>
        <w:rPr>
          <w:color w:val="000000" w:themeColor="text1"/>
          <w14:textFill>
            <w14:solidFill>
              <w14:schemeClr w14:val="tx1"/>
            </w14:solidFill>
          </w14:textFill>
        </w:rPr>
      </w:sdtEndPr>
      <w:sdtContent>
        <w:p w14:paraId="053E9F2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2DC1A4D">
      <w:pPr>
        <w:snapToGrid w:val="0"/>
        <w:rPr>
          <w:color w:val="000000" w:themeColor="text1"/>
          <w14:textFill>
            <w14:solidFill>
              <w14:schemeClr w14:val="tx1"/>
            </w14:solidFill>
          </w14:textFill>
        </w:rPr>
      </w:pPr>
    </w:p>
    <w:bookmarkEnd w:id="359"/>
    <w:p w14:paraId="7DE37525">
      <w:pPr>
        <w:rPr>
          <w:color w:val="000000" w:themeColor="text1"/>
          <w14:textFill>
            <w14:solidFill>
              <w14:schemeClr w14:val="tx1"/>
            </w14:solidFill>
          </w14:textFill>
        </w:rPr>
      </w:pPr>
    </w:p>
    <w:p w14:paraId="51AF1AE9">
      <w:pPr>
        <w:pStyle w:val="58"/>
        <w:numPr>
          <w:ilvl w:val="0"/>
          <w:numId w:val="83"/>
        </w:numPr>
        <w:ind w:left="425" w:hanging="425"/>
        <w:rPr>
          <w:color w:val="000000" w:themeColor="text1"/>
          <w14:textFill>
            <w14:solidFill>
              <w14:schemeClr w14:val="tx1"/>
            </w14:solidFill>
          </w14:textFill>
        </w:rPr>
      </w:pPr>
      <w:bookmarkStart w:id="360" w:name="_Hlk10536163"/>
      <w:r>
        <w:rPr>
          <w:rFonts w:hint="eastAsia"/>
          <w:color w:val="000000" w:themeColor="text1"/>
          <w14:textFill>
            <w14:solidFill>
              <w14:schemeClr w14:val="tx1"/>
            </w14:solidFill>
          </w14:textFill>
        </w:rPr>
        <w:t>其他应付款</w:t>
      </w:r>
    </w:p>
    <w:p w14:paraId="2980DBAA">
      <w:pPr>
        <w:rPr>
          <w:color w:val="000000" w:themeColor="text1"/>
          <w14:textFill>
            <w14:solidFill>
              <w14:schemeClr w14:val="tx1"/>
            </w14:solidFill>
          </w14:textFill>
        </w:rPr>
      </w:pPr>
      <w:r>
        <w:rPr>
          <w:rFonts w:hint="eastAsia"/>
          <w:color w:val="000000" w:themeColor="text1"/>
          <w14:textFill>
            <w14:solidFill>
              <w14:schemeClr w14:val="tx1"/>
            </w14:solidFill>
          </w14:textFill>
        </w:rPr>
        <w:t>按款项性质列示其他应付款</w:t>
      </w:r>
    </w:p>
    <w:sdt>
      <w:sdtPr>
        <w:rPr>
          <w:color w:val="000000" w:themeColor="text1"/>
          <w14:textFill>
            <w14:solidFill>
              <w14:schemeClr w14:val="tx1"/>
            </w14:solidFill>
          </w14:textFill>
        </w:rPr>
        <w:alias w:val="是否适用：按款项性质列示其他应付款[双击切换]"/>
        <w:tag w:val="_GBC_a099ebd596de4984814ff6b49af92e86"/>
        <w:id w:val="-1099864576"/>
      </w:sdtPr>
      <w:sdtEndPr>
        <w:rPr>
          <w:color w:val="000000" w:themeColor="text1"/>
          <w14:textFill>
            <w14:solidFill>
              <w14:schemeClr w14:val="tx1"/>
            </w14:solidFill>
          </w14:textFill>
        </w:rPr>
      </w:sdtEndPr>
      <w:sdtContent>
        <w:p w14:paraId="763E9F8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73020404">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其他应付款情况"/>
          <w:tag w:val="_GBC_781a05c0c742470b88557fa8878adf9c"/>
          <w:id w:val="1447125806"/>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其他应付款情况"/>
          <w:tag w:val="_GBC_19bba6af93f1445cbfdc13ddfb71a0ea"/>
          <w:id w:val="65280456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3"/>
        <w:gridCol w:w="2999"/>
        <w:gridCol w:w="3127"/>
      </w:tblGrid>
      <w:tr w14:paraId="73969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3991c4118c8d4069811e5f758978143f"/>
            <w:id w:val="-231932566"/>
          </w:sdtPr>
          <w:sdtEndPr>
            <w:rPr>
              <w:rFonts w:cs="Times New Roman"/>
            </w:rPr>
          </w:sdtEndPr>
          <w:sdtContent>
            <w:tc>
              <w:tcPr>
                <w:tcW w:w="1615" w:type="pct"/>
              </w:tcPr>
              <w:p w14:paraId="229002E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c1bcea3523f040f08da3a1bd0d135ad5"/>
            <w:id w:val="1026604405"/>
          </w:sdtPr>
          <w:sdtEndPr>
            <w:rPr>
              <w:rFonts w:cs="Times New Roman"/>
            </w:rPr>
          </w:sdtEndPr>
          <w:sdtContent>
            <w:tc>
              <w:tcPr>
                <w:tcW w:w="1657" w:type="pct"/>
              </w:tcPr>
              <w:p w14:paraId="136EC45A">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b89663858245498c995c58e2bab384aa"/>
            <w:id w:val="-1704168723"/>
          </w:sdtPr>
          <w:sdtEndPr>
            <w:rPr>
              <w:rFonts w:cs="Times New Roman"/>
            </w:rPr>
          </w:sdtEndPr>
          <w:sdtContent>
            <w:tc>
              <w:tcPr>
                <w:tcW w:w="1728" w:type="pct"/>
              </w:tcPr>
              <w:p w14:paraId="4ECF635F">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tr>
      <w:sdt>
        <w:sdtPr>
          <w:rPr>
            <w:rFonts w:cs="Times New Roman"/>
            <w:color w:val="000000" w:themeColor="text1"/>
            <w14:textFill>
              <w14:solidFill>
                <w14:schemeClr w14:val="tx1"/>
              </w14:solidFill>
            </w14:textFill>
          </w:rPr>
          <w:alias w:val="其他应付款情况明细"/>
          <w:tag w:val="_TUP_d68cb62e22fc4f99ab4d25c145efcd43"/>
          <w:id w:val="1097293218"/>
          <w:placeholder>
            <w:docPart w:val="{6a0c14a3-273d-4a1c-87a0-a16ca3bc5bd5}"/>
          </w:placeholder>
        </w:sdtPr>
        <w:sdtEndPr>
          <w:rPr>
            <w:rFonts w:cs="Times New Roman"/>
            <w:color w:val="000000" w:themeColor="text1"/>
            <w14:textFill>
              <w14:solidFill>
                <w14:schemeClr w14:val="tx1"/>
              </w14:solidFill>
            </w14:textFill>
          </w:rPr>
        </w:sdtEndPr>
        <w:sdtContent>
          <w:tr w14:paraId="6E8A6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tcPr>
              <w:p w14:paraId="5AA20D5A">
                <w:pPr>
                  <w:rPr>
                    <w:rFonts w:cs="Times New Roman"/>
                  </w:rPr>
                </w:pPr>
                <w:r>
                  <w:rPr>
                    <w:rFonts w:cs="Times New Roman"/>
                  </w:rPr>
                  <w:t>往来款</w:t>
                </w:r>
              </w:p>
            </w:tc>
            <w:tc>
              <w:tcPr>
                <w:tcW w:w="1657" w:type="pct"/>
                <w:vAlign w:val="center"/>
              </w:tcPr>
              <w:p w14:paraId="28ABC7A9">
                <w:pPr>
                  <w:jc w:val="right"/>
                  <w:rPr>
                    <w:rFonts w:cs="Times New Roman"/>
                  </w:rPr>
                </w:pPr>
                <w:r>
                  <w:rPr>
                    <w:rFonts w:cs="Times New Roman"/>
                  </w:rPr>
                  <w:t>589,419,531.55</w:t>
                </w:r>
              </w:p>
            </w:tc>
            <w:tc>
              <w:tcPr>
                <w:tcW w:w="1728" w:type="pct"/>
                <w:vAlign w:val="center"/>
              </w:tcPr>
              <w:p w14:paraId="6BC7D971">
                <w:pPr>
                  <w:jc w:val="right"/>
                  <w:rPr>
                    <w:rFonts w:cs="Times New Roman"/>
                  </w:rPr>
                </w:pPr>
                <w:r>
                  <w:rPr>
                    <w:rFonts w:cs="Times New Roman"/>
                  </w:rPr>
                  <w:t>600,899,289.66</w:t>
                </w:r>
              </w:p>
            </w:tc>
          </w:tr>
        </w:sdtContent>
      </w:sdt>
      <w:sdt>
        <w:sdtPr>
          <w:rPr>
            <w:rFonts w:cs="Times New Roman"/>
            <w:color w:val="000000" w:themeColor="text1"/>
            <w14:textFill>
              <w14:solidFill>
                <w14:schemeClr w14:val="tx1"/>
              </w14:solidFill>
            </w14:textFill>
          </w:rPr>
          <w:alias w:val="其他应付款情况明细"/>
          <w:tag w:val="_TUP_d68cb62e22fc4f99ab4d25c145efcd43"/>
          <w:id w:val="1955438980"/>
          <w:placeholder>
            <w:docPart w:val="{6a0c14a3-273d-4a1c-87a0-a16ca3bc5bd5}"/>
          </w:placeholder>
        </w:sdtPr>
        <w:sdtEndPr>
          <w:rPr>
            <w:rFonts w:cs="Times New Roman"/>
            <w:color w:val="000000" w:themeColor="text1"/>
            <w14:textFill>
              <w14:solidFill>
                <w14:schemeClr w14:val="tx1"/>
              </w14:solidFill>
            </w14:textFill>
          </w:rPr>
        </w:sdtEndPr>
        <w:sdtContent>
          <w:tr w14:paraId="7B34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tcPr>
              <w:p w14:paraId="7AE5CDE8">
                <w:pPr>
                  <w:rPr>
                    <w:rFonts w:cs="Times New Roman"/>
                  </w:rPr>
                </w:pPr>
                <w:r>
                  <w:rPr>
                    <w:rFonts w:cs="Times New Roman"/>
                  </w:rPr>
                  <w:t>保证金</w:t>
                </w:r>
              </w:p>
            </w:tc>
            <w:tc>
              <w:tcPr>
                <w:tcW w:w="1657" w:type="pct"/>
                <w:vAlign w:val="center"/>
              </w:tcPr>
              <w:p w14:paraId="4719D09F">
                <w:pPr>
                  <w:jc w:val="right"/>
                  <w:rPr>
                    <w:rFonts w:cs="Times New Roman"/>
                  </w:rPr>
                </w:pPr>
                <w:r>
                  <w:rPr>
                    <w:rFonts w:cs="Times New Roman"/>
                  </w:rPr>
                  <w:t>100,397,727.08</w:t>
                </w:r>
              </w:p>
            </w:tc>
            <w:tc>
              <w:tcPr>
                <w:tcW w:w="1728" w:type="pct"/>
                <w:vAlign w:val="center"/>
              </w:tcPr>
              <w:p w14:paraId="744136E3">
                <w:pPr>
                  <w:jc w:val="right"/>
                  <w:rPr>
                    <w:rFonts w:cs="Times New Roman"/>
                  </w:rPr>
                </w:pPr>
                <w:r>
                  <w:rPr>
                    <w:rFonts w:cs="Times New Roman"/>
                  </w:rPr>
                  <w:t>99,663,768.94</w:t>
                </w:r>
              </w:p>
            </w:tc>
          </w:tr>
        </w:sdtContent>
      </w:sdt>
      <w:sdt>
        <w:sdtPr>
          <w:rPr>
            <w:rFonts w:cs="Times New Roman"/>
            <w:color w:val="000000" w:themeColor="text1"/>
            <w14:textFill>
              <w14:solidFill>
                <w14:schemeClr w14:val="tx1"/>
              </w14:solidFill>
            </w14:textFill>
          </w:rPr>
          <w:alias w:val="其他应付款情况明细"/>
          <w:tag w:val="_TUP_d68cb62e22fc4f99ab4d25c145efcd43"/>
          <w:id w:val="-1355721810"/>
          <w:placeholder>
            <w:docPart w:val="{6a0c14a3-273d-4a1c-87a0-a16ca3bc5bd5}"/>
          </w:placeholder>
        </w:sdtPr>
        <w:sdtEndPr>
          <w:rPr>
            <w:rFonts w:cs="Times New Roman"/>
            <w:color w:val="000000" w:themeColor="text1"/>
            <w14:textFill>
              <w14:solidFill>
                <w14:schemeClr w14:val="tx1"/>
              </w14:solidFill>
            </w14:textFill>
          </w:rPr>
        </w:sdtEndPr>
        <w:sdtContent>
          <w:tr w14:paraId="5AA86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tcPr>
              <w:p w14:paraId="4CDAD287">
                <w:pPr>
                  <w:rPr>
                    <w:rFonts w:cs="Times New Roman"/>
                  </w:rPr>
                </w:pPr>
                <w:r>
                  <w:rPr>
                    <w:rFonts w:cs="Times New Roman"/>
                  </w:rPr>
                  <w:t>暂收款</w:t>
                </w:r>
              </w:p>
            </w:tc>
            <w:tc>
              <w:tcPr>
                <w:tcW w:w="1657" w:type="pct"/>
                <w:vAlign w:val="center"/>
              </w:tcPr>
              <w:p w14:paraId="094CAA0D">
                <w:pPr>
                  <w:jc w:val="right"/>
                  <w:rPr>
                    <w:rFonts w:cs="Times New Roman"/>
                  </w:rPr>
                </w:pPr>
                <w:r>
                  <w:rPr>
                    <w:rFonts w:cs="Times New Roman"/>
                  </w:rPr>
                  <w:t>39,848,654.05</w:t>
                </w:r>
              </w:p>
            </w:tc>
            <w:tc>
              <w:tcPr>
                <w:tcW w:w="1728" w:type="pct"/>
                <w:vAlign w:val="center"/>
              </w:tcPr>
              <w:p w14:paraId="4E1EE15A">
                <w:pPr>
                  <w:jc w:val="right"/>
                  <w:rPr>
                    <w:rFonts w:cs="Times New Roman"/>
                  </w:rPr>
                </w:pPr>
                <w:r>
                  <w:rPr>
                    <w:rFonts w:cs="Times New Roman"/>
                  </w:rPr>
                  <w:t>33,373,800.81</w:t>
                </w:r>
              </w:p>
            </w:tc>
          </w:tr>
        </w:sdtContent>
      </w:sdt>
      <w:sdt>
        <w:sdtPr>
          <w:rPr>
            <w:rFonts w:cs="Times New Roman"/>
            <w:color w:val="000000" w:themeColor="text1"/>
            <w14:textFill>
              <w14:solidFill>
                <w14:schemeClr w14:val="tx1"/>
              </w14:solidFill>
            </w14:textFill>
          </w:rPr>
          <w:alias w:val="其他应付款情况明细"/>
          <w:tag w:val="_TUP_d68cb62e22fc4f99ab4d25c145efcd43"/>
          <w:id w:val="-1875387847"/>
          <w:placeholder>
            <w:docPart w:val="{6a0c14a3-273d-4a1c-87a0-a16ca3bc5bd5}"/>
          </w:placeholder>
        </w:sdtPr>
        <w:sdtEndPr>
          <w:rPr>
            <w:rFonts w:cs="Times New Roman"/>
            <w:color w:val="000000" w:themeColor="text1"/>
            <w14:textFill>
              <w14:solidFill>
                <w14:schemeClr w14:val="tx1"/>
              </w14:solidFill>
            </w14:textFill>
          </w:rPr>
        </w:sdtEndPr>
        <w:sdtContent>
          <w:tr w14:paraId="0C6A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tcPr>
              <w:p w14:paraId="561BB740">
                <w:pPr>
                  <w:rPr>
                    <w:rFonts w:cs="Times New Roman"/>
                  </w:rPr>
                </w:pPr>
                <w:r>
                  <w:rPr>
                    <w:rFonts w:cs="Times New Roman"/>
                  </w:rPr>
                  <w:t>应付职工款</w:t>
                </w:r>
              </w:p>
            </w:tc>
            <w:tc>
              <w:tcPr>
                <w:tcW w:w="1657" w:type="pct"/>
                <w:vAlign w:val="center"/>
              </w:tcPr>
              <w:p w14:paraId="0C39FE77">
                <w:pPr>
                  <w:jc w:val="right"/>
                  <w:rPr>
                    <w:rFonts w:cs="Times New Roman"/>
                  </w:rPr>
                </w:pPr>
                <w:r>
                  <w:rPr>
                    <w:rFonts w:cs="Times New Roman"/>
                  </w:rPr>
                  <w:t>68,873,212.01</w:t>
                </w:r>
              </w:p>
            </w:tc>
            <w:tc>
              <w:tcPr>
                <w:tcW w:w="1728" w:type="pct"/>
                <w:vAlign w:val="center"/>
              </w:tcPr>
              <w:p w14:paraId="55631E5F">
                <w:pPr>
                  <w:jc w:val="right"/>
                  <w:rPr>
                    <w:rFonts w:cs="Times New Roman"/>
                  </w:rPr>
                </w:pPr>
                <w:r>
                  <w:rPr>
                    <w:rFonts w:cs="Times New Roman"/>
                  </w:rPr>
                  <w:t>69,161,423.55</w:t>
                </w:r>
              </w:p>
            </w:tc>
          </w:tr>
        </w:sdtContent>
      </w:sdt>
      <w:sdt>
        <w:sdtPr>
          <w:rPr>
            <w:rFonts w:cs="Times New Roman"/>
            <w:color w:val="000000" w:themeColor="text1"/>
            <w14:textFill>
              <w14:solidFill>
                <w14:schemeClr w14:val="tx1"/>
              </w14:solidFill>
            </w14:textFill>
          </w:rPr>
          <w:alias w:val="其他应付款情况明细"/>
          <w:tag w:val="_TUP_d68cb62e22fc4f99ab4d25c145efcd43"/>
          <w:id w:val="599761621"/>
          <w:placeholder>
            <w:docPart w:val="{6a0c14a3-273d-4a1c-87a0-a16ca3bc5bd5}"/>
          </w:placeholder>
        </w:sdtPr>
        <w:sdtEndPr>
          <w:rPr>
            <w:rFonts w:cs="Times New Roman"/>
            <w:color w:val="000000" w:themeColor="text1"/>
            <w14:textFill>
              <w14:solidFill>
                <w14:schemeClr w14:val="tx1"/>
              </w14:solidFill>
            </w14:textFill>
          </w:rPr>
        </w:sdtEndPr>
        <w:sdtContent>
          <w:tr w14:paraId="28CD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tcPr>
              <w:p w14:paraId="119B38C3">
                <w:pPr>
                  <w:rPr>
                    <w:rFonts w:cs="Times New Roman"/>
                  </w:rPr>
                </w:pPr>
                <w:r>
                  <w:rPr>
                    <w:rFonts w:cs="Times New Roman"/>
                  </w:rPr>
                  <w:t>房屋维修基金</w:t>
                </w:r>
              </w:p>
            </w:tc>
            <w:tc>
              <w:tcPr>
                <w:tcW w:w="1657" w:type="pct"/>
                <w:vAlign w:val="center"/>
              </w:tcPr>
              <w:p w14:paraId="0ABFEE7E">
                <w:pPr>
                  <w:jc w:val="right"/>
                  <w:rPr>
                    <w:rFonts w:cs="Times New Roman"/>
                  </w:rPr>
                </w:pPr>
                <w:r>
                  <w:rPr>
                    <w:rFonts w:cs="Times New Roman"/>
                  </w:rPr>
                  <w:t>22,534,865.33</w:t>
                </w:r>
              </w:p>
            </w:tc>
            <w:tc>
              <w:tcPr>
                <w:tcW w:w="1728" w:type="pct"/>
                <w:vAlign w:val="center"/>
              </w:tcPr>
              <w:p w14:paraId="5E43642C">
                <w:pPr>
                  <w:jc w:val="right"/>
                  <w:rPr>
                    <w:rFonts w:cs="Times New Roman"/>
                  </w:rPr>
                </w:pPr>
                <w:r>
                  <w:rPr>
                    <w:rFonts w:cs="Times New Roman"/>
                  </w:rPr>
                  <w:t>24,983,141.57</w:t>
                </w:r>
              </w:p>
            </w:tc>
          </w:tr>
        </w:sdtContent>
      </w:sdt>
      <w:sdt>
        <w:sdtPr>
          <w:rPr>
            <w:rFonts w:cs="Times New Roman"/>
            <w:color w:val="000000" w:themeColor="text1"/>
            <w14:textFill>
              <w14:solidFill>
                <w14:schemeClr w14:val="tx1"/>
              </w14:solidFill>
            </w14:textFill>
          </w:rPr>
          <w:alias w:val="其他应付款情况明细"/>
          <w:tag w:val="_TUP_d68cb62e22fc4f99ab4d25c145efcd43"/>
          <w:id w:val="375432024"/>
          <w:placeholder>
            <w:docPart w:val="{6a0c14a3-273d-4a1c-87a0-a16ca3bc5bd5}"/>
          </w:placeholder>
        </w:sdtPr>
        <w:sdtEndPr>
          <w:rPr>
            <w:rFonts w:cs="Times New Roman"/>
            <w:color w:val="000000" w:themeColor="text1"/>
            <w14:textFill>
              <w14:solidFill>
                <w14:schemeClr w14:val="tx1"/>
              </w14:solidFill>
            </w14:textFill>
          </w:rPr>
        </w:sdtEndPr>
        <w:sdtContent>
          <w:tr w14:paraId="0390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tcPr>
              <w:p w14:paraId="562658FD">
                <w:pPr>
                  <w:rPr>
                    <w:rFonts w:cs="Times New Roman"/>
                  </w:rPr>
                </w:pPr>
                <w:r>
                  <w:rPr>
                    <w:rFonts w:cs="Times New Roman"/>
                  </w:rPr>
                  <w:t>代扣社保</w:t>
                </w:r>
              </w:p>
            </w:tc>
            <w:tc>
              <w:tcPr>
                <w:tcW w:w="1657" w:type="pct"/>
                <w:vAlign w:val="center"/>
              </w:tcPr>
              <w:p w14:paraId="6CCE082A">
                <w:pPr>
                  <w:jc w:val="right"/>
                  <w:rPr>
                    <w:rFonts w:cs="Times New Roman"/>
                  </w:rPr>
                </w:pPr>
                <w:r>
                  <w:rPr>
                    <w:rFonts w:cs="Times New Roman"/>
                  </w:rPr>
                  <w:t>11,997,143.76</w:t>
                </w:r>
              </w:p>
            </w:tc>
            <w:tc>
              <w:tcPr>
                <w:tcW w:w="1728" w:type="pct"/>
                <w:vAlign w:val="center"/>
              </w:tcPr>
              <w:p w14:paraId="54364D81">
                <w:pPr>
                  <w:jc w:val="right"/>
                  <w:rPr>
                    <w:rFonts w:cs="Times New Roman"/>
                  </w:rPr>
                </w:pPr>
                <w:r>
                  <w:rPr>
                    <w:rFonts w:cs="Times New Roman"/>
                  </w:rPr>
                  <w:t>11,573,539.82</w:t>
                </w:r>
              </w:p>
            </w:tc>
          </w:tr>
        </w:sdtContent>
      </w:sdt>
      <w:sdt>
        <w:sdtPr>
          <w:rPr>
            <w:rFonts w:cs="Times New Roman"/>
            <w:color w:val="000000" w:themeColor="text1"/>
            <w14:textFill>
              <w14:solidFill>
                <w14:schemeClr w14:val="tx1"/>
              </w14:solidFill>
            </w14:textFill>
          </w:rPr>
          <w:alias w:val="其他应付款情况明细"/>
          <w:tag w:val="_TUP_d68cb62e22fc4f99ab4d25c145efcd43"/>
          <w:id w:val="-732150234"/>
          <w:placeholder>
            <w:docPart w:val="{6a0c14a3-273d-4a1c-87a0-a16ca3bc5bd5}"/>
          </w:placeholder>
        </w:sdtPr>
        <w:sdtEndPr>
          <w:rPr>
            <w:rFonts w:cs="Times New Roman"/>
            <w:color w:val="000000" w:themeColor="text1"/>
            <w14:textFill>
              <w14:solidFill>
                <w14:schemeClr w14:val="tx1"/>
              </w14:solidFill>
            </w14:textFill>
          </w:rPr>
        </w:sdtEndPr>
        <w:sdtContent>
          <w:tr w14:paraId="641AC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tcPr>
              <w:p w14:paraId="006F2586">
                <w:pPr>
                  <w:rPr>
                    <w:rFonts w:cs="Times New Roman"/>
                  </w:rPr>
                </w:pPr>
                <w:r>
                  <w:rPr>
                    <w:rFonts w:cs="Times New Roman"/>
                  </w:rPr>
                  <w:t>押金</w:t>
                </w:r>
              </w:p>
            </w:tc>
            <w:tc>
              <w:tcPr>
                <w:tcW w:w="1657" w:type="pct"/>
                <w:vAlign w:val="center"/>
              </w:tcPr>
              <w:p w14:paraId="6631F7FA">
                <w:pPr>
                  <w:jc w:val="right"/>
                  <w:rPr>
                    <w:rFonts w:cs="Times New Roman"/>
                  </w:rPr>
                </w:pPr>
                <w:r>
                  <w:rPr>
                    <w:rFonts w:cs="Times New Roman"/>
                  </w:rPr>
                  <w:t>7,744,283.77</w:t>
                </w:r>
              </w:p>
            </w:tc>
            <w:tc>
              <w:tcPr>
                <w:tcW w:w="1728" w:type="pct"/>
                <w:vAlign w:val="center"/>
              </w:tcPr>
              <w:p w14:paraId="2CDB93A2">
                <w:pPr>
                  <w:jc w:val="right"/>
                  <w:rPr>
                    <w:rFonts w:cs="Times New Roman"/>
                  </w:rPr>
                </w:pPr>
                <w:r>
                  <w:rPr>
                    <w:rFonts w:cs="Times New Roman"/>
                  </w:rPr>
                  <w:t>8,838,480.34</w:t>
                </w:r>
              </w:p>
            </w:tc>
          </w:tr>
        </w:sdtContent>
      </w:sdt>
      <w:sdt>
        <w:sdtPr>
          <w:rPr>
            <w:rFonts w:cs="Times New Roman"/>
            <w:color w:val="000000" w:themeColor="text1"/>
            <w14:textFill>
              <w14:solidFill>
                <w14:schemeClr w14:val="tx1"/>
              </w14:solidFill>
            </w14:textFill>
          </w:rPr>
          <w:alias w:val="其他应付款情况明细"/>
          <w:tag w:val="_TUP_d68cb62e22fc4f99ab4d25c145efcd43"/>
          <w:id w:val="-2055449081"/>
          <w:placeholder>
            <w:docPart w:val="{6a0c14a3-273d-4a1c-87a0-a16ca3bc5bd5}"/>
          </w:placeholder>
        </w:sdtPr>
        <w:sdtEndPr>
          <w:rPr>
            <w:rFonts w:cs="Times New Roman"/>
            <w:color w:val="000000" w:themeColor="text1"/>
            <w14:textFill>
              <w14:solidFill>
                <w14:schemeClr w14:val="tx1"/>
              </w14:solidFill>
            </w14:textFill>
          </w:rPr>
        </w:sdtEndPr>
        <w:sdtContent>
          <w:tr w14:paraId="5C98C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tcPr>
              <w:p w14:paraId="249CDD77">
                <w:pPr>
                  <w:rPr>
                    <w:rFonts w:cs="Times New Roman"/>
                  </w:rPr>
                </w:pPr>
                <w:r>
                  <w:rPr>
                    <w:rFonts w:cs="Times New Roman"/>
                  </w:rPr>
                  <w:t>代扣公积金</w:t>
                </w:r>
              </w:p>
            </w:tc>
            <w:tc>
              <w:tcPr>
                <w:tcW w:w="1657" w:type="pct"/>
                <w:vAlign w:val="center"/>
              </w:tcPr>
              <w:p w14:paraId="758F9111">
                <w:pPr>
                  <w:jc w:val="right"/>
                  <w:rPr>
                    <w:rFonts w:cs="Times New Roman"/>
                  </w:rPr>
                </w:pPr>
                <w:r>
                  <w:rPr>
                    <w:rFonts w:cs="Times New Roman"/>
                  </w:rPr>
                  <w:t>1,098,293.15</w:t>
                </w:r>
              </w:p>
            </w:tc>
            <w:tc>
              <w:tcPr>
                <w:tcW w:w="1728" w:type="pct"/>
                <w:vAlign w:val="center"/>
              </w:tcPr>
              <w:p w14:paraId="4607A626">
                <w:pPr>
                  <w:jc w:val="right"/>
                  <w:rPr>
                    <w:rFonts w:cs="Times New Roman"/>
                  </w:rPr>
                </w:pPr>
                <w:r>
                  <w:rPr>
                    <w:rFonts w:cs="Times New Roman"/>
                  </w:rPr>
                  <w:t>1,949,292.76</w:t>
                </w:r>
              </w:p>
            </w:tc>
          </w:tr>
        </w:sdtContent>
      </w:sdt>
      <w:sdt>
        <w:sdtPr>
          <w:rPr>
            <w:rFonts w:cs="Times New Roman"/>
            <w:color w:val="000000" w:themeColor="text1"/>
            <w14:textFill>
              <w14:solidFill>
                <w14:schemeClr w14:val="tx1"/>
              </w14:solidFill>
            </w14:textFill>
          </w:rPr>
          <w:alias w:val="其他应付款情况明细"/>
          <w:tag w:val="_TUP_d68cb62e22fc4f99ab4d25c145efcd43"/>
          <w:id w:val="-1333129804"/>
          <w:placeholder>
            <w:docPart w:val="{6a0c14a3-273d-4a1c-87a0-a16ca3bc5bd5}"/>
          </w:placeholder>
        </w:sdtPr>
        <w:sdtEndPr>
          <w:rPr>
            <w:rFonts w:cs="Times New Roman"/>
            <w:color w:val="000000" w:themeColor="text1"/>
            <w14:textFill>
              <w14:solidFill>
                <w14:schemeClr w14:val="tx1"/>
              </w14:solidFill>
            </w14:textFill>
          </w:rPr>
        </w:sdtEndPr>
        <w:sdtContent>
          <w:tr w14:paraId="45B38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tcPr>
              <w:p w14:paraId="61F14F24">
                <w:pPr>
                  <w:rPr>
                    <w:rFonts w:cs="Times New Roman"/>
                  </w:rPr>
                </w:pPr>
                <w:r>
                  <w:rPr>
                    <w:rFonts w:cs="Times New Roman"/>
                  </w:rPr>
                  <w:t>维修费</w:t>
                </w:r>
              </w:p>
            </w:tc>
            <w:tc>
              <w:tcPr>
                <w:tcW w:w="1657" w:type="pct"/>
                <w:vAlign w:val="center"/>
              </w:tcPr>
              <w:p w14:paraId="1D7CAE81">
                <w:pPr>
                  <w:jc w:val="right"/>
                  <w:rPr>
                    <w:rFonts w:cs="Times New Roman"/>
                  </w:rPr>
                </w:pPr>
                <w:r>
                  <w:rPr>
                    <w:rFonts w:cs="Times New Roman"/>
                  </w:rPr>
                  <w:t>1,047,213.63</w:t>
                </w:r>
              </w:p>
            </w:tc>
            <w:tc>
              <w:tcPr>
                <w:tcW w:w="1728" w:type="pct"/>
                <w:vAlign w:val="center"/>
              </w:tcPr>
              <w:p w14:paraId="3C5D098A">
                <w:pPr>
                  <w:jc w:val="right"/>
                  <w:rPr>
                    <w:rFonts w:cs="Times New Roman"/>
                  </w:rPr>
                </w:pPr>
                <w:r>
                  <w:rPr>
                    <w:rFonts w:cs="Times New Roman"/>
                  </w:rPr>
                  <w:t>933,242.79</w:t>
                </w:r>
              </w:p>
            </w:tc>
          </w:tr>
        </w:sdtContent>
      </w:sdt>
      <w:sdt>
        <w:sdtPr>
          <w:rPr>
            <w:rFonts w:cs="Times New Roman"/>
            <w:color w:val="000000" w:themeColor="text1"/>
            <w14:textFill>
              <w14:solidFill>
                <w14:schemeClr w14:val="tx1"/>
              </w14:solidFill>
            </w14:textFill>
          </w:rPr>
          <w:alias w:val="其他应付款情况明细"/>
          <w:tag w:val="_TUP_d68cb62e22fc4f99ab4d25c145efcd43"/>
          <w:id w:val="224423351"/>
          <w:placeholder>
            <w:docPart w:val="{6a0c14a3-273d-4a1c-87a0-a16ca3bc5bd5}"/>
          </w:placeholder>
        </w:sdtPr>
        <w:sdtEndPr>
          <w:rPr>
            <w:rFonts w:cs="Times New Roman"/>
            <w:color w:val="000000" w:themeColor="text1"/>
            <w14:textFill>
              <w14:solidFill>
                <w14:schemeClr w14:val="tx1"/>
              </w14:solidFill>
            </w14:textFill>
          </w:rPr>
        </w:sdtEndPr>
        <w:sdtContent>
          <w:tr w14:paraId="7D78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tcPr>
              <w:p w14:paraId="559A98D6">
                <w:pPr>
                  <w:rPr>
                    <w:rFonts w:cs="Times New Roman"/>
                  </w:rPr>
                </w:pPr>
                <w:r>
                  <w:rPr>
                    <w:rFonts w:cs="Times New Roman"/>
                  </w:rPr>
                  <w:t>其他</w:t>
                </w:r>
              </w:p>
            </w:tc>
            <w:tc>
              <w:tcPr>
                <w:tcW w:w="1657" w:type="pct"/>
                <w:vAlign w:val="center"/>
              </w:tcPr>
              <w:p w14:paraId="240F796E">
                <w:pPr>
                  <w:jc w:val="right"/>
                  <w:rPr>
                    <w:rFonts w:cs="Times New Roman"/>
                  </w:rPr>
                </w:pPr>
                <w:r>
                  <w:rPr>
                    <w:rFonts w:cs="Times New Roman"/>
                  </w:rPr>
                  <w:t>101,718,953.01</w:t>
                </w:r>
              </w:p>
            </w:tc>
            <w:tc>
              <w:tcPr>
                <w:tcW w:w="1728" w:type="pct"/>
                <w:vAlign w:val="center"/>
              </w:tcPr>
              <w:p w14:paraId="04BAE4AA">
                <w:pPr>
                  <w:jc w:val="right"/>
                  <w:rPr>
                    <w:rFonts w:cs="Times New Roman"/>
                  </w:rPr>
                </w:pPr>
                <w:r>
                  <w:rPr>
                    <w:rFonts w:cs="Times New Roman"/>
                  </w:rPr>
                  <w:t>107,005,429.00</w:t>
                </w:r>
              </w:p>
            </w:tc>
          </w:tr>
        </w:sdtContent>
      </w:sdt>
      <w:tr w14:paraId="0759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dc1df66b4e6549929c6b91b265854e4c"/>
            <w:id w:val="1887678471"/>
          </w:sdtPr>
          <w:sdtEndPr>
            <w:rPr>
              <w:rFonts w:cs="Times New Roman"/>
            </w:rPr>
          </w:sdtEndPr>
          <w:sdtContent>
            <w:tc>
              <w:tcPr>
                <w:tcW w:w="1615" w:type="pct"/>
              </w:tcPr>
              <w:p w14:paraId="4C8C6057">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c>
          <w:tcPr>
            <w:tcW w:w="1657" w:type="pct"/>
            <w:vAlign w:val="center"/>
          </w:tcPr>
          <w:p w14:paraId="2C049BBF">
            <w:pPr>
              <w:jc w:val="right"/>
              <w:rPr>
                <w:rFonts w:cs="Times New Roman"/>
              </w:rPr>
            </w:pPr>
            <w:r>
              <w:rPr>
                <w:rFonts w:cs="Times New Roman"/>
              </w:rPr>
              <w:t>944,679,877.34</w:t>
            </w:r>
          </w:p>
        </w:tc>
        <w:tc>
          <w:tcPr>
            <w:tcW w:w="1728" w:type="pct"/>
            <w:vAlign w:val="center"/>
          </w:tcPr>
          <w:p w14:paraId="08171327">
            <w:pPr>
              <w:jc w:val="right"/>
              <w:rPr>
                <w:rFonts w:cs="Times New Roman"/>
              </w:rPr>
            </w:pPr>
            <w:r>
              <w:rPr>
                <w:rFonts w:cs="Times New Roman"/>
              </w:rPr>
              <w:t>958,381,409.24</w:t>
            </w:r>
          </w:p>
        </w:tc>
      </w:tr>
    </w:tbl>
    <w:p w14:paraId="3E1ECCFE">
      <w:pPr>
        <w:rPr>
          <w:color w:val="000000" w:themeColor="text1"/>
          <w14:textFill>
            <w14:solidFill>
              <w14:schemeClr w14:val="tx1"/>
            </w14:solidFill>
          </w14:textFill>
        </w:rPr>
      </w:pPr>
    </w:p>
    <w:p w14:paraId="230C2F0A">
      <w:pPr>
        <w:rPr>
          <w:color w:val="000000" w:themeColor="text1"/>
          <w14:textFill>
            <w14:solidFill>
              <w14:schemeClr w14:val="tx1"/>
            </w14:solidFill>
          </w14:textFill>
        </w:rPr>
      </w:pPr>
      <w:r>
        <w:rPr>
          <w:rFonts w:hint="eastAsia"/>
          <w:color w:val="000000" w:themeColor="text1"/>
          <w14:textFill>
            <w14:solidFill>
              <w14:schemeClr w14:val="tx1"/>
            </w14:solidFill>
          </w14:textFill>
        </w:rPr>
        <w:t>账龄超过</w:t>
      </w:r>
      <w:r>
        <w:rPr>
          <w:color w:val="000000" w:themeColor="text1"/>
          <w14:textFill>
            <w14:solidFill>
              <w14:schemeClr w14:val="tx1"/>
            </w14:solidFill>
          </w14:textFill>
        </w:rPr>
        <w:t>1年</w:t>
      </w:r>
      <w:r>
        <w:rPr>
          <w:rFonts w:hint="eastAsia"/>
          <w:color w:val="000000" w:themeColor="text1"/>
          <w14:textFill>
            <w14:solidFill>
              <w14:schemeClr w14:val="tx1"/>
            </w14:solidFill>
          </w14:textFill>
        </w:rPr>
        <w:t>或逾期</w:t>
      </w:r>
      <w:r>
        <w:rPr>
          <w:color w:val="000000" w:themeColor="text1"/>
          <w14:textFill>
            <w14:solidFill>
              <w14:schemeClr w14:val="tx1"/>
            </w14:solidFill>
          </w14:textFill>
        </w:rPr>
        <w:t>的重要其他应付款</w:t>
      </w:r>
    </w:p>
    <w:p w14:paraId="491993A1">
      <w:pPr>
        <w:rPr>
          <w:color w:val="000000" w:themeColor="text1"/>
          <w14:textFill>
            <w14:solidFill>
              <w14:schemeClr w14:val="tx1"/>
            </w14:solidFill>
          </w14:textFill>
        </w:rPr>
      </w:pPr>
      <w:sdt>
        <w:sdtPr>
          <w:rPr>
            <w:color w:val="000000" w:themeColor="text1"/>
            <w14:textFill>
              <w14:solidFill>
                <w14:schemeClr w14:val="tx1"/>
              </w14:solidFill>
            </w14:textFill>
          </w:rPr>
          <w:alias w:val="是否适用：账龄超过1年的重要其他应付款[双击切换]"/>
          <w:tag w:val="_GBC_484cd63ee8b54a41978c822ae4ec5689"/>
          <w:id w:val="1444577283"/>
        </w:sdtPr>
        <w:sdtEndPr>
          <w:rPr>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sdtContent>
      </w:sdt>
    </w:p>
    <w:p w14:paraId="2C0BB570">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账龄超过1年的重要其他应付款"/>
          <w:tag w:val="_GBC_70627db7610a4aaf857bc90322d6cdfe"/>
          <w:id w:val="1261096111"/>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账龄超过1年的重要其他应付款"/>
          <w:tag w:val="_GBC_8ef8bcf4c1a64fecb8d1bc26dcf905d1"/>
          <w:id w:val="-102494121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3028"/>
        <w:gridCol w:w="3113"/>
      </w:tblGrid>
      <w:tr w14:paraId="4FF0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sdt>
          <w:sdtPr>
            <w:rPr>
              <w:rFonts w:cs="Times New Roman"/>
            </w:rPr>
            <w:tag w:val="_PLD_a2b3ff41455140df9be8564e6380c550"/>
            <w:id w:val="-1552526077"/>
          </w:sdtPr>
          <w:sdtEndPr>
            <w:rPr>
              <w:rFonts w:cs="Times New Roman"/>
            </w:rPr>
          </w:sdtEndPr>
          <w:sdtContent>
            <w:tc>
              <w:tcPr>
                <w:tcW w:w="1607" w:type="pct"/>
                <w:vAlign w:val="center"/>
              </w:tcPr>
              <w:p w14:paraId="0A22E790">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e96da55b57ef4b128b17e8730df5f38e"/>
            <w:id w:val="-1318193792"/>
          </w:sdtPr>
          <w:sdtEndPr>
            <w:rPr>
              <w:rFonts w:cs="Times New Roman"/>
            </w:rPr>
          </w:sdtEndPr>
          <w:sdtContent>
            <w:tc>
              <w:tcPr>
                <w:tcW w:w="1673" w:type="pct"/>
                <w:vAlign w:val="center"/>
              </w:tcPr>
              <w:p w14:paraId="147B1A1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a0a7c81595d2416d898e57939ff78dd7"/>
            <w:id w:val="-1764688804"/>
          </w:sdtPr>
          <w:sdtEndPr>
            <w:rPr>
              <w:rFonts w:cs="Times New Roman"/>
            </w:rPr>
          </w:sdtEndPr>
          <w:sdtContent>
            <w:tc>
              <w:tcPr>
                <w:tcW w:w="1720" w:type="pct"/>
                <w:vAlign w:val="center"/>
              </w:tcPr>
              <w:p w14:paraId="06078A19">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未偿还或结转的原因</w:t>
                </w:r>
              </w:p>
            </w:tc>
          </w:sdtContent>
        </w:sdt>
      </w:tr>
      <w:sdt>
        <w:sdtPr>
          <w:rPr>
            <w:rFonts w:cs="Times New Roman"/>
            <w:color w:val="000000" w:themeColor="text1"/>
            <w14:textFill>
              <w14:solidFill>
                <w14:schemeClr w14:val="tx1"/>
              </w14:solidFill>
            </w14:textFill>
          </w:rPr>
          <w:alias w:val="重要的账龄超过1年的其他应付款明细"/>
          <w:tag w:val="_TUP_107abfb893f149c8878e75d2528d9efe"/>
          <w:id w:val="-927272976"/>
          <w:placeholder>
            <w:docPart w:val="{d4c05224-2427-4576-94d4-91b9333b0dd2}"/>
          </w:placeholder>
        </w:sdtPr>
        <w:sdtEndPr>
          <w:rPr>
            <w:rFonts w:cs="Times New Roman"/>
            <w:color w:val="000000" w:themeColor="text1"/>
            <w14:textFill>
              <w14:solidFill>
                <w14:schemeClr w14:val="tx1"/>
              </w14:solidFill>
            </w14:textFill>
          </w:rPr>
        </w:sdtEndPr>
        <w:sdtContent>
          <w:tr w14:paraId="7AED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tcPr>
              <w:p w14:paraId="5138644C">
                <w:pPr>
                  <w:rPr>
                    <w:rFonts w:cs="Times New Roman"/>
                  </w:rPr>
                </w:pPr>
                <w:r>
                  <w:rPr>
                    <w:rFonts w:cs="Times New Roman"/>
                  </w:rPr>
                  <w:t>往来款</w:t>
                </w:r>
              </w:p>
            </w:tc>
            <w:tc>
              <w:tcPr>
                <w:tcW w:w="1673" w:type="pct"/>
                <w:vAlign w:val="center"/>
              </w:tcPr>
              <w:p w14:paraId="23E72C4F">
                <w:pPr>
                  <w:jc w:val="right"/>
                  <w:rPr>
                    <w:rFonts w:cs="Times New Roman"/>
                  </w:rPr>
                </w:pPr>
                <w:r>
                  <w:rPr>
                    <w:rFonts w:cs="Times New Roman"/>
                  </w:rPr>
                  <w:t>264,046,960.18</w:t>
                </w:r>
              </w:p>
            </w:tc>
            <w:tc>
              <w:tcPr>
                <w:tcW w:w="1720" w:type="pct"/>
                <w:vAlign w:val="center"/>
              </w:tcPr>
              <w:p w14:paraId="349FB118">
                <w:pPr>
                  <w:rPr>
                    <w:rFonts w:cs="Times New Roman"/>
                  </w:rPr>
                </w:pPr>
                <w:r>
                  <w:rPr>
                    <w:rFonts w:cs="Times New Roman"/>
                  </w:rPr>
                  <w:t>业务尚未结束</w:t>
                </w:r>
              </w:p>
            </w:tc>
          </w:tr>
        </w:sdtContent>
      </w:sdt>
      <w:sdt>
        <w:sdtPr>
          <w:rPr>
            <w:rFonts w:cs="Times New Roman"/>
            <w:color w:val="000000" w:themeColor="text1"/>
            <w14:textFill>
              <w14:solidFill>
                <w14:schemeClr w14:val="tx1"/>
              </w14:solidFill>
            </w14:textFill>
          </w:rPr>
          <w:alias w:val="重要的账龄超过1年的其他应付款明细"/>
          <w:tag w:val="_TUP_107abfb893f149c8878e75d2528d9efe"/>
          <w:id w:val="854846092"/>
          <w:placeholder>
            <w:docPart w:val="{d4c05224-2427-4576-94d4-91b9333b0dd2}"/>
          </w:placeholder>
        </w:sdtPr>
        <w:sdtEndPr>
          <w:rPr>
            <w:rFonts w:cs="Times New Roman"/>
            <w:color w:val="000000" w:themeColor="text1"/>
            <w14:textFill>
              <w14:solidFill>
                <w14:schemeClr w14:val="tx1"/>
              </w14:solidFill>
            </w14:textFill>
          </w:rPr>
        </w:sdtEndPr>
        <w:sdtContent>
          <w:tr w14:paraId="593A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tcPr>
              <w:p w14:paraId="449BC9D2">
                <w:pPr>
                  <w:rPr>
                    <w:rFonts w:cs="Times New Roman"/>
                  </w:rPr>
                </w:pPr>
                <w:r>
                  <w:rPr>
                    <w:rFonts w:cs="Times New Roman"/>
                  </w:rPr>
                  <w:t>房屋维修基金</w:t>
                </w:r>
              </w:p>
            </w:tc>
            <w:tc>
              <w:tcPr>
                <w:tcW w:w="1673" w:type="pct"/>
                <w:vAlign w:val="center"/>
              </w:tcPr>
              <w:p w14:paraId="014C4EA7">
                <w:pPr>
                  <w:jc w:val="right"/>
                  <w:rPr>
                    <w:rFonts w:cs="Times New Roman"/>
                  </w:rPr>
                </w:pPr>
                <w:r>
                  <w:rPr>
                    <w:rFonts w:cs="Times New Roman"/>
                  </w:rPr>
                  <w:t>21,441,373.15</w:t>
                </w:r>
              </w:p>
            </w:tc>
            <w:tc>
              <w:tcPr>
                <w:tcW w:w="1720" w:type="pct"/>
                <w:vAlign w:val="center"/>
              </w:tcPr>
              <w:p w14:paraId="0E44D371">
                <w:pPr>
                  <w:rPr>
                    <w:rFonts w:cs="Times New Roman"/>
                  </w:rPr>
                </w:pPr>
                <w:r>
                  <w:rPr>
                    <w:rFonts w:cs="Times New Roman"/>
                  </w:rPr>
                  <w:t>尚未使用</w:t>
                </w:r>
              </w:p>
            </w:tc>
          </w:tr>
        </w:sdtContent>
      </w:sdt>
      <w:sdt>
        <w:sdtPr>
          <w:rPr>
            <w:rFonts w:cs="Times New Roman"/>
            <w:color w:val="000000" w:themeColor="text1"/>
            <w14:textFill>
              <w14:solidFill>
                <w14:schemeClr w14:val="tx1"/>
              </w14:solidFill>
            </w14:textFill>
          </w:rPr>
          <w:alias w:val="重要的账龄超过1年的其他应付款明细"/>
          <w:tag w:val="_TUP_107abfb893f149c8878e75d2528d9efe"/>
          <w:id w:val="1882284135"/>
          <w:placeholder>
            <w:docPart w:val="{d4c05224-2427-4576-94d4-91b9333b0dd2}"/>
          </w:placeholder>
        </w:sdtPr>
        <w:sdtEndPr>
          <w:rPr>
            <w:rFonts w:cs="Times New Roman"/>
            <w:color w:val="000000" w:themeColor="text1"/>
            <w14:textFill>
              <w14:solidFill>
                <w14:schemeClr w14:val="tx1"/>
              </w14:solidFill>
            </w14:textFill>
          </w:rPr>
        </w:sdtEndPr>
        <w:sdtContent>
          <w:tr w14:paraId="531B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tcPr>
              <w:p w14:paraId="76A63D70">
                <w:pPr>
                  <w:rPr>
                    <w:rFonts w:cs="Times New Roman"/>
                  </w:rPr>
                </w:pPr>
                <w:r>
                  <w:rPr>
                    <w:rFonts w:cs="Times New Roman"/>
                  </w:rPr>
                  <w:t>保证金</w:t>
                </w:r>
              </w:p>
            </w:tc>
            <w:tc>
              <w:tcPr>
                <w:tcW w:w="1673" w:type="pct"/>
                <w:vAlign w:val="center"/>
              </w:tcPr>
              <w:p w14:paraId="6594978D">
                <w:pPr>
                  <w:jc w:val="right"/>
                  <w:rPr>
                    <w:rFonts w:cs="Times New Roman"/>
                  </w:rPr>
                </w:pPr>
                <w:r>
                  <w:rPr>
                    <w:rFonts w:cs="Times New Roman"/>
                  </w:rPr>
                  <w:t>49,050,000.00</w:t>
                </w:r>
              </w:p>
            </w:tc>
            <w:tc>
              <w:tcPr>
                <w:tcW w:w="1720" w:type="pct"/>
                <w:vAlign w:val="center"/>
              </w:tcPr>
              <w:p w14:paraId="236EF38E">
                <w:pPr>
                  <w:rPr>
                    <w:rFonts w:cs="Times New Roman"/>
                  </w:rPr>
                </w:pPr>
                <w:r>
                  <w:rPr>
                    <w:rFonts w:cs="Times New Roman"/>
                  </w:rPr>
                  <w:t>未达到结算条件</w:t>
                </w:r>
              </w:p>
            </w:tc>
          </w:tr>
        </w:sdtContent>
      </w:sdt>
      <w:tr w14:paraId="55C1D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ea766d57335d427393a67dd762f0167b"/>
            <w:id w:val="-1444759927"/>
          </w:sdtPr>
          <w:sdtEndPr>
            <w:rPr>
              <w:rFonts w:cs="Times New Roman"/>
            </w:rPr>
          </w:sdtEndPr>
          <w:sdtContent>
            <w:tc>
              <w:tcPr>
                <w:tcW w:w="1607" w:type="pct"/>
                <w:vAlign w:val="center"/>
              </w:tcPr>
              <w:p w14:paraId="305099E4">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c>
          <w:tcPr>
            <w:tcW w:w="1673" w:type="pct"/>
            <w:vAlign w:val="center"/>
          </w:tcPr>
          <w:p w14:paraId="7EAF26A5">
            <w:pPr>
              <w:jc w:val="right"/>
              <w:rPr>
                <w:rFonts w:cs="Times New Roman"/>
              </w:rPr>
            </w:pPr>
            <w:r>
              <w:rPr>
                <w:rFonts w:cs="Times New Roman"/>
              </w:rPr>
              <w:t>334,538,333.33</w:t>
            </w:r>
          </w:p>
        </w:tc>
        <w:tc>
          <w:tcPr>
            <w:tcW w:w="1720" w:type="pct"/>
          </w:tcPr>
          <w:p w14:paraId="736705F0">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bl>
    <w:p w14:paraId="2C72F8C6">
      <w:pPr>
        <w:rPr>
          <w:color w:val="000000" w:themeColor="text1"/>
          <w14:textFill>
            <w14:solidFill>
              <w14:schemeClr w14:val="tx1"/>
            </w14:solidFill>
          </w14:textFill>
        </w:rPr>
      </w:pPr>
    </w:p>
    <w:p w14:paraId="6D4909F3">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其他应付款的其他说明[双击切换]"/>
        <w:tag w:val="_GBC_c968ec386e144657884a6b5b483acbfd"/>
        <w:id w:val="147478185"/>
        <w:placeholder>
          <w:docPart w:val="GBC22222222222222222222222222222"/>
        </w:placeholder>
      </w:sdtPr>
      <w:sdtEndPr>
        <w:rPr>
          <w:color w:val="000000" w:themeColor="text1"/>
          <w14:textFill>
            <w14:solidFill>
              <w14:schemeClr w14:val="tx1"/>
            </w14:solidFill>
          </w14:textFill>
        </w:rPr>
      </w:sdtEndPr>
      <w:sdtContent>
        <w:p w14:paraId="05DC1C1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60"/>
    <w:p w14:paraId="40AD063B">
      <w:pPr>
        <w:rPr>
          <w:color w:val="000000" w:themeColor="text1"/>
          <w14:textFill>
            <w14:solidFill>
              <w14:schemeClr w14:val="tx1"/>
            </w14:solidFill>
          </w14:textFill>
        </w:rPr>
      </w:pPr>
    </w:p>
    <w:p w14:paraId="2D5A8066">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持有待售负债</w:t>
      </w:r>
    </w:p>
    <w:sdt>
      <w:sdtPr>
        <w:rPr>
          <w:color w:val="000000" w:themeColor="text1"/>
          <w14:textFill>
            <w14:solidFill>
              <w14:schemeClr w14:val="tx1"/>
            </w14:solidFill>
          </w14:textFill>
        </w:rPr>
        <w:alias w:val="是否适用：划分为持有待售的负债[双击切换]"/>
        <w:tag w:val="_GBC_039b9e06b132407a89f578be468d6ec8"/>
        <w:id w:val="147468035"/>
        <w:placeholder>
          <w:docPart w:val="GBC22222222222222222222222222222"/>
        </w:placeholder>
      </w:sdtPr>
      <w:sdtEndPr>
        <w:rPr>
          <w:color w:val="000000" w:themeColor="text1"/>
          <w14:textFill>
            <w14:solidFill>
              <w14:schemeClr w14:val="tx1"/>
            </w14:solidFill>
          </w14:textFill>
        </w:rPr>
      </w:sdtEndPr>
      <w:sdtContent>
        <w:p w14:paraId="26BF118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4B03A78">
      <w:pPr>
        <w:rPr>
          <w:color w:val="000000" w:themeColor="text1"/>
          <w14:textFill>
            <w14:solidFill>
              <w14:schemeClr w14:val="tx1"/>
            </w14:solidFill>
          </w14:textFill>
        </w:rPr>
      </w:pPr>
    </w:p>
    <w:p w14:paraId="3856D4DD">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1年内到期的非流动负债</w:t>
      </w:r>
    </w:p>
    <w:sdt>
      <w:sdtPr>
        <w:rPr>
          <w:color w:val="000000" w:themeColor="text1"/>
          <w14:textFill>
            <w14:solidFill>
              <w14:schemeClr w14:val="tx1"/>
            </w14:solidFill>
          </w14:textFill>
        </w:rPr>
        <w:alias w:val="是否适用：1年内到期的非流动负债[双击切换]"/>
        <w:tag w:val="_GBC_9b606bc3f0cf4f77be9b0f299d212c73"/>
        <w:id w:val="147462282"/>
        <w:placeholder>
          <w:docPart w:val="GBC22222222222222222222222222222"/>
        </w:placeholder>
      </w:sdtPr>
      <w:sdtEndPr>
        <w:rPr>
          <w:color w:val="000000" w:themeColor="text1"/>
          <w14:textFill>
            <w14:solidFill>
              <w14:schemeClr w14:val="tx1"/>
            </w14:solidFill>
          </w14:textFill>
        </w:rPr>
      </w:sdtEndPr>
      <w:sdtContent>
        <w:p w14:paraId="3063958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10D57BA">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1年内到期的非流动负债情况"/>
          <w:tag w:val="_GBC_7bad01766fa0485ea9c16109704ff32e"/>
          <w:id w:val="1474768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1年内到期的非流动负债情况"/>
          <w:tag w:val="_GBC_25aa805434d340a6ade79870522c9640"/>
          <w:id w:val="1474687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3037"/>
        <w:gridCol w:w="3104"/>
      </w:tblGrid>
      <w:tr w14:paraId="6345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bf2815b84ebe4a1e94909ee96ec31ac1"/>
            <w:id w:val="147451868"/>
          </w:sdtPr>
          <w:sdtEndPr>
            <w:rPr>
              <w:rFonts w:cs="Times New Roman"/>
            </w:rPr>
          </w:sdtEndPr>
          <w:sdtContent>
            <w:tc>
              <w:tcPr>
                <w:tcW w:w="1607" w:type="pct"/>
              </w:tcPr>
              <w:p w14:paraId="3290178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db7abcf611bc4296ad7bd9c8177202e0"/>
            <w:id w:val="147478694"/>
          </w:sdtPr>
          <w:sdtEndPr>
            <w:rPr>
              <w:rFonts w:cs="Times New Roman"/>
            </w:rPr>
          </w:sdtEndPr>
          <w:sdtContent>
            <w:tc>
              <w:tcPr>
                <w:tcW w:w="1678" w:type="pct"/>
              </w:tcPr>
              <w:p w14:paraId="3C7021C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371959274ef4493ca1fe426c930e0bf2"/>
            <w:id w:val="147468488"/>
          </w:sdtPr>
          <w:sdtEndPr>
            <w:rPr>
              <w:rFonts w:cs="Times New Roman"/>
            </w:rPr>
          </w:sdtEndPr>
          <w:sdtContent>
            <w:tc>
              <w:tcPr>
                <w:tcW w:w="1715" w:type="pct"/>
              </w:tcPr>
              <w:p w14:paraId="5DB13EC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tr>
      <w:tr w14:paraId="09D6F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Pr>
          <w:p w14:paraId="039B7E94">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1年内到期的长期借款</w:t>
            </w:r>
          </w:p>
        </w:tc>
        <w:tc>
          <w:tcPr>
            <w:tcW w:w="1678" w:type="pct"/>
            <w:vAlign w:val="center"/>
          </w:tcPr>
          <w:p w14:paraId="346B0FAA">
            <w:pPr>
              <w:jc w:val="right"/>
              <w:textAlignment w:val="center"/>
              <w:rPr>
                <w:rFonts w:cs="Times New Roman"/>
              </w:rPr>
            </w:pPr>
            <w:r>
              <w:rPr>
                <w:rFonts w:cs="Times New Roman"/>
                <w:color w:val="000000"/>
              </w:rPr>
              <w:t>14,707,283.00</w:t>
            </w:r>
          </w:p>
        </w:tc>
        <w:tc>
          <w:tcPr>
            <w:tcW w:w="1715" w:type="pct"/>
            <w:vAlign w:val="center"/>
          </w:tcPr>
          <w:p w14:paraId="6DFB4566">
            <w:pPr>
              <w:jc w:val="right"/>
              <w:textAlignment w:val="center"/>
              <w:rPr>
                <w:rFonts w:cs="Times New Roman"/>
              </w:rPr>
            </w:pPr>
            <w:r>
              <w:rPr>
                <w:rFonts w:cs="Times New Roman"/>
                <w:color w:val="000000"/>
              </w:rPr>
              <w:t>32,903,118.06</w:t>
            </w:r>
          </w:p>
        </w:tc>
      </w:tr>
      <w:tr w14:paraId="457B5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Pr>
          <w:p w14:paraId="7BF09963">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1年内到期的应付债券</w:t>
            </w:r>
          </w:p>
        </w:tc>
        <w:tc>
          <w:tcPr>
            <w:tcW w:w="1678" w:type="pct"/>
            <w:vAlign w:val="center"/>
          </w:tcPr>
          <w:p w14:paraId="69E59227">
            <w:pPr>
              <w:jc w:val="right"/>
              <w:textAlignment w:val="center"/>
              <w:rPr>
                <w:rFonts w:cs="Times New Roman"/>
              </w:rPr>
            </w:pPr>
            <w:r>
              <w:rPr>
                <w:rFonts w:cs="Times New Roman"/>
                <w:color w:val="000000"/>
              </w:rPr>
              <w:t>500,900,408.11</w:t>
            </w:r>
          </w:p>
        </w:tc>
        <w:tc>
          <w:tcPr>
            <w:tcW w:w="1715" w:type="pct"/>
            <w:vAlign w:val="center"/>
          </w:tcPr>
          <w:p w14:paraId="220CFD3B">
            <w:pPr>
              <w:jc w:val="right"/>
              <w:textAlignment w:val="center"/>
              <w:rPr>
                <w:rFonts w:cs="Times New Roman"/>
              </w:rPr>
            </w:pPr>
            <w:r>
              <w:rPr>
                <w:rFonts w:cs="Times New Roman"/>
                <w:color w:val="000000"/>
              </w:rPr>
              <w:t>20,276,025.81</w:t>
            </w:r>
          </w:p>
        </w:tc>
      </w:tr>
      <w:tr w14:paraId="68E0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Pr>
          <w:p w14:paraId="2F09321C">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1年内到期的租赁负债</w:t>
            </w:r>
          </w:p>
        </w:tc>
        <w:tc>
          <w:tcPr>
            <w:tcW w:w="1678" w:type="pct"/>
            <w:vAlign w:val="center"/>
          </w:tcPr>
          <w:p w14:paraId="36D0D0CE">
            <w:pPr>
              <w:jc w:val="right"/>
              <w:textAlignment w:val="center"/>
              <w:rPr>
                <w:rFonts w:cs="Times New Roman"/>
              </w:rPr>
            </w:pPr>
            <w:r>
              <w:rPr>
                <w:rFonts w:cs="Times New Roman"/>
                <w:color w:val="000000"/>
              </w:rPr>
              <w:t>865,881.50</w:t>
            </w:r>
          </w:p>
        </w:tc>
        <w:tc>
          <w:tcPr>
            <w:tcW w:w="1715" w:type="pct"/>
            <w:vAlign w:val="center"/>
          </w:tcPr>
          <w:p w14:paraId="00470D3C">
            <w:pPr>
              <w:jc w:val="right"/>
              <w:textAlignment w:val="center"/>
              <w:rPr>
                <w:rFonts w:cs="Times New Roman"/>
              </w:rPr>
            </w:pPr>
            <w:r>
              <w:rPr>
                <w:rFonts w:cs="Times New Roman"/>
                <w:color w:val="000000"/>
              </w:rPr>
              <w:t>845,174.42</w:t>
            </w:r>
          </w:p>
        </w:tc>
      </w:tr>
      <w:tr w14:paraId="2B2F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Pr>
          <w:p w14:paraId="40598CF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678" w:type="pct"/>
            <w:vAlign w:val="center"/>
          </w:tcPr>
          <w:p w14:paraId="3FA765EB">
            <w:pPr>
              <w:jc w:val="right"/>
              <w:textAlignment w:val="center"/>
              <w:rPr>
                <w:rFonts w:cs="Times New Roman"/>
              </w:rPr>
            </w:pPr>
            <w:r>
              <w:rPr>
                <w:rFonts w:cs="Times New Roman"/>
                <w:color w:val="000000"/>
              </w:rPr>
              <w:t>516,473,572.61</w:t>
            </w:r>
          </w:p>
        </w:tc>
        <w:tc>
          <w:tcPr>
            <w:tcW w:w="1715" w:type="pct"/>
            <w:vAlign w:val="center"/>
          </w:tcPr>
          <w:p w14:paraId="3899B9CB">
            <w:pPr>
              <w:jc w:val="right"/>
              <w:textAlignment w:val="center"/>
              <w:rPr>
                <w:rFonts w:cs="Times New Roman"/>
              </w:rPr>
            </w:pPr>
            <w:r>
              <w:rPr>
                <w:rFonts w:cs="Times New Roman"/>
                <w:color w:val="000000"/>
              </w:rPr>
              <w:t>54,024,318.29</w:t>
            </w:r>
          </w:p>
        </w:tc>
      </w:tr>
    </w:tbl>
    <w:p w14:paraId="6F13420E">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1年内到期的非流动负债说明"/>
        <w:tag w:val="_GBC_ae2cc1bff1994660ac9e57279493bfe6"/>
        <w:id w:val="147471535"/>
        <w:placeholder>
          <w:docPart w:val="GBC22222222222222222222222222222"/>
        </w:placeholder>
      </w:sdtPr>
      <w:sdtEndPr>
        <w:rPr>
          <w:color w:val="000000" w:themeColor="text1"/>
          <w14:textFill>
            <w14:solidFill>
              <w14:schemeClr w14:val="tx1"/>
            </w14:solidFill>
          </w14:textFill>
        </w:rPr>
      </w:sdtEndPr>
      <w:sdtContent>
        <w:p w14:paraId="35C7DCF2">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2EAE9398">
      <w:pPr>
        <w:rPr>
          <w:color w:val="000000" w:themeColor="text1"/>
          <w14:textFill>
            <w14:solidFill>
              <w14:schemeClr w14:val="tx1"/>
            </w14:solidFill>
          </w14:textFill>
        </w:rPr>
      </w:pPr>
    </w:p>
    <w:p w14:paraId="59BC3DDA">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其他流动负债</w:t>
      </w:r>
      <w:bookmarkStart w:id="361" w:name="_Hlk10536328"/>
    </w:p>
    <w:sdt>
      <w:sdtPr>
        <w:rPr>
          <w:rFonts w:hint="eastAsia"/>
          <w:color w:val="000000" w:themeColor="text1"/>
          <w14:textFill>
            <w14:solidFill>
              <w14:schemeClr w14:val="tx1"/>
            </w14:solidFill>
          </w14:textFill>
        </w:rPr>
        <w:alias w:val="是否适用：其他流动负债情况 [双击切换]"/>
        <w:tag w:val="_GBC_80907e3e53c44260b850f42646eb3d63"/>
        <w:id w:val="147460137"/>
        <w:lock w:val="contentLocked"/>
        <w:placeholder>
          <w:docPart w:val="GBC22222222222222222222222222222"/>
        </w:placeholder>
      </w:sdtPr>
      <w:sdtEndPr>
        <w:rPr>
          <w:rFonts w:hint="eastAsia"/>
          <w:color w:val="000000" w:themeColor="text1"/>
          <w14:textFill>
            <w14:solidFill>
              <w14:schemeClr w14:val="tx1"/>
            </w14:solidFill>
          </w14:textFill>
        </w:rPr>
      </w:sdtEndPr>
      <w:sdtContent>
        <w:p w14:paraId="51F41D5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CD55A8D">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其他流动负债"/>
          <w:tag w:val="_GBC_6d31349460124941a4929421727aab0e"/>
          <w:id w:val="1474827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其他流动负债"/>
          <w:tag w:val="_GBC_7d8c93066ac541859a45d371953d3cdc"/>
          <w:id w:val="1474722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3118"/>
        <w:gridCol w:w="3129"/>
      </w:tblGrid>
      <w:tr w14:paraId="5573F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cs="Times New Roman"/>
            </w:rPr>
            <w:tag w:val="_PLD_8fb682e3d6ad4a60b648ec38137fbf9d"/>
            <w:id w:val="147481822"/>
          </w:sdtPr>
          <w:sdtEndPr>
            <w:rPr>
              <w:rFonts w:cs="Times New Roman"/>
            </w:rPr>
          </w:sdtEndPr>
          <w:sdtContent>
            <w:tc>
              <w:tcPr>
                <w:tcW w:w="1548" w:type="pct"/>
                <w:tcBorders>
                  <w:top w:val="single" w:color="auto" w:sz="4" w:space="0"/>
                  <w:left w:val="single" w:color="auto" w:sz="4" w:space="0"/>
                  <w:bottom w:val="single" w:color="auto" w:sz="4" w:space="0"/>
                  <w:right w:val="single" w:color="auto" w:sz="4" w:space="0"/>
                </w:tcBorders>
                <w:vAlign w:val="bottom"/>
              </w:tcPr>
              <w:p w14:paraId="07B13490">
                <w:pPr>
                  <w:tabs>
                    <w:tab w:val="right" w:pos="3690"/>
                    <w:tab w:val="right" w:pos="5130"/>
                    <w:tab w:val="right" w:pos="6030"/>
                    <w:tab w:val="right" w:pos="7650"/>
                    <w:tab w:val="right" w:pos="9270"/>
                  </w:tabs>
                  <w:snapToGrid w:val="0"/>
                  <w:ind w:left="-109" w:leftChars="-52"/>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0c0b762dc58f486f9f736b7ace21e9a0"/>
            <w:id w:val="147479006"/>
          </w:sdtPr>
          <w:sdtEndPr>
            <w:rPr>
              <w:rFonts w:cs="Times New Roman"/>
            </w:rPr>
          </w:sdtEndPr>
          <w:sdtContent>
            <w:tc>
              <w:tcPr>
                <w:tcW w:w="1723" w:type="pct"/>
                <w:tcBorders>
                  <w:top w:val="single" w:color="auto" w:sz="4" w:space="0"/>
                  <w:left w:val="single" w:color="auto" w:sz="4" w:space="0"/>
                  <w:bottom w:val="single" w:color="auto" w:sz="4" w:space="0"/>
                  <w:right w:val="single" w:color="auto" w:sz="4" w:space="0"/>
                </w:tcBorders>
              </w:tcPr>
              <w:p w14:paraId="7B404972">
                <w:pPr>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942d693f41424f82b813e282a8210643"/>
            <w:id w:val="147480547"/>
          </w:sdtPr>
          <w:sdtEndPr>
            <w:rPr>
              <w:rFonts w:cs="Times New Roman"/>
            </w:rPr>
          </w:sdtEndPr>
          <w:sdtContent>
            <w:tc>
              <w:tcPr>
                <w:tcW w:w="1729" w:type="pct"/>
                <w:tcBorders>
                  <w:top w:val="single" w:color="auto" w:sz="4" w:space="0"/>
                  <w:left w:val="single" w:color="auto" w:sz="4" w:space="0"/>
                  <w:bottom w:val="single" w:color="auto" w:sz="4" w:space="0"/>
                  <w:right w:val="single" w:color="auto" w:sz="4" w:space="0"/>
                </w:tcBorders>
              </w:tcPr>
              <w:p w14:paraId="24602F20">
                <w:pPr>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tr>
      <w:tr w14:paraId="677C0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pct"/>
            <w:tcBorders>
              <w:top w:val="single" w:color="auto" w:sz="4" w:space="0"/>
              <w:left w:val="single" w:color="auto" w:sz="4" w:space="0"/>
              <w:bottom w:val="single" w:color="auto" w:sz="4" w:space="0"/>
              <w:right w:val="single" w:color="auto" w:sz="4" w:space="0"/>
            </w:tcBorders>
          </w:tcPr>
          <w:p w14:paraId="7FA74325">
            <w:pPr>
              <w:textAlignment w:val="top"/>
              <w:rPr>
                <w:rFonts w:cs="Times New Roman"/>
                <w:color w:val="000000" w:themeColor="text1"/>
                <w14:textFill>
                  <w14:solidFill>
                    <w14:schemeClr w14:val="tx1"/>
                  </w14:solidFill>
                </w14:textFill>
              </w:rPr>
            </w:pPr>
            <w:r>
              <w:rPr>
                <w:rFonts w:cs="Times New Roman"/>
                <w:color w:val="000000"/>
                <w:lang w:bidi="ar"/>
              </w:rPr>
              <w:t>股东借款</w:t>
            </w:r>
          </w:p>
        </w:tc>
        <w:tc>
          <w:tcPr>
            <w:tcW w:w="1723" w:type="pct"/>
            <w:tcBorders>
              <w:top w:val="single" w:color="auto" w:sz="4" w:space="0"/>
              <w:left w:val="single" w:color="auto" w:sz="4" w:space="0"/>
              <w:bottom w:val="single" w:color="auto" w:sz="4" w:space="0"/>
              <w:right w:val="single" w:color="auto" w:sz="4" w:space="0"/>
            </w:tcBorders>
            <w:vAlign w:val="center"/>
          </w:tcPr>
          <w:p w14:paraId="2826F1D8">
            <w:pPr>
              <w:jc w:val="right"/>
              <w:textAlignment w:val="center"/>
              <w:rPr>
                <w:rFonts w:cs="Times New Roman"/>
              </w:rPr>
            </w:pPr>
            <w:r>
              <w:rPr>
                <w:rFonts w:cs="Times New Roman"/>
                <w:color w:val="000000"/>
              </w:rPr>
              <w:t>215,085,500.00</w:t>
            </w:r>
          </w:p>
        </w:tc>
        <w:tc>
          <w:tcPr>
            <w:tcW w:w="1729" w:type="pct"/>
            <w:tcBorders>
              <w:top w:val="single" w:color="auto" w:sz="4" w:space="0"/>
              <w:left w:val="single" w:color="auto" w:sz="4" w:space="0"/>
              <w:bottom w:val="single" w:color="auto" w:sz="4" w:space="0"/>
              <w:right w:val="single" w:color="auto" w:sz="4" w:space="0"/>
            </w:tcBorders>
            <w:vAlign w:val="center"/>
          </w:tcPr>
          <w:p w14:paraId="1BE4F6EE">
            <w:pPr>
              <w:jc w:val="right"/>
              <w:textAlignment w:val="center"/>
              <w:rPr>
                <w:rFonts w:cs="Times New Roman"/>
              </w:rPr>
            </w:pPr>
            <w:r>
              <w:rPr>
                <w:rFonts w:cs="Times New Roman"/>
                <w:color w:val="000000"/>
              </w:rPr>
              <w:t>215,134,230.55</w:t>
            </w:r>
          </w:p>
        </w:tc>
      </w:tr>
      <w:tr w14:paraId="112F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pct"/>
            <w:tcBorders>
              <w:top w:val="single" w:color="auto" w:sz="4" w:space="0"/>
              <w:left w:val="single" w:color="auto" w:sz="4" w:space="0"/>
              <w:bottom w:val="single" w:color="auto" w:sz="4" w:space="0"/>
              <w:right w:val="single" w:color="auto" w:sz="4" w:space="0"/>
            </w:tcBorders>
          </w:tcPr>
          <w:p w14:paraId="31508083">
            <w:pPr>
              <w:textAlignment w:val="top"/>
              <w:rPr>
                <w:rFonts w:cs="Times New Roman"/>
                <w:color w:val="000000" w:themeColor="text1"/>
                <w14:textFill>
                  <w14:solidFill>
                    <w14:schemeClr w14:val="tx1"/>
                  </w14:solidFill>
                </w14:textFill>
              </w:rPr>
            </w:pPr>
            <w:r>
              <w:rPr>
                <w:rFonts w:cs="Times New Roman"/>
                <w:color w:val="000000"/>
                <w:lang w:bidi="ar"/>
              </w:rPr>
              <w:t>票据背书未终止确认款项</w:t>
            </w:r>
          </w:p>
        </w:tc>
        <w:tc>
          <w:tcPr>
            <w:tcW w:w="1723" w:type="pct"/>
            <w:tcBorders>
              <w:top w:val="single" w:color="auto" w:sz="4" w:space="0"/>
              <w:left w:val="single" w:color="auto" w:sz="4" w:space="0"/>
              <w:bottom w:val="single" w:color="auto" w:sz="4" w:space="0"/>
              <w:right w:val="single" w:color="auto" w:sz="4" w:space="0"/>
            </w:tcBorders>
            <w:vAlign w:val="center"/>
          </w:tcPr>
          <w:p w14:paraId="6A106D57">
            <w:pPr>
              <w:jc w:val="right"/>
              <w:textAlignment w:val="center"/>
              <w:rPr>
                <w:rFonts w:cs="Times New Roman"/>
              </w:rPr>
            </w:pPr>
            <w:r>
              <w:rPr>
                <w:rFonts w:cs="Times New Roman"/>
                <w:color w:val="000000"/>
              </w:rPr>
              <w:t>140,000.00</w:t>
            </w:r>
          </w:p>
        </w:tc>
        <w:tc>
          <w:tcPr>
            <w:tcW w:w="1729" w:type="pct"/>
            <w:tcBorders>
              <w:top w:val="single" w:color="auto" w:sz="4" w:space="0"/>
              <w:left w:val="single" w:color="auto" w:sz="4" w:space="0"/>
              <w:bottom w:val="single" w:color="auto" w:sz="4" w:space="0"/>
              <w:right w:val="single" w:color="auto" w:sz="4" w:space="0"/>
            </w:tcBorders>
            <w:vAlign w:val="center"/>
          </w:tcPr>
          <w:p w14:paraId="43DC7FDF">
            <w:pPr>
              <w:jc w:val="right"/>
              <w:textAlignment w:val="center"/>
              <w:rPr>
                <w:rFonts w:cs="Times New Roman"/>
              </w:rPr>
            </w:pPr>
            <w:r>
              <w:rPr>
                <w:rFonts w:cs="Times New Roman"/>
                <w:color w:val="000000"/>
              </w:rPr>
              <w:t>6,033,977.09</w:t>
            </w:r>
          </w:p>
        </w:tc>
      </w:tr>
      <w:tr w14:paraId="67F74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pct"/>
            <w:tcBorders>
              <w:top w:val="single" w:color="auto" w:sz="4" w:space="0"/>
              <w:left w:val="single" w:color="auto" w:sz="4" w:space="0"/>
              <w:bottom w:val="single" w:color="auto" w:sz="4" w:space="0"/>
              <w:right w:val="single" w:color="auto" w:sz="4" w:space="0"/>
            </w:tcBorders>
          </w:tcPr>
          <w:p w14:paraId="07CC3E12">
            <w:pPr>
              <w:textAlignment w:val="top"/>
              <w:rPr>
                <w:rFonts w:cs="Times New Roman"/>
              </w:rPr>
            </w:pPr>
            <w:r>
              <w:rPr>
                <w:rFonts w:cs="Times New Roman"/>
                <w:color w:val="000000"/>
                <w:lang w:bidi="ar"/>
              </w:rPr>
              <w:t>待转销项税额</w:t>
            </w:r>
          </w:p>
        </w:tc>
        <w:tc>
          <w:tcPr>
            <w:tcW w:w="1723" w:type="pct"/>
            <w:tcBorders>
              <w:top w:val="single" w:color="auto" w:sz="4" w:space="0"/>
              <w:left w:val="single" w:color="auto" w:sz="4" w:space="0"/>
              <w:bottom w:val="single" w:color="auto" w:sz="4" w:space="0"/>
              <w:right w:val="single" w:color="auto" w:sz="4" w:space="0"/>
            </w:tcBorders>
            <w:vAlign w:val="center"/>
          </w:tcPr>
          <w:p w14:paraId="663EF9B2">
            <w:pPr>
              <w:jc w:val="right"/>
              <w:textAlignment w:val="center"/>
              <w:rPr>
                <w:rFonts w:cs="Times New Roman"/>
              </w:rPr>
            </w:pPr>
            <w:r>
              <w:rPr>
                <w:rFonts w:cs="Times New Roman"/>
                <w:color w:val="000000"/>
              </w:rPr>
              <w:t>66,223,304.58</w:t>
            </w:r>
          </w:p>
        </w:tc>
        <w:tc>
          <w:tcPr>
            <w:tcW w:w="1729" w:type="pct"/>
            <w:tcBorders>
              <w:top w:val="single" w:color="auto" w:sz="4" w:space="0"/>
              <w:left w:val="single" w:color="auto" w:sz="4" w:space="0"/>
              <w:bottom w:val="single" w:color="auto" w:sz="4" w:space="0"/>
              <w:right w:val="single" w:color="auto" w:sz="4" w:space="0"/>
            </w:tcBorders>
            <w:vAlign w:val="center"/>
          </w:tcPr>
          <w:p w14:paraId="4A6CBB91">
            <w:pPr>
              <w:jc w:val="right"/>
              <w:textAlignment w:val="center"/>
              <w:rPr>
                <w:rFonts w:cs="Times New Roman"/>
              </w:rPr>
            </w:pPr>
            <w:r>
              <w:rPr>
                <w:rFonts w:cs="Times New Roman"/>
                <w:color w:val="000000"/>
              </w:rPr>
              <w:t>85,704,977.64</w:t>
            </w:r>
          </w:p>
        </w:tc>
      </w:tr>
      <w:tr w14:paraId="587B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pct"/>
            <w:tcBorders>
              <w:top w:val="single" w:color="auto" w:sz="4" w:space="0"/>
              <w:left w:val="single" w:color="auto" w:sz="4" w:space="0"/>
              <w:bottom w:val="single" w:color="auto" w:sz="4" w:space="0"/>
              <w:right w:val="single" w:color="auto" w:sz="4" w:space="0"/>
            </w:tcBorders>
          </w:tcPr>
          <w:p w14:paraId="6A6E7EA8">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723" w:type="pct"/>
            <w:tcBorders>
              <w:top w:val="single" w:color="auto" w:sz="4" w:space="0"/>
              <w:left w:val="single" w:color="auto" w:sz="4" w:space="0"/>
              <w:bottom w:val="single" w:color="auto" w:sz="4" w:space="0"/>
              <w:right w:val="single" w:color="auto" w:sz="4" w:space="0"/>
            </w:tcBorders>
            <w:vAlign w:val="center"/>
          </w:tcPr>
          <w:p w14:paraId="78660F3D">
            <w:pPr>
              <w:jc w:val="right"/>
              <w:textAlignment w:val="center"/>
              <w:rPr>
                <w:rFonts w:cs="Times New Roman"/>
              </w:rPr>
            </w:pPr>
            <w:r>
              <w:rPr>
                <w:rFonts w:cs="Times New Roman"/>
                <w:color w:val="000000"/>
              </w:rPr>
              <w:t>281,448,804.58</w:t>
            </w:r>
          </w:p>
        </w:tc>
        <w:tc>
          <w:tcPr>
            <w:tcW w:w="1729" w:type="pct"/>
            <w:tcBorders>
              <w:top w:val="single" w:color="auto" w:sz="4" w:space="0"/>
              <w:left w:val="single" w:color="auto" w:sz="4" w:space="0"/>
              <w:bottom w:val="single" w:color="auto" w:sz="4" w:space="0"/>
              <w:right w:val="single" w:color="auto" w:sz="4" w:space="0"/>
            </w:tcBorders>
            <w:vAlign w:val="center"/>
          </w:tcPr>
          <w:p w14:paraId="0BC711C6">
            <w:pPr>
              <w:jc w:val="right"/>
              <w:textAlignment w:val="center"/>
              <w:rPr>
                <w:rFonts w:cs="Times New Roman"/>
              </w:rPr>
            </w:pPr>
            <w:r>
              <w:rPr>
                <w:rFonts w:cs="Times New Roman"/>
                <w:color w:val="000000"/>
              </w:rPr>
              <w:t>306,873,185.28</w:t>
            </w:r>
          </w:p>
        </w:tc>
      </w:tr>
    </w:tbl>
    <w:p w14:paraId="5113DE2A">
      <w:pPr>
        <w:rPr>
          <w:color w:val="000000" w:themeColor="text1"/>
          <w14:textFill>
            <w14:solidFill>
              <w14:schemeClr w14:val="tx1"/>
            </w14:solidFill>
          </w14:textFill>
        </w:rPr>
      </w:pPr>
    </w:p>
    <w:bookmarkEnd w:id="361"/>
    <w:p w14:paraId="2878C637">
      <w:pPr>
        <w:rPr>
          <w:color w:val="000000" w:themeColor="text1"/>
          <w14:textFill>
            <w14:solidFill>
              <w14:schemeClr w14:val="tx1"/>
            </w14:solidFill>
          </w14:textFill>
        </w:rPr>
      </w:pPr>
      <w:bookmarkStart w:id="362" w:name="_Hlk167968687"/>
      <w:r>
        <w:rPr>
          <w:rFonts w:hint="eastAsia"/>
          <w:color w:val="000000" w:themeColor="text1"/>
          <w14:textFill>
            <w14:solidFill>
              <w14:schemeClr w14:val="tx1"/>
            </w14:solidFill>
          </w14:textFill>
        </w:rPr>
        <w:t>短期</w:t>
      </w:r>
      <w:r>
        <w:rPr>
          <w:color w:val="000000" w:themeColor="text1"/>
          <w14:textFill>
            <w14:solidFill>
              <w14:schemeClr w14:val="tx1"/>
            </w14:solidFill>
          </w14:textFill>
        </w:rPr>
        <w:t>应付债券的增减变动</w:t>
      </w:r>
      <w:r>
        <w:rPr>
          <w:rFonts w:hint="eastAsia"/>
          <w:color w:val="000000" w:themeColor="text1"/>
          <w14:textFill>
            <w14:solidFill>
              <w14:schemeClr w14:val="tx1"/>
            </w14:solidFill>
          </w14:textFill>
        </w:rPr>
        <w:t>：</w:t>
      </w:r>
    </w:p>
    <w:sdt>
      <w:sdtPr>
        <w:rPr>
          <w:color w:val="000000" w:themeColor="text1"/>
          <w14:textFill>
            <w14:solidFill>
              <w14:schemeClr w14:val="tx1"/>
            </w14:solidFill>
          </w14:textFill>
        </w:rPr>
        <w:alias w:val="是否适用：短期应付债券的增减变动[双击切换]"/>
        <w:tag w:val="_GBC_564144f89f7f4019bdcd86b0e624bfee"/>
        <w:id w:val="147463316"/>
        <w:placeholder>
          <w:docPart w:val="GBC22222222222222222222222222222"/>
        </w:placeholder>
      </w:sdtPr>
      <w:sdtEndPr>
        <w:rPr>
          <w:color w:val="000000" w:themeColor="text1"/>
          <w14:textFill>
            <w14:solidFill>
              <w14:schemeClr w14:val="tx1"/>
            </w14:solidFill>
          </w14:textFill>
        </w:rPr>
      </w:sdtEndPr>
      <w:sdtContent>
        <w:p w14:paraId="066D7F7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49C3FDF">
      <w:pPr>
        <w:rPr>
          <w:rFonts w:cstheme="minorBidi"/>
          <w:color w:val="000000" w:themeColor="text1"/>
          <w:kern w:val="2"/>
          <w14:textFill>
            <w14:solidFill>
              <w14:schemeClr w14:val="tx1"/>
            </w14:solidFill>
          </w14:textFill>
        </w:rPr>
      </w:pPr>
    </w:p>
    <w:bookmarkEnd w:id="362"/>
    <w:p w14:paraId="59E75FED">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其他流动负债说明[双击切换]"/>
        <w:tag w:val="_GBC_6ebc9e220fb04ea584ed56f756d92d59"/>
        <w:id w:val="147472593"/>
        <w:placeholder>
          <w:docPart w:val="GBC22222222222222222222222222222"/>
        </w:placeholder>
      </w:sdtPr>
      <w:sdtEndPr>
        <w:rPr>
          <w:color w:val="000000" w:themeColor="text1"/>
          <w14:textFill>
            <w14:solidFill>
              <w14:schemeClr w14:val="tx1"/>
            </w14:solidFill>
          </w14:textFill>
        </w:rPr>
      </w:sdtEndPr>
      <w:sdtContent>
        <w:p w14:paraId="0B0C398E">
          <w:pPr>
            <w:spacing w:before="60" w:after="6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28A68A9">
      <w:pPr>
        <w:rPr>
          <w:color w:val="000000" w:themeColor="text1"/>
          <w14:textFill>
            <w14:solidFill>
              <w14:schemeClr w14:val="tx1"/>
            </w14:solidFill>
          </w14:textFill>
        </w:rPr>
      </w:pPr>
    </w:p>
    <w:p w14:paraId="70B41F07">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长期借款</w:t>
      </w:r>
    </w:p>
    <w:p w14:paraId="71977E88">
      <w:pPr>
        <w:pStyle w:val="58"/>
        <w:numPr>
          <w:ilvl w:val="0"/>
          <w:numId w:val="84"/>
        </w:numPr>
        <w:tabs>
          <w:tab w:val="left" w:pos="630"/>
        </w:tabs>
        <w:ind w:left="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长期借款分类</w:t>
      </w:r>
    </w:p>
    <w:sdt>
      <w:sdtPr>
        <w:rPr>
          <w:color w:val="000000" w:themeColor="text1"/>
          <w14:textFill>
            <w14:solidFill>
              <w14:schemeClr w14:val="tx1"/>
            </w14:solidFill>
          </w14:textFill>
        </w:rPr>
        <w:alias w:val="是否适用：长期借款分类[双击切换]"/>
        <w:tag w:val="_GBC_6ef43a5268e7491db189883a31952469"/>
        <w:id w:val="147471524"/>
        <w:placeholder>
          <w:docPart w:val="GBC22222222222222222222222222222"/>
        </w:placeholder>
      </w:sdtPr>
      <w:sdtEndPr>
        <w:rPr>
          <w:color w:val="000000" w:themeColor="text1"/>
          <w14:textFill>
            <w14:solidFill>
              <w14:schemeClr w14:val="tx1"/>
            </w14:solidFill>
          </w14:textFill>
        </w:rPr>
      </w:sdtEndPr>
      <w:sdtContent>
        <w:p w14:paraId="460F671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7853672">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长期借款分类"/>
          <w:tag w:val="_GBC_146f044f7fd14a45bf9247f0af389a14"/>
          <w:id w:val="1474749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长期借款分类"/>
          <w:tag w:val="_GBC_7570ad6f1fd04c3d939be649ce4cfc30"/>
          <w:id w:val="1474674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998"/>
        <w:gridCol w:w="2999"/>
        <w:gridCol w:w="2896"/>
      </w:tblGrid>
      <w:tr w14:paraId="57DB6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rPr>
              <w:rFonts w:cs="Times New Roman"/>
            </w:rPr>
            <w:tag w:val="_PLD_3ee60507a6384334b819485e73faa1f4"/>
            <w:id w:val="147477365"/>
          </w:sdtPr>
          <w:sdtEndPr>
            <w:rPr>
              <w:rFonts w:cs="Times New Roman"/>
            </w:rPr>
          </w:sdtEndPr>
          <w:sdtContent>
            <w:tc>
              <w:tcPr>
                <w:tcW w:w="1686" w:type="pct"/>
              </w:tcPr>
              <w:p w14:paraId="2805D3E5">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d2a4fabfb296457384b1523a60233642"/>
            <w:id w:val="147481194"/>
          </w:sdtPr>
          <w:sdtEndPr>
            <w:rPr>
              <w:rFonts w:cs="Times New Roman"/>
            </w:rPr>
          </w:sdtEndPr>
          <w:sdtContent>
            <w:tc>
              <w:tcPr>
                <w:tcW w:w="1686" w:type="pct"/>
              </w:tcPr>
              <w:p w14:paraId="25304782">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aab598d4b37f4953a2ee9b7475cb43e6"/>
            <w:id w:val="147463043"/>
          </w:sdtPr>
          <w:sdtEndPr>
            <w:rPr>
              <w:rFonts w:cs="Times New Roman"/>
            </w:rPr>
          </w:sdtEndPr>
          <w:sdtContent>
            <w:tc>
              <w:tcPr>
                <w:tcW w:w="1628" w:type="pct"/>
              </w:tcPr>
              <w:p w14:paraId="3EA738B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tr>
      <w:tr w14:paraId="76ED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86" w:type="pct"/>
          </w:tcPr>
          <w:p w14:paraId="3BB261B8">
            <w:pPr>
              <w:autoSpaceDE w:val="0"/>
              <w:autoSpaceDN w:val="0"/>
              <w:adjustRightInd w:val="0"/>
              <w:snapToGrid w:val="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抵押借款</w:t>
            </w:r>
          </w:p>
        </w:tc>
        <w:tc>
          <w:tcPr>
            <w:tcW w:w="1686" w:type="pct"/>
            <w:vAlign w:val="center"/>
          </w:tcPr>
          <w:p w14:paraId="3D79E7D7">
            <w:pPr>
              <w:jc w:val="right"/>
              <w:rPr>
                <w:rFonts w:cs="Times New Roman"/>
                <w:color w:val="000000"/>
              </w:rPr>
            </w:pPr>
            <w:r>
              <w:rPr>
                <w:rFonts w:cs="Times New Roman"/>
                <w:color w:val="000000"/>
              </w:rPr>
              <w:t>1,875,562.50</w:t>
            </w:r>
          </w:p>
        </w:tc>
        <w:tc>
          <w:tcPr>
            <w:tcW w:w="1628" w:type="pct"/>
            <w:vAlign w:val="center"/>
          </w:tcPr>
          <w:p w14:paraId="77765A1B">
            <w:pPr>
              <w:jc w:val="right"/>
              <w:rPr>
                <w:rFonts w:cs="Times New Roman"/>
              </w:rPr>
            </w:pPr>
            <w:r>
              <w:rPr>
                <w:rFonts w:cs="Times New Roman"/>
                <w:color w:val="000000"/>
              </w:rPr>
              <w:t>26,894,784.72</w:t>
            </w:r>
          </w:p>
        </w:tc>
      </w:tr>
      <w:tr w14:paraId="36F6E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86" w:type="pct"/>
          </w:tcPr>
          <w:p w14:paraId="24C9D373">
            <w:pPr>
              <w:autoSpaceDE w:val="0"/>
              <w:autoSpaceDN w:val="0"/>
              <w:adjustRightInd w:val="0"/>
              <w:snapToGrid w:val="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保证借款</w:t>
            </w:r>
          </w:p>
        </w:tc>
        <w:tc>
          <w:tcPr>
            <w:tcW w:w="1686" w:type="pct"/>
            <w:vAlign w:val="center"/>
          </w:tcPr>
          <w:p w14:paraId="63E112D5">
            <w:pPr>
              <w:jc w:val="right"/>
              <w:rPr>
                <w:rFonts w:cs="Times New Roman"/>
                <w:color w:val="000000"/>
              </w:rPr>
            </w:pPr>
            <w:r>
              <w:rPr>
                <w:rFonts w:cs="Times New Roman"/>
                <w:color w:val="000000"/>
              </w:rPr>
              <w:t>4,006,350.00</w:t>
            </w:r>
          </w:p>
        </w:tc>
        <w:tc>
          <w:tcPr>
            <w:tcW w:w="1628" w:type="pct"/>
            <w:vAlign w:val="center"/>
          </w:tcPr>
          <w:p w14:paraId="3691B780">
            <w:pPr>
              <w:jc w:val="right"/>
              <w:rPr>
                <w:rFonts w:cs="Times New Roman"/>
              </w:rPr>
            </w:pPr>
            <w:r>
              <w:rPr>
                <w:rFonts w:cs="Times New Roman"/>
                <w:color w:val="000000"/>
              </w:rPr>
              <w:t>4,007,055.56</w:t>
            </w:r>
          </w:p>
        </w:tc>
      </w:tr>
      <w:tr w14:paraId="0E3F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86" w:type="pct"/>
          </w:tcPr>
          <w:p w14:paraId="39293AEA">
            <w:pPr>
              <w:autoSpaceDE w:val="0"/>
              <w:autoSpaceDN w:val="0"/>
              <w:adjustRightInd w:val="0"/>
              <w:snapToGrid w:val="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信用借款</w:t>
            </w:r>
          </w:p>
        </w:tc>
        <w:tc>
          <w:tcPr>
            <w:tcW w:w="1686" w:type="pct"/>
            <w:vAlign w:val="center"/>
          </w:tcPr>
          <w:p w14:paraId="38FCF56E">
            <w:pPr>
              <w:jc w:val="right"/>
              <w:rPr>
                <w:rFonts w:cs="Times New Roman"/>
                <w:color w:val="000000"/>
              </w:rPr>
            </w:pPr>
            <w:r>
              <w:rPr>
                <w:rFonts w:cs="Times New Roman"/>
                <w:color w:val="000000"/>
              </w:rPr>
              <w:t>2,523,594,360.60</w:t>
            </w:r>
          </w:p>
        </w:tc>
        <w:tc>
          <w:tcPr>
            <w:tcW w:w="1628" w:type="pct"/>
            <w:vAlign w:val="center"/>
          </w:tcPr>
          <w:p w14:paraId="65EA8FCD">
            <w:pPr>
              <w:jc w:val="right"/>
              <w:rPr>
                <w:rFonts w:cs="Times New Roman"/>
              </w:rPr>
            </w:pPr>
            <w:r>
              <w:rPr>
                <w:rFonts w:cs="Times New Roman"/>
                <w:color w:val="000000"/>
              </w:rPr>
              <w:t>499,319,061.12</w:t>
            </w:r>
          </w:p>
        </w:tc>
      </w:tr>
      <w:tr w14:paraId="699C2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86" w:type="pct"/>
          </w:tcPr>
          <w:p w14:paraId="5255A82F">
            <w:pPr>
              <w:autoSpaceDE w:val="0"/>
              <w:autoSpaceDN w:val="0"/>
              <w:adjustRightInd w:val="0"/>
              <w:snapToGrid w:val="0"/>
              <w:rPr>
                <w:rFonts w:cs="Times New Roman"/>
              </w:rPr>
            </w:pPr>
            <w:r>
              <w:rPr>
                <w:rFonts w:cs="Times New Roman"/>
              </w:rPr>
              <w:t>减：一年内到期的长期借款</w:t>
            </w:r>
          </w:p>
        </w:tc>
        <w:tc>
          <w:tcPr>
            <w:tcW w:w="1686" w:type="pct"/>
            <w:vAlign w:val="center"/>
          </w:tcPr>
          <w:p w14:paraId="20229756">
            <w:pPr>
              <w:jc w:val="right"/>
              <w:rPr>
                <w:rFonts w:cs="Times New Roman"/>
                <w:color w:val="000000"/>
              </w:rPr>
            </w:pPr>
            <w:r>
              <w:rPr>
                <w:rFonts w:cs="Times New Roman"/>
                <w:color w:val="000000"/>
              </w:rPr>
              <w:t>14,707,283.00</w:t>
            </w:r>
          </w:p>
        </w:tc>
        <w:tc>
          <w:tcPr>
            <w:tcW w:w="1628" w:type="pct"/>
            <w:vAlign w:val="center"/>
          </w:tcPr>
          <w:p w14:paraId="37B58D23">
            <w:pPr>
              <w:jc w:val="right"/>
              <w:rPr>
                <w:rFonts w:cs="Times New Roman"/>
              </w:rPr>
            </w:pPr>
            <w:r>
              <w:rPr>
                <w:rFonts w:cs="Times New Roman"/>
                <w:color w:val="000000"/>
              </w:rPr>
              <w:t>32,903,118.06</w:t>
            </w:r>
          </w:p>
        </w:tc>
      </w:tr>
      <w:tr w14:paraId="465A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86" w:type="pct"/>
            <w:vAlign w:val="center"/>
          </w:tcPr>
          <w:p w14:paraId="5308173E">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686" w:type="pct"/>
            <w:vAlign w:val="center"/>
          </w:tcPr>
          <w:p w14:paraId="40E4BDBD">
            <w:pPr>
              <w:jc w:val="right"/>
              <w:rPr>
                <w:rFonts w:cs="Times New Roman"/>
                <w:color w:val="000000"/>
              </w:rPr>
            </w:pPr>
            <w:r>
              <w:rPr>
                <w:rFonts w:cs="Times New Roman"/>
                <w:color w:val="000000"/>
              </w:rPr>
              <w:t>2,514,768,990.10</w:t>
            </w:r>
          </w:p>
        </w:tc>
        <w:tc>
          <w:tcPr>
            <w:tcW w:w="1628" w:type="pct"/>
            <w:vAlign w:val="center"/>
          </w:tcPr>
          <w:p w14:paraId="008A458F">
            <w:pPr>
              <w:jc w:val="right"/>
              <w:rPr>
                <w:rFonts w:cs="Times New Roman"/>
              </w:rPr>
            </w:pPr>
            <w:r>
              <w:rPr>
                <w:rFonts w:cs="Times New Roman"/>
                <w:color w:val="000000"/>
              </w:rPr>
              <w:t>497,317,783.34</w:t>
            </w:r>
          </w:p>
        </w:tc>
      </w:tr>
    </w:tbl>
    <w:p w14:paraId="092A432B">
      <w:pPr>
        <w:snapToGrid w:val="0"/>
        <w:spacing w:before="60" w:after="60" w:line="240" w:lineRule="atLeas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长期借款分类的说明：</w:t>
      </w:r>
    </w:p>
    <w:sdt>
      <w:sdtPr>
        <w:rPr>
          <w:rFonts w:cs="Times New Roman"/>
          <w:color w:val="000000" w:themeColor="text1"/>
          <w14:textFill>
            <w14:solidFill>
              <w14:schemeClr w14:val="tx1"/>
            </w14:solidFill>
          </w14:textFill>
        </w:rPr>
        <w:alias w:val="长期借款分类的说明"/>
        <w:tag w:val="_GBC_c93626a5eade42f48eca926da85f3afb"/>
        <w:id w:val="147469145"/>
        <w:placeholder>
          <w:docPart w:val="GBC22222222222222222222222222222"/>
        </w:placeholder>
      </w:sdtPr>
      <w:sdtEndPr>
        <w:rPr>
          <w:rFonts w:cs="Times New Roman"/>
          <w:color w:val="000000" w:themeColor="text1"/>
          <w14:textFill>
            <w14:solidFill>
              <w14:schemeClr w14:val="tx1"/>
            </w14:solidFill>
          </w14:textFill>
        </w:rPr>
      </w:sdtEndPr>
      <w:sdtContent>
        <w:p w14:paraId="3B28EB00">
          <w:pPr>
            <w:snapToGrid w:val="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抵押借款为本公司之子公司际华三五零九纺织有限公司为建设耐高温特种过滤材料产业用纺织品项目，以设备作为抵押物从中国农发重点建设基金有限公司取得1,500.00万元借款，截止本报告期末已经偿还1,312.50万元，剩余未偿还借款金额187.50万元，将于2025年10月到期，本期分类为一年内到期的非流动负债。</w:t>
          </w:r>
        </w:p>
        <w:p w14:paraId="0FB435E4">
          <w:pPr>
            <w:snapToGrid w:val="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保证借款为本公司之子公司际华(天津)新能源投资有限公司以天津市金地城市建设有限公司作为担保人从天津银行股份有限公司宝坻支行取得长期借款2,000.00万元，截止本报告期末，已经偿还1600.00万元，剩余未偿还借款金额400.00万元，本期分类为一年内到期的非流动负债。</w:t>
          </w:r>
        </w:p>
        <w:p w14:paraId="711D056E">
          <w:pPr>
            <w:snapToGrid w:val="0"/>
            <w:jc w:val="both"/>
            <w:rPr>
              <w:rFonts w:cstheme="minorBidi"/>
              <w:color w:val="000000" w:themeColor="text1"/>
              <w:kern w:val="2"/>
              <w14:textFill>
                <w14:solidFill>
                  <w14:schemeClr w14:val="tx1"/>
                </w14:solidFill>
              </w14:textFill>
            </w:rPr>
          </w:pPr>
        </w:p>
      </w:sdtContent>
    </w:sdt>
    <w:p w14:paraId="30B3B6DC">
      <w:pPr>
        <w:snapToGrid w:val="0"/>
        <w:rPr>
          <w:rFonts w:cstheme="minorBidi"/>
          <w:color w:val="000000" w:themeColor="text1"/>
          <w:kern w:val="2"/>
          <w14:textFill>
            <w14:solidFill>
              <w14:schemeClr w14:val="tx1"/>
            </w14:solidFill>
          </w14:textFill>
        </w:rPr>
      </w:pPr>
    </w:p>
    <w:p w14:paraId="7167EEBA">
      <w:pPr>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r>
        <w:rPr>
          <w:color w:val="000000" w:themeColor="text1"/>
          <w14:textFill>
            <w14:solidFill>
              <w14:schemeClr w14:val="tx1"/>
            </w14:solidFill>
          </w14:textFill>
        </w:rPr>
        <w:t xml:space="preserve"> </w:t>
      </w:r>
    </w:p>
    <w:sdt>
      <w:sdtPr>
        <w:rPr>
          <w:color w:val="000000" w:themeColor="text1"/>
          <w14:textFill>
            <w14:solidFill>
              <w14:schemeClr w14:val="tx1"/>
            </w14:solidFill>
          </w14:textFill>
        </w:rPr>
        <w:alias w:val="是否适用：长期借款的说明[双击切换]"/>
        <w:tag w:val="_GBC_1dc67be6516c4de3956a80023674c75a"/>
        <w:id w:val="147483354"/>
        <w:placeholder>
          <w:docPart w:val="GBC22222222222222222222222222222"/>
        </w:placeholder>
      </w:sdtPr>
      <w:sdtEndPr>
        <w:rPr>
          <w:color w:val="000000" w:themeColor="text1"/>
          <w14:textFill>
            <w14:solidFill>
              <w14:schemeClr w14:val="tx1"/>
            </w14:solidFill>
          </w14:textFill>
        </w:rPr>
      </w:sdtEndPr>
      <w:sdtContent>
        <w:p w14:paraId="44B5E066">
          <w:pPr>
            <w:snapToGrid w:val="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08EA60E">
      <w:pPr>
        <w:rPr>
          <w:color w:val="000000" w:themeColor="text1"/>
          <w14:textFill>
            <w14:solidFill>
              <w14:schemeClr w14:val="tx1"/>
            </w14:solidFill>
          </w14:textFill>
        </w:rPr>
      </w:pPr>
    </w:p>
    <w:p w14:paraId="576E209C">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应付债券</w:t>
      </w:r>
    </w:p>
    <w:p w14:paraId="1964067E">
      <w:pPr>
        <w:pStyle w:val="58"/>
        <w:numPr>
          <w:ilvl w:val="0"/>
          <w:numId w:val="85"/>
        </w:numPr>
        <w:tabs>
          <w:tab w:val="left" w:pos="672"/>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应付债券</w:t>
      </w:r>
    </w:p>
    <w:sdt>
      <w:sdtPr>
        <w:rPr>
          <w:rFonts w:hint="eastAsia"/>
          <w:color w:val="000000" w:themeColor="text1"/>
          <w14:textFill>
            <w14:solidFill>
              <w14:schemeClr w14:val="tx1"/>
            </w14:solidFill>
          </w14:textFill>
        </w:rPr>
        <w:alias w:val="是否适用：应付债券[双击切换]"/>
        <w:tag w:val="_GBC_b07c291c892844efaca56bc1d52b1566"/>
        <w:id w:val="311528089"/>
      </w:sdtPr>
      <w:sdtEndPr>
        <w:rPr>
          <w:rFonts w:hint="eastAsia"/>
          <w:color w:val="000000" w:themeColor="text1"/>
          <w14:textFill>
            <w14:solidFill>
              <w14:schemeClr w14:val="tx1"/>
            </w14:solidFill>
          </w14:textFill>
        </w:rPr>
      </w:sdtEndPr>
      <w:sdtContent>
        <w:p w14:paraId="1C2836F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0F45577C">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应付债券"/>
          <w:tag w:val="_GBC_5c0626b48a2b47e5b1fa30bc0936ae68"/>
          <w:id w:val="1733878162"/>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应付债券"/>
          <w:tag w:val="_GBC_5dd240124fc44a14b0361901a2a8b897"/>
          <w:id w:val="44289792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999"/>
        <w:gridCol w:w="3022"/>
        <w:gridCol w:w="2872"/>
      </w:tblGrid>
      <w:tr w14:paraId="2C62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52" w:hRule="atLeast"/>
        </w:trPr>
        <w:sdt>
          <w:sdtPr>
            <w:rPr>
              <w:rFonts w:cs="Times New Roman"/>
            </w:rPr>
            <w:tag w:val="_PLD_dacb6f47868c48c4a5180256022d0c07"/>
            <w:id w:val="1238594327"/>
          </w:sdtPr>
          <w:sdtEndPr>
            <w:rPr>
              <w:rFonts w:cs="Times New Roman"/>
            </w:rPr>
          </w:sdtEndPr>
          <w:sdtContent>
            <w:tc>
              <w:tcPr>
                <w:tcW w:w="1686" w:type="pct"/>
              </w:tcPr>
              <w:p w14:paraId="31B5FDA7">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30efa3a744404b8e898a2f8f653f7f19"/>
            <w:id w:val="-1732685798"/>
          </w:sdtPr>
          <w:sdtEndPr>
            <w:rPr>
              <w:rFonts w:cs="Times New Roman"/>
            </w:rPr>
          </w:sdtEndPr>
          <w:sdtContent>
            <w:tc>
              <w:tcPr>
                <w:tcW w:w="1699" w:type="pct"/>
              </w:tcPr>
              <w:p w14:paraId="0ADB9259">
                <w:pPr>
                  <w:adjustRightInd w:val="0"/>
                  <w:snapToGrid w:val="0"/>
                  <w:ind w:left="-2" w:leftChars="-2" w:right="19" w:rightChars="9" w:hanging="2" w:hangingChars="1"/>
                  <w:jc w:val="center"/>
                  <w:rPr>
                    <w:rFonts w:cs="Times New Roman"/>
                    <w:b/>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faff9d38659a4878bf966d1b9dd493b9"/>
            <w:id w:val="1197739244"/>
          </w:sdtPr>
          <w:sdtEndPr>
            <w:rPr>
              <w:rFonts w:cs="Times New Roman"/>
            </w:rPr>
          </w:sdtEndPr>
          <w:sdtContent>
            <w:tc>
              <w:tcPr>
                <w:tcW w:w="1615" w:type="pct"/>
              </w:tcPr>
              <w:p w14:paraId="55263C72">
                <w:pPr>
                  <w:adjustRightInd w:val="0"/>
                  <w:snapToGrid w:val="0"/>
                  <w:ind w:left="-2" w:leftChars="-2" w:right="19" w:rightChars="9" w:hanging="2" w:hangingChars="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tr>
      <w:sdt>
        <w:sdtPr>
          <w:rPr>
            <w:rFonts w:cs="Times New Roman"/>
            <w:color w:val="000000" w:themeColor="text1"/>
            <w14:textFill>
              <w14:solidFill>
                <w14:schemeClr w14:val="tx1"/>
              </w14:solidFill>
            </w14:textFill>
          </w:rPr>
          <w:alias w:val="应付债券情况明细"/>
          <w:tag w:val="_GBC_ce87ca4ab7a54773927187961fdc2d7d"/>
          <w:id w:val="297739548"/>
          <w:placeholder>
            <w:docPart w:val="{7857670b-0411-41a0-8768-2a6b5706f65b}"/>
          </w:placeholder>
        </w:sdtPr>
        <w:sdtEndPr>
          <w:rPr>
            <w:rFonts w:cs="Times New Roman"/>
            <w:color w:val="000000" w:themeColor="text1"/>
            <w14:textFill>
              <w14:solidFill>
                <w14:schemeClr w14:val="tx1"/>
              </w14:solidFill>
            </w14:textFill>
          </w:rPr>
        </w:sdtEndPr>
        <w:sdtContent>
          <w:tr w14:paraId="4099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86" w:type="pct"/>
              </w:tcPr>
              <w:p w14:paraId="38D5176B">
                <w:pPr>
                  <w:rPr>
                    <w:rFonts w:cs="Times New Roman"/>
                  </w:rPr>
                </w:pPr>
                <w:r>
                  <w:rPr>
                    <w:rFonts w:cs="Times New Roman"/>
                  </w:rPr>
                  <w:t>20际华01</w:t>
                </w:r>
              </w:p>
            </w:tc>
            <w:tc>
              <w:tcPr>
                <w:tcW w:w="1699" w:type="pct"/>
              </w:tcPr>
              <w:p w14:paraId="50631D47">
                <w:pPr>
                  <w:jc w:val="right"/>
                  <w:rPr>
                    <w:rFonts w:cs="Times New Roman"/>
                  </w:rPr>
                </w:pPr>
              </w:p>
            </w:tc>
            <w:tc>
              <w:tcPr>
                <w:tcW w:w="1615" w:type="pct"/>
                <w:vAlign w:val="center"/>
              </w:tcPr>
              <w:p w14:paraId="4F16B855">
                <w:pPr>
                  <w:jc w:val="right"/>
                  <w:rPr>
                    <w:rFonts w:cs="Times New Roman"/>
                  </w:rPr>
                </w:pPr>
                <w:r>
                  <w:rPr>
                    <w:rFonts w:cs="Times New Roman"/>
                  </w:rPr>
                  <w:t>20,276,025.81</w:t>
                </w:r>
              </w:p>
            </w:tc>
          </w:tr>
        </w:sdtContent>
      </w:sdt>
      <w:sdt>
        <w:sdtPr>
          <w:rPr>
            <w:rFonts w:cs="Times New Roman"/>
            <w:color w:val="000000" w:themeColor="text1"/>
            <w14:textFill>
              <w14:solidFill>
                <w14:schemeClr w14:val="tx1"/>
              </w14:solidFill>
            </w14:textFill>
          </w:rPr>
          <w:alias w:val="应付债券情况明细"/>
          <w:tag w:val="_GBC_ce87ca4ab7a54773927187961fdc2d7d"/>
          <w:id w:val="27770053"/>
          <w:placeholder>
            <w:docPart w:val="{7857670b-0411-41a0-8768-2a6b5706f65b}"/>
          </w:placeholder>
        </w:sdtPr>
        <w:sdtEndPr>
          <w:rPr>
            <w:rFonts w:cs="Times New Roman"/>
            <w:color w:val="000000" w:themeColor="text1"/>
            <w14:textFill>
              <w14:solidFill>
                <w14:schemeClr w14:val="tx1"/>
              </w14:solidFill>
            </w14:textFill>
          </w:rPr>
        </w:sdtEndPr>
        <w:sdtContent>
          <w:tr w14:paraId="0A1A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86" w:type="pct"/>
              </w:tcPr>
              <w:p w14:paraId="43C144FD">
                <w:pPr>
                  <w:rPr>
                    <w:rFonts w:cs="Times New Roman"/>
                  </w:rPr>
                </w:pPr>
                <w:r>
                  <w:rPr>
                    <w:rFonts w:cs="Times New Roman"/>
                  </w:rPr>
                  <w:t>23际华集团MTN001</w:t>
                </w:r>
              </w:p>
            </w:tc>
            <w:tc>
              <w:tcPr>
                <w:tcW w:w="1699" w:type="pct"/>
                <w:vAlign w:val="center"/>
              </w:tcPr>
              <w:p w14:paraId="288CF38D">
                <w:pPr>
                  <w:jc w:val="right"/>
                  <w:rPr>
                    <w:rFonts w:cs="Times New Roman"/>
                  </w:rPr>
                </w:pPr>
                <w:r>
                  <w:rPr>
                    <w:rFonts w:cs="Times New Roman"/>
                  </w:rPr>
                  <w:t>500,900,408.11</w:t>
                </w:r>
              </w:p>
            </w:tc>
            <w:tc>
              <w:tcPr>
                <w:tcW w:w="1615" w:type="pct"/>
                <w:vAlign w:val="center"/>
              </w:tcPr>
              <w:p w14:paraId="5AAEC251">
                <w:pPr>
                  <w:jc w:val="right"/>
                  <w:rPr>
                    <w:rFonts w:cs="Times New Roman"/>
                  </w:rPr>
                </w:pPr>
                <w:r>
                  <w:rPr>
                    <w:rFonts w:cs="Times New Roman"/>
                  </w:rPr>
                  <w:t>508,560,210.28</w:t>
                </w:r>
              </w:p>
            </w:tc>
          </w:tr>
        </w:sdtContent>
      </w:sdt>
      <w:sdt>
        <w:sdtPr>
          <w:rPr>
            <w:rFonts w:cs="Times New Roman"/>
            <w:color w:val="000000" w:themeColor="text1"/>
            <w14:textFill>
              <w14:solidFill>
                <w14:schemeClr w14:val="tx1"/>
              </w14:solidFill>
            </w14:textFill>
          </w:rPr>
          <w:alias w:val="应付债券情况明细"/>
          <w:tag w:val="_GBC_ce87ca4ab7a54773927187961fdc2d7d"/>
          <w:id w:val="957215820"/>
          <w:placeholder>
            <w:docPart w:val="{7857670b-0411-41a0-8768-2a6b5706f65b}"/>
          </w:placeholder>
        </w:sdtPr>
        <w:sdtEndPr>
          <w:rPr>
            <w:rFonts w:cs="Times New Roman"/>
            <w:color w:val="000000" w:themeColor="text1"/>
            <w14:textFill>
              <w14:solidFill>
                <w14:schemeClr w14:val="tx1"/>
              </w14:solidFill>
            </w14:textFill>
          </w:rPr>
        </w:sdtEndPr>
        <w:sdtContent>
          <w:tr w14:paraId="7D2C9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86" w:type="pct"/>
              </w:tcPr>
              <w:p w14:paraId="54A2B67A">
                <w:pPr>
                  <w:rPr>
                    <w:rFonts w:cs="Times New Roman"/>
                  </w:rPr>
                </w:pPr>
                <w:r>
                  <w:rPr>
                    <w:rFonts w:cs="Times New Roman"/>
                  </w:rPr>
                  <w:t>减：1年内到期的应付债券</w:t>
                </w:r>
              </w:p>
            </w:tc>
            <w:tc>
              <w:tcPr>
                <w:tcW w:w="1699" w:type="pct"/>
                <w:vAlign w:val="center"/>
              </w:tcPr>
              <w:p w14:paraId="38F16349">
                <w:pPr>
                  <w:jc w:val="right"/>
                  <w:rPr>
                    <w:rFonts w:cs="Times New Roman"/>
                  </w:rPr>
                </w:pPr>
                <w:r>
                  <w:rPr>
                    <w:rFonts w:cs="Times New Roman"/>
                  </w:rPr>
                  <w:t>-500,900,408.11</w:t>
                </w:r>
              </w:p>
            </w:tc>
            <w:tc>
              <w:tcPr>
                <w:tcW w:w="1615" w:type="pct"/>
                <w:vAlign w:val="center"/>
              </w:tcPr>
              <w:p w14:paraId="70E6CA6A">
                <w:pPr>
                  <w:jc w:val="right"/>
                  <w:rPr>
                    <w:rFonts w:cs="Times New Roman"/>
                  </w:rPr>
                </w:pPr>
                <w:r>
                  <w:rPr>
                    <w:rFonts w:cs="Times New Roman"/>
                  </w:rPr>
                  <w:t>-20,276,025.81</w:t>
                </w:r>
              </w:p>
            </w:tc>
          </w:tr>
        </w:sdtContent>
      </w:sdt>
      <w:tr w14:paraId="76FC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rPr>
              <w:rFonts w:cs="Times New Roman"/>
            </w:rPr>
            <w:tag w:val="_PLD_4bc5d2895572448eb50b2ba82f0a9f34"/>
            <w:id w:val="1692715643"/>
          </w:sdtPr>
          <w:sdtEndPr>
            <w:rPr>
              <w:rFonts w:cs="Times New Roman"/>
            </w:rPr>
          </w:sdtEndPr>
          <w:sdtContent>
            <w:tc>
              <w:tcPr>
                <w:tcW w:w="1686" w:type="pct"/>
              </w:tcPr>
              <w:p w14:paraId="01156420">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c>
          <w:tcPr>
            <w:tcW w:w="1699" w:type="pct"/>
          </w:tcPr>
          <w:p w14:paraId="616A4923">
            <w:pPr>
              <w:jc w:val="right"/>
              <w:rPr>
                <w:rFonts w:cs="Times New Roman"/>
              </w:rPr>
            </w:pPr>
          </w:p>
        </w:tc>
        <w:tc>
          <w:tcPr>
            <w:tcW w:w="1615" w:type="pct"/>
            <w:vAlign w:val="center"/>
          </w:tcPr>
          <w:p w14:paraId="19F7D229">
            <w:pPr>
              <w:jc w:val="right"/>
              <w:rPr>
                <w:rFonts w:cs="Times New Roman"/>
              </w:rPr>
            </w:pPr>
            <w:r>
              <w:rPr>
                <w:rFonts w:cs="Times New Roman"/>
              </w:rPr>
              <w:t>508,560,210.28</w:t>
            </w:r>
          </w:p>
        </w:tc>
      </w:tr>
    </w:tbl>
    <w:p w14:paraId="23504616">
      <w:pPr>
        <w:rPr>
          <w:color w:val="000000" w:themeColor="text1"/>
          <w14:textFill>
            <w14:solidFill>
              <w14:schemeClr w14:val="tx1"/>
            </w14:solidFill>
          </w14:textFill>
        </w:rPr>
      </w:pPr>
    </w:p>
    <w:p w14:paraId="779DAEB4">
      <w:pPr>
        <w:rPr>
          <w:color w:val="000000" w:themeColor="text1"/>
          <w14:textFill>
            <w14:solidFill>
              <w14:schemeClr w14:val="tx1"/>
            </w14:solidFill>
          </w14:textFill>
        </w:rPr>
      </w:pPr>
    </w:p>
    <w:p w14:paraId="2F261835">
      <w:pPr>
        <w:rPr>
          <w:color w:val="000000" w:themeColor="text1"/>
          <w14:textFill>
            <w14:solidFill>
              <w14:schemeClr w14:val="tx1"/>
            </w14:solidFill>
          </w14:textFill>
        </w:rPr>
        <w:sectPr>
          <w:pgSz w:w="11906" w:h="16838"/>
          <w:pgMar w:top="1525" w:right="1276" w:bottom="1440" w:left="1797" w:header="856" w:footer="992" w:gutter="0"/>
          <w:cols w:space="425" w:num="1"/>
          <w:docGrid w:linePitch="312" w:charSpace="0"/>
        </w:sectPr>
      </w:pPr>
    </w:p>
    <w:p w14:paraId="5EA729CB">
      <w:pPr>
        <w:pStyle w:val="58"/>
        <w:numPr>
          <w:ilvl w:val="0"/>
          <w:numId w:val="85"/>
        </w:numPr>
        <w:tabs>
          <w:tab w:val="left" w:pos="672"/>
        </w:tabs>
        <w:rPr>
          <w:rFonts w:ascii="宋体" w:hAnsi="宋体"/>
          <w:color w:val="000000" w:themeColor="text1"/>
          <w14:textFill>
            <w14:solidFill>
              <w14:schemeClr w14:val="tx1"/>
            </w14:solidFill>
          </w14:textFill>
        </w:rPr>
      </w:pPr>
      <w:bookmarkStart w:id="363" w:name="_Hlk167968813"/>
      <w:bookmarkStart w:id="364" w:name="OLE_LINK18"/>
      <w:bookmarkStart w:id="365" w:name="OLE_LINK16"/>
      <w:r>
        <w:rPr>
          <w:rFonts w:hint="eastAsia" w:ascii="宋体" w:hAnsi="宋体"/>
          <w:color w:val="000000" w:themeColor="text1"/>
          <w14:textFill>
            <w14:solidFill>
              <w14:schemeClr w14:val="tx1"/>
            </w14:solidFill>
          </w14:textFill>
        </w:rPr>
        <w:t>应付债券的具体情况：（不包括划分为金融负债的优先股、永续债等其他金融工具）</w:t>
      </w:r>
    </w:p>
    <w:sdt>
      <w:sdtPr>
        <w:rPr>
          <w:color w:val="000000" w:themeColor="text1"/>
          <w14:textFill>
            <w14:solidFill>
              <w14:schemeClr w14:val="tx1"/>
            </w14:solidFill>
          </w14:textFill>
        </w:rPr>
        <w:alias w:val="是否适用：应付债券的增减变动[双击切换]"/>
        <w:tag w:val="_GBC_6610dc08d094426e9d4fdad85eee6da2"/>
        <w:id w:val="1094432070"/>
      </w:sdtPr>
      <w:sdtEndPr>
        <w:rPr>
          <w:color w:val="000000" w:themeColor="text1"/>
          <w14:textFill>
            <w14:solidFill>
              <w14:schemeClr w14:val="tx1"/>
            </w14:solidFill>
          </w14:textFill>
        </w:rPr>
      </w:sdtEndPr>
      <w:sdtContent>
        <w:p w14:paraId="36A823D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6627F34E">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应付债券的增减变动"/>
          <w:tag w:val="_GBC_0b6c6349435f48dfb36a4f314a37a8c7"/>
          <w:id w:val="-1277639071"/>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应付债券的增减变动"/>
          <w:tag w:val="_GBC_85f8f074b46744db805ca08bc7f9c826"/>
          <w:id w:val="-66756349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256"/>
        <w:gridCol w:w="957"/>
        <w:gridCol w:w="889"/>
        <w:gridCol w:w="1248"/>
        <w:gridCol w:w="740"/>
        <w:gridCol w:w="1713"/>
        <w:gridCol w:w="1369"/>
        <w:gridCol w:w="1284"/>
        <w:gridCol w:w="1047"/>
        <w:gridCol w:w="1363"/>
        <w:gridCol w:w="1406"/>
        <w:gridCol w:w="819"/>
      </w:tblGrid>
      <w:tr w14:paraId="33BE4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590" w:hRule="atLeast"/>
        </w:trPr>
        <w:sdt>
          <w:sdtPr>
            <w:tag w:val="_PLD_d41be2727aa3429e8cc9023c73e8274c"/>
            <w:id w:val="-1879774001"/>
          </w:sdtPr>
          <w:sdtContent>
            <w:tc>
              <w:tcPr>
                <w:tcW w:w="445" w:type="pct"/>
                <w:vAlign w:val="center"/>
              </w:tcPr>
              <w:p w14:paraId="0F7B31E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债券</w:t>
                </w:r>
              </w:p>
              <w:p w14:paraId="68DB354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名称</w:t>
                </w:r>
              </w:p>
            </w:tc>
          </w:sdtContent>
        </w:sdt>
        <w:tc>
          <w:tcPr>
            <w:tcW w:w="339" w:type="pct"/>
            <w:vAlign w:val="center"/>
          </w:tcPr>
          <w:p w14:paraId="4D74A2B7">
            <w:pPr>
              <w:jc w:val="center"/>
              <w:rPr>
                <w:color w:val="000000" w:themeColor="text1"/>
                <w14:textFill>
                  <w14:solidFill>
                    <w14:schemeClr w14:val="tx1"/>
                  </w14:solidFill>
                </w14:textFill>
              </w:rPr>
            </w:pPr>
            <w:sdt>
              <w:sdtPr>
                <w:tag w:val="_PLD_72ec9d3487084f74bf0ffc84e9e55538"/>
                <w:id w:val="843980590"/>
              </w:sdtPr>
              <w:sdtContent>
                <w:r>
                  <w:rPr>
                    <w:rFonts w:hint="eastAsia"/>
                    <w:color w:val="000000" w:themeColor="text1"/>
                    <w14:textFill>
                      <w14:solidFill>
                        <w14:schemeClr w14:val="tx1"/>
                      </w14:solidFill>
                    </w14:textFill>
                  </w:rPr>
                  <w:t>面值</w:t>
                </w:r>
              </w:sdtContent>
            </w:sdt>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单位：应付债券面值"/>
                <w:tag w:val="_GBC_8e4a47ab1a3649538882b182435a5abb"/>
                <w:id w:val="1833791732"/>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w:t>
            </w:r>
          </w:p>
        </w:tc>
        <w:tc>
          <w:tcPr>
            <w:tcW w:w="315" w:type="pct"/>
            <w:vAlign w:val="center"/>
          </w:tcPr>
          <w:sdt>
            <w:sdtPr>
              <w:tag w:val="_PLD_129fa8a708a648acb82bd509aa094506"/>
              <w:id w:val="-1768690494"/>
            </w:sdtPr>
            <w:sdtContent>
              <w:p w14:paraId="3954595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票面利率（%）</w:t>
                </w:r>
              </w:p>
            </w:sdtContent>
          </w:sdt>
        </w:tc>
        <w:sdt>
          <w:sdtPr>
            <w:tag w:val="_PLD_3749ffd60ca24a8192201d606aff6ef7"/>
            <w:id w:val="1121878556"/>
          </w:sdtPr>
          <w:sdtContent>
            <w:tc>
              <w:tcPr>
                <w:tcW w:w="442" w:type="pct"/>
                <w:vAlign w:val="center"/>
              </w:tcPr>
              <w:p w14:paraId="71CCEE9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发行</w:t>
                </w:r>
              </w:p>
              <w:p w14:paraId="4D56D1B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日期</w:t>
                </w:r>
              </w:p>
            </w:tc>
          </w:sdtContent>
        </w:sdt>
        <w:sdt>
          <w:sdtPr>
            <w:tag w:val="_PLD_659f55bd7c5b4f26997cb94585846673"/>
            <w:id w:val="-829520210"/>
          </w:sdtPr>
          <w:sdtContent>
            <w:tc>
              <w:tcPr>
                <w:tcW w:w="262" w:type="pct"/>
                <w:vAlign w:val="center"/>
              </w:tcPr>
              <w:p w14:paraId="76EB19B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债券</w:t>
                </w:r>
              </w:p>
              <w:p w14:paraId="0790475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期限</w:t>
                </w:r>
              </w:p>
            </w:tc>
          </w:sdtContent>
        </w:sdt>
        <w:sdt>
          <w:sdtPr>
            <w:tag w:val="_PLD_ef4aec369760453590c03810a9bba3b2"/>
            <w:id w:val="690025429"/>
          </w:sdtPr>
          <w:sdtContent>
            <w:tc>
              <w:tcPr>
                <w:tcW w:w="607" w:type="pct"/>
                <w:vAlign w:val="center"/>
              </w:tcPr>
              <w:p w14:paraId="0914AC4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发行</w:t>
                </w:r>
              </w:p>
              <w:p w14:paraId="2F096DE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金额</w:t>
                </w:r>
              </w:p>
            </w:tc>
          </w:sdtContent>
        </w:sdt>
        <w:sdt>
          <w:sdtPr>
            <w:tag w:val="_PLD_eb2bd771b7a543ceafa412458cbe645d"/>
            <w:id w:val="-1580750540"/>
          </w:sdtPr>
          <w:sdtContent>
            <w:tc>
              <w:tcPr>
                <w:tcW w:w="485" w:type="pct"/>
                <w:vAlign w:val="center"/>
              </w:tcPr>
              <w:p w14:paraId="2C775EF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w:t>
                </w:r>
              </w:p>
              <w:p w14:paraId="03D7F04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余额</w:t>
                </w:r>
              </w:p>
            </w:tc>
          </w:sdtContent>
        </w:sdt>
        <w:sdt>
          <w:sdtPr>
            <w:tag w:val="_PLD_268f952990ac43c299ce2cd4bb5f70ee"/>
            <w:id w:val="-1961865463"/>
          </w:sdtPr>
          <w:sdtContent>
            <w:tc>
              <w:tcPr>
                <w:tcW w:w="455" w:type="pct"/>
                <w:vAlign w:val="center"/>
              </w:tcPr>
              <w:p w14:paraId="4F5CF46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按面值计提利息</w:t>
                </w:r>
              </w:p>
            </w:tc>
          </w:sdtContent>
        </w:sdt>
        <w:sdt>
          <w:sdtPr>
            <w:tag w:val="_PLD_b754752a2395410c88c2aa53df813fb4"/>
            <w:id w:val="1393617410"/>
          </w:sdtPr>
          <w:sdtContent>
            <w:tc>
              <w:tcPr>
                <w:tcW w:w="371" w:type="pct"/>
                <w:vAlign w:val="center"/>
              </w:tcPr>
              <w:p w14:paraId="5A23739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溢折价摊销</w:t>
                </w:r>
              </w:p>
            </w:tc>
          </w:sdtContent>
        </w:sdt>
        <w:sdt>
          <w:sdtPr>
            <w:tag w:val="_PLD_e9a9a4415f3b4a0bb48b1fc342374a3b"/>
            <w:id w:val="-1397966665"/>
          </w:sdtPr>
          <w:sdtContent>
            <w:tc>
              <w:tcPr>
                <w:tcW w:w="483" w:type="pct"/>
                <w:vAlign w:val="center"/>
              </w:tcPr>
              <w:p w14:paraId="1B352B6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w:t>
                </w:r>
              </w:p>
              <w:p w14:paraId="5CFF8FE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偿还</w:t>
                </w:r>
              </w:p>
            </w:tc>
          </w:sdtContent>
        </w:sdt>
        <w:sdt>
          <w:sdtPr>
            <w:tag w:val="_PLD_b8d1e5afd4b54e399541976cfd25c04f"/>
            <w:id w:val="-1312090075"/>
          </w:sdtPr>
          <w:sdtContent>
            <w:tc>
              <w:tcPr>
                <w:tcW w:w="498" w:type="pct"/>
                <w:vAlign w:val="center"/>
              </w:tcPr>
              <w:p w14:paraId="1A7F529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w:t>
                </w:r>
              </w:p>
              <w:p w14:paraId="509C56D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余额</w:t>
                </w:r>
              </w:p>
            </w:tc>
          </w:sdtContent>
        </w:sdt>
        <w:tc>
          <w:tcPr>
            <w:tcW w:w="290" w:type="pct"/>
            <w:vAlign w:val="center"/>
          </w:tcPr>
          <w:sdt>
            <w:sdtPr>
              <w:tag w:val="_PLD_8b48d21f451f4dd4bae44fb4341c676c"/>
              <w:id w:val="-1998415005"/>
            </w:sdtPr>
            <w:sdtContent>
              <w:p w14:paraId="1CC7383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是否违约</w:t>
                </w:r>
              </w:p>
            </w:sdtContent>
          </w:sdt>
        </w:tc>
      </w:tr>
      <w:sdt>
        <w:sdtPr>
          <w:rPr>
            <w:color w:val="000000" w:themeColor="text1"/>
            <w:sz w:val="18"/>
            <w:szCs w:val="18"/>
            <w14:textFill>
              <w14:solidFill>
                <w14:schemeClr w14:val="tx1"/>
              </w14:solidFill>
            </w14:textFill>
          </w:rPr>
          <w:alias w:val="应付债券明细"/>
          <w:tag w:val="_TUP_4c5536eb785446868e29aebe5fc950fa"/>
          <w:id w:val="1904414770"/>
          <w:placeholder>
            <w:docPart w:val="{72a5ff22-9a38-4d02-b871-4d9b0ea35748}"/>
          </w:placeholder>
        </w:sdtPr>
        <w:sdtEndPr>
          <w:rPr>
            <w:color w:val="000000" w:themeColor="text1"/>
            <w:sz w:val="18"/>
            <w:szCs w:val="18"/>
            <w14:textFill>
              <w14:solidFill>
                <w14:schemeClr w14:val="tx1"/>
              </w14:solidFill>
            </w14:textFill>
          </w:rPr>
        </w:sdtEndPr>
        <w:sdtContent>
          <w:tr w14:paraId="2F8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66" w:hRule="atLeast"/>
            </w:trPr>
            <w:tc>
              <w:tcPr>
                <w:tcW w:w="445" w:type="pct"/>
                <w:vAlign w:val="center"/>
              </w:tcPr>
              <w:p w14:paraId="29387A00">
                <w:pPr>
                  <w:rPr>
                    <w:sz w:val="18"/>
                    <w:szCs w:val="18"/>
                  </w:rPr>
                </w:pPr>
                <w:r>
                  <w:rPr>
                    <w:rFonts w:hint="eastAsia"/>
                    <w:sz w:val="18"/>
                    <w:szCs w:val="18"/>
                  </w:rPr>
                  <w:t>20际华01</w:t>
                </w:r>
              </w:p>
            </w:tc>
            <w:tc>
              <w:tcPr>
                <w:tcW w:w="339" w:type="pct"/>
                <w:vAlign w:val="center"/>
              </w:tcPr>
              <w:p w14:paraId="316A6365">
                <w:pPr>
                  <w:jc w:val="center"/>
                  <w:rPr>
                    <w:sz w:val="18"/>
                    <w:szCs w:val="18"/>
                  </w:rPr>
                </w:pPr>
                <w:r>
                  <w:rPr>
                    <w:rFonts w:hint="eastAsia"/>
                    <w:sz w:val="18"/>
                    <w:szCs w:val="18"/>
                  </w:rPr>
                  <w:t>100.00</w:t>
                </w:r>
              </w:p>
            </w:tc>
            <w:tc>
              <w:tcPr>
                <w:tcW w:w="315" w:type="pct"/>
                <w:vAlign w:val="center"/>
              </w:tcPr>
              <w:p w14:paraId="43786F3C">
                <w:pPr>
                  <w:jc w:val="center"/>
                  <w:rPr>
                    <w:sz w:val="18"/>
                    <w:szCs w:val="18"/>
                  </w:rPr>
                </w:pPr>
                <w:r>
                  <w:rPr>
                    <w:rFonts w:hint="eastAsia"/>
                    <w:sz w:val="18"/>
                    <w:szCs w:val="18"/>
                  </w:rPr>
                  <w:t>2.60</w:t>
                </w:r>
              </w:p>
            </w:tc>
            <w:tc>
              <w:tcPr>
                <w:tcW w:w="442" w:type="pct"/>
                <w:vAlign w:val="center"/>
              </w:tcPr>
              <w:p w14:paraId="6D4B2C2B">
                <w:pPr>
                  <w:jc w:val="center"/>
                  <w:rPr>
                    <w:sz w:val="18"/>
                    <w:szCs w:val="18"/>
                  </w:rPr>
                </w:pPr>
                <w:r>
                  <w:rPr>
                    <w:rFonts w:hint="eastAsia"/>
                    <w:sz w:val="18"/>
                    <w:szCs w:val="18"/>
                  </w:rPr>
                  <w:t>2020-06-15</w:t>
                </w:r>
              </w:p>
            </w:tc>
            <w:tc>
              <w:tcPr>
                <w:tcW w:w="262" w:type="pct"/>
                <w:vAlign w:val="center"/>
              </w:tcPr>
              <w:p w14:paraId="6E17F133">
                <w:pPr>
                  <w:jc w:val="center"/>
                  <w:rPr>
                    <w:sz w:val="18"/>
                    <w:szCs w:val="18"/>
                  </w:rPr>
                </w:pPr>
                <w:r>
                  <w:rPr>
                    <w:rFonts w:hint="eastAsia"/>
                    <w:sz w:val="18"/>
                    <w:szCs w:val="18"/>
                  </w:rPr>
                  <w:t>5年</w:t>
                </w:r>
              </w:p>
            </w:tc>
            <w:tc>
              <w:tcPr>
                <w:tcW w:w="607" w:type="pct"/>
                <w:vAlign w:val="center"/>
              </w:tcPr>
              <w:p w14:paraId="11CE2495">
                <w:pPr>
                  <w:jc w:val="right"/>
                  <w:rPr>
                    <w:sz w:val="18"/>
                    <w:szCs w:val="18"/>
                  </w:rPr>
                </w:pPr>
                <w:r>
                  <w:rPr>
                    <w:rFonts w:hint="eastAsia"/>
                    <w:sz w:val="18"/>
                    <w:szCs w:val="18"/>
                  </w:rPr>
                  <w:t>1,500,000,000.00</w:t>
                </w:r>
              </w:p>
            </w:tc>
            <w:tc>
              <w:tcPr>
                <w:tcW w:w="485" w:type="pct"/>
                <w:vAlign w:val="center"/>
              </w:tcPr>
              <w:p w14:paraId="0CA70A9B">
                <w:pPr>
                  <w:jc w:val="right"/>
                  <w:rPr>
                    <w:sz w:val="18"/>
                    <w:szCs w:val="18"/>
                  </w:rPr>
                </w:pPr>
                <w:r>
                  <w:rPr>
                    <w:rFonts w:hint="eastAsia"/>
                    <w:sz w:val="18"/>
                    <w:szCs w:val="18"/>
                  </w:rPr>
                  <w:t>20,276,025.81</w:t>
                </w:r>
              </w:p>
            </w:tc>
            <w:tc>
              <w:tcPr>
                <w:tcW w:w="455" w:type="pct"/>
                <w:vAlign w:val="center"/>
              </w:tcPr>
              <w:p w14:paraId="6538B7EE">
                <w:pPr>
                  <w:jc w:val="right"/>
                  <w:rPr>
                    <w:sz w:val="18"/>
                    <w:szCs w:val="18"/>
                  </w:rPr>
                </w:pPr>
                <w:r>
                  <w:rPr>
                    <w:rFonts w:hint="eastAsia"/>
                    <w:sz w:val="18"/>
                    <w:szCs w:val="18"/>
                  </w:rPr>
                  <w:t>236,493.14</w:t>
                </w:r>
              </w:p>
            </w:tc>
            <w:tc>
              <w:tcPr>
                <w:tcW w:w="371" w:type="pct"/>
                <w:vAlign w:val="center"/>
              </w:tcPr>
              <w:p w14:paraId="5B5A0A31">
                <w:pPr>
                  <w:jc w:val="right"/>
                  <w:rPr>
                    <w:sz w:val="18"/>
                    <w:szCs w:val="18"/>
                  </w:rPr>
                </w:pPr>
                <w:r>
                  <w:rPr>
                    <w:rFonts w:hint="eastAsia"/>
                    <w:sz w:val="18"/>
                    <w:szCs w:val="18"/>
                  </w:rPr>
                  <w:t>7,481.05</w:t>
                </w:r>
              </w:p>
            </w:tc>
            <w:tc>
              <w:tcPr>
                <w:tcW w:w="483" w:type="pct"/>
                <w:vAlign w:val="center"/>
              </w:tcPr>
              <w:p w14:paraId="20D9FAC8">
                <w:pPr>
                  <w:jc w:val="right"/>
                  <w:rPr>
                    <w:sz w:val="18"/>
                    <w:szCs w:val="18"/>
                  </w:rPr>
                </w:pPr>
                <w:r>
                  <w:rPr>
                    <w:rFonts w:hint="eastAsia"/>
                    <w:sz w:val="18"/>
                    <w:szCs w:val="18"/>
                  </w:rPr>
                  <w:t>20,520,000.00</w:t>
                </w:r>
              </w:p>
            </w:tc>
            <w:tc>
              <w:tcPr>
                <w:tcW w:w="498" w:type="pct"/>
                <w:vAlign w:val="center"/>
              </w:tcPr>
              <w:p w14:paraId="16FDDEA0">
                <w:pPr>
                  <w:jc w:val="right"/>
                  <w:rPr>
                    <w:sz w:val="18"/>
                    <w:szCs w:val="18"/>
                  </w:rPr>
                </w:pPr>
              </w:p>
            </w:tc>
            <w:sdt>
              <w:sdtPr>
                <w:rPr>
                  <w:color w:val="000000" w:themeColor="text1"/>
                  <w:sz w:val="18"/>
                  <w:szCs w:val="18"/>
                  <w14:textFill>
                    <w14:solidFill>
                      <w14:schemeClr w14:val="tx1"/>
                    </w14:solidFill>
                  </w14:textFill>
                </w:rPr>
                <w:alias w:val="应付债券是否违约"/>
                <w:tag w:val="_GBC_e670599a73ae46ebb80efcb8ec994898"/>
                <w:id w:val="-1744482557"/>
                <w:comboBox>
                  <w:listItem w:displayText="是" w:value="是"/>
                  <w:listItem w:displayText="否" w:value="否"/>
                </w:comboBox>
              </w:sdtPr>
              <w:sdtEndPr>
                <w:rPr>
                  <w:color w:val="000000" w:themeColor="text1"/>
                  <w:sz w:val="18"/>
                  <w:szCs w:val="18"/>
                  <w14:textFill>
                    <w14:solidFill>
                      <w14:schemeClr w14:val="tx1"/>
                    </w14:solidFill>
                  </w14:textFill>
                </w:rPr>
              </w:sdtEndPr>
              <w:sdtContent>
                <w:tc>
                  <w:tcPr>
                    <w:tcW w:w="290" w:type="pct"/>
                    <w:vAlign w:val="center"/>
                  </w:tcPr>
                  <w:p w14:paraId="16ED0251">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否</w:t>
                    </w:r>
                  </w:p>
                </w:tc>
              </w:sdtContent>
            </w:sdt>
          </w:tr>
        </w:sdtContent>
      </w:sdt>
      <w:sdt>
        <w:sdtPr>
          <w:rPr>
            <w:color w:val="000000" w:themeColor="text1"/>
            <w:sz w:val="18"/>
            <w:szCs w:val="18"/>
            <w14:textFill>
              <w14:solidFill>
                <w14:schemeClr w14:val="tx1"/>
              </w14:solidFill>
            </w14:textFill>
          </w:rPr>
          <w:alias w:val="应付债券明细"/>
          <w:tag w:val="_TUP_4c5536eb785446868e29aebe5fc950fa"/>
          <w:id w:val="-1752967391"/>
          <w:placeholder>
            <w:docPart w:val="{72a5ff22-9a38-4d02-b871-4d9b0ea35748}"/>
          </w:placeholder>
        </w:sdtPr>
        <w:sdtEndPr>
          <w:rPr>
            <w:color w:val="000000" w:themeColor="text1"/>
            <w:sz w:val="18"/>
            <w:szCs w:val="18"/>
            <w14:textFill>
              <w14:solidFill>
                <w14:schemeClr w14:val="tx1"/>
              </w14:solidFill>
            </w14:textFill>
          </w:rPr>
        </w:sdtEndPr>
        <w:sdtContent>
          <w:tr w14:paraId="174E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66" w:hRule="atLeast"/>
            </w:trPr>
            <w:tc>
              <w:tcPr>
                <w:tcW w:w="445" w:type="pct"/>
                <w:vAlign w:val="center"/>
              </w:tcPr>
              <w:p w14:paraId="1E6940EA">
                <w:pPr>
                  <w:rPr>
                    <w:sz w:val="18"/>
                    <w:szCs w:val="18"/>
                  </w:rPr>
                </w:pPr>
                <w:r>
                  <w:rPr>
                    <w:rFonts w:hint="eastAsia"/>
                    <w:sz w:val="18"/>
                    <w:szCs w:val="18"/>
                  </w:rPr>
                  <w:t>23际华集团MTN001</w:t>
                </w:r>
              </w:p>
            </w:tc>
            <w:tc>
              <w:tcPr>
                <w:tcW w:w="339" w:type="pct"/>
                <w:vAlign w:val="center"/>
              </w:tcPr>
              <w:p w14:paraId="34BA941F">
                <w:pPr>
                  <w:jc w:val="center"/>
                  <w:rPr>
                    <w:sz w:val="18"/>
                    <w:szCs w:val="18"/>
                  </w:rPr>
                </w:pPr>
                <w:r>
                  <w:rPr>
                    <w:rFonts w:hint="eastAsia"/>
                    <w:sz w:val="18"/>
                    <w:szCs w:val="18"/>
                  </w:rPr>
                  <w:t>100.00</w:t>
                </w:r>
              </w:p>
            </w:tc>
            <w:tc>
              <w:tcPr>
                <w:tcW w:w="315" w:type="pct"/>
                <w:vAlign w:val="center"/>
              </w:tcPr>
              <w:p w14:paraId="5422435E">
                <w:pPr>
                  <w:jc w:val="center"/>
                  <w:rPr>
                    <w:sz w:val="18"/>
                    <w:szCs w:val="18"/>
                  </w:rPr>
                </w:pPr>
                <w:r>
                  <w:rPr>
                    <w:rFonts w:hint="eastAsia"/>
                    <w:sz w:val="18"/>
                    <w:szCs w:val="18"/>
                  </w:rPr>
                  <w:t>3.07</w:t>
                </w:r>
              </w:p>
            </w:tc>
            <w:tc>
              <w:tcPr>
                <w:tcW w:w="442" w:type="pct"/>
                <w:vAlign w:val="center"/>
              </w:tcPr>
              <w:p w14:paraId="001508BB">
                <w:pPr>
                  <w:jc w:val="center"/>
                  <w:rPr>
                    <w:sz w:val="18"/>
                    <w:szCs w:val="18"/>
                  </w:rPr>
                </w:pPr>
                <w:r>
                  <w:rPr>
                    <w:rFonts w:hint="eastAsia"/>
                    <w:sz w:val="18"/>
                    <w:szCs w:val="18"/>
                  </w:rPr>
                  <w:t>2023-06-01</w:t>
                </w:r>
              </w:p>
            </w:tc>
            <w:tc>
              <w:tcPr>
                <w:tcW w:w="262" w:type="pct"/>
                <w:vAlign w:val="center"/>
              </w:tcPr>
              <w:p w14:paraId="1C9DBC39">
                <w:pPr>
                  <w:jc w:val="center"/>
                  <w:rPr>
                    <w:sz w:val="18"/>
                    <w:szCs w:val="18"/>
                  </w:rPr>
                </w:pPr>
                <w:r>
                  <w:rPr>
                    <w:rFonts w:hint="eastAsia"/>
                    <w:sz w:val="18"/>
                    <w:szCs w:val="18"/>
                  </w:rPr>
                  <w:t>3年</w:t>
                </w:r>
              </w:p>
            </w:tc>
            <w:tc>
              <w:tcPr>
                <w:tcW w:w="607" w:type="pct"/>
                <w:vAlign w:val="center"/>
              </w:tcPr>
              <w:p w14:paraId="2C36028C">
                <w:pPr>
                  <w:jc w:val="right"/>
                  <w:rPr>
                    <w:sz w:val="18"/>
                    <w:szCs w:val="18"/>
                  </w:rPr>
                </w:pPr>
                <w:r>
                  <w:rPr>
                    <w:rFonts w:hint="eastAsia"/>
                    <w:sz w:val="18"/>
                    <w:szCs w:val="18"/>
                  </w:rPr>
                  <w:t>500,000,000.00</w:t>
                </w:r>
              </w:p>
            </w:tc>
            <w:tc>
              <w:tcPr>
                <w:tcW w:w="485" w:type="pct"/>
                <w:vAlign w:val="center"/>
              </w:tcPr>
              <w:p w14:paraId="083D0D26">
                <w:pPr>
                  <w:jc w:val="right"/>
                  <w:rPr>
                    <w:sz w:val="18"/>
                    <w:szCs w:val="18"/>
                  </w:rPr>
                </w:pPr>
                <w:r>
                  <w:rPr>
                    <w:rFonts w:hint="eastAsia"/>
                    <w:sz w:val="18"/>
                    <w:szCs w:val="18"/>
                  </w:rPr>
                  <w:t>508,560,210.28</w:t>
                </w:r>
              </w:p>
            </w:tc>
            <w:tc>
              <w:tcPr>
                <w:tcW w:w="455" w:type="pct"/>
                <w:vAlign w:val="center"/>
              </w:tcPr>
              <w:p w14:paraId="0939EF7E">
                <w:pPr>
                  <w:jc w:val="right"/>
                  <w:rPr>
                    <w:sz w:val="18"/>
                    <w:szCs w:val="18"/>
                  </w:rPr>
                </w:pPr>
                <w:r>
                  <w:rPr>
                    <w:rFonts w:hint="eastAsia"/>
                    <w:sz w:val="18"/>
                    <w:szCs w:val="18"/>
                  </w:rPr>
                  <w:t>7,611,917.81</w:t>
                </w:r>
              </w:p>
            </w:tc>
            <w:tc>
              <w:tcPr>
                <w:tcW w:w="371" w:type="pct"/>
                <w:vAlign w:val="center"/>
              </w:tcPr>
              <w:p w14:paraId="2E2BC530">
                <w:pPr>
                  <w:jc w:val="right"/>
                  <w:rPr>
                    <w:sz w:val="18"/>
                    <w:szCs w:val="18"/>
                  </w:rPr>
                </w:pPr>
                <w:r>
                  <w:rPr>
                    <w:rFonts w:hint="eastAsia"/>
                    <w:sz w:val="18"/>
                    <w:szCs w:val="18"/>
                  </w:rPr>
                  <w:t>78,280.02</w:t>
                </w:r>
              </w:p>
            </w:tc>
            <w:tc>
              <w:tcPr>
                <w:tcW w:w="483" w:type="pct"/>
                <w:vAlign w:val="center"/>
              </w:tcPr>
              <w:p w14:paraId="08B73C7B">
                <w:pPr>
                  <w:jc w:val="right"/>
                  <w:rPr>
                    <w:sz w:val="18"/>
                    <w:szCs w:val="18"/>
                  </w:rPr>
                </w:pPr>
                <w:r>
                  <w:rPr>
                    <w:rFonts w:hint="eastAsia"/>
                    <w:sz w:val="18"/>
                    <w:szCs w:val="18"/>
                  </w:rPr>
                  <w:t>15,350,000.00</w:t>
                </w:r>
              </w:p>
            </w:tc>
            <w:tc>
              <w:tcPr>
                <w:tcW w:w="498" w:type="pct"/>
                <w:vAlign w:val="center"/>
              </w:tcPr>
              <w:p w14:paraId="4615E2B7">
                <w:pPr>
                  <w:jc w:val="right"/>
                  <w:rPr>
                    <w:sz w:val="18"/>
                    <w:szCs w:val="18"/>
                  </w:rPr>
                </w:pPr>
                <w:r>
                  <w:rPr>
                    <w:rFonts w:hint="eastAsia"/>
                    <w:sz w:val="18"/>
                    <w:szCs w:val="18"/>
                  </w:rPr>
                  <w:t>500,900,408.11</w:t>
                </w:r>
              </w:p>
            </w:tc>
            <w:sdt>
              <w:sdtPr>
                <w:rPr>
                  <w:color w:val="000000" w:themeColor="text1"/>
                  <w:sz w:val="18"/>
                  <w:szCs w:val="18"/>
                  <w14:textFill>
                    <w14:solidFill>
                      <w14:schemeClr w14:val="tx1"/>
                    </w14:solidFill>
                  </w14:textFill>
                </w:rPr>
                <w:alias w:val="应付债券是否违约"/>
                <w:tag w:val="_GBC_e670599a73ae46ebb80efcb8ec994898"/>
                <w:id w:val="-1730990355"/>
                <w:comboBox>
                  <w:listItem w:displayText="是" w:value="是"/>
                  <w:listItem w:displayText="否" w:value="否"/>
                </w:comboBox>
              </w:sdtPr>
              <w:sdtEndPr>
                <w:rPr>
                  <w:color w:val="000000" w:themeColor="text1"/>
                  <w:sz w:val="18"/>
                  <w:szCs w:val="18"/>
                  <w14:textFill>
                    <w14:solidFill>
                      <w14:schemeClr w14:val="tx1"/>
                    </w14:solidFill>
                  </w14:textFill>
                </w:rPr>
              </w:sdtEndPr>
              <w:sdtContent>
                <w:tc>
                  <w:tcPr>
                    <w:tcW w:w="290" w:type="pct"/>
                    <w:vAlign w:val="center"/>
                  </w:tcPr>
                  <w:p w14:paraId="6ED2AD2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否</w:t>
                    </w:r>
                  </w:p>
                </w:tc>
              </w:sdtContent>
            </w:sdt>
          </w:tr>
        </w:sdtContent>
      </w:sdt>
      <w:tr w14:paraId="20D6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66" w:hRule="atLeast"/>
        </w:trPr>
        <w:sdt>
          <w:sdtPr>
            <w:rPr>
              <w:sz w:val="18"/>
              <w:szCs w:val="18"/>
            </w:rPr>
            <w:tag w:val="_PLD_a136cc6a7a0f4072b7a5953d968c0810"/>
            <w:id w:val="1717314252"/>
          </w:sdtPr>
          <w:sdtEndPr>
            <w:rPr>
              <w:sz w:val="18"/>
              <w:szCs w:val="18"/>
            </w:rPr>
          </w:sdtEndPr>
          <w:sdtContent>
            <w:tc>
              <w:tcPr>
                <w:tcW w:w="445" w:type="pct"/>
                <w:vAlign w:val="center"/>
              </w:tcPr>
              <w:p w14:paraId="094342F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合计</w:t>
                </w:r>
              </w:p>
            </w:tc>
          </w:sdtContent>
        </w:sdt>
        <w:tc>
          <w:tcPr>
            <w:tcW w:w="339" w:type="pct"/>
            <w:vAlign w:val="center"/>
          </w:tcPr>
          <w:p w14:paraId="76CFE15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315" w:type="pct"/>
            <w:vAlign w:val="center"/>
          </w:tcPr>
          <w:p w14:paraId="236DD45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442" w:type="pct"/>
            <w:vAlign w:val="center"/>
          </w:tcPr>
          <w:p w14:paraId="44B6DE0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262" w:type="pct"/>
            <w:vAlign w:val="center"/>
          </w:tcPr>
          <w:p w14:paraId="7F39902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607" w:type="pct"/>
            <w:vAlign w:val="center"/>
          </w:tcPr>
          <w:p w14:paraId="7C22E2AF">
            <w:pPr>
              <w:jc w:val="right"/>
              <w:rPr>
                <w:sz w:val="18"/>
                <w:szCs w:val="18"/>
              </w:rPr>
            </w:pPr>
            <w:r>
              <w:rPr>
                <w:rFonts w:hint="eastAsia"/>
                <w:sz w:val="18"/>
                <w:szCs w:val="18"/>
              </w:rPr>
              <w:t>2,000,000,000.00</w:t>
            </w:r>
          </w:p>
        </w:tc>
        <w:tc>
          <w:tcPr>
            <w:tcW w:w="485" w:type="pct"/>
            <w:vAlign w:val="center"/>
          </w:tcPr>
          <w:p w14:paraId="166139A4">
            <w:pPr>
              <w:jc w:val="right"/>
              <w:rPr>
                <w:sz w:val="18"/>
                <w:szCs w:val="18"/>
              </w:rPr>
            </w:pPr>
            <w:r>
              <w:rPr>
                <w:rFonts w:hint="eastAsia"/>
                <w:sz w:val="18"/>
                <w:szCs w:val="18"/>
              </w:rPr>
              <w:t>528,836,236.09</w:t>
            </w:r>
          </w:p>
        </w:tc>
        <w:tc>
          <w:tcPr>
            <w:tcW w:w="455" w:type="pct"/>
            <w:vAlign w:val="center"/>
          </w:tcPr>
          <w:p w14:paraId="72BBC640">
            <w:pPr>
              <w:jc w:val="right"/>
              <w:rPr>
                <w:sz w:val="18"/>
                <w:szCs w:val="18"/>
              </w:rPr>
            </w:pPr>
            <w:r>
              <w:rPr>
                <w:rFonts w:hint="eastAsia"/>
                <w:sz w:val="18"/>
                <w:szCs w:val="18"/>
              </w:rPr>
              <w:t>7,848,410.95</w:t>
            </w:r>
          </w:p>
        </w:tc>
        <w:tc>
          <w:tcPr>
            <w:tcW w:w="371" w:type="pct"/>
            <w:vAlign w:val="center"/>
          </w:tcPr>
          <w:p w14:paraId="30A33A26">
            <w:pPr>
              <w:jc w:val="right"/>
              <w:rPr>
                <w:sz w:val="18"/>
                <w:szCs w:val="18"/>
              </w:rPr>
            </w:pPr>
            <w:r>
              <w:rPr>
                <w:rFonts w:hint="eastAsia"/>
                <w:sz w:val="18"/>
                <w:szCs w:val="18"/>
              </w:rPr>
              <w:t>85,761.07</w:t>
            </w:r>
          </w:p>
        </w:tc>
        <w:tc>
          <w:tcPr>
            <w:tcW w:w="483" w:type="pct"/>
            <w:vAlign w:val="center"/>
          </w:tcPr>
          <w:p w14:paraId="6C648895">
            <w:pPr>
              <w:jc w:val="right"/>
              <w:rPr>
                <w:sz w:val="18"/>
                <w:szCs w:val="18"/>
              </w:rPr>
            </w:pPr>
            <w:r>
              <w:rPr>
                <w:rFonts w:hint="eastAsia"/>
                <w:sz w:val="18"/>
                <w:szCs w:val="18"/>
              </w:rPr>
              <w:t>35,870,000.00</w:t>
            </w:r>
          </w:p>
        </w:tc>
        <w:tc>
          <w:tcPr>
            <w:tcW w:w="498" w:type="pct"/>
            <w:vAlign w:val="center"/>
          </w:tcPr>
          <w:p w14:paraId="5E62434D">
            <w:pPr>
              <w:jc w:val="right"/>
              <w:rPr>
                <w:sz w:val="18"/>
                <w:szCs w:val="18"/>
              </w:rPr>
            </w:pPr>
            <w:r>
              <w:rPr>
                <w:rFonts w:hint="eastAsia"/>
                <w:sz w:val="18"/>
                <w:szCs w:val="18"/>
              </w:rPr>
              <w:t>500,900,408.11</w:t>
            </w:r>
          </w:p>
        </w:tc>
        <w:tc>
          <w:tcPr>
            <w:tcW w:w="290" w:type="pct"/>
            <w:vAlign w:val="center"/>
          </w:tcPr>
          <w:p w14:paraId="3BFD697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r>
    </w:tbl>
    <w:p w14:paraId="68876201">
      <w:pPr>
        <w:rPr>
          <w:rFonts w:cstheme="minorBidi"/>
          <w:color w:val="000000" w:themeColor="text1"/>
          <w14:textFill>
            <w14:solidFill>
              <w14:schemeClr w14:val="tx1"/>
            </w14:solidFill>
          </w14:textFill>
        </w:rPr>
      </w:pPr>
    </w:p>
    <w:p w14:paraId="6697668B">
      <w:pPr>
        <w:rPr>
          <w:rFonts w:cstheme="minorBidi"/>
          <w:color w:val="000000" w:themeColor="text1"/>
          <w14:textFill>
            <w14:solidFill>
              <w14:schemeClr w14:val="tx1"/>
            </w14:solidFill>
          </w14:textFill>
        </w:rPr>
      </w:pPr>
    </w:p>
    <w:p w14:paraId="6CAA0A5F">
      <w:pPr>
        <w:pStyle w:val="58"/>
        <w:numPr>
          <w:ilvl w:val="0"/>
          <w:numId w:val="85"/>
        </w:numPr>
        <w:tabs>
          <w:tab w:val="left" w:pos="672"/>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可转换公司债券的说明</w:t>
      </w:r>
    </w:p>
    <w:sdt>
      <w:sdtPr>
        <w:rPr>
          <w:rFonts w:hint="eastAsia"/>
          <w:color w:val="000000" w:themeColor="text1"/>
          <w14:textFill>
            <w14:solidFill>
              <w14:schemeClr w14:val="tx1"/>
            </w14:solidFill>
          </w14:textFill>
        </w:rPr>
        <w:alias w:val="是否适用：可转换公司债券的转股条件、转股时间说明[双击切换]"/>
        <w:tag w:val="_GBC_ef63fc1297374c8b97a48c0c89422e8a"/>
        <w:id w:val="147463313"/>
        <w:placeholder>
          <w:docPart w:val="GBC22222222222222222222222222222"/>
        </w:placeholder>
      </w:sdtPr>
      <w:sdtEndPr>
        <w:rPr>
          <w:rFonts w:hint="eastAsia"/>
          <w:color w:val="000000" w:themeColor="text1"/>
          <w14:textFill>
            <w14:solidFill>
              <w14:schemeClr w14:val="tx1"/>
            </w14:solidFill>
          </w14:textFill>
        </w:rPr>
      </w:sdtEndPr>
      <w:sdtContent>
        <w:p w14:paraId="611A92C1">
          <w:pPr>
            <w:spacing w:before="60" w:after="6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DF929B2">
      <w:pPr>
        <w:spacing w:before="60" w:after="60"/>
        <w:rPr>
          <w:color w:val="000000" w:themeColor="text1"/>
          <w14:textFill>
            <w14:solidFill>
              <w14:schemeClr w14:val="tx1"/>
            </w14:solidFill>
          </w14:textFill>
        </w:rPr>
      </w:pPr>
    </w:p>
    <w:p w14:paraId="481CF204">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转股权会计处理及判断依据</w:t>
      </w:r>
    </w:p>
    <w:sdt>
      <w:sdtPr>
        <w:rPr>
          <w:color w:val="000000" w:themeColor="text1"/>
          <w14:textFill>
            <w14:solidFill>
              <w14:schemeClr w14:val="tx1"/>
            </w14:solidFill>
          </w14:textFill>
        </w:rPr>
        <w:alias w:val="是否适用：转股权会计处理及判断依据[双击切换]"/>
        <w:tag w:val="_GBC_d91e0305ad39444cb4fea2f3671f7083"/>
        <w:id w:val="147457727"/>
        <w:placeholder>
          <w:docPart w:val="GBC22222222222222222222222222222"/>
        </w:placeholder>
      </w:sdtPr>
      <w:sdtEndPr>
        <w:rPr>
          <w:color w:val="000000" w:themeColor="text1"/>
          <w14:textFill>
            <w14:solidFill>
              <w14:schemeClr w14:val="tx1"/>
            </w14:solidFill>
          </w14:textFill>
        </w:rPr>
      </w:sdtEndPr>
      <w:sdtContent>
        <w:p w14:paraId="2B45F414">
          <w:pPr>
            <w:spacing w:before="60" w:after="6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D151EB0">
      <w:pPr>
        <w:rPr>
          <w:color w:val="000000" w:themeColor="text1"/>
          <w14:textFill>
            <w14:solidFill>
              <w14:schemeClr w14:val="tx1"/>
            </w14:solidFill>
          </w14:textFill>
        </w:rPr>
      </w:pPr>
    </w:p>
    <w:bookmarkEnd w:id="363"/>
    <w:p w14:paraId="00628690">
      <w:pPr>
        <w:pStyle w:val="58"/>
        <w:numPr>
          <w:ilvl w:val="0"/>
          <w:numId w:val="85"/>
        </w:numPr>
        <w:tabs>
          <w:tab w:val="left" w:pos="672"/>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划分为金融负债的其他金融工具说明</w:t>
      </w:r>
    </w:p>
    <w:p w14:paraId="02D93642">
      <w:pPr>
        <w:rPr>
          <w:color w:val="000000" w:themeColor="text1"/>
          <w14:textFill>
            <w14:solidFill>
              <w14:schemeClr w14:val="tx1"/>
            </w14:solidFill>
          </w14:textFill>
        </w:rPr>
      </w:pPr>
      <w:r>
        <w:rPr>
          <w:rFonts w:hint="eastAsia"/>
          <w:color w:val="000000" w:themeColor="text1"/>
          <w14:textFill>
            <w14:solidFill>
              <w14:schemeClr w14:val="tx1"/>
            </w14:solidFill>
          </w14:textFill>
        </w:rPr>
        <w:t>期末发行在外的优先股、永续债等其他金融工具基本情况</w:t>
      </w:r>
    </w:p>
    <w:sdt>
      <w:sdtPr>
        <w:rPr>
          <w:color w:val="000000" w:themeColor="text1"/>
          <w14:textFill>
            <w14:solidFill>
              <w14:schemeClr w14:val="tx1"/>
            </w14:solidFill>
          </w14:textFill>
        </w:rPr>
        <w:alias w:val="是否适用：划分为金融负债的其他金融工具说明[双击切换]"/>
        <w:tag w:val="_GBC_61542231aba54618ab4bd6d781bfab05"/>
        <w:id w:val="147463016"/>
        <w:placeholder>
          <w:docPart w:val="GBC22222222222222222222222222222"/>
        </w:placeholder>
      </w:sdtPr>
      <w:sdtEndPr>
        <w:rPr>
          <w:color w:val="000000" w:themeColor="text1"/>
          <w14:textFill>
            <w14:solidFill>
              <w14:schemeClr w14:val="tx1"/>
            </w14:solidFill>
          </w14:textFill>
        </w:rPr>
      </w:sdtEndPr>
      <w:sdtContent>
        <w:p w14:paraId="584201D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FB1CB0A">
      <w:pPr>
        <w:rPr>
          <w:color w:val="000000" w:themeColor="text1"/>
          <w14:textFill>
            <w14:solidFill>
              <w14:schemeClr w14:val="tx1"/>
            </w14:solidFill>
          </w14:textFill>
        </w:rPr>
      </w:pPr>
    </w:p>
    <w:p w14:paraId="1FB19F40">
      <w:pPr>
        <w:rPr>
          <w:color w:val="000000" w:themeColor="text1"/>
          <w14:textFill>
            <w14:solidFill>
              <w14:schemeClr w14:val="tx1"/>
            </w14:solidFill>
          </w14:textFill>
        </w:rPr>
      </w:pPr>
      <w:r>
        <w:rPr>
          <w:rFonts w:hint="eastAsia"/>
          <w:color w:val="000000" w:themeColor="text1"/>
          <w14:textFill>
            <w14:solidFill>
              <w14:schemeClr w14:val="tx1"/>
            </w14:solidFill>
          </w14:textFill>
        </w:rPr>
        <w:t>期末发行在外的优先股、永续债等金融工具变动情况表</w:t>
      </w:r>
    </w:p>
    <w:sdt>
      <w:sdtPr>
        <w:rPr>
          <w:color w:val="000000" w:themeColor="text1"/>
          <w14:textFill>
            <w14:solidFill>
              <w14:schemeClr w14:val="tx1"/>
            </w14:solidFill>
          </w14:textFill>
        </w:rPr>
        <w:alias w:val="是否适用：期末发行在外的优先股、永续债等金融工具变动情况表_应付债券[双击切换]"/>
        <w:tag w:val="_GBC_4cf6ed9dc37d42fc946f2268e90eee97"/>
        <w:id w:val="147466592"/>
        <w:placeholder>
          <w:docPart w:val="GBC22222222222222222222222222222"/>
        </w:placeholder>
      </w:sdtPr>
      <w:sdtEndPr>
        <w:rPr>
          <w:color w:val="000000" w:themeColor="text1"/>
          <w14:textFill>
            <w14:solidFill>
              <w14:schemeClr w14:val="tx1"/>
            </w14:solidFill>
          </w14:textFill>
        </w:rPr>
      </w:sdtEndPr>
      <w:sdtContent>
        <w:p w14:paraId="73CF7AA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64"/>
    <w:bookmarkEnd w:id="365"/>
    <w:p w14:paraId="2C6969BA">
      <w:pPr>
        <w:rPr>
          <w:color w:val="000000" w:themeColor="text1"/>
          <w14:textFill>
            <w14:solidFill>
              <w14:schemeClr w14:val="tx1"/>
            </w14:solidFill>
          </w14:textFill>
        </w:rPr>
      </w:pPr>
    </w:p>
    <w:p w14:paraId="7CC5929D">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其他金融工具划分为金融负债的依据说明</w:t>
      </w:r>
    </w:p>
    <w:sdt>
      <w:sdtPr>
        <w:rPr>
          <w:color w:val="000000" w:themeColor="text1"/>
          <w14:textFill>
            <w14:solidFill>
              <w14:schemeClr w14:val="tx1"/>
            </w14:solidFill>
          </w14:textFill>
        </w:rPr>
        <w:alias w:val="是否适用：其他金融工具划分为金融负债的依据说明[双击切换]"/>
        <w:tag w:val="_GBC_aec0ba7f99624a559a5f92bcd8e57e4f"/>
        <w:id w:val="147458797"/>
        <w:placeholder>
          <w:docPart w:val="GBC22222222222222222222222222222"/>
        </w:placeholder>
      </w:sdtPr>
      <w:sdtEndPr>
        <w:rPr>
          <w:color w:val="000000" w:themeColor="text1"/>
          <w14:textFill>
            <w14:solidFill>
              <w14:schemeClr w14:val="tx1"/>
            </w14:solidFill>
          </w14:textFill>
        </w:rPr>
      </w:sdtEndPr>
      <w:sdtContent>
        <w:p w14:paraId="5755C41C">
          <w:pPr>
            <w:spacing w:before="60" w:after="6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9751CB1">
      <w:pPr>
        <w:rPr>
          <w:color w:val="000000" w:themeColor="text1"/>
          <w14:textFill>
            <w14:solidFill>
              <w14:schemeClr w14:val="tx1"/>
            </w14:solidFill>
          </w14:textFill>
        </w:rPr>
        <w:sectPr>
          <w:pgSz w:w="16838" w:h="11906" w:orient="landscape"/>
          <w:pgMar w:top="1797" w:right="1525" w:bottom="1276" w:left="1440" w:header="856" w:footer="992" w:gutter="0"/>
          <w:cols w:space="425" w:num="1"/>
          <w:docGrid w:linePitch="312" w:charSpace="0"/>
        </w:sectPr>
      </w:pPr>
    </w:p>
    <w:p w14:paraId="42A4C41F">
      <w:pPr>
        <w:rPr>
          <w:color w:val="000000" w:themeColor="text1"/>
          <w14:textFill>
            <w14:solidFill>
              <w14:schemeClr w14:val="tx1"/>
            </w14:solidFill>
          </w14:textFill>
        </w:rPr>
      </w:pPr>
    </w:p>
    <w:p w14:paraId="3E7283A2">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应付债券的其他说明[双击切换]"/>
        <w:tag w:val="_GBC_34ea80305b6a4fafaf2943f684877d08"/>
        <w:id w:val="147469815"/>
        <w:placeholder>
          <w:docPart w:val="GBC22222222222222222222222222222"/>
        </w:placeholder>
      </w:sdtPr>
      <w:sdtEndPr>
        <w:rPr>
          <w:color w:val="000000" w:themeColor="text1"/>
          <w14:textFill>
            <w14:solidFill>
              <w14:schemeClr w14:val="tx1"/>
            </w14:solidFill>
          </w14:textFill>
        </w:rPr>
      </w:sdtEndPr>
      <w:sdtContent>
        <w:p w14:paraId="0BAF1853">
          <w:pPr>
            <w:spacing w:before="60" w:after="6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5FC0868">
      <w:pPr>
        <w:rPr>
          <w:color w:val="000000" w:themeColor="text1"/>
          <w14:textFill>
            <w14:solidFill>
              <w14:schemeClr w14:val="tx1"/>
            </w14:solidFill>
          </w14:textFill>
        </w:rPr>
      </w:pPr>
    </w:p>
    <w:p w14:paraId="379059C5">
      <w:pPr>
        <w:pStyle w:val="57"/>
        <w:numPr>
          <w:ilvl w:val="0"/>
          <w:numId w:val="54"/>
        </w:num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租赁负债</w:t>
      </w:r>
    </w:p>
    <w:sdt>
      <w:sdtPr>
        <w:rPr>
          <w:color w:val="000000" w:themeColor="text1"/>
          <w14:textFill>
            <w14:solidFill>
              <w14:schemeClr w14:val="tx1"/>
            </w14:solidFill>
          </w14:textFill>
        </w:rPr>
        <w:alias w:val="是否适用：租赁负债[双击切换]"/>
        <w:tag w:val="_GBC_cec9aedf0aa8427d9bd5dbf17e698298"/>
        <w:id w:val="900948049"/>
      </w:sdtPr>
      <w:sdtEndPr>
        <w:rPr>
          <w:color w:val="000000" w:themeColor="text1"/>
          <w14:textFill>
            <w14:solidFill>
              <w14:schemeClr w14:val="tx1"/>
            </w14:solidFill>
          </w14:textFill>
        </w:rPr>
      </w:sdtEndPr>
      <w:sdtContent>
        <w:p w14:paraId="2594BBB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604F621B">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租赁负债"/>
          <w:tag w:val="_GBC_3f1d18295bfb4156905ee3935811bc9f"/>
          <w:id w:val="1405020738"/>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租赁负债"/>
          <w:tag w:val="_GBC_1ce63c76adb74c2f8d53dbdb5d73a87c"/>
          <w:id w:val="1215005148"/>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836"/>
        <w:gridCol w:w="2628"/>
        <w:gridCol w:w="2429"/>
      </w:tblGrid>
      <w:tr w14:paraId="1901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07" w:hRule="atLeast"/>
        </w:trPr>
        <w:sdt>
          <w:sdtPr>
            <w:tag w:val="_PLD_27afd78cc4b04fa19a7adaa593b83cc4"/>
            <w:id w:val="663664807"/>
          </w:sdtPr>
          <w:sdtContent>
            <w:tc>
              <w:tcPr>
                <w:tcW w:w="2156" w:type="pct"/>
                <w:vAlign w:val="center"/>
              </w:tcPr>
              <w:p w14:paraId="2E60CB9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473fbb207ad34f58a8a0f0451332e555"/>
            <w:id w:val="1370181729"/>
          </w:sdtPr>
          <w:sdtContent>
            <w:tc>
              <w:tcPr>
                <w:tcW w:w="1477" w:type="pct"/>
                <w:vAlign w:val="center"/>
              </w:tcPr>
              <w:p w14:paraId="33833DE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81cf17ce1aff4bad8deb2792f3b6570d"/>
            <w:id w:val="-419482464"/>
          </w:sdtPr>
          <w:sdtContent>
            <w:tc>
              <w:tcPr>
                <w:tcW w:w="1365" w:type="pct"/>
                <w:vAlign w:val="center"/>
              </w:tcPr>
              <w:p w14:paraId="0202FD1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sdt>
        <w:sdtPr>
          <w:rPr>
            <w:color w:val="000000" w:themeColor="text1"/>
            <w14:textFill>
              <w14:solidFill>
                <w14:schemeClr w14:val="tx1"/>
              </w14:solidFill>
            </w14:textFill>
          </w:rPr>
          <w:alias w:val="租赁负债明细"/>
          <w:tag w:val="_TUP_4f6c01aec10540a980fbed5fbec5a5f6"/>
          <w:id w:val="817996353"/>
          <w:placeholder>
            <w:docPart w:val="{db856ebd-6f6b-4365-b791-d5cd84a05f66}"/>
          </w:placeholder>
        </w:sdtPr>
        <w:sdtEndPr>
          <w:rPr>
            <w:rFonts w:cs="Times New Roman"/>
            <w:color w:val="000000" w:themeColor="text1"/>
            <w14:textFill>
              <w14:solidFill>
                <w14:schemeClr w14:val="tx1"/>
              </w14:solidFill>
            </w14:textFill>
          </w:rPr>
        </w:sdtEndPr>
        <w:sdtContent>
          <w:tr w14:paraId="64605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86" w:hRule="atLeast"/>
            </w:trPr>
            <w:tc>
              <w:tcPr>
                <w:tcW w:w="2156" w:type="pct"/>
              </w:tcPr>
              <w:p w14:paraId="3563B0BA">
                <w:r>
                  <w:rPr>
                    <w:rFonts w:hint="eastAsia"/>
                  </w:rPr>
                  <w:t>租赁付款额</w:t>
                </w:r>
              </w:p>
            </w:tc>
            <w:tc>
              <w:tcPr>
                <w:tcW w:w="1477" w:type="pct"/>
                <w:vAlign w:val="center"/>
              </w:tcPr>
              <w:p w14:paraId="63BD7F9D">
                <w:pPr>
                  <w:jc w:val="right"/>
                  <w:rPr>
                    <w:rFonts w:cs="Times New Roman"/>
                  </w:rPr>
                </w:pPr>
                <w:r>
                  <w:rPr>
                    <w:rFonts w:cs="Times New Roman"/>
                  </w:rPr>
                  <w:t>12,999,999.97</w:t>
                </w:r>
              </w:p>
            </w:tc>
            <w:tc>
              <w:tcPr>
                <w:tcW w:w="1365" w:type="pct"/>
                <w:vAlign w:val="center"/>
              </w:tcPr>
              <w:p w14:paraId="6B1684A0">
                <w:pPr>
                  <w:jc w:val="right"/>
                  <w:rPr>
                    <w:rFonts w:cs="Times New Roman"/>
                  </w:rPr>
                </w:pPr>
                <w:r>
                  <w:rPr>
                    <w:rFonts w:cs="Times New Roman"/>
                  </w:rPr>
                  <w:t>14,285,714.26</w:t>
                </w:r>
              </w:p>
            </w:tc>
          </w:tr>
        </w:sdtContent>
      </w:sdt>
      <w:sdt>
        <w:sdtPr>
          <w:rPr>
            <w:color w:val="000000" w:themeColor="text1"/>
            <w14:textFill>
              <w14:solidFill>
                <w14:schemeClr w14:val="tx1"/>
              </w14:solidFill>
            </w14:textFill>
          </w:rPr>
          <w:alias w:val="租赁负债明细"/>
          <w:tag w:val="_TUP_4f6c01aec10540a980fbed5fbec5a5f6"/>
          <w:id w:val="160444385"/>
          <w:placeholder>
            <w:docPart w:val="{db856ebd-6f6b-4365-b791-d5cd84a05f66}"/>
          </w:placeholder>
        </w:sdtPr>
        <w:sdtEndPr>
          <w:rPr>
            <w:rFonts w:cs="Times New Roman"/>
            <w:color w:val="000000" w:themeColor="text1"/>
            <w14:textFill>
              <w14:solidFill>
                <w14:schemeClr w14:val="tx1"/>
              </w14:solidFill>
            </w14:textFill>
          </w:rPr>
        </w:sdtEndPr>
        <w:sdtContent>
          <w:tr w14:paraId="602D9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86" w:hRule="atLeast"/>
            </w:trPr>
            <w:tc>
              <w:tcPr>
                <w:tcW w:w="2156" w:type="pct"/>
              </w:tcPr>
              <w:p w14:paraId="229874AA">
                <w:r>
                  <w:rPr>
                    <w:rFonts w:hint="eastAsia"/>
                  </w:rPr>
                  <w:t>减：未确认融资费用</w:t>
                </w:r>
              </w:p>
            </w:tc>
            <w:tc>
              <w:tcPr>
                <w:tcW w:w="1477" w:type="pct"/>
                <w:vAlign w:val="center"/>
              </w:tcPr>
              <w:p w14:paraId="61EDDB87">
                <w:pPr>
                  <w:jc w:val="right"/>
                  <w:rPr>
                    <w:rFonts w:cs="Times New Roman"/>
                  </w:rPr>
                </w:pPr>
                <w:r>
                  <w:rPr>
                    <w:rFonts w:cs="Times New Roman"/>
                  </w:rPr>
                  <w:t>2,869,736.65</w:t>
                </w:r>
              </w:p>
            </w:tc>
            <w:tc>
              <w:tcPr>
                <w:tcW w:w="1365" w:type="pct"/>
                <w:vAlign w:val="center"/>
              </w:tcPr>
              <w:p w14:paraId="6C25FCE4">
                <w:pPr>
                  <w:jc w:val="right"/>
                  <w:rPr>
                    <w:rFonts w:cs="Times New Roman"/>
                  </w:rPr>
                </w:pPr>
                <w:r>
                  <w:rPr>
                    <w:rFonts w:cs="Times New Roman"/>
                  </w:rPr>
                  <w:t>3,142,739.53</w:t>
                </w:r>
              </w:p>
            </w:tc>
          </w:tr>
        </w:sdtContent>
      </w:sdt>
      <w:sdt>
        <w:sdtPr>
          <w:rPr>
            <w:color w:val="000000" w:themeColor="text1"/>
            <w14:textFill>
              <w14:solidFill>
                <w14:schemeClr w14:val="tx1"/>
              </w14:solidFill>
            </w14:textFill>
          </w:rPr>
          <w:alias w:val="租赁负债明细"/>
          <w:tag w:val="_TUP_4f6c01aec10540a980fbed5fbec5a5f6"/>
          <w:id w:val="201295772"/>
          <w:placeholder>
            <w:docPart w:val="{db856ebd-6f6b-4365-b791-d5cd84a05f66}"/>
          </w:placeholder>
        </w:sdtPr>
        <w:sdtEndPr>
          <w:rPr>
            <w:rFonts w:cs="Times New Roman"/>
            <w:color w:val="000000" w:themeColor="text1"/>
            <w14:textFill>
              <w14:solidFill>
                <w14:schemeClr w14:val="tx1"/>
              </w14:solidFill>
            </w14:textFill>
          </w:rPr>
        </w:sdtEndPr>
        <w:sdtContent>
          <w:tr w14:paraId="41FD7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86" w:hRule="atLeast"/>
            </w:trPr>
            <w:tc>
              <w:tcPr>
                <w:tcW w:w="2156" w:type="pct"/>
              </w:tcPr>
              <w:p w14:paraId="14CEDD4D">
                <w:r>
                  <w:rPr>
                    <w:rFonts w:hint="eastAsia"/>
                  </w:rPr>
                  <w:t>减：重分类至一年内到期的非流动负债</w:t>
                </w:r>
              </w:p>
            </w:tc>
            <w:tc>
              <w:tcPr>
                <w:tcW w:w="1477" w:type="pct"/>
                <w:vAlign w:val="center"/>
              </w:tcPr>
              <w:p w14:paraId="462618B6">
                <w:pPr>
                  <w:jc w:val="right"/>
                  <w:rPr>
                    <w:rFonts w:cs="Times New Roman"/>
                  </w:rPr>
                </w:pPr>
                <w:r>
                  <w:rPr>
                    <w:rFonts w:cs="Times New Roman"/>
                  </w:rPr>
                  <w:t>865,881.50</w:t>
                </w:r>
              </w:p>
            </w:tc>
            <w:tc>
              <w:tcPr>
                <w:tcW w:w="1365" w:type="pct"/>
                <w:vAlign w:val="center"/>
              </w:tcPr>
              <w:p w14:paraId="691A900C">
                <w:pPr>
                  <w:jc w:val="right"/>
                  <w:rPr>
                    <w:rFonts w:cs="Times New Roman"/>
                  </w:rPr>
                </w:pPr>
                <w:r>
                  <w:rPr>
                    <w:rFonts w:cs="Times New Roman"/>
                  </w:rPr>
                  <w:t>845,174.42</w:t>
                </w:r>
              </w:p>
            </w:tc>
          </w:tr>
        </w:sdtContent>
      </w:sdt>
      <w:sdt>
        <w:sdtPr>
          <w:rPr>
            <w:color w:val="000000" w:themeColor="text1"/>
            <w14:textFill>
              <w14:solidFill>
                <w14:schemeClr w14:val="tx1"/>
              </w14:solidFill>
            </w14:textFill>
          </w:rPr>
          <w:alias w:val="租赁负债明细"/>
          <w:tag w:val="_TUP_4f6c01aec10540a980fbed5fbec5a5f6"/>
          <w:id w:val="-596862798"/>
          <w:placeholder>
            <w:docPart w:val="{db856ebd-6f6b-4365-b791-d5cd84a05f66}"/>
          </w:placeholder>
        </w:sdtPr>
        <w:sdtEndPr>
          <w:rPr>
            <w:rFonts w:cs="Times New Roman"/>
            <w:color w:val="000000" w:themeColor="text1"/>
            <w14:textFill>
              <w14:solidFill>
                <w14:schemeClr w14:val="tx1"/>
              </w14:solidFill>
            </w14:textFill>
          </w:rPr>
        </w:sdtEndPr>
        <w:sdtContent>
          <w:tr w14:paraId="20F8F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86" w:hRule="atLeast"/>
            </w:trPr>
            <w:tc>
              <w:tcPr>
                <w:tcW w:w="2156" w:type="pct"/>
              </w:tcPr>
              <w:p w14:paraId="6D366F2B">
                <w:r>
                  <w:rPr>
                    <w:rFonts w:hint="eastAsia"/>
                  </w:rPr>
                  <w:t>租赁负债净额</w:t>
                </w:r>
              </w:p>
            </w:tc>
            <w:tc>
              <w:tcPr>
                <w:tcW w:w="1477" w:type="pct"/>
                <w:vAlign w:val="center"/>
              </w:tcPr>
              <w:p w14:paraId="0E5076E8">
                <w:pPr>
                  <w:jc w:val="right"/>
                  <w:rPr>
                    <w:rFonts w:cs="Times New Roman"/>
                  </w:rPr>
                </w:pPr>
                <w:r>
                  <w:rPr>
                    <w:rFonts w:cs="Times New Roman"/>
                  </w:rPr>
                  <w:t>9,264,381.82</w:t>
                </w:r>
              </w:p>
            </w:tc>
            <w:tc>
              <w:tcPr>
                <w:tcW w:w="1365" w:type="pct"/>
                <w:vAlign w:val="center"/>
              </w:tcPr>
              <w:p w14:paraId="6CACBE6A">
                <w:pPr>
                  <w:jc w:val="right"/>
                  <w:rPr>
                    <w:rFonts w:cs="Times New Roman"/>
                  </w:rPr>
                </w:pPr>
                <w:r>
                  <w:rPr>
                    <w:rFonts w:cs="Times New Roman"/>
                  </w:rPr>
                  <w:t>10,297,800.31</w:t>
                </w:r>
              </w:p>
            </w:tc>
          </w:tr>
        </w:sdtContent>
      </w:sdt>
      <w:tr w14:paraId="0F2D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86" w:hRule="atLeast"/>
        </w:trPr>
        <w:sdt>
          <w:sdtPr>
            <w:tag w:val="_PLD_807a786371564fa194bf829b6d063d21"/>
            <w:id w:val="1363861986"/>
          </w:sdtPr>
          <w:sdtContent>
            <w:tc>
              <w:tcPr>
                <w:tcW w:w="2156" w:type="pct"/>
              </w:tcPr>
              <w:p w14:paraId="08B2252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sdtContent>
        </w:sdt>
        <w:tc>
          <w:tcPr>
            <w:tcW w:w="1477" w:type="pct"/>
            <w:vAlign w:val="center"/>
          </w:tcPr>
          <w:p w14:paraId="4DC06266">
            <w:pPr>
              <w:jc w:val="right"/>
              <w:rPr>
                <w:rFonts w:cs="Times New Roman"/>
              </w:rPr>
            </w:pPr>
            <w:r>
              <w:rPr>
                <w:rFonts w:cs="Times New Roman"/>
              </w:rPr>
              <w:t>9,264,381.82</w:t>
            </w:r>
          </w:p>
        </w:tc>
        <w:tc>
          <w:tcPr>
            <w:tcW w:w="1365" w:type="pct"/>
            <w:vAlign w:val="center"/>
          </w:tcPr>
          <w:p w14:paraId="5B40E85A">
            <w:pPr>
              <w:jc w:val="right"/>
              <w:rPr>
                <w:rFonts w:cs="Times New Roman"/>
              </w:rPr>
            </w:pPr>
            <w:r>
              <w:rPr>
                <w:rFonts w:cs="Times New Roman"/>
              </w:rPr>
              <w:t>10,297,800.31</w:t>
            </w:r>
          </w:p>
        </w:tc>
      </w:tr>
    </w:tbl>
    <w:p w14:paraId="6E9386F3">
      <w:pPr>
        <w:snapToGrid w:val="0"/>
        <w:spacing w:before="60" w:after="60"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租赁负债其他说明"/>
        <w:tag w:val="_GBC_cbaaaf9b0adf45f6a0dd93d6de03a6ea"/>
        <w:id w:val="-149297158"/>
      </w:sdtPr>
      <w:sdtEndPr>
        <w:rPr>
          <w:color w:val="000000" w:themeColor="text1"/>
          <w14:textFill>
            <w14:solidFill>
              <w14:schemeClr w14:val="tx1"/>
            </w14:solidFill>
          </w14:textFill>
        </w:rPr>
      </w:sdtEndPr>
      <w:sdtContent>
        <w:p w14:paraId="11CE5EED">
          <w:pPr>
            <w:rPr>
              <w:color w:val="000000" w:themeColor="text1"/>
              <w14:textFill>
                <w14:solidFill>
                  <w14:schemeClr w14:val="tx1"/>
                </w14:solidFill>
              </w14:textFill>
            </w:rPr>
          </w:pPr>
          <w:r>
            <w:rPr>
              <w:color w:val="000000" w:themeColor="text1"/>
              <w14:textFill>
                <w14:solidFill>
                  <w14:schemeClr w14:val="tx1"/>
                </w14:solidFill>
              </w14:textFill>
            </w:rPr>
            <w:t>无</w:t>
          </w:r>
        </w:p>
      </w:sdtContent>
    </w:sdt>
    <w:p w14:paraId="4E11AE62">
      <w:pPr>
        <w:rPr>
          <w:color w:val="000000" w:themeColor="text1"/>
          <w14:textFill>
            <w14:solidFill>
              <w14:schemeClr w14:val="tx1"/>
            </w14:solidFill>
          </w14:textFill>
        </w:rPr>
      </w:pPr>
    </w:p>
    <w:p w14:paraId="1B1E285E">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长期应付款</w:t>
      </w:r>
    </w:p>
    <w:p w14:paraId="3C5F6007">
      <w:pPr>
        <w:pStyle w:val="58"/>
        <w:rPr>
          <w:rFonts w:ascii="宋体" w:hAnsi="宋体"/>
          <w:color w:val="000000" w:themeColor="text1"/>
          <w14:textFill>
            <w14:solidFill>
              <w14:schemeClr w14:val="tx1"/>
            </w14:solidFill>
          </w14:textFill>
        </w:rPr>
      </w:pPr>
      <w:bookmarkStart w:id="366" w:name="_Hlk10536746"/>
      <w:r>
        <w:rPr>
          <w:rFonts w:hint="eastAsia" w:ascii="宋体" w:hAnsi="宋体"/>
          <w:color w:val="000000" w:themeColor="text1"/>
          <w14:textFill>
            <w14:solidFill>
              <w14:schemeClr w14:val="tx1"/>
            </w14:solidFill>
          </w14:textFill>
        </w:rPr>
        <w:t>项目列示</w:t>
      </w:r>
    </w:p>
    <w:sdt>
      <w:sdtPr>
        <w:rPr>
          <w:color w:val="000000" w:themeColor="text1"/>
          <w14:textFill>
            <w14:solidFill>
              <w14:schemeClr w14:val="tx1"/>
            </w14:solidFill>
          </w14:textFill>
        </w:rPr>
        <w:alias w:val="是否适用：长期应付款分类列示[双击切换]"/>
        <w:tag w:val="_GBC_dc1496c33e4a4cabb259020dbf46be93"/>
        <w:id w:val="147468022"/>
        <w:placeholder>
          <w:docPart w:val="GBC22222222222222222222222222222"/>
        </w:placeholder>
      </w:sdtPr>
      <w:sdtEndPr>
        <w:rPr>
          <w:color w:val="000000" w:themeColor="text1"/>
          <w14:textFill>
            <w14:solidFill>
              <w14:schemeClr w14:val="tx1"/>
            </w14:solidFill>
          </w14:textFill>
        </w:rPr>
      </w:sdtEndPr>
      <w:sdtContent>
        <w:p w14:paraId="50DB608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68AABA4">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长期应付款分类列示"/>
          <w:tag w:val="_GBC_ebfc605e57a44e54b3e33ac2adbd49b3"/>
          <w:id w:val="1474803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长期应付款分类列示"/>
          <w:tag w:val="_GBC_3e0811a7722a450c98b76253621cc253"/>
          <w:id w:val="1474698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8"/>
        <w:gridCol w:w="2863"/>
        <w:gridCol w:w="2878"/>
      </w:tblGrid>
      <w:tr w14:paraId="69B6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3a93bba75a94d61a6bb41116821520d"/>
            <w:id w:val="147469386"/>
          </w:sdtPr>
          <w:sdtContent>
            <w:tc>
              <w:tcPr>
                <w:tcW w:w="1828" w:type="pct"/>
                <w:vAlign w:val="center"/>
              </w:tcPr>
              <w:p w14:paraId="401AC747">
                <w:pPr>
                  <w:tabs>
                    <w:tab w:val="right" w:pos="3690"/>
                    <w:tab w:val="right" w:pos="5130"/>
                    <w:tab w:val="right" w:pos="6030"/>
                    <w:tab w:val="right" w:pos="7650"/>
                    <w:tab w:val="right" w:pos="9270"/>
                  </w:tabs>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4cef3b6e993d4efeab53c68db46274b8"/>
            <w:id w:val="147472706"/>
          </w:sdtPr>
          <w:sdtContent>
            <w:tc>
              <w:tcPr>
                <w:tcW w:w="1582" w:type="pct"/>
                <w:vAlign w:val="center"/>
              </w:tcPr>
              <w:p w14:paraId="209BDA1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d7980fd6d7084f6bb108abf1cc53570a"/>
            <w:id w:val="147460562"/>
          </w:sdtPr>
          <w:sdtContent>
            <w:tc>
              <w:tcPr>
                <w:tcW w:w="1590" w:type="pct"/>
                <w:vAlign w:val="center"/>
              </w:tcPr>
              <w:p w14:paraId="7B8AD9A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76F3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tcPr>
          <w:p w14:paraId="102EBF3E">
            <w:pPr>
              <w:tabs>
                <w:tab w:val="right" w:pos="3690"/>
                <w:tab w:val="right" w:pos="5130"/>
                <w:tab w:val="right" w:pos="6030"/>
                <w:tab w:val="right" w:pos="7650"/>
                <w:tab w:val="right" w:pos="9270"/>
              </w:tabs>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长期应付款</w:t>
            </w:r>
          </w:p>
        </w:tc>
        <w:tc>
          <w:tcPr>
            <w:tcW w:w="1582" w:type="pct"/>
          </w:tcPr>
          <w:p w14:paraId="70A7505D">
            <w:pPr>
              <w:tabs>
                <w:tab w:val="right" w:pos="3690"/>
                <w:tab w:val="right" w:pos="5130"/>
                <w:tab w:val="right" w:pos="6030"/>
                <w:tab w:val="right" w:pos="7650"/>
                <w:tab w:val="right" w:pos="9270"/>
              </w:tabs>
              <w:adjustRightInd w:val="0"/>
              <w:snapToGrid w:val="0"/>
              <w:jc w:val="right"/>
              <w:rPr>
                <w:rFonts w:cs="Times New Roman"/>
              </w:rPr>
            </w:pPr>
          </w:p>
        </w:tc>
        <w:tc>
          <w:tcPr>
            <w:tcW w:w="1590" w:type="pct"/>
          </w:tcPr>
          <w:p w14:paraId="2A6C721A">
            <w:pPr>
              <w:tabs>
                <w:tab w:val="right" w:pos="3690"/>
                <w:tab w:val="right" w:pos="5130"/>
                <w:tab w:val="right" w:pos="6030"/>
                <w:tab w:val="right" w:pos="7650"/>
                <w:tab w:val="right" w:pos="9270"/>
              </w:tabs>
              <w:adjustRightInd w:val="0"/>
              <w:snapToGrid w:val="0"/>
              <w:jc w:val="right"/>
              <w:rPr>
                <w:rFonts w:cs="Times New Roman"/>
              </w:rPr>
            </w:pPr>
          </w:p>
        </w:tc>
      </w:tr>
      <w:tr w14:paraId="2F01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tcPr>
          <w:p w14:paraId="49656D05">
            <w:pPr>
              <w:tabs>
                <w:tab w:val="right" w:pos="3690"/>
                <w:tab w:val="right" w:pos="5130"/>
                <w:tab w:val="right" w:pos="6030"/>
                <w:tab w:val="right" w:pos="7650"/>
                <w:tab w:val="right" w:pos="9270"/>
              </w:tabs>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专项应付款</w:t>
            </w:r>
          </w:p>
        </w:tc>
        <w:tc>
          <w:tcPr>
            <w:tcW w:w="2863" w:type="dxa"/>
            <w:vAlign w:val="center"/>
          </w:tcPr>
          <w:p w14:paraId="4FA9D234">
            <w:pPr>
              <w:jc w:val="right"/>
              <w:textAlignment w:val="center"/>
              <w:rPr>
                <w:rFonts w:cs="Times New Roman"/>
              </w:rPr>
            </w:pPr>
            <w:r>
              <w:rPr>
                <w:rFonts w:eastAsia="Arial Narrow" w:cs="Times New Roman"/>
                <w:color w:val="000000"/>
                <w:lang w:bidi="ar"/>
              </w:rPr>
              <w:t>41,904,211.82</w:t>
            </w:r>
          </w:p>
        </w:tc>
        <w:tc>
          <w:tcPr>
            <w:tcW w:w="2878" w:type="dxa"/>
            <w:vAlign w:val="center"/>
          </w:tcPr>
          <w:p w14:paraId="6D598B1D">
            <w:pPr>
              <w:jc w:val="right"/>
              <w:textAlignment w:val="center"/>
              <w:rPr>
                <w:rFonts w:cs="Times New Roman"/>
              </w:rPr>
            </w:pPr>
            <w:r>
              <w:rPr>
                <w:rFonts w:eastAsia="Arial Narrow" w:cs="Times New Roman"/>
                <w:color w:val="000000"/>
                <w:lang w:bidi="ar"/>
              </w:rPr>
              <w:t>42,002,615.37</w:t>
            </w:r>
          </w:p>
        </w:tc>
      </w:tr>
      <w:tr w14:paraId="475C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tcPr>
          <w:p w14:paraId="3F989BD7">
            <w:pPr>
              <w:tabs>
                <w:tab w:val="right" w:pos="3690"/>
                <w:tab w:val="right" w:pos="5130"/>
                <w:tab w:val="right" w:pos="6030"/>
                <w:tab w:val="right" w:pos="7650"/>
                <w:tab w:val="right" w:pos="9270"/>
              </w:tabs>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2863" w:type="dxa"/>
            <w:vAlign w:val="center"/>
          </w:tcPr>
          <w:p w14:paraId="6C0BA939">
            <w:pPr>
              <w:jc w:val="right"/>
              <w:textAlignment w:val="center"/>
              <w:rPr>
                <w:rFonts w:cs="Times New Roman"/>
              </w:rPr>
            </w:pPr>
            <w:r>
              <w:rPr>
                <w:rFonts w:eastAsia="Arial Narrow" w:cs="Times New Roman"/>
                <w:color w:val="000000"/>
                <w:lang w:bidi="ar"/>
              </w:rPr>
              <w:t>41,904,211.82</w:t>
            </w:r>
          </w:p>
        </w:tc>
        <w:tc>
          <w:tcPr>
            <w:tcW w:w="2878" w:type="dxa"/>
            <w:vAlign w:val="center"/>
          </w:tcPr>
          <w:p w14:paraId="5F55FC74">
            <w:pPr>
              <w:jc w:val="right"/>
              <w:textAlignment w:val="center"/>
              <w:rPr>
                <w:rFonts w:cs="Times New Roman"/>
              </w:rPr>
            </w:pPr>
            <w:r>
              <w:rPr>
                <w:rFonts w:eastAsia="Arial Narrow" w:cs="Times New Roman"/>
                <w:color w:val="000000"/>
                <w:lang w:bidi="ar"/>
              </w:rPr>
              <w:t>42,002,615.37</w:t>
            </w:r>
          </w:p>
        </w:tc>
      </w:tr>
    </w:tbl>
    <w:p w14:paraId="13A9D695">
      <w:pPr>
        <w:rPr>
          <w:color w:val="000000" w:themeColor="text1"/>
          <w14:textFill>
            <w14:solidFill>
              <w14:schemeClr w14:val="tx1"/>
            </w14:solidFill>
          </w14:textFill>
        </w:rPr>
      </w:pPr>
      <w:bookmarkStart w:id="367" w:name="_Hlk532911057"/>
      <w:r>
        <w:rPr>
          <w:rFonts w:hint="eastAsia"/>
          <w:color w:val="000000" w:themeColor="text1"/>
          <w14:textFill>
            <w14:solidFill>
              <w14:schemeClr w14:val="tx1"/>
            </w14:solidFill>
          </w14:textFill>
        </w:rPr>
        <w:t>其他说明：</w:t>
      </w:r>
    </w:p>
    <w:sdt>
      <w:sdtPr>
        <w:rPr>
          <w:rFonts w:hint="eastAsia"/>
          <w:color w:val="000000" w:themeColor="text1"/>
          <w14:textFill>
            <w14:solidFill>
              <w14:schemeClr w14:val="tx1"/>
            </w14:solidFill>
          </w14:textFill>
        </w:rPr>
        <w:alias w:val="长期应付款分类列示其他说明"/>
        <w:tag w:val="_GBC_431a8b84aeeb4e0fa07aef9d9af1a46d"/>
        <w:id w:val="147477321"/>
        <w:placeholder>
          <w:docPart w:val="GBC22222222222222222222222222222"/>
        </w:placeholder>
      </w:sdtPr>
      <w:sdtEndPr>
        <w:rPr>
          <w:rFonts w:hint="eastAsia"/>
          <w:color w:val="000000" w:themeColor="text1"/>
          <w14:textFill>
            <w14:solidFill>
              <w14:schemeClr w14:val="tx1"/>
            </w14:solidFill>
          </w14:textFill>
        </w:rPr>
      </w:sdtEndPr>
      <w:sdtContent>
        <w:p w14:paraId="7A0C897C">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177C6B24">
      <w:pPr>
        <w:rPr>
          <w:color w:val="000000" w:themeColor="text1"/>
          <w14:textFill>
            <w14:solidFill>
              <w14:schemeClr w14:val="tx1"/>
            </w14:solidFill>
          </w14:textFill>
        </w:rPr>
      </w:pPr>
    </w:p>
    <w:bookmarkEnd w:id="366"/>
    <w:bookmarkEnd w:id="367"/>
    <w:p w14:paraId="49FE0D60">
      <w:pPr>
        <w:pStyle w:val="58"/>
        <w:ind w:left="360" w:hanging="360"/>
        <w:rPr>
          <w:rFonts w:ascii="宋体" w:hAnsi="宋体"/>
          <w:color w:val="000000" w:themeColor="text1"/>
          <w14:textFill>
            <w14:solidFill>
              <w14:schemeClr w14:val="tx1"/>
            </w14:solidFill>
          </w14:textFill>
        </w:rPr>
      </w:pPr>
      <w:bookmarkStart w:id="368" w:name="_Hlk10536806"/>
      <w:bookmarkStart w:id="369" w:name="_Hlk10536877"/>
      <w:r>
        <w:rPr>
          <w:rFonts w:hint="eastAsia" w:ascii="宋体" w:hAnsi="宋体"/>
          <w:color w:val="000000" w:themeColor="text1"/>
          <w14:textFill>
            <w14:solidFill>
              <w14:schemeClr w14:val="tx1"/>
            </w14:solidFill>
          </w14:textFill>
        </w:rPr>
        <w:t>长期应付款</w:t>
      </w:r>
      <w:bookmarkEnd w:id="368"/>
    </w:p>
    <w:sdt>
      <w:sdtPr>
        <w:rPr>
          <w:color w:val="000000" w:themeColor="text1"/>
          <w14:textFill>
            <w14:solidFill>
              <w14:schemeClr w14:val="tx1"/>
            </w14:solidFill>
          </w14:textFill>
        </w:rPr>
        <w:alias w:val="是否适用：按款项性质列示长期应付款[双击切换]"/>
        <w:tag w:val="_GBC_a9fa9a5286484f4bb853b1eff824e621"/>
        <w:id w:val="147482822"/>
        <w:placeholder>
          <w:docPart w:val="GBC22222222222222222222222222222"/>
        </w:placeholder>
      </w:sdtPr>
      <w:sdtEndPr>
        <w:rPr>
          <w:color w:val="000000" w:themeColor="text1"/>
          <w14:textFill>
            <w14:solidFill>
              <w14:schemeClr w14:val="tx1"/>
            </w14:solidFill>
          </w14:textFill>
        </w:rPr>
      </w:sdtEndPr>
      <w:sdtContent>
        <w:p w14:paraId="7830B1AA">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D205436">
      <w:pPr>
        <w:rPr>
          <w:color w:val="000000" w:themeColor="text1"/>
          <w14:textFill>
            <w14:solidFill>
              <w14:schemeClr w14:val="tx1"/>
            </w14:solidFill>
          </w14:textFill>
        </w:rPr>
      </w:pPr>
    </w:p>
    <w:bookmarkEnd w:id="369"/>
    <w:p w14:paraId="585FA4EA">
      <w:pPr>
        <w:pStyle w:val="5"/>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专项应付款</w:t>
      </w:r>
    </w:p>
    <w:sdt>
      <w:sdtPr>
        <w:rPr>
          <w:color w:val="000000" w:themeColor="text1"/>
          <w14:textFill>
            <w14:solidFill>
              <w14:schemeClr w14:val="tx1"/>
            </w14:solidFill>
          </w14:textFill>
        </w:rPr>
        <w:alias w:val="是否适用：专项应付款[双击切换]"/>
        <w:tag w:val="_GBC_f70a824e87784429a75fa648d7634cf8"/>
        <w:id w:val="-886649234"/>
      </w:sdtPr>
      <w:sdtEndPr>
        <w:rPr>
          <w:color w:val="000000" w:themeColor="text1"/>
          <w14:textFill>
            <w14:solidFill>
              <w14:schemeClr w14:val="tx1"/>
            </w14:solidFill>
          </w14:textFill>
        </w:rPr>
      </w:sdtEndPr>
      <w:sdtContent>
        <w:p w14:paraId="09A5CD9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2427CB7F">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专项应付款"/>
          <w:tag w:val="_GBC_fbba1675963f41deb7db46c882d2bb66"/>
          <w:id w:val="-1210652800"/>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专项应付款"/>
          <w:tag w:val="_GBC_db6088dd197e44658d5eb4ad92eace1a"/>
          <w:id w:val="-205607595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445"/>
        <w:gridCol w:w="1445"/>
        <w:gridCol w:w="1410"/>
        <w:gridCol w:w="1476"/>
        <w:gridCol w:w="1461"/>
        <w:gridCol w:w="1658"/>
      </w:tblGrid>
      <w:tr w14:paraId="0B55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blHeader/>
        </w:trPr>
        <w:sdt>
          <w:sdtPr>
            <w:rPr>
              <w:rFonts w:cs="Times New Roman"/>
            </w:rPr>
            <w:tag w:val="_PLD_cd0bf128e15a4ba9af42624758d0f741"/>
            <w:id w:val="1052963418"/>
          </w:sdtPr>
          <w:sdtEndPr>
            <w:rPr>
              <w:rFonts w:cs="Times New Roman"/>
            </w:rPr>
          </w:sdtEndPr>
          <w:sdtContent>
            <w:tc>
              <w:tcPr>
                <w:tcW w:w="812" w:type="pct"/>
                <w:vAlign w:val="center"/>
              </w:tcPr>
              <w:p w14:paraId="5C9DC11C">
                <w:pPr>
                  <w:ind w:right="105"/>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0273ec8ee2454cc3b513b4d9bc176584"/>
            <w:id w:val="-983315350"/>
          </w:sdtPr>
          <w:sdtEndPr>
            <w:rPr>
              <w:rFonts w:cs="Times New Roman"/>
            </w:rPr>
          </w:sdtEndPr>
          <w:sdtContent>
            <w:tc>
              <w:tcPr>
                <w:tcW w:w="812" w:type="pct"/>
              </w:tcPr>
              <w:p w14:paraId="4C5921B9">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sdt>
          <w:sdtPr>
            <w:rPr>
              <w:rFonts w:cs="Times New Roman"/>
            </w:rPr>
            <w:tag w:val="_PLD_8af6034e00f845329602a9fdcfc9b2dc"/>
            <w:id w:val="1544325084"/>
          </w:sdtPr>
          <w:sdtEndPr>
            <w:rPr>
              <w:rFonts w:cs="Times New Roman"/>
            </w:rPr>
          </w:sdtEndPr>
          <w:sdtContent>
            <w:tc>
              <w:tcPr>
                <w:tcW w:w="792" w:type="pct"/>
              </w:tcPr>
              <w:p w14:paraId="3B3F4342">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本期增加</w:t>
                </w:r>
              </w:p>
            </w:tc>
          </w:sdtContent>
        </w:sdt>
        <w:sdt>
          <w:sdtPr>
            <w:rPr>
              <w:rFonts w:cs="Times New Roman"/>
            </w:rPr>
            <w:tag w:val="_PLD_013b3bd484664b418b2949897aaba93a"/>
            <w:id w:val="1397088065"/>
          </w:sdtPr>
          <w:sdtEndPr>
            <w:rPr>
              <w:rFonts w:cs="Times New Roman"/>
            </w:rPr>
          </w:sdtEndPr>
          <w:sdtContent>
            <w:tc>
              <w:tcPr>
                <w:tcW w:w="829" w:type="pct"/>
              </w:tcPr>
              <w:p w14:paraId="6DE60720">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本期减少</w:t>
                </w:r>
              </w:p>
            </w:tc>
          </w:sdtContent>
        </w:sdt>
        <w:sdt>
          <w:sdtPr>
            <w:rPr>
              <w:rFonts w:cs="Times New Roman"/>
            </w:rPr>
            <w:tag w:val="_PLD_99498b7622144415a46b3eb203e33536"/>
            <w:id w:val="535857393"/>
          </w:sdtPr>
          <w:sdtEndPr>
            <w:rPr>
              <w:rFonts w:cs="Times New Roman"/>
            </w:rPr>
          </w:sdtEndPr>
          <w:sdtContent>
            <w:tc>
              <w:tcPr>
                <w:tcW w:w="821" w:type="pct"/>
              </w:tcPr>
              <w:p w14:paraId="0C5EBE3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435f222fb1ac40efb8892f65ff2d7efe"/>
            <w:id w:val="-542357889"/>
          </w:sdtPr>
          <w:sdtEndPr>
            <w:rPr>
              <w:rFonts w:cs="Times New Roman"/>
            </w:rPr>
          </w:sdtEndPr>
          <w:sdtContent>
            <w:tc>
              <w:tcPr>
                <w:tcW w:w="931" w:type="pct"/>
                <w:vAlign w:val="center"/>
              </w:tcPr>
              <w:p w14:paraId="17FD7C92">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形成原因</w:t>
                </w:r>
              </w:p>
            </w:tc>
          </w:sdtContent>
        </w:sdt>
      </w:tr>
      <w:sdt>
        <w:sdtPr>
          <w:rPr>
            <w:rFonts w:cs="Times New Roman"/>
            <w:color w:val="000000" w:themeColor="text1"/>
            <w14:textFill>
              <w14:solidFill>
                <w14:schemeClr w14:val="tx1"/>
              </w14:solidFill>
            </w14:textFill>
          </w:rPr>
          <w:alias w:val="专项应付款明细"/>
          <w:tag w:val="_GBC_cc0d870710d646f3adaaac92c6d0ce7e"/>
          <w:id w:val="-837309215"/>
          <w:placeholder>
            <w:docPart w:val="{cb4e2310-4ef5-44b4-9419-d1b794171c78}"/>
          </w:placeholder>
        </w:sdtPr>
        <w:sdtEndPr>
          <w:rPr>
            <w:rFonts w:cs="Times New Roman"/>
            <w:color w:val="000000" w:themeColor="text1"/>
            <w14:textFill>
              <w14:solidFill>
                <w14:schemeClr w14:val="tx1"/>
              </w14:solidFill>
            </w14:textFill>
          </w:rPr>
        </w:sdtEndPr>
        <w:sdtContent>
          <w:tr w14:paraId="74145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12" w:type="pct"/>
                <w:vAlign w:val="center"/>
              </w:tcPr>
              <w:p w14:paraId="0644AE72">
                <w:pPr>
                  <w:ind w:right="105"/>
                  <w:rPr>
                    <w:rFonts w:cs="Times New Roman"/>
                  </w:rPr>
                </w:pPr>
                <w:r>
                  <w:rPr>
                    <w:rFonts w:cs="Times New Roman"/>
                  </w:rPr>
                  <w:t>临港3517公租房项目专项款</w:t>
                </w:r>
              </w:p>
            </w:tc>
            <w:tc>
              <w:tcPr>
                <w:tcW w:w="812" w:type="pct"/>
                <w:vAlign w:val="center"/>
              </w:tcPr>
              <w:p w14:paraId="519F8D4F">
                <w:pPr>
                  <w:ind w:right="73"/>
                  <w:jc w:val="right"/>
                  <w:rPr>
                    <w:rFonts w:cs="Times New Roman"/>
                  </w:rPr>
                </w:pPr>
                <w:r>
                  <w:rPr>
                    <w:rFonts w:hint="eastAsia" w:cs="Times New Roman"/>
                  </w:rPr>
                  <w:t>23,414,800.00</w:t>
                </w:r>
              </w:p>
            </w:tc>
            <w:tc>
              <w:tcPr>
                <w:tcW w:w="792" w:type="pct"/>
              </w:tcPr>
              <w:p w14:paraId="19EC91F1">
                <w:pPr>
                  <w:jc w:val="right"/>
                  <w:rPr>
                    <w:rFonts w:cs="Times New Roman"/>
                  </w:rPr>
                </w:pPr>
              </w:p>
            </w:tc>
            <w:tc>
              <w:tcPr>
                <w:tcW w:w="829" w:type="pct"/>
              </w:tcPr>
              <w:p w14:paraId="09DDCAD6">
                <w:pPr>
                  <w:jc w:val="right"/>
                  <w:rPr>
                    <w:rFonts w:cs="Times New Roman"/>
                  </w:rPr>
                </w:pPr>
              </w:p>
            </w:tc>
            <w:tc>
              <w:tcPr>
                <w:tcW w:w="821" w:type="pct"/>
                <w:vAlign w:val="center"/>
              </w:tcPr>
              <w:p w14:paraId="7564F9F6">
                <w:pPr>
                  <w:ind w:right="73"/>
                  <w:jc w:val="right"/>
                  <w:rPr>
                    <w:rFonts w:cs="Times New Roman"/>
                  </w:rPr>
                </w:pPr>
                <w:r>
                  <w:rPr>
                    <w:rFonts w:hint="eastAsia" w:cs="Times New Roman"/>
                  </w:rPr>
                  <w:t>23,414,800.00</w:t>
                </w:r>
              </w:p>
            </w:tc>
            <w:tc>
              <w:tcPr>
                <w:tcW w:w="931" w:type="pct"/>
                <w:vAlign w:val="center"/>
              </w:tcPr>
              <w:p w14:paraId="6C47E48C">
                <w:pPr>
                  <w:rPr>
                    <w:rFonts w:cs="Times New Roman"/>
                  </w:rPr>
                </w:pPr>
                <w:r>
                  <w:rPr>
                    <w:rFonts w:cs="Times New Roman"/>
                  </w:rPr>
                  <w:t>公租房专用款项</w:t>
                </w:r>
              </w:p>
            </w:tc>
          </w:tr>
        </w:sdtContent>
      </w:sdt>
      <w:sdt>
        <w:sdtPr>
          <w:rPr>
            <w:rFonts w:cs="Times New Roman"/>
            <w:color w:val="000000" w:themeColor="text1"/>
            <w14:textFill>
              <w14:solidFill>
                <w14:schemeClr w14:val="tx1"/>
              </w14:solidFill>
            </w14:textFill>
          </w:rPr>
          <w:alias w:val="专项应付款明细"/>
          <w:tag w:val="_GBC_cc0d870710d646f3adaaac92c6d0ce7e"/>
          <w:id w:val="-1771688750"/>
          <w:placeholder>
            <w:docPart w:val="{cb4e2310-4ef5-44b4-9419-d1b794171c78}"/>
          </w:placeholder>
        </w:sdtPr>
        <w:sdtEndPr>
          <w:rPr>
            <w:rFonts w:cs="Times New Roman"/>
            <w:color w:val="000000" w:themeColor="text1"/>
            <w14:textFill>
              <w14:solidFill>
                <w14:schemeClr w14:val="tx1"/>
              </w14:solidFill>
            </w14:textFill>
          </w:rPr>
        </w:sdtEndPr>
        <w:sdtContent>
          <w:tr w14:paraId="17D7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12" w:type="pct"/>
                <w:vAlign w:val="center"/>
              </w:tcPr>
              <w:p w14:paraId="029B289C">
                <w:pPr>
                  <w:ind w:right="105"/>
                  <w:rPr>
                    <w:rFonts w:cs="Times New Roman"/>
                  </w:rPr>
                </w:pPr>
                <w:r>
                  <w:rPr>
                    <w:rFonts w:cs="Times New Roman"/>
                  </w:rPr>
                  <w:t>棚户区改造</w:t>
                </w:r>
              </w:p>
            </w:tc>
            <w:tc>
              <w:tcPr>
                <w:tcW w:w="812" w:type="pct"/>
                <w:vAlign w:val="center"/>
              </w:tcPr>
              <w:p w14:paraId="089E091B">
                <w:pPr>
                  <w:ind w:right="73"/>
                  <w:jc w:val="right"/>
                  <w:rPr>
                    <w:rFonts w:cs="Times New Roman"/>
                  </w:rPr>
                </w:pPr>
                <w:r>
                  <w:rPr>
                    <w:rFonts w:cs="Times New Roman"/>
                  </w:rPr>
                  <w:t>9,418,036.46</w:t>
                </w:r>
              </w:p>
            </w:tc>
            <w:tc>
              <w:tcPr>
                <w:tcW w:w="792" w:type="pct"/>
              </w:tcPr>
              <w:p w14:paraId="128FE95B">
                <w:pPr>
                  <w:jc w:val="right"/>
                  <w:rPr>
                    <w:rFonts w:cs="Times New Roman"/>
                  </w:rPr>
                </w:pPr>
              </w:p>
            </w:tc>
            <w:tc>
              <w:tcPr>
                <w:tcW w:w="829" w:type="pct"/>
              </w:tcPr>
              <w:p w14:paraId="6CEE2896">
                <w:pPr>
                  <w:jc w:val="right"/>
                  <w:rPr>
                    <w:rFonts w:cs="Times New Roman"/>
                  </w:rPr>
                </w:pPr>
              </w:p>
            </w:tc>
            <w:tc>
              <w:tcPr>
                <w:tcW w:w="821" w:type="pct"/>
                <w:vAlign w:val="center"/>
              </w:tcPr>
              <w:p w14:paraId="471728DC">
                <w:pPr>
                  <w:ind w:right="73"/>
                  <w:jc w:val="right"/>
                  <w:rPr>
                    <w:rFonts w:cs="Times New Roman"/>
                  </w:rPr>
                </w:pPr>
                <w:r>
                  <w:rPr>
                    <w:rFonts w:cs="Times New Roman"/>
                  </w:rPr>
                  <w:t>9,418,036.46</w:t>
                </w:r>
              </w:p>
            </w:tc>
            <w:tc>
              <w:tcPr>
                <w:tcW w:w="931" w:type="pct"/>
                <w:vAlign w:val="center"/>
              </w:tcPr>
              <w:p w14:paraId="2E090014">
                <w:pPr>
                  <w:rPr>
                    <w:rFonts w:cs="Times New Roman"/>
                  </w:rPr>
                </w:pPr>
                <w:r>
                  <w:rPr>
                    <w:rFonts w:cs="Times New Roman"/>
                  </w:rPr>
                  <w:t>矿棚户区改造</w:t>
                </w:r>
              </w:p>
            </w:tc>
          </w:tr>
        </w:sdtContent>
      </w:sdt>
      <w:sdt>
        <w:sdtPr>
          <w:rPr>
            <w:rFonts w:cs="Times New Roman"/>
            <w:color w:val="000000" w:themeColor="text1"/>
            <w14:textFill>
              <w14:solidFill>
                <w14:schemeClr w14:val="tx1"/>
              </w14:solidFill>
            </w14:textFill>
          </w:rPr>
          <w:alias w:val="专项应付款明细"/>
          <w:tag w:val="_GBC_cc0d870710d646f3adaaac92c6d0ce7e"/>
          <w:id w:val="-1016299612"/>
          <w:placeholder>
            <w:docPart w:val="{cb4e2310-4ef5-44b4-9419-d1b794171c78}"/>
          </w:placeholder>
        </w:sdtPr>
        <w:sdtEndPr>
          <w:rPr>
            <w:rFonts w:cs="Times New Roman"/>
            <w:color w:val="000000" w:themeColor="text1"/>
            <w14:textFill>
              <w14:solidFill>
                <w14:schemeClr w14:val="tx1"/>
              </w14:solidFill>
            </w14:textFill>
          </w:rPr>
        </w:sdtEndPr>
        <w:sdtContent>
          <w:tr w14:paraId="59219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12" w:type="pct"/>
                <w:vAlign w:val="center"/>
              </w:tcPr>
              <w:p w14:paraId="4E2DD889">
                <w:pPr>
                  <w:ind w:right="105"/>
                  <w:rPr>
                    <w:rFonts w:cs="Times New Roman"/>
                  </w:rPr>
                </w:pPr>
                <w:r>
                  <w:rPr>
                    <w:rFonts w:cs="Times New Roman"/>
                  </w:rPr>
                  <w:t>政策性拆迁补贴</w:t>
                </w:r>
              </w:p>
            </w:tc>
            <w:tc>
              <w:tcPr>
                <w:tcW w:w="812" w:type="pct"/>
                <w:vAlign w:val="center"/>
              </w:tcPr>
              <w:p w14:paraId="0DAA7D3C">
                <w:pPr>
                  <w:ind w:right="73"/>
                  <w:jc w:val="right"/>
                  <w:rPr>
                    <w:rFonts w:cs="Times New Roman"/>
                  </w:rPr>
                </w:pPr>
                <w:r>
                  <w:rPr>
                    <w:rFonts w:cs="Times New Roman"/>
                  </w:rPr>
                  <w:t>84,194.12</w:t>
                </w:r>
              </w:p>
            </w:tc>
            <w:tc>
              <w:tcPr>
                <w:tcW w:w="792" w:type="pct"/>
              </w:tcPr>
              <w:p w14:paraId="76AC245C">
                <w:pPr>
                  <w:jc w:val="right"/>
                  <w:rPr>
                    <w:rFonts w:cs="Times New Roman"/>
                  </w:rPr>
                </w:pPr>
              </w:p>
            </w:tc>
            <w:tc>
              <w:tcPr>
                <w:tcW w:w="829" w:type="pct"/>
              </w:tcPr>
              <w:p w14:paraId="4CA0C0F9">
                <w:pPr>
                  <w:jc w:val="right"/>
                  <w:rPr>
                    <w:rFonts w:cs="Times New Roman"/>
                  </w:rPr>
                </w:pPr>
              </w:p>
            </w:tc>
            <w:tc>
              <w:tcPr>
                <w:tcW w:w="821" w:type="pct"/>
                <w:vAlign w:val="center"/>
              </w:tcPr>
              <w:p w14:paraId="0B1C8EDC">
                <w:pPr>
                  <w:ind w:right="73"/>
                  <w:jc w:val="right"/>
                  <w:rPr>
                    <w:rFonts w:cs="Times New Roman"/>
                  </w:rPr>
                </w:pPr>
                <w:r>
                  <w:rPr>
                    <w:rFonts w:cs="Times New Roman"/>
                  </w:rPr>
                  <w:t>84,194.12</w:t>
                </w:r>
              </w:p>
            </w:tc>
            <w:tc>
              <w:tcPr>
                <w:tcW w:w="931" w:type="pct"/>
                <w:vAlign w:val="center"/>
              </w:tcPr>
              <w:p w14:paraId="3AA5EC8A">
                <w:pPr>
                  <w:rPr>
                    <w:rFonts w:cs="Times New Roman"/>
                  </w:rPr>
                </w:pPr>
                <w:r>
                  <w:rPr>
                    <w:rFonts w:cs="Times New Roman"/>
                  </w:rPr>
                  <w:t>拆迁专项资金</w:t>
                </w:r>
              </w:p>
            </w:tc>
          </w:tr>
        </w:sdtContent>
      </w:sdt>
      <w:sdt>
        <w:sdtPr>
          <w:rPr>
            <w:rFonts w:cs="Times New Roman"/>
            <w:color w:val="000000" w:themeColor="text1"/>
            <w14:textFill>
              <w14:solidFill>
                <w14:schemeClr w14:val="tx1"/>
              </w14:solidFill>
            </w14:textFill>
          </w:rPr>
          <w:alias w:val="专项应付款明细"/>
          <w:tag w:val="_GBC_cc0d870710d646f3adaaac92c6d0ce7e"/>
          <w:id w:val="10339334"/>
          <w:placeholder>
            <w:docPart w:val="{cb4e2310-4ef5-44b4-9419-d1b794171c78}"/>
          </w:placeholder>
        </w:sdtPr>
        <w:sdtEndPr>
          <w:rPr>
            <w:rFonts w:cs="Times New Roman"/>
            <w:color w:val="000000" w:themeColor="text1"/>
            <w14:textFill>
              <w14:solidFill>
                <w14:schemeClr w14:val="tx1"/>
              </w14:solidFill>
            </w14:textFill>
          </w:rPr>
        </w:sdtEndPr>
        <w:sdtContent>
          <w:tr w14:paraId="4162F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12" w:type="pct"/>
                <w:vAlign w:val="center"/>
              </w:tcPr>
              <w:p w14:paraId="6EF50CEA">
                <w:pPr>
                  <w:ind w:right="105"/>
                  <w:rPr>
                    <w:rFonts w:cs="Times New Roman"/>
                  </w:rPr>
                </w:pPr>
                <w:r>
                  <w:rPr>
                    <w:rFonts w:cs="Times New Roman"/>
                  </w:rPr>
                  <w:t>新园区专项扶持资金</w:t>
                </w:r>
              </w:p>
            </w:tc>
            <w:tc>
              <w:tcPr>
                <w:tcW w:w="812" w:type="pct"/>
                <w:vAlign w:val="center"/>
              </w:tcPr>
              <w:p w14:paraId="36FDA6EE">
                <w:pPr>
                  <w:ind w:right="73"/>
                  <w:jc w:val="right"/>
                  <w:rPr>
                    <w:rFonts w:cs="Times New Roman"/>
                  </w:rPr>
                </w:pPr>
                <w:r>
                  <w:rPr>
                    <w:rFonts w:cs="Times New Roman"/>
                  </w:rPr>
                  <w:t>1,680,000.00</w:t>
                </w:r>
              </w:p>
            </w:tc>
            <w:tc>
              <w:tcPr>
                <w:tcW w:w="792" w:type="pct"/>
              </w:tcPr>
              <w:p w14:paraId="008407DD">
                <w:pPr>
                  <w:jc w:val="right"/>
                  <w:rPr>
                    <w:rFonts w:cs="Times New Roman"/>
                  </w:rPr>
                </w:pPr>
              </w:p>
            </w:tc>
            <w:tc>
              <w:tcPr>
                <w:tcW w:w="829" w:type="pct"/>
              </w:tcPr>
              <w:p w14:paraId="62D852B9">
                <w:pPr>
                  <w:jc w:val="right"/>
                  <w:rPr>
                    <w:rFonts w:cs="Times New Roman"/>
                  </w:rPr>
                </w:pPr>
              </w:p>
            </w:tc>
            <w:tc>
              <w:tcPr>
                <w:tcW w:w="821" w:type="pct"/>
                <w:vAlign w:val="center"/>
              </w:tcPr>
              <w:p w14:paraId="22619856">
                <w:pPr>
                  <w:ind w:right="73"/>
                  <w:jc w:val="right"/>
                  <w:rPr>
                    <w:rFonts w:cs="Times New Roman"/>
                  </w:rPr>
                </w:pPr>
                <w:r>
                  <w:rPr>
                    <w:rFonts w:cs="Times New Roman"/>
                  </w:rPr>
                  <w:t>1,680,000.00</w:t>
                </w:r>
              </w:p>
            </w:tc>
            <w:tc>
              <w:tcPr>
                <w:tcW w:w="931" w:type="pct"/>
                <w:vAlign w:val="center"/>
              </w:tcPr>
              <w:p w14:paraId="1D903C55">
                <w:pPr>
                  <w:rPr>
                    <w:rFonts w:cs="Times New Roman"/>
                  </w:rPr>
                </w:pPr>
                <w:r>
                  <w:rPr>
                    <w:rFonts w:cs="Times New Roman"/>
                  </w:rPr>
                  <w:t>新园区专用款</w:t>
                </w:r>
              </w:p>
            </w:tc>
          </w:tr>
        </w:sdtContent>
      </w:sdt>
      <w:sdt>
        <w:sdtPr>
          <w:rPr>
            <w:rFonts w:cs="Times New Roman"/>
            <w:color w:val="000000" w:themeColor="text1"/>
            <w14:textFill>
              <w14:solidFill>
                <w14:schemeClr w14:val="tx1"/>
              </w14:solidFill>
            </w14:textFill>
          </w:rPr>
          <w:alias w:val="专项应付款明细"/>
          <w:tag w:val="_GBC_cc0d870710d646f3adaaac92c6d0ce7e"/>
          <w:id w:val="2094576979"/>
          <w:placeholder>
            <w:docPart w:val="{cb4e2310-4ef5-44b4-9419-d1b794171c78}"/>
          </w:placeholder>
        </w:sdtPr>
        <w:sdtEndPr>
          <w:rPr>
            <w:rFonts w:cs="Times New Roman"/>
            <w:color w:val="000000" w:themeColor="text1"/>
            <w14:textFill>
              <w14:solidFill>
                <w14:schemeClr w14:val="tx1"/>
              </w14:solidFill>
            </w14:textFill>
          </w:rPr>
        </w:sdtEndPr>
        <w:sdtContent>
          <w:tr w14:paraId="5B0B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12" w:type="pct"/>
                <w:vAlign w:val="center"/>
              </w:tcPr>
              <w:p w14:paraId="0D52F205">
                <w:pPr>
                  <w:ind w:right="105"/>
                  <w:rPr>
                    <w:rFonts w:cs="Times New Roman"/>
                  </w:rPr>
                </w:pPr>
                <w:r>
                  <w:rPr>
                    <w:rFonts w:cs="Times New Roman"/>
                  </w:rPr>
                  <w:t>其他科学支出</w:t>
                </w:r>
              </w:p>
            </w:tc>
            <w:tc>
              <w:tcPr>
                <w:tcW w:w="812" w:type="pct"/>
                <w:vAlign w:val="center"/>
              </w:tcPr>
              <w:p w14:paraId="402BBBD7">
                <w:pPr>
                  <w:ind w:right="73"/>
                  <w:jc w:val="right"/>
                  <w:rPr>
                    <w:rFonts w:cs="Times New Roman"/>
                  </w:rPr>
                </w:pPr>
                <w:r>
                  <w:rPr>
                    <w:rFonts w:cs="Times New Roman"/>
                  </w:rPr>
                  <w:t>1,000,000.00</w:t>
                </w:r>
              </w:p>
            </w:tc>
            <w:tc>
              <w:tcPr>
                <w:tcW w:w="792" w:type="pct"/>
              </w:tcPr>
              <w:p w14:paraId="3F411121">
                <w:pPr>
                  <w:jc w:val="right"/>
                  <w:rPr>
                    <w:rFonts w:cs="Times New Roman"/>
                  </w:rPr>
                </w:pPr>
              </w:p>
            </w:tc>
            <w:tc>
              <w:tcPr>
                <w:tcW w:w="829" w:type="pct"/>
              </w:tcPr>
              <w:p w14:paraId="68EBDE72">
                <w:pPr>
                  <w:jc w:val="right"/>
                  <w:rPr>
                    <w:rFonts w:cs="Times New Roman"/>
                  </w:rPr>
                </w:pPr>
              </w:p>
            </w:tc>
            <w:tc>
              <w:tcPr>
                <w:tcW w:w="821" w:type="pct"/>
                <w:vAlign w:val="center"/>
              </w:tcPr>
              <w:p w14:paraId="6D8707CB">
                <w:pPr>
                  <w:ind w:right="73"/>
                  <w:jc w:val="right"/>
                  <w:rPr>
                    <w:rFonts w:cs="Times New Roman"/>
                  </w:rPr>
                </w:pPr>
                <w:r>
                  <w:rPr>
                    <w:rFonts w:cs="Times New Roman"/>
                  </w:rPr>
                  <w:t>1,000,000.00</w:t>
                </w:r>
              </w:p>
            </w:tc>
            <w:tc>
              <w:tcPr>
                <w:tcW w:w="931" w:type="pct"/>
                <w:vAlign w:val="center"/>
              </w:tcPr>
              <w:p w14:paraId="0B7363DF">
                <w:pPr>
                  <w:rPr>
                    <w:rFonts w:cs="Times New Roman"/>
                  </w:rPr>
                </w:pPr>
                <w:r>
                  <w:rPr>
                    <w:rFonts w:cs="Times New Roman"/>
                  </w:rPr>
                  <w:t>科学研究款项</w:t>
                </w:r>
              </w:p>
            </w:tc>
          </w:tr>
        </w:sdtContent>
      </w:sdt>
      <w:sdt>
        <w:sdtPr>
          <w:rPr>
            <w:rFonts w:cs="Times New Roman"/>
            <w:color w:val="000000" w:themeColor="text1"/>
            <w14:textFill>
              <w14:solidFill>
                <w14:schemeClr w14:val="tx1"/>
              </w14:solidFill>
            </w14:textFill>
          </w:rPr>
          <w:alias w:val="专项应付款明细"/>
          <w:tag w:val="_GBC_cc0d870710d646f3adaaac92c6d0ce7e"/>
          <w:id w:val="-2080123513"/>
          <w:placeholder>
            <w:docPart w:val="{cb4e2310-4ef5-44b4-9419-d1b794171c78}"/>
          </w:placeholder>
        </w:sdtPr>
        <w:sdtEndPr>
          <w:rPr>
            <w:rFonts w:cs="Times New Roman"/>
            <w:color w:val="000000" w:themeColor="text1"/>
            <w14:textFill>
              <w14:solidFill>
                <w14:schemeClr w14:val="tx1"/>
              </w14:solidFill>
            </w14:textFill>
          </w:rPr>
        </w:sdtEndPr>
        <w:sdtContent>
          <w:tr w14:paraId="7508E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12" w:type="pct"/>
                <w:vAlign w:val="center"/>
              </w:tcPr>
              <w:p w14:paraId="2E5CF052">
                <w:pPr>
                  <w:ind w:right="105"/>
                  <w:rPr>
                    <w:rFonts w:cs="Times New Roman"/>
                  </w:rPr>
                </w:pPr>
                <w:r>
                  <w:rPr>
                    <w:rFonts w:cs="Times New Roman"/>
                  </w:rPr>
                  <w:t>研发专项资金</w:t>
                </w:r>
              </w:p>
            </w:tc>
            <w:tc>
              <w:tcPr>
                <w:tcW w:w="812" w:type="pct"/>
                <w:vAlign w:val="center"/>
              </w:tcPr>
              <w:p w14:paraId="44ED1B0F">
                <w:pPr>
                  <w:ind w:right="73"/>
                  <w:jc w:val="right"/>
                  <w:rPr>
                    <w:rFonts w:cs="Times New Roman"/>
                  </w:rPr>
                </w:pPr>
                <w:r>
                  <w:rPr>
                    <w:rFonts w:cs="Times New Roman"/>
                  </w:rPr>
                  <w:t>5,776,400.00</w:t>
                </w:r>
              </w:p>
            </w:tc>
            <w:tc>
              <w:tcPr>
                <w:tcW w:w="792" w:type="pct"/>
                <w:vAlign w:val="center"/>
              </w:tcPr>
              <w:p w14:paraId="60032BCD">
                <w:pPr>
                  <w:jc w:val="right"/>
                  <w:rPr>
                    <w:rFonts w:cs="Times New Roman"/>
                  </w:rPr>
                </w:pPr>
                <w:r>
                  <w:rPr>
                    <w:rFonts w:cs="Times New Roman"/>
                  </w:rPr>
                  <w:t>9,601,914.00</w:t>
                </w:r>
              </w:p>
            </w:tc>
            <w:tc>
              <w:tcPr>
                <w:tcW w:w="829" w:type="pct"/>
                <w:vAlign w:val="center"/>
              </w:tcPr>
              <w:p w14:paraId="101A532A">
                <w:pPr>
                  <w:jc w:val="right"/>
                  <w:rPr>
                    <w:rFonts w:cs="Times New Roman"/>
                  </w:rPr>
                </w:pPr>
                <w:r>
                  <w:rPr>
                    <w:rFonts w:cs="Times New Roman"/>
                  </w:rPr>
                  <w:t>9,652,861.09</w:t>
                </w:r>
              </w:p>
            </w:tc>
            <w:tc>
              <w:tcPr>
                <w:tcW w:w="821" w:type="pct"/>
                <w:vAlign w:val="center"/>
              </w:tcPr>
              <w:p w14:paraId="2086B0E2">
                <w:pPr>
                  <w:ind w:right="73"/>
                  <w:jc w:val="right"/>
                  <w:rPr>
                    <w:rFonts w:cs="Times New Roman"/>
                  </w:rPr>
                </w:pPr>
                <w:r>
                  <w:rPr>
                    <w:rFonts w:cs="Times New Roman"/>
                  </w:rPr>
                  <w:t>5,725,452.91</w:t>
                </w:r>
              </w:p>
            </w:tc>
            <w:tc>
              <w:tcPr>
                <w:tcW w:w="931" w:type="pct"/>
                <w:vAlign w:val="center"/>
              </w:tcPr>
              <w:p w14:paraId="6A564CB8">
                <w:pPr>
                  <w:rPr>
                    <w:rFonts w:cs="Times New Roman"/>
                  </w:rPr>
                </w:pPr>
                <w:r>
                  <w:rPr>
                    <w:rFonts w:cs="Times New Roman"/>
                  </w:rPr>
                  <w:t>专项研发项目</w:t>
                </w:r>
              </w:p>
            </w:tc>
          </w:tr>
        </w:sdtContent>
      </w:sdt>
      <w:sdt>
        <w:sdtPr>
          <w:rPr>
            <w:rFonts w:cs="Times New Roman"/>
            <w:color w:val="000000" w:themeColor="text1"/>
            <w14:textFill>
              <w14:solidFill>
                <w14:schemeClr w14:val="tx1"/>
              </w14:solidFill>
            </w14:textFill>
          </w:rPr>
          <w:alias w:val="专项应付款明细"/>
          <w:tag w:val="_GBC_cc0d870710d646f3adaaac92c6d0ce7e"/>
          <w:id w:val="-181436583"/>
          <w:placeholder>
            <w:docPart w:val="{cb4e2310-4ef5-44b4-9419-d1b794171c78}"/>
          </w:placeholder>
        </w:sdtPr>
        <w:sdtEndPr>
          <w:rPr>
            <w:rFonts w:cs="Times New Roman"/>
            <w:color w:val="000000" w:themeColor="text1"/>
            <w14:textFill>
              <w14:solidFill>
                <w14:schemeClr w14:val="tx1"/>
              </w14:solidFill>
            </w14:textFill>
          </w:rPr>
        </w:sdtEndPr>
        <w:sdtContent>
          <w:tr w14:paraId="227AA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12" w:type="pct"/>
                <w:vAlign w:val="center"/>
              </w:tcPr>
              <w:p w14:paraId="54711F7F">
                <w:pPr>
                  <w:ind w:right="105"/>
                  <w:rPr>
                    <w:rFonts w:cs="Times New Roman"/>
                  </w:rPr>
                </w:pPr>
                <w:r>
                  <w:rPr>
                    <w:rFonts w:cs="Times New Roman"/>
                  </w:rPr>
                  <w:t>功能性纺织产品研发关键技术研究应用</w:t>
                </w:r>
              </w:p>
            </w:tc>
            <w:tc>
              <w:tcPr>
                <w:tcW w:w="812" w:type="pct"/>
                <w:vAlign w:val="center"/>
              </w:tcPr>
              <w:p w14:paraId="1685AFE4">
                <w:pPr>
                  <w:ind w:right="73"/>
                  <w:jc w:val="right"/>
                  <w:rPr>
                    <w:rFonts w:cs="Times New Roman"/>
                  </w:rPr>
                </w:pPr>
                <w:r>
                  <w:rPr>
                    <w:rFonts w:cs="Times New Roman"/>
                  </w:rPr>
                  <w:t>328,600.00</w:t>
                </w:r>
              </w:p>
            </w:tc>
            <w:tc>
              <w:tcPr>
                <w:tcW w:w="792" w:type="pct"/>
                <w:vAlign w:val="center"/>
              </w:tcPr>
              <w:p w14:paraId="0A63A14B">
                <w:pPr>
                  <w:jc w:val="right"/>
                  <w:rPr>
                    <w:rFonts w:cs="Times New Roman"/>
                  </w:rPr>
                </w:pPr>
              </w:p>
            </w:tc>
            <w:tc>
              <w:tcPr>
                <w:tcW w:w="829" w:type="pct"/>
                <w:vAlign w:val="center"/>
              </w:tcPr>
              <w:p w14:paraId="57FA406C">
                <w:pPr>
                  <w:jc w:val="right"/>
                  <w:rPr>
                    <w:rFonts w:cs="Times New Roman"/>
                  </w:rPr>
                </w:pPr>
              </w:p>
            </w:tc>
            <w:tc>
              <w:tcPr>
                <w:tcW w:w="821" w:type="pct"/>
                <w:vAlign w:val="center"/>
              </w:tcPr>
              <w:p w14:paraId="02232CF7">
                <w:pPr>
                  <w:ind w:right="73"/>
                  <w:jc w:val="right"/>
                  <w:rPr>
                    <w:rFonts w:cs="Times New Roman"/>
                  </w:rPr>
                </w:pPr>
                <w:r>
                  <w:rPr>
                    <w:rFonts w:cs="Times New Roman"/>
                  </w:rPr>
                  <w:t>328,600.00</w:t>
                </w:r>
              </w:p>
            </w:tc>
            <w:tc>
              <w:tcPr>
                <w:tcW w:w="931" w:type="pct"/>
                <w:vAlign w:val="center"/>
              </w:tcPr>
              <w:p w14:paraId="02CB47E1">
                <w:pPr>
                  <w:rPr>
                    <w:rFonts w:cs="Times New Roman"/>
                  </w:rPr>
                </w:pPr>
                <w:r>
                  <w:rPr>
                    <w:rFonts w:cs="Times New Roman"/>
                  </w:rPr>
                  <w:t>功能性纺织产品研发关键技术研究运用专项资金</w:t>
                </w:r>
              </w:p>
            </w:tc>
          </w:tr>
        </w:sdtContent>
      </w:sdt>
      <w:sdt>
        <w:sdtPr>
          <w:rPr>
            <w:rFonts w:cs="Times New Roman"/>
            <w:color w:val="000000" w:themeColor="text1"/>
            <w14:textFill>
              <w14:solidFill>
                <w14:schemeClr w14:val="tx1"/>
              </w14:solidFill>
            </w14:textFill>
          </w:rPr>
          <w:alias w:val="专项应付款明细"/>
          <w:tag w:val="_GBC_cc0d870710d646f3adaaac92c6d0ce7e"/>
          <w:id w:val="-839766739"/>
          <w:placeholder>
            <w:docPart w:val="{cb4e2310-4ef5-44b4-9419-d1b794171c78}"/>
          </w:placeholder>
        </w:sdtPr>
        <w:sdtEndPr>
          <w:rPr>
            <w:rFonts w:cs="Times New Roman"/>
            <w:color w:val="000000" w:themeColor="text1"/>
            <w14:textFill>
              <w14:solidFill>
                <w14:schemeClr w14:val="tx1"/>
              </w14:solidFill>
            </w14:textFill>
          </w:rPr>
        </w:sdtEndPr>
        <w:sdtContent>
          <w:tr w14:paraId="5D66C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12" w:type="pct"/>
                <w:vAlign w:val="center"/>
              </w:tcPr>
              <w:p w14:paraId="768E14E5">
                <w:pPr>
                  <w:ind w:right="105"/>
                  <w:rPr>
                    <w:rFonts w:cs="Times New Roman"/>
                  </w:rPr>
                </w:pPr>
                <w:r>
                  <w:rPr>
                    <w:rFonts w:cs="Times New Roman"/>
                  </w:rPr>
                  <w:t>2024NC065冲击防护用保暖三维间隔织物面料产品开发</w:t>
                </w:r>
              </w:p>
            </w:tc>
            <w:tc>
              <w:tcPr>
                <w:tcW w:w="812" w:type="pct"/>
                <w:vAlign w:val="center"/>
              </w:tcPr>
              <w:p w14:paraId="6F265DF7">
                <w:pPr>
                  <w:ind w:right="73"/>
                  <w:jc w:val="right"/>
                  <w:rPr>
                    <w:rFonts w:cs="Times New Roman"/>
                  </w:rPr>
                </w:pPr>
                <w:r>
                  <w:rPr>
                    <w:rFonts w:cs="Times New Roman"/>
                  </w:rPr>
                  <w:t>260,000.00</w:t>
                </w:r>
              </w:p>
            </w:tc>
            <w:tc>
              <w:tcPr>
                <w:tcW w:w="792" w:type="pct"/>
                <w:vAlign w:val="center"/>
              </w:tcPr>
              <w:p w14:paraId="5E40CA69">
                <w:pPr>
                  <w:jc w:val="right"/>
                  <w:rPr>
                    <w:rFonts w:cs="Times New Roman"/>
                  </w:rPr>
                </w:pPr>
              </w:p>
            </w:tc>
            <w:tc>
              <w:tcPr>
                <w:tcW w:w="829" w:type="pct"/>
                <w:vAlign w:val="center"/>
              </w:tcPr>
              <w:p w14:paraId="5A181732">
                <w:pPr>
                  <w:jc w:val="right"/>
                  <w:rPr>
                    <w:rFonts w:cs="Times New Roman"/>
                  </w:rPr>
                </w:pPr>
                <w:r>
                  <w:rPr>
                    <w:rFonts w:cs="Times New Roman"/>
                  </w:rPr>
                  <w:t>168,141.50</w:t>
                </w:r>
              </w:p>
            </w:tc>
            <w:tc>
              <w:tcPr>
                <w:tcW w:w="821" w:type="pct"/>
                <w:vAlign w:val="center"/>
              </w:tcPr>
              <w:p w14:paraId="19A1BB74">
                <w:pPr>
                  <w:ind w:right="73"/>
                  <w:jc w:val="right"/>
                  <w:rPr>
                    <w:rFonts w:cs="Times New Roman"/>
                  </w:rPr>
                </w:pPr>
                <w:r>
                  <w:rPr>
                    <w:rFonts w:cs="Times New Roman"/>
                  </w:rPr>
                  <w:t>91,858.50</w:t>
                </w:r>
              </w:p>
            </w:tc>
            <w:tc>
              <w:tcPr>
                <w:tcW w:w="931" w:type="pct"/>
                <w:vAlign w:val="center"/>
              </w:tcPr>
              <w:p w14:paraId="79300542">
                <w:pPr>
                  <w:rPr>
                    <w:rFonts w:cs="Times New Roman"/>
                  </w:rPr>
                </w:pPr>
                <w:r>
                  <w:rPr>
                    <w:rFonts w:cs="Times New Roman"/>
                  </w:rPr>
                  <w:t>2024NC065冲击防护用保暖三维间隔织物面料产品开发专项资金</w:t>
                </w:r>
              </w:p>
            </w:tc>
          </w:tr>
        </w:sdtContent>
      </w:sdt>
      <w:sdt>
        <w:sdtPr>
          <w:rPr>
            <w:rFonts w:cs="Times New Roman"/>
            <w:color w:val="000000" w:themeColor="text1"/>
            <w14:textFill>
              <w14:solidFill>
                <w14:schemeClr w14:val="tx1"/>
              </w14:solidFill>
            </w14:textFill>
          </w:rPr>
          <w:alias w:val="专项应付款明细"/>
          <w:tag w:val="_GBC_cc0d870710d646f3adaaac92c6d0ce7e"/>
          <w:id w:val="1852601393"/>
          <w:placeholder>
            <w:docPart w:val="{cb4e2310-4ef5-44b4-9419-d1b794171c78}"/>
          </w:placeholder>
        </w:sdtPr>
        <w:sdtEndPr>
          <w:rPr>
            <w:rFonts w:cs="Times New Roman"/>
            <w:color w:val="000000" w:themeColor="text1"/>
            <w14:textFill>
              <w14:solidFill>
                <w14:schemeClr w14:val="tx1"/>
              </w14:solidFill>
            </w14:textFill>
          </w:rPr>
        </w:sdtEndPr>
        <w:sdtContent>
          <w:tr w14:paraId="32D9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12" w:type="pct"/>
                <w:vAlign w:val="center"/>
              </w:tcPr>
              <w:p w14:paraId="6942573A">
                <w:pPr>
                  <w:ind w:right="105"/>
                  <w:rPr>
                    <w:rFonts w:cs="Times New Roman"/>
                  </w:rPr>
                </w:pPr>
                <w:r>
                  <w:rPr>
                    <w:rFonts w:cs="Times New Roman"/>
                  </w:rPr>
                  <w:t>其他</w:t>
                </w:r>
              </w:p>
            </w:tc>
            <w:tc>
              <w:tcPr>
                <w:tcW w:w="812" w:type="pct"/>
                <w:vAlign w:val="center"/>
              </w:tcPr>
              <w:p w14:paraId="6CE03568">
                <w:pPr>
                  <w:ind w:right="73"/>
                  <w:jc w:val="right"/>
                  <w:rPr>
                    <w:rFonts w:cs="Times New Roman"/>
                  </w:rPr>
                </w:pPr>
                <w:r>
                  <w:rPr>
                    <w:rFonts w:cs="Times New Roman"/>
                  </w:rPr>
                  <w:t>40,584.79</w:t>
                </w:r>
              </w:p>
            </w:tc>
            <w:tc>
              <w:tcPr>
                <w:tcW w:w="792" w:type="pct"/>
                <w:vAlign w:val="center"/>
              </w:tcPr>
              <w:p w14:paraId="019D0075">
                <w:pPr>
                  <w:jc w:val="right"/>
                  <w:rPr>
                    <w:rFonts w:cs="Times New Roman"/>
                  </w:rPr>
                </w:pPr>
                <w:r>
                  <w:rPr>
                    <w:rFonts w:cs="Times New Roman"/>
                  </w:rPr>
                  <w:t>225,000.00</w:t>
                </w:r>
              </w:p>
            </w:tc>
            <w:tc>
              <w:tcPr>
                <w:tcW w:w="829" w:type="pct"/>
                <w:vAlign w:val="center"/>
              </w:tcPr>
              <w:p w14:paraId="5648DB77">
                <w:pPr>
                  <w:jc w:val="right"/>
                  <w:rPr>
                    <w:rFonts w:cs="Times New Roman"/>
                  </w:rPr>
                </w:pPr>
                <w:r>
                  <w:rPr>
                    <w:rFonts w:cs="Times New Roman"/>
                  </w:rPr>
                  <w:t>104,314.96</w:t>
                </w:r>
              </w:p>
            </w:tc>
            <w:tc>
              <w:tcPr>
                <w:tcW w:w="821" w:type="pct"/>
                <w:vAlign w:val="center"/>
              </w:tcPr>
              <w:p w14:paraId="7DD1A7BA">
                <w:pPr>
                  <w:ind w:right="73"/>
                  <w:jc w:val="right"/>
                  <w:rPr>
                    <w:rFonts w:cs="Times New Roman"/>
                  </w:rPr>
                </w:pPr>
                <w:r>
                  <w:rPr>
                    <w:rFonts w:cs="Times New Roman"/>
                  </w:rPr>
                  <w:t>161,269.83</w:t>
                </w:r>
              </w:p>
            </w:tc>
            <w:tc>
              <w:tcPr>
                <w:tcW w:w="931" w:type="pct"/>
                <w:vAlign w:val="center"/>
              </w:tcPr>
              <w:p w14:paraId="07BBB32B">
                <w:pPr>
                  <w:rPr>
                    <w:rFonts w:cs="Times New Roman"/>
                  </w:rPr>
                </w:pPr>
                <w:r>
                  <w:rPr>
                    <w:rFonts w:cs="Times New Roman"/>
                  </w:rPr>
                  <w:t>专项资金</w:t>
                </w:r>
              </w:p>
            </w:tc>
          </w:tr>
        </w:sdtContent>
      </w:sdt>
      <w:tr w14:paraId="3F5E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cs="Times New Roman"/>
            </w:rPr>
            <w:tag w:val="_PLD_b9429a61eab944fab8cf1cb493279d7f"/>
            <w:id w:val="-1000734913"/>
          </w:sdtPr>
          <w:sdtEndPr>
            <w:rPr>
              <w:rFonts w:cs="Times New Roman"/>
            </w:rPr>
          </w:sdtEndPr>
          <w:sdtContent>
            <w:tc>
              <w:tcPr>
                <w:tcW w:w="812" w:type="pct"/>
                <w:vAlign w:val="center"/>
              </w:tcPr>
              <w:p w14:paraId="79C39B08">
                <w:pPr>
                  <w:ind w:right="105"/>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c>
          <w:tcPr>
            <w:tcW w:w="812" w:type="pct"/>
            <w:vAlign w:val="center"/>
          </w:tcPr>
          <w:p w14:paraId="27CC48D2">
            <w:pPr>
              <w:ind w:right="73"/>
              <w:jc w:val="right"/>
              <w:rPr>
                <w:rFonts w:cs="Times New Roman"/>
              </w:rPr>
            </w:pPr>
            <w:r>
              <w:rPr>
                <w:rFonts w:cs="Times New Roman"/>
              </w:rPr>
              <w:t>42,002,615.37</w:t>
            </w:r>
          </w:p>
        </w:tc>
        <w:tc>
          <w:tcPr>
            <w:tcW w:w="792" w:type="pct"/>
            <w:vAlign w:val="center"/>
          </w:tcPr>
          <w:p w14:paraId="22F5903E">
            <w:pPr>
              <w:jc w:val="right"/>
              <w:rPr>
                <w:rFonts w:cs="Times New Roman"/>
              </w:rPr>
            </w:pPr>
            <w:r>
              <w:rPr>
                <w:rFonts w:cs="Times New Roman"/>
              </w:rPr>
              <w:t>9,826,914.00</w:t>
            </w:r>
          </w:p>
        </w:tc>
        <w:tc>
          <w:tcPr>
            <w:tcW w:w="829" w:type="pct"/>
            <w:vAlign w:val="center"/>
          </w:tcPr>
          <w:p w14:paraId="5FEF558C">
            <w:pPr>
              <w:jc w:val="right"/>
              <w:rPr>
                <w:rFonts w:cs="Times New Roman"/>
              </w:rPr>
            </w:pPr>
            <w:r>
              <w:rPr>
                <w:rFonts w:cs="Times New Roman"/>
              </w:rPr>
              <w:t>9,925,317.55</w:t>
            </w:r>
          </w:p>
        </w:tc>
        <w:tc>
          <w:tcPr>
            <w:tcW w:w="821" w:type="pct"/>
            <w:vAlign w:val="center"/>
          </w:tcPr>
          <w:p w14:paraId="4B612871">
            <w:pPr>
              <w:ind w:right="73"/>
              <w:jc w:val="right"/>
              <w:rPr>
                <w:rFonts w:cs="Times New Roman"/>
              </w:rPr>
            </w:pPr>
            <w:r>
              <w:rPr>
                <w:rFonts w:cs="Times New Roman"/>
              </w:rPr>
              <w:t>41,904,211.82</w:t>
            </w:r>
          </w:p>
        </w:tc>
        <w:tc>
          <w:tcPr>
            <w:tcW w:w="931" w:type="pct"/>
            <w:vAlign w:val="center"/>
          </w:tcPr>
          <w:p w14:paraId="1D5B6027">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bl>
    <w:p w14:paraId="5B859FD5">
      <w:pPr>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专项应付款的说明"/>
        <w:tag w:val="_GBC_f206cf7fcce64722bbdcfc85a058978b"/>
        <w:id w:val="2045632924"/>
      </w:sdtPr>
      <w:sdtEndPr>
        <w:rPr>
          <w:color w:val="000000" w:themeColor="text1"/>
          <w14:textFill>
            <w14:solidFill>
              <w14:schemeClr w14:val="tx1"/>
            </w14:solidFill>
          </w14:textFill>
        </w:rPr>
      </w:sdtEndPr>
      <w:sdtContent>
        <w:p w14:paraId="4746A7E8">
          <w:pPr>
            <w:snapToGrid w:val="0"/>
            <w:rPr>
              <w:color w:val="000000" w:themeColor="text1"/>
              <w14:textFill>
                <w14:solidFill>
                  <w14:schemeClr w14:val="tx1"/>
                </w14:solidFill>
              </w14:textFill>
            </w:rPr>
          </w:pPr>
          <w:r>
            <w:rPr>
              <w:color w:val="000000" w:themeColor="text1"/>
              <w14:textFill>
                <w14:solidFill>
                  <w14:schemeClr w14:val="tx1"/>
                </w14:solidFill>
              </w14:textFill>
            </w:rPr>
            <w:t>无</w:t>
          </w:r>
        </w:p>
      </w:sdtContent>
    </w:sdt>
    <w:p w14:paraId="114A3B89">
      <w:pPr>
        <w:rPr>
          <w:color w:val="000000" w:themeColor="text1"/>
          <w14:textFill>
            <w14:solidFill>
              <w14:schemeClr w14:val="tx1"/>
            </w14:solidFill>
          </w14:textFill>
        </w:rPr>
      </w:pPr>
    </w:p>
    <w:p w14:paraId="3C87DFC4">
      <w:pPr>
        <w:rPr>
          <w:color w:val="000000" w:themeColor="text1"/>
          <w14:textFill>
            <w14:solidFill>
              <w14:schemeClr w14:val="tx1"/>
            </w14:solidFill>
          </w14:textFill>
        </w:rPr>
      </w:pPr>
    </w:p>
    <w:p w14:paraId="711DC474">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长期应付职工薪酬</w:t>
      </w:r>
    </w:p>
    <w:sdt>
      <w:sdtPr>
        <w:rPr>
          <w:color w:val="000000" w:themeColor="text1"/>
          <w14:textFill>
            <w14:solidFill>
              <w14:schemeClr w14:val="tx1"/>
            </w14:solidFill>
          </w14:textFill>
        </w:rPr>
        <w:alias w:val="是否适用：长期应付职工薪酬[双击切换]"/>
        <w:tag w:val="_GBC_077559b601814bb38f16734f98e8c045"/>
        <w:id w:val="147473454"/>
        <w:placeholder>
          <w:docPart w:val="GBC22222222222222222222222222222"/>
        </w:placeholder>
      </w:sdtPr>
      <w:sdtEndPr>
        <w:rPr>
          <w:color w:val="000000" w:themeColor="text1"/>
          <w14:textFill>
            <w14:solidFill>
              <w14:schemeClr w14:val="tx1"/>
            </w14:solidFill>
          </w14:textFill>
        </w:rPr>
      </w:sdtEndPr>
      <w:sdtContent>
        <w:p w14:paraId="2846835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0BD95D1">
      <w:pPr>
        <w:pStyle w:val="58"/>
        <w:numPr>
          <w:ilvl w:val="0"/>
          <w:numId w:val="8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长期应付职工薪酬表</w:t>
      </w:r>
    </w:p>
    <w:sdt>
      <w:sdtPr>
        <w:rPr>
          <w:color w:val="000000" w:themeColor="text1"/>
          <w14:textFill>
            <w14:solidFill>
              <w14:schemeClr w14:val="tx1"/>
            </w14:solidFill>
          </w14:textFill>
        </w:rPr>
        <w:alias w:val="是否适用：长期应付职工薪酬表[双击切换]"/>
        <w:tag w:val="_GBC_7391cd215aaf4a7595c44b639646aa7a"/>
        <w:id w:val="147475442"/>
        <w:placeholder>
          <w:docPart w:val="GBC22222222222222222222222222222"/>
        </w:placeholder>
      </w:sdtPr>
      <w:sdtEndPr>
        <w:rPr>
          <w:color w:val="000000" w:themeColor="text1"/>
          <w14:textFill>
            <w14:solidFill>
              <w14:schemeClr w14:val="tx1"/>
            </w14:solidFill>
          </w14:textFill>
        </w:rPr>
      </w:sdtEndPr>
      <w:sdtContent>
        <w:p w14:paraId="2CF902F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8CA3813">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长期应付职工薪酬"/>
          <w:tag w:val="_GBC_9da16ecedc40480a9563f61db11afc75"/>
          <w:id w:val="1474812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长期应付职工薪酬"/>
          <w:tag w:val="_GBC_4b18e9847cbc49689b57ca163e3c5f6f"/>
          <w:id w:val="1474711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5"/>
        <w:gridCol w:w="2630"/>
        <w:gridCol w:w="2764"/>
      </w:tblGrid>
      <w:tr w14:paraId="2D05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d74fa482412415587e08c0e74b1531a"/>
            <w:id w:val="147479341"/>
          </w:sdtPr>
          <w:sdtContent>
            <w:tc>
              <w:tcPr>
                <w:tcW w:w="2020" w:type="pct"/>
                <w:vAlign w:val="center"/>
              </w:tcPr>
              <w:p w14:paraId="599D0C8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d4b575d8eb6648c09575eeeca2ce8fae"/>
            <w:id w:val="147472824"/>
          </w:sdtPr>
          <w:sdtContent>
            <w:tc>
              <w:tcPr>
                <w:tcW w:w="1453" w:type="pct"/>
                <w:vAlign w:val="center"/>
              </w:tcPr>
              <w:p w14:paraId="469E114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686b97eea8314637bed99bbd2be9e3af"/>
            <w:id w:val="147468574"/>
          </w:sdtPr>
          <w:sdtContent>
            <w:tc>
              <w:tcPr>
                <w:tcW w:w="1527" w:type="pct"/>
                <w:vAlign w:val="center"/>
              </w:tcPr>
              <w:p w14:paraId="325A9C1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0446D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0" w:type="pct"/>
          </w:tcPr>
          <w:p w14:paraId="75F31436">
            <w:pPr>
              <w:rPr>
                <w:color w:val="000000" w:themeColor="text1"/>
                <w14:textFill>
                  <w14:solidFill>
                    <w14:schemeClr w14:val="tx1"/>
                  </w14:solidFill>
                </w14:textFill>
              </w:rPr>
            </w:pPr>
            <w:r>
              <w:rPr>
                <w:rFonts w:hint="eastAsia"/>
                <w:color w:val="000000" w:themeColor="text1"/>
                <w14:textFill>
                  <w14:solidFill>
                    <w14:schemeClr w14:val="tx1"/>
                  </w14:solidFill>
                </w14:textFill>
              </w:rPr>
              <w:t>一、离职后福利-设定受益计划净负债</w:t>
            </w:r>
          </w:p>
        </w:tc>
        <w:tc>
          <w:tcPr>
            <w:tcW w:w="1453" w:type="pct"/>
            <w:vAlign w:val="center"/>
          </w:tcPr>
          <w:p w14:paraId="43F0117D">
            <w:pPr>
              <w:jc w:val="right"/>
              <w:textAlignment w:val="center"/>
              <w:rPr>
                <w:rFonts w:cs="Times New Roman"/>
              </w:rPr>
            </w:pPr>
            <w:r>
              <w:rPr>
                <w:rFonts w:cs="Times New Roman"/>
                <w:color w:val="000000"/>
              </w:rPr>
              <w:t>329,144,420.44</w:t>
            </w:r>
          </w:p>
        </w:tc>
        <w:tc>
          <w:tcPr>
            <w:tcW w:w="1527" w:type="pct"/>
            <w:vAlign w:val="center"/>
          </w:tcPr>
          <w:p w14:paraId="5E278C57">
            <w:pPr>
              <w:jc w:val="right"/>
              <w:textAlignment w:val="center"/>
              <w:rPr>
                <w:rFonts w:cs="Times New Roman"/>
              </w:rPr>
            </w:pPr>
            <w:r>
              <w:rPr>
                <w:rFonts w:cs="Times New Roman"/>
                <w:color w:val="000000"/>
              </w:rPr>
              <w:t>343,793,614.00</w:t>
            </w:r>
          </w:p>
        </w:tc>
      </w:tr>
      <w:tr w14:paraId="7012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0" w:type="pct"/>
          </w:tcPr>
          <w:p w14:paraId="1B06C77D">
            <w:pPr>
              <w:rPr>
                <w:color w:val="000000" w:themeColor="text1"/>
                <w14:textFill>
                  <w14:solidFill>
                    <w14:schemeClr w14:val="tx1"/>
                  </w14:solidFill>
                </w14:textFill>
              </w:rPr>
            </w:pPr>
            <w:r>
              <w:rPr>
                <w:rFonts w:hint="eastAsia"/>
                <w:color w:val="000000" w:themeColor="text1"/>
                <w14:textFill>
                  <w14:solidFill>
                    <w14:schemeClr w14:val="tx1"/>
                  </w14:solidFill>
                </w14:textFill>
              </w:rPr>
              <w:t>二、辞退福利</w:t>
            </w:r>
          </w:p>
        </w:tc>
        <w:tc>
          <w:tcPr>
            <w:tcW w:w="1453" w:type="pct"/>
            <w:vAlign w:val="center"/>
          </w:tcPr>
          <w:p w14:paraId="5706801E">
            <w:pPr>
              <w:jc w:val="right"/>
              <w:textAlignment w:val="center"/>
              <w:rPr>
                <w:rFonts w:cs="Times New Roman"/>
              </w:rPr>
            </w:pPr>
            <w:r>
              <w:rPr>
                <w:rFonts w:cs="Times New Roman"/>
                <w:color w:val="000000"/>
              </w:rPr>
              <w:t>7,440,571.46</w:t>
            </w:r>
          </w:p>
        </w:tc>
        <w:tc>
          <w:tcPr>
            <w:tcW w:w="1527" w:type="pct"/>
            <w:vAlign w:val="center"/>
          </w:tcPr>
          <w:p w14:paraId="7863938E">
            <w:pPr>
              <w:jc w:val="right"/>
              <w:textAlignment w:val="center"/>
              <w:rPr>
                <w:rFonts w:cs="Times New Roman"/>
              </w:rPr>
            </w:pPr>
            <w:r>
              <w:rPr>
                <w:rFonts w:cs="Times New Roman"/>
                <w:color w:val="000000"/>
              </w:rPr>
              <w:t>7,624,000.00</w:t>
            </w:r>
          </w:p>
        </w:tc>
      </w:tr>
      <w:tr w14:paraId="1A4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0" w:type="pct"/>
          </w:tcPr>
          <w:p w14:paraId="01454346">
            <w:pPr>
              <w:rPr>
                <w:color w:val="000000" w:themeColor="text1"/>
                <w14:textFill>
                  <w14:solidFill>
                    <w14:schemeClr w14:val="tx1"/>
                  </w14:solidFill>
                </w14:textFill>
              </w:rPr>
            </w:pPr>
            <w:r>
              <w:rPr>
                <w:rFonts w:hint="eastAsia"/>
                <w:color w:val="000000" w:themeColor="text1"/>
                <w14:textFill>
                  <w14:solidFill>
                    <w14:schemeClr w14:val="tx1"/>
                  </w14:solidFill>
                </w14:textFill>
              </w:rPr>
              <w:t>三、其他长期福利</w:t>
            </w:r>
          </w:p>
        </w:tc>
        <w:tc>
          <w:tcPr>
            <w:tcW w:w="1453" w:type="pct"/>
            <w:vAlign w:val="center"/>
          </w:tcPr>
          <w:p w14:paraId="2CDCAFBB">
            <w:pPr>
              <w:jc w:val="right"/>
              <w:textAlignment w:val="center"/>
              <w:rPr>
                <w:rFonts w:cs="Times New Roman"/>
              </w:rPr>
            </w:pPr>
            <w:r>
              <w:rPr>
                <w:rFonts w:cs="Times New Roman"/>
                <w:color w:val="000000"/>
              </w:rPr>
              <w:t>-13,973,099.16</w:t>
            </w:r>
          </w:p>
        </w:tc>
        <w:tc>
          <w:tcPr>
            <w:tcW w:w="1527" w:type="pct"/>
            <w:vAlign w:val="center"/>
          </w:tcPr>
          <w:p w14:paraId="6E9B880F">
            <w:pPr>
              <w:jc w:val="right"/>
              <w:textAlignment w:val="center"/>
              <w:rPr>
                <w:rFonts w:cs="Times New Roman"/>
              </w:rPr>
            </w:pPr>
            <w:r>
              <w:rPr>
                <w:rFonts w:cs="Times New Roman"/>
                <w:color w:val="000000"/>
              </w:rPr>
              <w:t>-31,369,567.00</w:t>
            </w:r>
          </w:p>
        </w:tc>
      </w:tr>
      <w:tr w14:paraId="6072A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0" w:type="pct"/>
            <w:vAlign w:val="center"/>
          </w:tcPr>
          <w:p w14:paraId="4EE8465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453" w:type="pct"/>
            <w:vAlign w:val="center"/>
          </w:tcPr>
          <w:p w14:paraId="6A8CF088">
            <w:pPr>
              <w:jc w:val="right"/>
              <w:textAlignment w:val="center"/>
              <w:rPr>
                <w:rFonts w:cs="Times New Roman"/>
              </w:rPr>
            </w:pPr>
            <w:r>
              <w:rPr>
                <w:rFonts w:cs="Times New Roman"/>
                <w:color w:val="000000"/>
              </w:rPr>
              <w:t>322,611,892.74</w:t>
            </w:r>
          </w:p>
        </w:tc>
        <w:tc>
          <w:tcPr>
            <w:tcW w:w="1527" w:type="pct"/>
            <w:vAlign w:val="center"/>
          </w:tcPr>
          <w:p w14:paraId="0D0F6101">
            <w:pPr>
              <w:jc w:val="right"/>
              <w:textAlignment w:val="center"/>
              <w:rPr>
                <w:rFonts w:cs="Times New Roman"/>
              </w:rPr>
            </w:pPr>
            <w:r>
              <w:rPr>
                <w:rFonts w:cs="Times New Roman"/>
                <w:color w:val="000000"/>
              </w:rPr>
              <w:t>320,048,047.00</w:t>
            </w:r>
          </w:p>
        </w:tc>
      </w:tr>
    </w:tbl>
    <w:p w14:paraId="02337457">
      <w:pPr>
        <w:rPr>
          <w:color w:val="000000" w:themeColor="text1"/>
          <w14:textFill>
            <w14:solidFill>
              <w14:schemeClr w14:val="tx1"/>
            </w14:solidFill>
          </w14:textFill>
        </w:rPr>
      </w:pPr>
    </w:p>
    <w:p w14:paraId="444A6093">
      <w:pPr>
        <w:pStyle w:val="58"/>
        <w:numPr>
          <w:ilvl w:val="0"/>
          <w:numId w:val="8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设定受益计划变动情况</w:t>
      </w:r>
    </w:p>
    <w:p w14:paraId="245387A8">
      <w:pPr>
        <w:rPr>
          <w:color w:val="000000" w:themeColor="text1"/>
          <w14:textFill>
            <w14:solidFill>
              <w14:schemeClr w14:val="tx1"/>
            </w14:solidFill>
          </w14:textFill>
        </w:rPr>
      </w:pPr>
      <w:r>
        <w:rPr>
          <w:rFonts w:hint="eastAsia"/>
          <w:color w:val="000000" w:themeColor="text1"/>
          <w14:textFill>
            <w14:solidFill>
              <w14:schemeClr w14:val="tx1"/>
            </w14:solidFill>
          </w14:textFill>
        </w:rPr>
        <w:t>设定受益计划义务现值：</w:t>
      </w:r>
    </w:p>
    <w:sdt>
      <w:sdtPr>
        <w:rPr>
          <w:color w:val="000000" w:themeColor="text1"/>
          <w14:textFill>
            <w14:solidFill>
              <w14:schemeClr w14:val="tx1"/>
            </w14:solidFill>
          </w14:textFill>
        </w:rPr>
        <w:alias w:val="是否适用：设定受益计划义务现值[双击切换]"/>
        <w:tag w:val="_GBC_c4bc86b406e44d69b9ab0374bad05246"/>
        <w:id w:val="2077167342"/>
      </w:sdtPr>
      <w:sdtEndPr>
        <w:rPr>
          <w:color w:val="000000" w:themeColor="text1"/>
          <w14:textFill>
            <w14:solidFill>
              <w14:schemeClr w14:val="tx1"/>
            </w14:solidFill>
          </w14:textFill>
        </w:rPr>
      </w:sdtEndPr>
      <w:sdtContent>
        <w:p w14:paraId="1DF8A45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3271D042">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设定受益计划义务现值"/>
          <w:tag w:val="_GBC_b0c9e6ca28a2421c9518371c2be78bd5"/>
          <w:id w:val="228965718"/>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设定受益计划义务现值"/>
          <w:tag w:val="_GBC_7f65fb2b67b845e9afe96325d0d11808"/>
          <w:id w:val="3154513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1"/>
        <w:gridCol w:w="2785"/>
        <w:gridCol w:w="2783"/>
      </w:tblGrid>
      <w:tr w14:paraId="7D6BE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84c74226f1574a22ae5617c1cc5d2a1e"/>
            <w:id w:val="-1819489365"/>
          </w:sdtPr>
          <w:sdtContent>
            <w:tc>
              <w:tcPr>
                <w:tcW w:w="1923" w:type="pct"/>
                <w:vAlign w:val="center"/>
              </w:tcPr>
              <w:p w14:paraId="5DB66BD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6fe51f04c3fe45b7b35326132992646b"/>
            <w:id w:val="-716662374"/>
          </w:sdtPr>
          <w:sdtContent>
            <w:tc>
              <w:tcPr>
                <w:tcW w:w="1538" w:type="pct"/>
                <w:vAlign w:val="center"/>
              </w:tcPr>
              <w:p w14:paraId="438B69A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6fe47bc6584f4f9eb937a9db9062e226"/>
            <w:id w:val="-9998491"/>
          </w:sdtPr>
          <w:sdtContent>
            <w:tc>
              <w:tcPr>
                <w:tcW w:w="1537" w:type="pct"/>
                <w:vAlign w:val="center"/>
              </w:tcPr>
              <w:p w14:paraId="12E770C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tr>
      <w:tr w14:paraId="7806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a962937a21d464a8d71bfbe0424670e"/>
            <w:id w:val="-571354881"/>
          </w:sdtPr>
          <w:sdtContent>
            <w:tc>
              <w:tcPr>
                <w:tcW w:w="1923" w:type="pct"/>
                <w:vAlign w:val="center"/>
              </w:tcPr>
              <w:p w14:paraId="4DFE87E7">
                <w:pPr>
                  <w:rPr>
                    <w:color w:val="000000" w:themeColor="text1"/>
                    <w14:textFill>
                      <w14:solidFill>
                        <w14:schemeClr w14:val="tx1"/>
                      </w14:solidFill>
                    </w14:textFill>
                  </w:rPr>
                </w:pPr>
                <w:r>
                  <w:rPr>
                    <w:rFonts w:hint="eastAsia"/>
                    <w:color w:val="000000" w:themeColor="text1"/>
                    <w14:textFill>
                      <w14:solidFill>
                        <w14:schemeClr w14:val="tx1"/>
                      </w14:solidFill>
                    </w14:textFill>
                  </w:rPr>
                  <w:t>一、期初余额</w:t>
                </w:r>
              </w:p>
            </w:tc>
          </w:sdtContent>
        </w:sdt>
        <w:tc>
          <w:tcPr>
            <w:tcW w:w="1538" w:type="pct"/>
            <w:vAlign w:val="center"/>
          </w:tcPr>
          <w:p w14:paraId="7E82BB8A">
            <w:pPr>
              <w:jc w:val="right"/>
              <w:rPr>
                <w:rFonts w:cs="Times New Roman"/>
              </w:rPr>
            </w:pPr>
            <w:r>
              <w:rPr>
                <w:rFonts w:cs="Times New Roman"/>
              </w:rPr>
              <w:t>351,417,614.00</w:t>
            </w:r>
          </w:p>
        </w:tc>
        <w:tc>
          <w:tcPr>
            <w:tcW w:w="1537" w:type="pct"/>
            <w:vAlign w:val="center"/>
          </w:tcPr>
          <w:p w14:paraId="421C7ABB">
            <w:pPr>
              <w:jc w:val="right"/>
              <w:rPr>
                <w:rFonts w:cs="Times New Roman"/>
              </w:rPr>
            </w:pPr>
            <w:r>
              <w:rPr>
                <w:rFonts w:cs="Times New Roman"/>
              </w:rPr>
              <w:t>360,571,254.00</w:t>
            </w:r>
          </w:p>
        </w:tc>
      </w:tr>
      <w:tr w14:paraId="2F1B3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91694c54b6f44458ef39a8b33707c29"/>
            <w:id w:val="616414447"/>
          </w:sdtPr>
          <w:sdtContent>
            <w:tc>
              <w:tcPr>
                <w:tcW w:w="1923" w:type="pct"/>
              </w:tcPr>
              <w:p w14:paraId="16FC0623">
                <w:pPr>
                  <w:rPr>
                    <w:color w:val="000000" w:themeColor="text1"/>
                    <w14:textFill>
                      <w14:solidFill>
                        <w14:schemeClr w14:val="tx1"/>
                      </w14:solidFill>
                    </w14:textFill>
                  </w:rPr>
                </w:pPr>
                <w:r>
                  <w:rPr>
                    <w:rFonts w:hint="eastAsia"/>
                    <w:color w:val="000000" w:themeColor="text1"/>
                    <w14:textFill>
                      <w14:solidFill>
                        <w14:schemeClr w14:val="tx1"/>
                      </w14:solidFill>
                    </w14:textFill>
                  </w:rPr>
                  <w:t>二、计入当期损益的设定受益成本</w:t>
                </w:r>
              </w:p>
            </w:tc>
          </w:sdtContent>
        </w:sdt>
        <w:tc>
          <w:tcPr>
            <w:tcW w:w="1538" w:type="pct"/>
            <w:vAlign w:val="center"/>
          </w:tcPr>
          <w:p w14:paraId="25265D6A">
            <w:pPr>
              <w:jc w:val="right"/>
              <w:rPr>
                <w:rFonts w:cs="Times New Roman"/>
              </w:rPr>
            </w:pPr>
            <w:r>
              <w:rPr>
                <w:rFonts w:cs="Times New Roman"/>
              </w:rPr>
              <w:t>2,919,750.81</w:t>
            </w:r>
          </w:p>
        </w:tc>
        <w:tc>
          <w:tcPr>
            <w:tcW w:w="1537" w:type="pct"/>
            <w:vAlign w:val="center"/>
          </w:tcPr>
          <w:p w14:paraId="3310FC24">
            <w:pPr>
              <w:jc w:val="right"/>
              <w:rPr>
                <w:rFonts w:cs="Times New Roman"/>
              </w:rPr>
            </w:pPr>
            <w:r>
              <w:rPr>
                <w:rFonts w:cs="Times New Roman"/>
              </w:rPr>
              <w:t>4,288,147.13</w:t>
            </w:r>
          </w:p>
        </w:tc>
      </w:tr>
      <w:tr w14:paraId="40AB8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1321571e94834eea82d242dbd1ffce8e"/>
            <w:id w:val="-1882931308"/>
          </w:sdtPr>
          <w:sdtContent>
            <w:tc>
              <w:tcPr>
                <w:tcW w:w="1923" w:type="pct"/>
              </w:tcPr>
              <w:p w14:paraId="1FFC3BD7">
                <w:pPr>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当期服务成本</w:t>
                </w:r>
              </w:p>
            </w:tc>
          </w:sdtContent>
        </w:sdt>
        <w:tc>
          <w:tcPr>
            <w:tcW w:w="1538" w:type="pct"/>
          </w:tcPr>
          <w:p w14:paraId="402F297A">
            <w:pPr>
              <w:jc w:val="right"/>
              <w:rPr>
                <w:rFonts w:cs="Times New Roman"/>
              </w:rPr>
            </w:pPr>
          </w:p>
        </w:tc>
        <w:tc>
          <w:tcPr>
            <w:tcW w:w="1537" w:type="pct"/>
          </w:tcPr>
          <w:p w14:paraId="14E3E272">
            <w:pPr>
              <w:jc w:val="right"/>
              <w:rPr>
                <w:rFonts w:cs="Times New Roman"/>
              </w:rPr>
            </w:pPr>
          </w:p>
        </w:tc>
      </w:tr>
      <w:tr w14:paraId="5F849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3835dbae78f4139aa449bf2c3c3b8d3"/>
            <w:id w:val="-403915185"/>
          </w:sdtPr>
          <w:sdtContent>
            <w:tc>
              <w:tcPr>
                <w:tcW w:w="1923" w:type="pct"/>
              </w:tcPr>
              <w:p w14:paraId="62C073F6">
                <w:pPr>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过去服务成本</w:t>
                </w:r>
              </w:p>
            </w:tc>
          </w:sdtContent>
        </w:sdt>
        <w:tc>
          <w:tcPr>
            <w:tcW w:w="1538" w:type="pct"/>
          </w:tcPr>
          <w:p w14:paraId="7A4EE0F9">
            <w:pPr>
              <w:jc w:val="right"/>
              <w:rPr>
                <w:rFonts w:cs="Times New Roman"/>
              </w:rPr>
            </w:pPr>
          </w:p>
        </w:tc>
        <w:tc>
          <w:tcPr>
            <w:tcW w:w="1537" w:type="pct"/>
          </w:tcPr>
          <w:p w14:paraId="603B33D3">
            <w:pPr>
              <w:jc w:val="right"/>
              <w:rPr>
                <w:rFonts w:cs="Times New Roman"/>
              </w:rPr>
            </w:pPr>
          </w:p>
        </w:tc>
      </w:tr>
      <w:tr w14:paraId="42002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ff0c1ee7da7435091d0797d53046881"/>
            <w:id w:val="957456341"/>
          </w:sdtPr>
          <w:sdtContent>
            <w:tc>
              <w:tcPr>
                <w:tcW w:w="1923" w:type="pct"/>
              </w:tcPr>
              <w:p w14:paraId="55A40215">
                <w:pPr>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结算利得（损失以“－”表示）</w:t>
                </w:r>
              </w:p>
            </w:tc>
          </w:sdtContent>
        </w:sdt>
        <w:tc>
          <w:tcPr>
            <w:tcW w:w="1538" w:type="pct"/>
          </w:tcPr>
          <w:p w14:paraId="65A931E4">
            <w:pPr>
              <w:jc w:val="right"/>
              <w:rPr>
                <w:rFonts w:cs="Times New Roman"/>
              </w:rPr>
            </w:pPr>
          </w:p>
        </w:tc>
        <w:tc>
          <w:tcPr>
            <w:tcW w:w="1537" w:type="pct"/>
          </w:tcPr>
          <w:p w14:paraId="12476EAF">
            <w:pPr>
              <w:jc w:val="right"/>
              <w:rPr>
                <w:rFonts w:cs="Times New Roman"/>
              </w:rPr>
            </w:pPr>
          </w:p>
        </w:tc>
      </w:tr>
      <w:tr w14:paraId="1E08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fd0a80267714436833bd7083e5853ee"/>
            <w:id w:val="536468823"/>
          </w:sdtPr>
          <w:sdtContent>
            <w:tc>
              <w:tcPr>
                <w:tcW w:w="1923" w:type="pct"/>
              </w:tcPr>
              <w:p w14:paraId="10188B92">
                <w:pPr>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.利息净额</w:t>
                </w:r>
              </w:p>
            </w:tc>
          </w:sdtContent>
        </w:sdt>
        <w:tc>
          <w:tcPr>
            <w:tcW w:w="1538" w:type="pct"/>
            <w:vAlign w:val="center"/>
          </w:tcPr>
          <w:p w14:paraId="5D1FC708">
            <w:pPr>
              <w:jc w:val="right"/>
              <w:rPr>
                <w:rFonts w:cs="Times New Roman"/>
              </w:rPr>
            </w:pPr>
            <w:r>
              <w:rPr>
                <w:rFonts w:cs="Times New Roman"/>
              </w:rPr>
              <w:t>2,919,750.81</w:t>
            </w:r>
          </w:p>
        </w:tc>
        <w:tc>
          <w:tcPr>
            <w:tcW w:w="1537" w:type="pct"/>
            <w:vAlign w:val="center"/>
          </w:tcPr>
          <w:p w14:paraId="5A6C0695">
            <w:pPr>
              <w:jc w:val="right"/>
              <w:rPr>
                <w:rFonts w:cs="Times New Roman"/>
              </w:rPr>
            </w:pPr>
            <w:r>
              <w:rPr>
                <w:rFonts w:cs="Times New Roman"/>
              </w:rPr>
              <w:t>4,288,147.13</w:t>
            </w:r>
          </w:p>
        </w:tc>
      </w:tr>
      <w:tr w14:paraId="6534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3f071c9dd794c1fb00470b92c79bef6"/>
            <w:id w:val="-1404827983"/>
          </w:sdtPr>
          <w:sdtContent>
            <w:tc>
              <w:tcPr>
                <w:tcW w:w="1923" w:type="pct"/>
              </w:tcPr>
              <w:p w14:paraId="0E36F0B2">
                <w:pPr>
                  <w:rPr>
                    <w:color w:val="000000" w:themeColor="text1"/>
                    <w14:textFill>
                      <w14:solidFill>
                        <w14:schemeClr w14:val="tx1"/>
                      </w14:solidFill>
                    </w14:textFill>
                  </w:rPr>
                </w:pPr>
                <w:r>
                  <w:rPr>
                    <w:rFonts w:hint="eastAsia"/>
                    <w:color w:val="000000" w:themeColor="text1"/>
                    <w14:textFill>
                      <w14:solidFill>
                        <w14:schemeClr w14:val="tx1"/>
                      </w14:solidFill>
                    </w14:textFill>
                  </w:rPr>
                  <w:t>三、计入其他综合收益的设定收益成本</w:t>
                </w:r>
              </w:p>
            </w:tc>
          </w:sdtContent>
        </w:sdt>
        <w:tc>
          <w:tcPr>
            <w:tcW w:w="1538" w:type="pct"/>
          </w:tcPr>
          <w:p w14:paraId="264973AD">
            <w:pPr>
              <w:jc w:val="right"/>
              <w:rPr>
                <w:rFonts w:cs="Times New Roman"/>
              </w:rPr>
            </w:pPr>
          </w:p>
        </w:tc>
        <w:tc>
          <w:tcPr>
            <w:tcW w:w="1537" w:type="pct"/>
          </w:tcPr>
          <w:p w14:paraId="1406C17B">
            <w:pPr>
              <w:jc w:val="right"/>
              <w:rPr>
                <w:rFonts w:cs="Times New Roman"/>
              </w:rPr>
            </w:pPr>
          </w:p>
        </w:tc>
      </w:tr>
      <w:sdt>
        <w:sdtPr>
          <w:alias w:val="设定受益计划义务现值-计入其他综合收益的设定收益成本明细"/>
          <w:tag w:val="_GBC_67c47024df97426aa5b7c5bd281f18d8"/>
          <w:id w:val="665065932"/>
          <w:placeholder>
            <w:docPart w:val="{679140ce-70d3-4061-be32-2aa1c211d7f2}"/>
          </w:placeholder>
        </w:sdtPr>
        <w:sdtEndPr>
          <w:rPr>
            <w:rFonts w:cs="Times New Roman"/>
          </w:rPr>
        </w:sdtEndPr>
        <w:sdtContent>
          <w:sdt>
            <w:sdtPr>
              <w:alias w:val="设定受益计划义务现值-计入其他综合收益的设定收益成本明细"/>
              <w:tag w:val="_GBC_67c47024df97426aa5b7c5bd281f18d8"/>
              <w:id w:val="-1946374586"/>
              <w:placeholder>
                <w:docPart w:val="{679140ce-70d3-4061-be32-2aa1c211d7f2}"/>
              </w:placeholder>
            </w:sdtPr>
            <w:sdtEndPr>
              <w:rPr>
                <w:rFonts w:cs="Times New Roman"/>
              </w:rPr>
            </w:sdtEndPr>
            <w:sdtContent>
              <w:tr w14:paraId="42BA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729a872b31940918796b9ddc8b3d264"/>
                    <w:id w:val="201609651"/>
                  </w:sdtPr>
                  <w:sdtContent>
                    <w:tc>
                      <w:tcPr>
                        <w:tcW w:w="1923" w:type="pct"/>
                      </w:tcPr>
                      <w:p w14:paraId="320918CD">
                        <w:pPr>
                          <w:rPr>
                            <w:color w:val="000000" w:themeColor="text1"/>
                            <w14:textFill>
                              <w14:solidFill>
                                <w14:schemeClr w14:val="tx1"/>
                              </w14:solidFill>
                            </w14:textFill>
                          </w:rPr>
                        </w:pPr>
                        <w:r>
                          <w:rPr>
                            <w:rFonts w:hint="eastAsia"/>
                            <w:color w:val="000000" w:themeColor="text1"/>
                            <w14:textFill>
                              <w14:solidFill>
                                <w14:schemeClr w14:val="tx1"/>
                              </w14:solidFill>
                            </w14:textFill>
                          </w:rPr>
                          <w:t>四、其他变动</w:t>
                        </w:r>
                      </w:p>
                    </w:tc>
                  </w:sdtContent>
                </w:sdt>
                <w:tc>
                  <w:tcPr>
                    <w:tcW w:w="1538" w:type="pct"/>
                    <w:vAlign w:val="center"/>
                  </w:tcPr>
                  <w:p w14:paraId="1F61B745">
                    <w:pPr>
                      <w:jc w:val="right"/>
                      <w:rPr>
                        <w:rFonts w:cs="Times New Roman"/>
                      </w:rPr>
                    </w:pPr>
                    <w:r>
                      <w:rPr>
                        <w:rFonts w:cs="Times New Roman"/>
                      </w:rPr>
                      <w:t>-17,752,372.91</w:t>
                    </w:r>
                  </w:p>
                </w:tc>
                <w:tc>
                  <w:tcPr>
                    <w:tcW w:w="1537" w:type="pct"/>
                    <w:vAlign w:val="center"/>
                  </w:tcPr>
                  <w:p w14:paraId="79833E9A">
                    <w:pPr>
                      <w:jc w:val="right"/>
                      <w:rPr>
                        <w:rFonts w:cs="Times New Roman"/>
                      </w:rPr>
                    </w:pPr>
                    <w:r>
                      <w:rPr>
                        <w:rFonts w:cs="Times New Roman"/>
                      </w:rPr>
                      <w:t>-20,466,382.49</w:t>
                    </w:r>
                  </w:p>
                </w:tc>
              </w:tr>
            </w:sdtContent>
          </w:sdt>
        </w:sdtContent>
      </w:sdt>
      <w:tr w14:paraId="59AB8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62cb34fbb5f49ada8114d2fa0b2744b"/>
            <w:id w:val="-274636103"/>
          </w:sdtPr>
          <w:sdtContent>
            <w:tc>
              <w:tcPr>
                <w:tcW w:w="1923" w:type="pct"/>
              </w:tcPr>
              <w:p w14:paraId="29899F99">
                <w:pPr>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结算时支付的对价</w:t>
                </w:r>
              </w:p>
            </w:tc>
          </w:sdtContent>
        </w:sdt>
        <w:tc>
          <w:tcPr>
            <w:tcW w:w="1538" w:type="pct"/>
          </w:tcPr>
          <w:p w14:paraId="5D98DEB4">
            <w:pPr>
              <w:jc w:val="right"/>
              <w:rPr>
                <w:rFonts w:cs="Times New Roman"/>
              </w:rPr>
            </w:pPr>
          </w:p>
        </w:tc>
        <w:tc>
          <w:tcPr>
            <w:tcW w:w="1537" w:type="pct"/>
          </w:tcPr>
          <w:p w14:paraId="18792B56">
            <w:pPr>
              <w:jc w:val="right"/>
              <w:rPr>
                <w:rFonts w:cs="Times New Roman"/>
              </w:rPr>
            </w:pPr>
          </w:p>
        </w:tc>
      </w:tr>
      <w:tr w14:paraId="4AF9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1f834174727463abc6e4576bb81dace"/>
            <w:id w:val="-1130704895"/>
          </w:sdtPr>
          <w:sdtContent>
            <w:tc>
              <w:tcPr>
                <w:tcW w:w="1923" w:type="pct"/>
              </w:tcPr>
              <w:p w14:paraId="28CF4C5B">
                <w:pPr>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已支付的福利</w:t>
                </w:r>
              </w:p>
            </w:tc>
          </w:sdtContent>
        </w:sdt>
        <w:tc>
          <w:tcPr>
            <w:tcW w:w="1538" w:type="pct"/>
            <w:vAlign w:val="center"/>
          </w:tcPr>
          <w:p w14:paraId="59E2CA52">
            <w:pPr>
              <w:jc w:val="right"/>
              <w:rPr>
                <w:rFonts w:cs="Times New Roman"/>
              </w:rPr>
            </w:pPr>
            <w:r>
              <w:rPr>
                <w:rFonts w:cs="Times New Roman"/>
              </w:rPr>
              <w:t>-17,752,372.91</w:t>
            </w:r>
          </w:p>
        </w:tc>
        <w:tc>
          <w:tcPr>
            <w:tcW w:w="1537" w:type="pct"/>
            <w:vAlign w:val="center"/>
          </w:tcPr>
          <w:p w14:paraId="0CE857B3">
            <w:pPr>
              <w:jc w:val="right"/>
              <w:rPr>
                <w:rFonts w:cs="Times New Roman"/>
              </w:rPr>
            </w:pPr>
            <w:r>
              <w:rPr>
                <w:rFonts w:cs="Times New Roman"/>
              </w:rPr>
              <w:t>-20,466,382.49</w:t>
            </w:r>
          </w:p>
        </w:tc>
      </w:tr>
      <w:sdt>
        <w:sdtPr>
          <w:alias w:val="设定受益计划义务现值-其他变动明细"/>
          <w:tag w:val="_GBC_9822ec4b942b4732922c8717e4230169"/>
          <w:id w:val="497166913"/>
          <w:placeholder>
            <w:docPart w:val="{679140ce-70d3-4061-be32-2aa1c211d7f2}"/>
          </w:placeholder>
        </w:sdtPr>
        <w:sdtEndPr>
          <w:rPr>
            <w:rFonts w:cs="Times New Roman"/>
          </w:rPr>
        </w:sdtEndPr>
        <w:sdtContent>
          <w:sdt>
            <w:sdtPr>
              <w:alias w:val="设定受益计划义务现值-其他变动明细"/>
              <w:tag w:val="_GBC_9822ec4b942b4732922c8717e4230169"/>
              <w:id w:val="-1049528846"/>
              <w:placeholder>
                <w:docPart w:val="{679140ce-70d3-4061-be32-2aa1c211d7f2}"/>
              </w:placeholder>
            </w:sdtPr>
            <w:sdtEndPr>
              <w:rPr>
                <w:rFonts w:cs="Times New Roman"/>
              </w:rPr>
            </w:sdtEndPr>
            <w:sdtContent>
              <w:tr w14:paraId="6A03B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e3f7fa86b304b8eb90c329578680944"/>
                    <w:id w:val="685017482"/>
                  </w:sdtPr>
                  <w:sdtContent>
                    <w:tc>
                      <w:tcPr>
                        <w:tcW w:w="1923" w:type="pct"/>
                      </w:tcPr>
                      <w:p w14:paraId="3DF5D6FE">
                        <w:pPr>
                          <w:rPr>
                            <w:color w:val="000000" w:themeColor="text1"/>
                            <w14:textFill>
                              <w14:solidFill>
                                <w14:schemeClr w14:val="tx1"/>
                              </w14:solidFill>
                            </w14:textFill>
                          </w:rPr>
                        </w:pPr>
                        <w:r>
                          <w:rPr>
                            <w:rFonts w:hint="eastAsia"/>
                            <w:color w:val="000000" w:themeColor="text1"/>
                            <w14:textFill>
                              <w14:solidFill>
                                <w14:schemeClr w14:val="tx1"/>
                              </w14:solidFill>
                            </w14:textFill>
                          </w:rPr>
                          <w:t>五、期末余额</w:t>
                        </w:r>
                      </w:p>
                    </w:tc>
                  </w:sdtContent>
                </w:sdt>
                <w:tc>
                  <w:tcPr>
                    <w:tcW w:w="1538" w:type="pct"/>
                    <w:vAlign w:val="center"/>
                  </w:tcPr>
                  <w:p w14:paraId="739CF5C2">
                    <w:pPr>
                      <w:jc w:val="right"/>
                      <w:rPr>
                        <w:rFonts w:cs="Times New Roman"/>
                      </w:rPr>
                    </w:pPr>
                    <w:r>
                      <w:rPr>
                        <w:rFonts w:cs="Times New Roman"/>
                      </w:rPr>
                      <w:t>336,584,991.90</w:t>
                    </w:r>
                  </w:p>
                </w:tc>
                <w:tc>
                  <w:tcPr>
                    <w:tcW w:w="1537" w:type="pct"/>
                    <w:vAlign w:val="center"/>
                  </w:tcPr>
                  <w:p w14:paraId="6E0D7768">
                    <w:pPr>
                      <w:jc w:val="right"/>
                      <w:rPr>
                        <w:rFonts w:cs="Times New Roman"/>
                      </w:rPr>
                    </w:pPr>
                    <w:r>
                      <w:rPr>
                        <w:rFonts w:cs="Times New Roman"/>
                      </w:rPr>
                      <w:t>344,393,018.64</w:t>
                    </w:r>
                  </w:p>
                </w:tc>
              </w:tr>
            </w:sdtContent>
          </w:sdt>
        </w:sdtContent>
      </w:sdt>
    </w:tbl>
    <w:p w14:paraId="4178179F">
      <w:pPr>
        <w:rPr>
          <w:color w:val="000000" w:themeColor="text1"/>
          <w14:textFill>
            <w14:solidFill>
              <w14:schemeClr w14:val="tx1"/>
            </w14:solidFill>
          </w14:textFill>
        </w:rPr>
      </w:pPr>
    </w:p>
    <w:p w14:paraId="5A52AFDD">
      <w:pPr>
        <w:rPr>
          <w:color w:val="000000" w:themeColor="text1"/>
          <w14:textFill>
            <w14:solidFill>
              <w14:schemeClr w14:val="tx1"/>
            </w14:solidFill>
          </w14:textFill>
        </w:rPr>
      </w:pPr>
      <w:r>
        <w:rPr>
          <w:rFonts w:hint="eastAsia"/>
          <w:color w:val="000000" w:themeColor="text1"/>
          <w14:textFill>
            <w14:solidFill>
              <w14:schemeClr w14:val="tx1"/>
            </w14:solidFill>
          </w14:textFill>
        </w:rPr>
        <w:t>计划资产：</w:t>
      </w:r>
    </w:p>
    <w:sdt>
      <w:sdtPr>
        <w:rPr>
          <w:color w:val="000000" w:themeColor="text1"/>
          <w14:textFill>
            <w14:solidFill>
              <w14:schemeClr w14:val="tx1"/>
            </w14:solidFill>
          </w14:textFill>
        </w:rPr>
        <w:alias w:val="是否适用：设定受益计划变动情况_计划资产[双击切换]"/>
        <w:tag w:val="_GBC_c2b590ce2cf24711a0d840605c251bba"/>
        <w:id w:val="1108465887"/>
      </w:sdtPr>
      <w:sdtEndPr>
        <w:rPr>
          <w:color w:val="000000" w:themeColor="text1"/>
          <w14:textFill>
            <w14:solidFill>
              <w14:schemeClr w14:val="tx1"/>
            </w14:solidFill>
          </w14:textFill>
        </w:rPr>
      </w:sdtEndPr>
      <w:sdtContent>
        <w:p w14:paraId="5095BF6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09AA1EC3">
      <w:pPr>
        <w:rPr>
          <w:color w:val="000000" w:themeColor="text1"/>
          <w14:textFill>
            <w14:solidFill>
              <w14:schemeClr w14:val="tx1"/>
            </w14:solidFill>
          </w14:textFill>
        </w:rPr>
      </w:pPr>
    </w:p>
    <w:p w14:paraId="20729CAA">
      <w:pPr>
        <w:rPr>
          <w:color w:val="000000" w:themeColor="text1"/>
          <w14:textFill>
            <w14:solidFill>
              <w14:schemeClr w14:val="tx1"/>
            </w14:solidFill>
          </w14:textFill>
        </w:rPr>
      </w:pPr>
      <w:r>
        <w:rPr>
          <w:rFonts w:hint="eastAsia"/>
          <w:color w:val="000000" w:themeColor="text1"/>
          <w14:textFill>
            <w14:solidFill>
              <w14:schemeClr w14:val="tx1"/>
            </w14:solidFill>
          </w14:textFill>
        </w:rPr>
        <w:t>设定受益计划净负债（净资产）</w:t>
      </w:r>
    </w:p>
    <w:sdt>
      <w:sdtPr>
        <w:rPr>
          <w:color w:val="000000" w:themeColor="text1"/>
          <w14:textFill>
            <w14:solidFill>
              <w14:schemeClr w14:val="tx1"/>
            </w14:solidFill>
          </w14:textFill>
        </w:rPr>
        <w:alias w:val="是否适用：设定受益计划变动情况_设定受益计划净负债[双击切换]"/>
        <w:tag w:val="_GBC_c9a00f9cf02f40478b9c06d7ded58e74"/>
        <w:id w:val="1285002363"/>
      </w:sdtPr>
      <w:sdtEndPr>
        <w:rPr>
          <w:color w:val="000000" w:themeColor="text1"/>
          <w14:textFill>
            <w14:solidFill>
              <w14:schemeClr w14:val="tx1"/>
            </w14:solidFill>
          </w14:textFill>
        </w:rPr>
      </w:sdtEndPr>
      <w:sdtContent>
        <w:p w14:paraId="05249AB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72C400BB">
      <w:pPr>
        <w:rPr>
          <w:color w:val="000000" w:themeColor="text1"/>
          <w14:textFill>
            <w14:solidFill>
              <w14:schemeClr w14:val="tx1"/>
            </w14:solidFill>
          </w14:textFill>
        </w:rPr>
      </w:pPr>
    </w:p>
    <w:p w14:paraId="6C3424E2">
      <w:pPr>
        <w:rPr>
          <w:color w:val="000000" w:themeColor="text1"/>
          <w14:textFill>
            <w14:solidFill>
              <w14:schemeClr w14:val="tx1"/>
            </w14:solidFill>
          </w14:textFill>
        </w:rPr>
      </w:pPr>
      <w:r>
        <w:rPr>
          <w:rFonts w:hint="eastAsia"/>
          <w:color w:val="000000" w:themeColor="text1"/>
          <w14:textFill>
            <w14:solidFill>
              <w14:schemeClr w14:val="tx1"/>
            </w14:solidFill>
          </w14:textFill>
        </w:rPr>
        <w:t>设定受益计划的内容及与之相关风险、对公司未来现金流量、时间和不确定性的影响说明：</w:t>
      </w:r>
    </w:p>
    <w:sdt>
      <w:sdtPr>
        <w:rPr>
          <w:color w:val="000000" w:themeColor="text1"/>
          <w14:textFill>
            <w14:solidFill>
              <w14:schemeClr w14:val="tx1"/>
            </w14:solidFill>
          </w14:textFill>
        </w:rPr>
        <w:alias w:val="是否适用：设定受益计划的内容及与之相关风险、对公司未来现金流量、时间和不确定性的影响说明[双击切换]"/>
        <w:tag w:val="_GBC_2e34365c15bf476d97ccb2c983bcb127"/>
        <w:id w:val="-1860115161"/>
      </w:sdtPr>
      <w:sdtEndPr>
        <w:rPr>
          <w:color w:val="000000" w:themeColor="text1"/>
          <w14:textFill>
            <w14:solidFill>
              <w14:schemeClr w14:val="tx1"/>
            </w14:solidFill>
          </w14:textFill>
        </w:rPr>
      </w:sdtEndPr>
      <w:sdtContent>
        <w:p w14:paraId="454FFDA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722D8AC3">
      <w:pPr>
        <w:rPr>
          <w:color w:val="000000" w:themeColor="text1"/>
          <w14:textFill>
            <w14:solidFill>
              <w14:schemeClr w14:val="tx1"/>
            </w14:solidFill>
          </w14:textFill>
        </w:rPr>
      </w:pPr>
    </w:p>
    <w:p w14:paraId="31F0FC47">
      <w:pPr>
        <w:rPr>
          <w:color w:val="000000" w:themeColor="text1"/>
          <w14:textFill>
            <w14:solidFill>
              <w14:schemeClr w14:val="tx1"/>
            </w14:solidFill>
          </w14:textFill>
        </w:rPr>
      </w:pPr>
      <w:r>
        <w:rPr>
          <w:rFonts w:hint="eastAsia"/>
          <w:color w:val="000000" w:themeColor="text1"/>
          <w14:textFill>
            <w14:solidFill>
              <w14:schemeClr w14:val="tx1"/>
            </w14:solidFill>
          </w14:textFill>
        </w:rPr>
        <w:t>设定受益计划重大精算假设及敏感性分析结果说明</w:t>
      </w:r>
    </w:p>
    <w:sdt>
      <w:sdtPr>
        <w:rPr>
          <w:color w:val="000000" w:themeColor="text1"/>
          <w14:textFill>
            <w14:solidFill>
              <w14:schemeClr w14:val="tx1"/>
            </w14:solidFill>
          </w14:textFill>
        </w:rPr>
        <w:alias w:val="是否适用：设定受益计划重大精算假设及敏感性分析结果说明[双击切换]"/>
        <w:tag w:val="_GBC_ca3d6135d7d142dba45a1fa5a5c4591a"/>
        <w:id w:val="1816606905"/>
      </w:sdtPr>
      <w:sdtEndPr>
        <w:rPr>
          <w:color w:val="000000" w:themeColor="text1"/>
          <w14:textFill>
            <w14:solidFill>
              <w14:schemeClr w14:val="tx1"/>
            </w14:solidFill>
          </w14:textFill>
        </w:rPr>
      </w:sdtEndPr>
      <w:sdtContent>
        <w:p w14:paraId="470FDC6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2025D815">
      <w:pPr>
        <w:rPr>
          <w:color w:val="000000" w:themeColor="text1"/>
          <w14:textFill>
            <w14:solidFill>
              <w14:schemeClr w14:val="tx1"/>
            </w14:solidFill>
          </w14:textFill>
        </w:rPr>
      </w:pPr>
    </w:p>
    <w:p w14:paraId="7A4C5B53">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长期应付职工薪酬的其他说明[双击切换]"/>
        <w:tag w:val="_GBC_9621d9da5c12475c9b0ae742a1372566"/>
        <w:id w:val="147453933"/>
        <w:placeholder>
          <w:docPart w:val="GBC22222222222222222222222222222"/>
        </w:placeholder>
      </w:sdtPr>
      <w:sdtEndPr>
        <w:rPr>
          <w:color w:val="000000" w:themeColor="text1"/>
          <w14:textFill>
            <w14:solidFill>
              <w14:schemeClr w14:val="tx1"/>
            </w14:solidFill>
          </w14:textFill>
        </w:rPr>
      </w:sdtEndPr>
      <w:sdtContent>
        <w:p w14:paraId="705E0EC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E62E4B8">
      <w:pPr>
        <w:rPr>
          <w:color w:val="000000" w:themeColor="text1"/>
          <w14:textFill>
            <w14:solidFill>
              <w14:schemeClr w14:val="tx1"/>
            </w14:solidFill>
          </w14:textFill>
        </w:rPr>
      </w:pPr>
    </w:p>
    <w:p w14:paraId="141E1492">
      <w:pPr>
        <w:pStyle w:val="57"/>
        <w:numPr>
          <w:ilvl w:val="0"/>
          <w:numId w:val="54"/>
        </w:numPr>
        <w:rPr>
          <w:color w:val="000000" w:themeColor="text1"/>
          <w:szCs w:val="21"/>
          <w14:textFill>
            <w14:solidFill>
              <w14:schemeClr w14:val="tx1"/>
            </w14:solidFill>
          </w14:textFill>
        </w:rPr>
      </w:pPr>
      <w:bookmarkStart w:id="370" w:name="_Hlk10537141"/>
      <w:r>
        <w:rPr>
          <w:color w:val="000000" w:themeColor="text1"/>
          <w:szCs w:val="21"/>
          <w14:textFill>
            <w14:solidFill>
              <w14:schemeClr w14:val="tx1"/>
            </w14:solidFill>
          </w14:textFill>
        </w:rPr>
        <w:t>预计负债</w:t>
      </w:r>
    </w:p>
    <w:sdt>
      <w:sdtPr>
        <w:rPr>
          <w:color w:val="000000" w:themeColor="text1"/>
          <w14:textFill>
            <w14:solidFill>
              <w14:schemeClr w14:val="tx1"/>
            </w14:solidFill>
          </w14:textFill>
        </w:rPr>
        <w:alias w:val="是否适用：预计负债[双击切换]"/>
        <w:tag w:val="_GBC_1687da235caf410f866f00240cee7fdb"/>
        <w:id w:val="147481146"/>
        <w:placeholder>
          <w:docPart w:val="GBC22222222222222222222222222222"/>
        </w:placeholder>
      </w:sdtPr>
      <w:sdtEndPr>
        <w:rPr>
          <w:color w:val="000000" w:themeColor="text1"/>
          <w14:textFill>
            <w14:solidFill>
              <w14:schemeClr w14:val="tx1"/>
            </w14:solidFill>
          </w14:textFill>
        </w:rPr>
      </w:sdtEndPr>
      <w:sdtContent>
        <w:p w14:paraId="3DA60BB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3FCC475">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预计负债"/>
          <w:tag w:val="_GBC_cb4f52bf31e64f4c951a1d03c8737c2c"/>
          <w:id w:val="1474654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预计负债"/>
          <w:tag w:val="_GBC_c1e0a0d54ae34f37b10682c1542f4496"/>
          <w:id w:val="1474588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3"/>
        <w:gridCol w:w="3016"/>
        <w:gridCol w:w="3018"/>
      </w:tblGrid>
      <w:tr w14:paraId="145D0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cs="Times New Roman"/>
            </w:rPr>
            <w:tag w:val="_PLD_fc927e21b7894351850a5341390e71f1"/>
            <w:id w:val="147452916"/>
          </w:sdtPr>
          <w:sdtEndPr>
            <w:rPr>
              <w:rFonts w:cs="Times New Roman"/>
            </w:rPr>
          </w:sdtEndPr>
          <w:sdtContent>
            <w:tc>
              <w:tcPr>
                <w:tcW w:w="1665" w:type="pct"/>
                <w:vAlign w:val="center"/>
              </w:tcPr>
              <w:p w14:paraId="321CA21E">
                <w:pPr>
                  <w:ind w:right="105"/>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5448bfd35d2348cfac66de5cdfbc78a4"/>
            <w:id w:val="147468841"/>
          </w:sdtPr>
          <w:sdtEndPr>
            <w:rPr>
              <w:rFonts w:cs="Times New Roman"/>
            </w:rPr>
          </w:sdtEndPr>
          <w:sdtContent>
            <w:tc>
              <w:tcPr>
                <w:tcW w:w="1666" w:type="pct"/>
              </w:tcPr>
              <w:p w14:paraId="0D7341C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6f816d98e70940cfbbbbb868b0aeb358"/>
            <w:id w:val="147483603"/>
          </w:sdtPr>
          <w:sdtEndPr>
            <w:rPr>
              <w:rFonts w:cs="Times New Roman"/>
            </w:rPr>
          </w:sdtEndPr>
          <w:sdtContent>
            <w:tc>
              <w:tcPr>
                <w:tcW w:w="1667" w:type="pct"/>
              </w:tcPr>
              <w:p w14:paraId="2940230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tr>
      <w:tr w14:paraId="0F56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65" w:type="pct"/>
            <w:vAlign w:val="center"/>
          </w:tcPr>
          <w:p w14:paraId="1D0E8AA4">
            <w:pPr>
              <w:textAlignment w:val="center"/>
              <w:rPr>
                <w:rFonts w:cs="Times New Roman"/>
              </w:rPr>
            </w:pPr>
            <w:r>
              <w:rPr>
                <w:rFonts w:cs="Times New Roman"/>
                <w:color w:val="000000"/>
                <w:lang w:bidi="ar"/>
              </w:rPr>
              <w:t>环境污染整治</w:t>
            </w:r>
          </w:p>
        </w:tc>
        <w:tc>
          <w:tcPr>
            <w:tcW w:w="1666" w:type="pct"/>
            <w:vAlign w:val="center"/>
          </w:tcPr>
          <w:p w14:paraId="099E0986">
            <w:pPr>
              <w:jc w:val="right"/>
              <w:textAlignment w:val="center"/>
              <w:rPr>
                <w:rFonts w:cs="Times New Roman"/>
              </w:rPr>
            </w:pPr>
            <w:r>
              <w:rPr>
                <w:rFonts w:eastAsia="Arial Narrow" w:cs="Times New Roman"/>
                <w:color w:val="000000"/>
                <w:lang w:bidi="ar"/>
              </w:rPr>
              <w:t>200,000,000.00</w:t>
            </w:r>
          </w:p>
        </w:tc>
        <w:tc>
          <w:tcPr>
            <w:tcW w:w="1667" w:type="pct"/>
            <w:vAlign w:val="center"/>
          </w:tcPr>
          <w:p w14:paraId="537E9825">
            <w:pPr>
              <w:jc w:val="right"/>
              <w:textAlignment w:val="center"/>
              <w:rPr>
                <w:rFonts w:cs="Times New Roman"/>
              </w:rPr>
            </w:pPr>
            <w:r>
              <w:rPr>
                <w:rFonts w:eastAsia="Arial Narrow" w:cs="Times New Roman"/>
                <w:color w:val="000000"/>
                <w:lang w:bidi="ar"/>
              </w:rPr>
              <w:t>200,000,000.00</w:t>
            </w:r>
          </w:p>
        </w:tc>
      </w:tr>
      <w:tr w14:paraId="07E0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65" w:type="pct"/>
            <w:vAlign w:val="center"/>
          </w:tcPr>
          <w:p w14:paraId="2AFBD8D5">
            <w:pPr>
              <w:ind w:right="105"/>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666" w:type="pct"/>
            <w:vAlign w:val="center"/>
          </w:tcPr>
          <w:p w14:paraId="2584C14B">
            <w:pPr>
              <w:jc w:val="right"/>
              <w:textAlignment w:val="center"/>
              <w:rPr>
                <w:rFonts w:cs="Times New Roman"/>
              </w:rPr>
            </w:pPr>
            <w:r>
              <w:rPr>
                <w:rFonts w:eastAsia="Arial Narrow" w:cs="Times New Roman"/>
                <w:color w:val="000000"/>
                <w:lang w:bidi="ar"/>
              </w:rPr>
              <w:t>200,000,000.00</w:t>
            </w:r>
          </w:p>
        </w:tc>
        <w:tc>
          <w:tcPr>
            <w:tcW w:w="1667" w:type="pct"/>
            <w:vAlign w:val="center"/>
          </w:tcPr>
          <w:p w14:paraId="2051DE32">
            <w:pPr>
              <w:jc w:val="right"/>
              <w:textAlignment w:val="center"/>
              <w:rPr>
                <w:rFonts w:cs="Times New Roman"/>
              </w:rPr>
            </w:pPr>
            <w:r>
              <w:rPr>
                <w:rFonts w:eastAsia="Arial Narrow" w:cs="Times New Roman"/>
                <w:color w:val="000000"/>
                <w:lang w:bidi="ar"/>
              </w:rPr>
              <w:t>200,000,000.00</w:t>
            </w:r>
          </w:p>
        </w:tc>
      </w:tr>
    </w:tbl>
    <w:p w14:paraId="3DF4C18F">
      <w:pPr>
        <w:snapToGrid w:val="0"/>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其他说明，包括重要预计负债的相关重要假设、估计说明：</w:t>
      </w:r>
    </w:p>
    <w:sdt>
      <w:sdtPr>
        <w:rPr>
          <w:color w:val="000000" w:themeColor="text1"/>
          <w14:textFill>
            <w14:solidFill>
              <w14:schemeClr w14:val="tx1"/>
            </w14:solidFill>
          </w14:textFill>
        </w:rPr>
        <w:alias w:val="预计负债的说明"/>
        <w:tag w:val="_GBC_d674f22c00c1425092bd34d8a8834fad"/>
        <w:id w:val="147461556"/>
        <w:placeholder>
          <w:docPart w:val="GBC22222222222222222222222222222"/>
        </w:placeholder>
      </w:sdtPr>
      <w:sdtEndPr>
        <w:rPr>
          <w:color w:val="000000" w:themeColor="text1"/>
          <w14:textFill>
            <w14:solidFill>
              <w14:schemeClr w14:val="tx1"/>
            </w14:solidFill>
          </w14:textFill>
        </w:rPr>
      </w:sdtEndPr>
      <w:sdtContent>
        <w:p w14:paraId="02DCEBE9">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岳阳市自然资源和规划局对际华橡胶工业有限公司土地收储范围内的生产区域373.32亩土地进行检测，检测结果显示123.11亩为深度污染，预估治理费用约2亿元。</w:t>
          </w:r>
        </w:p>
      </w:sdtContent>
    </w:sdt>
    <w:p w14:paraId="7838F0F3">
      <w:pPr>
        <w:autoSpaceDE w:val="0"/>
        <w:autoSpaceDN w:val="0"/>
        <w:adjustRightInd w:val="0"/>
        <w:rPr>
          <w:color w:val="000000" w:themeColor="text1"/>
          <w14:textFill>
            <w14:solidFill>
              <w14:schemeClr w14:val="tx1"/>
            </w14:solidFill>
          </w14:textFill>
        </w:rPr>
      </w:pPr>
    </w:p>
    <w:bookmarkEnd w:id="370"/>
    <w:p w14:paraId="7726CF2E">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递延收益</w:t>
      </w:r>
    </w:p>
    <w:p w14:paraId="4E5717AC">
      <w:pPr>
        <w:pStyle w:val="50"/>
        <w:ind w:firstLine="0" w:firstLineChars="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递延收益情况</w:t>
      </w:r>
    </w:p>
    <w:sdt>
      <w:sdtPr>
        <w:rPr>
          <w:rFonts w:ascii="宋体" w:hAnsi="宋体" w:cs="宋体"/>
          <w:color w:val="000000" w:themeColor="text1"/>
          <w:kern w:val="0"/>
          <w:szCs w:val="21"/>
          <w14:textFill>
            <w14:solidFill>
              <w14:schemeClr w14:val="tx1"/>
            </w14:solidFill>
          </w14:textFill>
        </w:rPr>
        <w:alias w:val="是否适用：递延收益情况 [双击切换]"/>
        <w:tag w:val="_GBC_2c1393684e764245824b2390014e92f1"/>
        <w:id w:val="1834714844"/>
      </w:sdtPr>
      <w:sdtEndPr>
        <w:rPr>
          <w:rFonts w:ascii="宋体" w:hAnsi="宋体" w:cs="宋体"/>
          <w:color w:val="000000" w:themeColor="text1"/>
          <w:kern w:val="0"/>
          <w:szCs w:val="21"/>
          <w14:textFill>
            <w14:solidFill>
              <w14:schemeClr w14:val="tx1"/>
            </w14:solidFill>
          </w14:textFill>
        </w:rPr>
      </w:sdtEndPr>
      <w:sdtContent>
        <w:p w14:paraId="275BFB89">
          <w:pPr>
            <w:pStyle w:val="50"/>
            <w:ind w:firstLine="0" w:firstLineChars="0"/>
            <w:jc w:val="left"/>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fldChar w:fldCharType="begin"/>
          </w:r>
          <w:r>
            <w:rPr>
              <w:rFonts w:ascii="宋体" w:hAnsi="宋体" w:cs="宋体"/>
              <w:color w:val="000000" w:themeColor="text1"/>
              <w:kern w:val="0"/>
              <w:szCs w:val="21"/>
              <w14:textFill>
                <w14:solidFill>
                  <w14:schemeClr w14:val="tx1"/>
                </w14:solidFill>
              </w14:textFill>
            </w:rPr>
            <w:instrText xml:space="preserve"> MACROBUTTON SnrToggleCheckbox √适用 </w:instrText>
          </w:r>
          <w:r>
            <w:rPr>
              <w:rFonts w:ascii="宋体" w:hAnsi="宋体" w:cs="宋体"/>
              <w:color w:val="000000" w:themeColor="text1"/>
              <w:kern w:val="0"/>
              <w:szCs w:val="21"/>
              <w14:textFill>
                <w14:solidFill>
                  <w14:schemeClr w14:val="tx1"/>
                </w14:solidFill>
              </w14:textFill>
            </w:rPr>
            <w:fldChar w:fldCharType="end"/>
          </w:r>
          <w:r>
            <w:rPr>
              <w:rFonts w:ascii="宋体" w:hAnsi="宋体" w:cs="宋体"/>
              <w:color w:val="000000" w:themeColor="text1"/>
              <w:kern w:val="0"/>
              <w:szCs w:val="21"/>
              <w14:textFill>
                <w14:solidFill>
                  <w14:schemeClr w14:val="tx1"/>
                </w14:solidFill>
              </w14:textFill>
            </w:rPr>
            <w:fldChar w:fldCharType="begin"/>
          </w:r>
          <w:r>
            <w:rPr>
              <w:rFonts w:ascii="宋体" w:hAnsi="宋体" w:cs="宋体"/>
              <w:color w:val="000000" w:themeColor="text1"/>
              <w:kern w:val="0"/>
              <w:szCs w:val="21"/>
              <w14:textFill>
                <w14:solidFill>
                  <w14:schemeClr w14:val="tx1"/>
                </w14:solidFill>
              </w14:textFill>
            </w:rPr>
            <w:instrText xml:space="preserve">MACROBUTTON  SnrToggleCheckbox □不适用 </w:instrText>
          </w:r>
          <w:r>
            <w:rPr>
              <w:rFonts w:ascii="宋体" w:hAnsi="宋体" w:cs="宋体"/>
              <w:color w:val="000000" w:themeColor="text1"/>
              <w:kern w:val="0"/>
              <w:szCs w:val="21"/>
              <w14:textFill>
                <w14:solidFill>
                  <w14:schemeClr w14:val="tx1"/>
                </w14:solidFill>
              </w14:textFill>
            </w:rPr>
            <w:fldChar w:fldCharType="end"/>
          </w:r>
        </w:p>
      </w:sdtContent>
    </w:sdt>
    <w:p w14:paraId="038CE24E">
      <w:pPr>
        <w:pStyle w:val="50"/>
        <w:ind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财务附注：递延收益"/>
          <w:tag w:val="_GBC_cf9505178ef64cd8b1a42757a7aaf77d"/>
          <w:id w:val="265272217"/>
          <w:placeholder>
            <w:docPart w:val="{132e0bfd-13c2-41c6-85e5-32fdf9d45fc6}"/>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财务附注：递延收益"/>
          <w:tag w:val="_GBC_b7ba9c3d835b413e83140a438bc5c413"/>
          <w:id w:val="865401964"/>
          <w:placeholder>
            <w:docPart w:val="{132e0bfd-13c2-41c6-85e5-32fdf9d45fc6}"/>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7"/>
        <w:gridCol w:w="1469"/>
        <w:gridCol w:w="1481"/>
        <w:gridCol w:w="1467"/>
        <w:gridCol w:w="1510"/>
        <w:gridCol w:w="1595"/>
      </w:tblGrid>
      <w:tr w14:paraId="27746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 w:hRule="atLeast"/>
        </w:trPr>
        <w:sdt>
          <w:sdtPr>
            <w:tag w:val="_PLD_eeb45564af314089916105a5217e0ff6"/>
            <w:id w:val="448594936"/>
          </w:sdtPr>
          <w:sdtContent>
            <w:tc>
              <w:tcPr>
                <w:tcW w:w="843" w:type="pct"/>
                <w:vAlign w:val="center"/>
              </w:tcPr>
              <w:p w14:paraId="505654F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e0613743f99d4af58a75406a4e2ba5a1"/>
            <w:id w:val="-1820805449"/>
          </w:sdtPr>
          <w:sdtContent>
            <w:tc>
              <w:tcPr>
                <w:tcW w:w="811" w:type="pct"/>
                <w:vAlign w:val="center"/>
              </w:tcPr>
              <w:p w14:paraId="36A7C26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sdt>
          <w:sdtPr>
            <w:tag w:val="_PLD_a27f928ad4574fe594e5f995d7a37059"/>
            <w:id w:val="-181675709"/>
          </w:sdtPr>
          <w:sdtContent>
            <w:tc>
              <w:tcPr>
                <w:tcW w:w="818" w:type="pct"/>
                <w:vAlign w:val="center"/>
              </w:tcPr>
              <w:p w14:paraId="68E85C8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本期增加</w:t>
                </w:r>
              </w:p>
            </w:tc>
          </w:sdtContent>
        </w:sdt>
        <w:sdt>
          <w:sdtPr>
            <w:tag w:val="_PLD_ed95bef3663d40fb90dd15d113f7f2c1"/>
            <w:id w:val="1449200201"/>
          </w:sdtPr>
          <w:sdtContent>
            <w:tc>
              <w:tcPr>
                <w:tcW w:w="810" w:type="pct"/>
                <w:vAlign w:val="center"/>
              </w:tcPr>
              <w:p w14:paraId="0DA5121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本期减少</w:t>
                </w:r>
              </w:p>
            </w:tc>
          </w:sdtContent>
        </w:sdt>
        <w:sdt>
          <w:sdtPr>
            <w:tag w:val="_PLD_367cd0591009413e93857494eaf8170a"/>
            <w:id w:val="-480082466"/>
          </w:sdtPr>
          <w:sdtContent>
            <w:tc>
              <w:tcPr>
                <w:tcW w:w="834" w:type="pct"/>
                <w:vAlign w:val="center"/>
              </w:tcPr>
              <w:p w14:paraId="1FC15ED3">
                <w:pPr>
                  <w:jc w:val="center"/>
                  <w:rPr>
                    <w:color w:val="000000" w:themeColor="text1"/>
                    <w14:textFill>
                      <w14:solidFill>
                        <w14:schemeClr w14:val="tx1"/>
                      </w14:solidFill>
                    </w14:textFill>
                  </w:rPr>
                </w:pPr>
                <w:bookmarkStart w:id="371" w:name="OLE_LINK66"/>
                <w:bookmarkStart w:id="372" w:name="OLE_LINK67"/>
                <w:r>
                  <w:rPr>
                    <w:rFonts w:hint="eastAsia"/>
                    <w:color w:val="000000" w:themeColor="text1"/>
                    <w14:textFill>
                      <w14:solidFill>
                        <w14:schemeClr w14:val="tx1"/>
                      </w14:solidFill>
                    </w14:textFill>
                  </w:rPr>
                  <w:t>期末余额</w:t>
                </w:r>
              </w:p>
              <w:bookmarkEnd w:id="371"/>
              <w:bookmarkEnd w:id="372"/>
            </w:tc>
          </w:sdtContent>
        </w:sdt>
        <w:sdt>
          <w:sdtPr>
            <w:tag w:val="_PLD_d61ffc61194047d79611cccd8488aece"/>
            <w:id w:val="-342630438"/>
          </w:sdtPr>
          <w:sdtContent>
            <w:tc>
              <w:tcPr>
                <w:tcW w:w="881" w:type="pct"/>
                <w:vAlign w:val="center"/>
              </w:tcPr>
              <w:p w14:paraId="2AFBFB8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形成原因</w:t>
                </w:r>
              </w:p>
            </w:tc>
          </w:sdtContent>
        </w:sdt>
      </w:tr>
      <w:tr w14:paraId="5AC2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c4ae7ac076814abda447ee2261fb9baa"/>
            <w:id w:val="186414202"/>
          </w:sdtPr>
          <w:sdtContent>
            <w:tc>
              <w:tcPr>
                <w:tcW w:w="843" w:type="pct"/>
                <w:vAlign w:val="center"/>
              </w:tcPr>
              <w:p w14:paraId="18A12A32">
                <w:pPr>
                  <w:rPr>
                    <w:color w:val="000000" w:themeColor="text1"/>
                    <w14:textFill>
                      <w14:solidFill>
                        <w14:schemeClr w14:val="tx1"/>
                      </w14:solidFill>
                    </w14:textFill>
                  </w:rPr>
                </w:pPr>
                <w:r>
                  <w:rPr>
                    <w:rFonts w:hint="eastAsia"/>
                    <w:color w:val="000000" w:themeColor="text1"/>
                    <w14:textFill>
                      <w14:solidFill>
                        <w14:schemeClr w14:val="tx1"/>
                      </w14:solidFill>
                    </w14:textFill>
                  </w:rPr>
                  <w:t>政府补助</w:t>
                </w:r>
              </w:p>
            </w:tc>
          </w:sdtContent>
        </w:sdt>
        <w:tc>
          <w:tcPr>
            <w:tcW w:w="811" w:type="pct"/>
            <w:vAlign w:val="center"/>
          </w:tcPr>
          <w:p w14:paraId="65412DF7">
            <w:pPr>
              <w:jc w:val="right"/>
              <w:rPr>
                <w:rFonts w:cs="Times New Roman"/>
              </w:rPr>
            </w:pPr>
            <w:r>
              <w:rPr>
                <w:rFonts w:cs="Times New Roman"/>
              </w:rPr>
              <w:t>89,442,952.48</w:t>
            </w:r>
          </w:p>
        </w:tc>
        <w:tc>
          <w:tcPr>
            <w:tcW w:w="818" w:type="pct"/>
            <w:vAlign w:val="center"/>
          </w:tcPr>
          <w:p w14:paraId="65E61EC3">
            <w:pPr>
              <w:jc w:val="right"/>
              <w:rPr>
                <w:rFonts w:cs="Times New Roman"/>
              </w:rPr>
            </w:pPr>
            <w:r>
              <w:rPr>
                <w:rFonts w:cs="Times New Roman"/>
              </w:rPr>
              <w:t>10,250,046.00</w:t>
            </w:r>
          </w:p>
        </w:tc>
        <w:tc>
          <w:tcPr>
            <w:tcW w:w="810" w:type="pct"/>
            <w:vAlign w:val="center"/>
          </w:tcPr>
          <w:p w14:paraId="02EC9C42">
            <w:pPr>
              <w:jc w:val="right"/>
              <w:rPr>
                <w:rFonts w:cs="Times New Roman"/>
              </w:rPr>
            </w:pPr>
            <w:r>
              <w:rPr>
                <w:rFonts w:cs="Times New Roman"/>
              </w:rPr>
              <w:t>13,090,034.68</w:t>
            </w:r>
          </w:p>
        </w:tc>
        <w:tc>
          <w:tcPr>
            <w:tcW w:w="834" w:type="pct"/>
            <w:vAlign w:val="center"/>
          </w:tcPr>
          <w:p w14:paraId="6B5772A3">
            <w:pPr>
              <w:jc w:val="right"/>
              <w:rPr>
                <w:rFonts w:cs="Times New Roman"/>
              </w:rPr>
            </w:pPr>
            <w:r>
              <w:rPr>
                <w:rFonts w:cs="Times New Roman"/>
              </w:rPr>
              <w:t>86,602,963.80</w:t>
            </w:r>
          </w:p>
        </w:tc>
        <w:tc>
          <w:tcPr>
            <w:tcW w:w="881" w:type="pct"/>
          </w:tcPr>
          <w:p w14:paraId="6CA0CF22">
            <w:r>
              <w:rPr>
                <w:rFonts w:hint="eastAsia"/>
              </w:rPr>
              <w:t>与资产相关/与收益相关</w:t>
            </w:r>
          </w:p>
        </w:tc>
      </w:tr>
      <w:sdt>
        <w:sdtPr>
          <w:alias w:val="递延收益明细"/>
          <w:tag w:val="_GBC_b0fa056469b546388c2961108a7e62c7"/>
          <w:id w:val="1078325111"/>
          <w:placeholder>
            <w:docPart w:val="{6acde759-3aab-4502-a12a-e432035249b0}"/>
          </w:placeholder>
        </w:sdtPr>
        <w:sdtContent>
          <w:sdt>
            <w:sdtPr>
              <w:alias w:val="递延收益明细"/>
              <w:tag w:val="_GBC_b0fa056469b546388c2961108a7e62c7"/>
              <w:id w:val="1718705149"/>
              <w:placeholder>
                <w:docPart w:val="{6acde759-3aab-4502-a12a-e432035249b0}"/>
              </w:placeholder>
            </w:sdtPr>
            <w:sdtContent>
              <w:tr w14:paraId="48F7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dc5eff4e97a943cb9b913ed360e42749"/>
                    <w:id w:val="-834535678"/>
                  </w:sdtPr>
                  <w:sdtContent>
                    <w:tc>
                      <w:tcPr>
                        <w:tcW w:w="843" w:type="pct"/>
                        <w:vAlign w:val="center"/>
                      </w:tcPr>
                      <w:p w14:paraId="6878FCF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sdtContent>
                </w:sdt>
                <w:tc>
                  <w:tcPr>
                    <w:tcW w:w="811" w:type="pct"/>
                    <w:vAlign w:val="center"/>
                  </w:tcPr>
                  <w:p w14:paraId="0AB01587">
                    <w:pPr>
                      <w:jc w:val="right"/>
                      <w:rPr>
                        <w:rFonts w:cs="Times New Roman"/>
                      </w:rPr>
                    </w:pPr>
                    <w:r>
                      <w:rPr>
                        <w:rFonts w:cs="Times New Roman"/>
                      </w:rPr>
                      <w:t>89,442,952.48</w:t>
                    </w:r>
                  </w:p>
                </w:tc>
                <w:tc>
                  <w:tcPr>
                    <w:tcW w:w="818" w:type="pct"/>
                    <w:vAlign w:val="center"/>
                  </w:tcPr>
                  <w:p w14:paraId="32622B79">
                    <w:pPr>
                      <w:jc w:val="right"/>
                      <w:rPr>
                        <w:rFonts w:cs="Times New Roman"/>
                      </w:rPr>
                    </w:pPr>
                    <w:r>
                      <w:rPr>
                        <w:rFonts w:cs="Times New Roman"/>
                      </w:rPr>
                      <w:t>10,250,046.00</w:t>
                    </w:r>
                  </w:p>
                </w:tc>
                <w:tc>
                  <w:tcPr>
                    <w:tcW w:w="810" w:type="pct"/>
                    <w:vAlign w:val="center"/>
                  </w:tcPr>
                  <w:p w14:paraId="3E081008">
                    <w:pPr>
                      <w:jc w:val="right"/>
                      <w:rPr>
                        <w:rFonts w:cs="Times New Roman"/>
                      </w:rPr>
                    </w:pPr>
                    <w:r>
                      <w:rPr>
                        <w:rFonts w:cs="Times New Roman"/>
                      </w:rPr>
                      <w:t>13,090,034.68</w:t>
                    </w:r>
                  </w:p>
                </w:tc>
                <w:tc>
                  <w:tcPr>
                    <w:tcW w:w="834" w:type="pct"/>
                    <w:vAlign w:val="center"/>
                  </w:tcPr>
                  <w:p w14:paraId="20520A01">
                    <w:pPr>
                      <w:jc w:val="right"/>
                      <w:rPr>
                        <w:rFonts w:cs="Times New Roman"/>
                      </w:rPr>
                    </w:pPr>
                    <w:r>
                      <w:rPr>
                        <w:rFonts w:cs="Times New Roman"/>
                      </w:rPr>
                      <w:t>86,602,963.80</w:t>
                    </w:r>
                  </w:p>
                </w:tc>
                <w:tc>
                  <w:tcPr>
                    <w:tcW w:w="881" w:type="pct"/>
                  </w:tcPr>
                  <w:p w14:paraId="660A3A5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sdtContent>
          </w:sdt>
        </w:sdtContent>
      </w:sdt>
    </w:tbl>
    <w:p w14:paraId="472DCC35">
      <w:pPr>
        <w:rPr>
          <w:color w:val="000000" w:themeColor="text1"/>
          <w14:textFill>
            <w14:solidFill>
              <w14:schemeClr w14:val="tx1"/>
            </w14:solidFill>
          </w14:textFill>
        </w:rPr>
      </w:pPr>
    </w:p>
    <w:p w14:paraId="2D008AA4">
      <w:pPr>
        <w:spacing w:before="60" w:after="60"/>
        <w:rPr>
          <w:color w:val="000000" w:themeColor="text1"/>
          <w14:textFill>
            <w14:solidFill>
              <w14:schemeClr w14:val="tx1"/>
            </w14:solidFill>
          </w14:textFill>
        </w:rPr>
      </w:pPr>
      <w:bookmarkStart w:id="373" w:name="_Hlk10537331"/>
      <w:bookmarkEnd w:id="373"/>
      <w:bookmarkStart w:id="374" w:name="OLE_LINK85"/>
      <w:bookmarkStart w:id="375" w:name="OLE_LINK84"/>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递延收益的其他说明[双击切换]"/>
        <w:tag w:val="_GBC_da5e8f76ba934c9e8efb4ab4d41c9f8c"/>
        <w:id w:val="147458909"/>
        <w:placeholder>
          <w:docPart w:val="GBC22222222222222222222222222222"/>
        </w:placeholder>
      </w:sdtPr>
      <w:sdtEndPr>
        <w:rPr>
          <w:color w:val="000000" w:themeColor="text1"/>
          <w14:textFill>
            <w14:solidFill>
              <w14:schemeClr w14:val="tx1"/>
            </w14:solidFill>
          </w14:textFill>
        </w:rPr>
      </w:sdtEndPr>
      <w:sdtContent>
        <w:p w14:paraId="69C16E5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74"/>
    <w:bookmarkEnd w:id="375"/>
    <w:p w14:paraId="5B39E861">
      <w:pPr>
        <w:snapToGrid w:val="0"/>
        <w:spacing w:line="240" w:lineRule="atLeast"/>
        <w:rPr>
          <w:color w:val="000000" w:themeColor="text1"/>
          <w14:textFill>
            <w14:solidFill>
              <w14:schemeClr w14:val="tx1"/>
            </w14:solidFill>
          </w14:textFill>
        </w:rPr>
      </w:pPr>
    </w:p>
    <w:p w14:paraId="421349A5">
      <w:pPr>
        <w:pStyle w:val="57"/>
        <w:numPr>
          <w:ilvl w:val="0"/>
          <w:numId w:val="54"/>
        </w:numPr>
        <w:rPr>
          <w:color w:val="000000" w:themeColor="text1"/>
          <w:szCs w:val="21"/>
          <w14:textFill>
            <w14:solidFill>
              <w14:schemeClr w14:val="tx1"/>
            </w14:solidFill>
          </w14:textFill>
        </w:rPr>
      </w:pPr>
      <w:bookmarkStart w:id="376" w:name="_Hlk10537430"/>
      <w:r>
        <w:rPr>
          <w:color w:val="000000" w:themeColor="text1"/>
          <w:szCs w:val="21"/>
          <w14:textFill>
            <w14:solidFill>
              <w14:schemeClr w14:val="tx1"/>
            </w14:solidFill>
          </w14:textFill>
        </w:rPr>
        <w:t>其他非流动负债</w:t>
      </w:r>
    </w:p>
    <w:p w14:paraId="1F51DFB8">
      <w:pPr>
        <w:rPr>
          <w:color w:val="000000" w:themeColor="text1"/>
          <w14:textFill>
            <w14:solidFill>
              <w14:schemeClr w14:val="tx1"/>
            </w14:solidFill>
          </w14:textFill>
        </w:rPr>
      </w:pPr>
      <w:sdt>
        <w:sdtPr>
          <w:rPr>
            <w:color w:val="000000" w:themeColor="text1"/>
            <w14:textFill>
              <w14:solidFill>
                <w14:schemeClr w14:val="tx1"/>
              </w14:solidFill>
            </w14:textFill>
          </w:rPr>
          <w:alias w:val="是否适用：其他非流动负债[双击切换]"/>
          <w:tag w:val="_GBC_bb8a5c7236564ec0823cbced5ea78e62"/>
          <w:id w:val="147482649"/>
          <w:placeholder>
            <w:docPart w:val="GBC22222222222222222222222222222"/>
          </w:placeholder>
        </w:sdtPr>
        <w:sdtEndPr>
          <w:rPr>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6BC47C18">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其他非流动负债"/>
          <w:tag w:val="_GBC_56e598e0f2684388ba1e16051e8df70a"/>
          <w:id w:val="14745407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其他非流动负债"/>
          <w:tag w:val="_GBC_ae4dfd619eb84b209c018d043a83dfcf"/>
          <w:id w:val="1474518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7"/>
        <w:gridCol w:w="2896"/>
        <w:gridCol w:w="2896"/>
      </w:tblGrid>
      <w:tr w14:paraId="4F15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cs="Times New Roman"/>
            </w:rPr>
            <w:tag w:val="_PLD_a28f7f3041514231843ad3ee7ffea03b"/>
            <w:id w:val="147455296"/>
          </w:sdtPr>
          <w:sdtEndPr>
            <w:rPr>
              <w:rFonts w:cs="Times New Roman"/>
            </w:rPr>
          </w:sdtEndPr>
          <w:sdtContent>
            <w:tc>
              <w:tcPr>
                <w:tcW w:w="1799" w:type="pct"/>
                <w:tcBorders>
                  <w:top w:val="single" w:color="auto" w:sz="4" w:space="0"/>
                  <w:left w:val="single" w:color="auto" w:sz="4" w:space="0"/>
                  <w:bottom w:val="single" w:color="auto" w:sz="4" w:space="0"/>
                  <w:right w:val="single" w:color="auto" w:sz="4" w:space="0"/>
                </w:tcBorders>
                <w:vAlign w:val="bottom"/>
              </w:tcPr>
              <w:p w14:paraId="72965C5A">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57665fafbbe043c5bf52499c94bca1a1"/>
            <w:id w:val="147453941"/>
          </w:sdtPr>
          <w:sdtEndPr>
            <w:rPr>
              <w:rFonts w:cs="Times New Roman"/>
            </w:rPr>
          </w:sdtEndPr>
          <w:sdtContent>
            <w:tc>
              <w:tcPr>
                <w:tcW w:w="1600" w:type="pct"/>
                <w:tcBorders>
                  <w:top w:val="single" w:color="auto" w:sz="4" w:space="0"/>
                  <w:left w:val="single" w:color="auto" w:sz="4" w:space="0"/>
                  <w:bottom w:val="single" w:color="auto" w:sz="4" w:space="0"/>
                  <w:right w:val="single" w:color="auto" w:sz="4" w:space="0"/>
                </w:tcBorders>
              </w:tcPr>
              <w:p w14:paraId="5EFDBBE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dcebd4f9b4a649088465ddfef12fdcb8"/>
            <w:id w:val="147482394"/>
          </w:sdtPr>
          <w:sdtEndPr>
            <w:rPr>
              <w:rFonts w:cs="Times New Roman"/>
            </w:rPr>
          </w:sdtEndPr>
          <w:sdtContent>
            <w:tc>
              <w:tcPr>
                <w:tcW w:w="1600" w:type="pct"/>
                <w:tcBorders>
                  <w:top w:val="single" w:color="auto" w:sz="4" w:space="0"/>
                  <w:left w:val="single" w:color="auto" w:sz="4" w:space="0"/>
                  <w:bottom w:val="single" w:color="auto" w:sz="4" w:space="0"/>
                  <w:right w:val="single" w:color="auto" w:sz="4" w:space="0"/>
                </w:tcBorders>
              </w:tcPr>
              <w:p w14:paraId="193F0F3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tr>
      <w:tr w14:paraId="4728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Borders>
              <w:top w:val="single" w:color="auto" w:sz="4" w:space="0"/>
              <w:left w:val="single" w:color="auto" w:sz="4" w:space="0"/>
              <w:bottom w:val="single" w:color="auto" w:sz="4" w:space="0"/>
              <w:right w:val="single" w:color="auto" w:sz="4" w:space="0"/>
            </w:tcBorders>
            <w:vAlign w:val="bottom"/>
          </w:tcPr>
          <w:p w14:paraId="48AA9A88">
            <w:pPr>
              <w:textAlignment w:val="bottom"/>
              <w:rPr>
                <w:rFonts w:cs="Times New Roman"/>
              </w:rPr>
            </w:pPr>
            <w:r>
              <w:rPr>
                <w:rFonts w:cs="Times New Roman"/>
                <w:color w:val="000000"/>
                <w:lang w:bidi="ar"/>
              </w:rPr>
              <w:t>公租房建设资金</w:t>
            </w:r>
          </w:p>
        </w:tc>
        <w:tc>
          <w:tcPr>
            <w:tcW w:w="2897" w:type="dxa"/>
            <w:tcBorders>
              <w:top w:val="single" w:color="auto" w:sz="4" w:space="0"/>
              <w:left w:val="single" w:color="auto" w:sz="4" w:space="0"/>
              <w:bottom w:val="single" w:color="auto" w:sz="4" w:space="0"/>
              <w:right w:val="single" w:color="auto" w:sz="4" w:space="0"/>
            </w:tcBorders>
            <w:vAlign w:val="center"/>
          </w:tcPr>
          <w:p w14:paraId="4A5ABC9B">
            <w:pPr>
              <w:jc w:val="right"/>
              <w:rPr>
                <w:rFonts w:cs="Times New Roman"/>
              </w:rPr>
            </w:pPr>
          </w:p>
        </w:tc>
        <w:tc>
          <w:tcPr>
            <w:tcW w:w="2896" w:type="dxa"/>
            <w:tcBorders>
              <w:top w:val="single" w:color="auto" w:sz="4" w:space="0"/>
              <w:left w:val="single" w:color="auto" w:sz="4" w:space="0"/>
              <w:bottom w:val="single" w:color="auto" w:sz="4" w:space="0"/>
              <w:right w:val="single" w:color="auto" w:sz="4" w:space="0"/>
            </w:tcBorders>
            <w:vAlign w:val="center"/>
          </w:tcPr>
          <w:p w14:paraId="10AC2F7A">
            <w:pPr>
              <w:jc w:val="right"/>
              <w:textAlignment w:val="center"/>
              <w:rPr>
                <w:rFonts w:cs="Times New Roman"/>
              </w:rPr>
            </w:pPr>
            <w:r>
              <w:rPr>
                <w:rFonts w:eastAsia="Arial Narrow" w:cs="Times New Roman"/>
                <w:color w:val="000000"/>
                <w:lang w:bidi="ar"/>
              </w:rPr>
              <w:t>2,880,000.00</w:t>
            </w:r>
          </w:p>
        </w:tc>
      </w:tr>
      <w:tr w14:paraId="357D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9" w:type="pct"/>
            <w:tcBorders>
              <w:top w:val="single" w:color="auto" w:sz="4" w:space="0"/>
              <w:left w:val="single" w:color="auto" w:sz="4" w:space="0"/>
              <w:bottom w:val="single" w:color="auto" w:sz="4" w:space="0"/>
              <w:right w:val="single" w:color="auto" w:sz="4" w:space="0"/>
            </w:tcBorders>
          </w:tcPr>
          <w:p w14:paraId="1D86F197">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600" w:type="pct"/>
            <w:tcBorders>
              <w:top w:val="single" w:color="auto" w:sz="4" w:space="0"/>
              <w:left w:val="single" w:color="auto" w:sz="4" w:space="0"/>
              <w:bottom w:val="single" w:color="auto" w:sz="4" w:space="0"/>
              <w:right w:val="single" w:color="auto" w:sz="4" w:space="0"/>
            </w:tcBorders>
          </w:tcPr>
          <w:p w14:paraId="4C5D230A">
            <w:pPr>
              <w:jc w:val="right"/>
              <w:rPr>
                <w:rFonts w:cs="Times New Roman"/>
              </w:rPr>
            </w:pPr>
          </w:p>
        </w:tc>
        <w:tc>
          <w:tcPr>
            <w:tcW w:w="2896" w:type="dxa"/>
            <w:tcBorders>
              <w:top w:val="single" w:color="auto" w:sz="4" w:space="0"/>
              <w:left w:val="single" w:color="auto" w:sz="4" w:space="0"/>
              <w:bottom w:val="single" w:color="auto" w:sz="4" w:space="0"/>
              <w:right w:val="single" w:color="auto" w:sz="4" w:space="0"/>
            </w:tcBorders>
            <w:vAlign w:val="center"/>
          </w:tcPr>
          <w:p w14:paraId="03D299DF">
            <w:pPr>
              <w:jc w:val="right"/>
              <w:textAlignment w:val="center"/>
              <w:rPr>
                <w:rFonts w:cs="Times New Roman"/>
              </w:rPr>
            </w:pPr>
            <w:r>
              <w:rPr>
                <w:rFonts w:eastAsia="Arial Narrow" w:cs="Times New Roman"/>
                <w:color w:val="000000"/>
                <w:lang w:bidi="ar"/>
              </w:rPr>
              <w:t>2,880,000.00</w:t>
            </w:r>
          </w:p>
        </w:tc>
      </w:tr>
    </w:tbl>
    <w:p w14:paraId="6EDF29FF">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其他非流动负债说明"/>
        <w:tag w:val="_GBC_8424078e59404c4a8aa6644833876098"/>
        <w:id w:val="147476098"/>
        <w:placeholder>
          <w:docPart w:val="GBC22222222222222222222222222222"/>
        </w:placeholder>
      </w:sdtPr>
      <w:sdtEndPr>
        <w:rPr>
          <w:color w:val="000000" w:themeColor="text1"/>
          <w14:textFill>
            <w14:solidFill>
              <w14:schemeClr w14:val="tx1"/>
            </w14:solidFill>
          </w14:textFill>
        </w:rPr>
      </w:sdtEndPr>
      <w:sdtContent>
        <w:p w14:paraId="7DC91B40">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bookmarkEnd w:id="376"/>
    <w:p w14:paraId="70D4D25B">
      <w:pPr>
        <w:rPr>
          <w:color w:val="000000" w:themeColor="text1"/>
          <w14:textFill>
            <w14:solidFill>
              <w14:schemeClr w14:val="tx1"/>
            </w14:solidFill>
          </w14:textFill>
        </w:rPr>
      </w:pPr>
    </w:p>
    <w:p w14:paraId="39430F95">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股本</w:t>
      </w:r>
    </w:p>
    <w:sdt>
      <w:sdtPr>
        <w:rPr>
          <w:color w:val="000000" w:themeColor="text1"/>
          <w14:textFill>
            <w14:solidFill>
              <w14:schemeClr w14:val="tx1"/>
            </w14:solidFill>
          </w14:textFill>
        </w:rPr>
        <w:alias w:val="是否适用：股本[双击切换]"/>
        <w:tag w:val="_GBC_a88b08589cbb4302b29839808faa8a3b"/>
        <w:id w:val="147483178"/>
        <w:placeholder>
          <w:docPart w:val="GBC22222222222222222222222222222"/>
        </w:placeholder>
      </w:sdtPr>
      <w:sdtEndPr>
        <w:rPr>
          <w:color w:val="000000" w:themeColor="text1"/>
          <w14:textFill>
            <w14:solidFill>
              <w14:schemeClr w14:val="tx1"/>
            </w14:solidFill>
          </w14:textFill>
        </w:rPr>
      </w:sdtEndPr>
      <w:sdtContent>
        <w:p w14:paraId="781A22E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2EAD94D">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股本"/>
          <w:tag w:val="_GBC_cf915ea45a234de2a2455824dedc3c82"/>
          <w:id w:val="1474747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股本"/>
          <w:tag w:val="_GBC_2dcc7ff328cf480296bdddce64b88cf1"/>
          <w:id w:val="1474753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3355"/>
        <w:gridCol w:w="3357"/>
      </w:tblGrid>
      <w:tr w14:paraId="1EB4E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290" w:type="pct"/>
            <w:vMerge w:val="restart"/>
          </w:tcPr>
          <w:p w14:paraId="57689347">
            <w:pPr>
              <w:jc w:val="center"/>
              <w:rPr>
                <w:rFonts w:cs="Times New Roman"/>
              </w:rPr>
            </w:pPr>
          </w:p>
        </w:tc>
        <w:sdt>
          <w:sdtPr>
            <w:rPr>
              <w:rFonts w:cs="Times New Roman"/>
              <w:color w:val="000000" w:themeColor="text1"/>
              <w14:textFill>
                <w14:solidFill>
                  <w14:schemeClr w14:val="tx1"/>
                </w14:solidFill>
              </w14:textFill>
            </w:rPr>
            <w:tag w:val="_PLD_7ad9a0911e364e48bc565dc3ed809692"/>
            <w:id w:val="147456728"/>
          </w:sdtPr>
          <w:sdtEndPr>
            <w:rPr>
              <w:rFonts w:cs="Times New Roman"/>
              <w:color w:val="000000" w:themeColor="text1"/>
              <w14:textFill>
                <w14:solidFill>
                  <w14:schemeClr w14:val="tx1"/>
                </w14:solidFill>
              </w14:textFill>
            </w:rPr>
          </w:sdtEndPr>
          <w:sdtContent>
            <w:tc>
              <w:tcPr>
                <w:tcW w:w="1854" w:type="pct"/>
                <w:vMerge w:val="restart"/>
                <w:vAlign w:val="center"/>
              </w:tcPr>
              <w:p w14:paraId="25AB1A7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sdt>
          <w:sdtPr>
            <w:rPr>
              <w:rFonts w:cs="Times New Roman"/>
              <w:color w:val="000000" w:themeColor="text1"/>
              <w14:textFill>
                <w14:solidFill>
                  <w14:schemeClr w14:val="tx1"/>
                </w14:solidFill>
              </w14:textFill>
            </w:rPr>
            <w:tag w:val="_PLD_a0390714e323429ab6e793f9a610df70"/>
            <w:id w:val="147456317"/>
          </w:sdtPr>
          <w:sdtEndPr>
            <w:rPr>
              <w:rFonts w:cs="Times New Roman"/>
              <w:color w:val="000000" w:themeColor="text1"/>
              <w14:textFill>
                <w14:solidFill>
                  <w14:schemeClr w14:val="tx1"/>
                </w14:solidFill>
              </w14:textFill>
            </w:rPr>
          </w:sdtEndPr>
          <w:sdtContent>
            <w:tc>
              <w:tcPr>
                <w:tcW w:w="1855" w:type="pct"/>
                <w:vMerge w:val="restart"/>
                <w:vAlign w:val="center"/>
              </w:tcPr>
              <w:p w14:paraId="695235A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tr>
      <w:tr w14:paraId="0803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290" w:type="pct"/>
            <w:vMerge w:val="continue"/>
          </w:tcPr>
          <w:p w14:paraId="56E3FE68">
            <w:pPr>
              <w:rPr>
                <w:rFonts w:cs="Times New Roman"/>
                <w:color w:val="000000" w:themeColor="text1"/>
                <w14:textFill>
                  <w14:solidFill>
                    <w14:schemeClr w14:val="tx1"/>
                  </w14:solidFill>
                </w14:textFill>
              </w:rPr>
            </w:pPr>
          </w:p>
        </w:tc>
        <w:tc>
          <w:tcPr>
            <w:tcW w:w="1854" w:type="pct"/>
            <w:vMerge w:val="continue"/>
          </w:tcPr>
          <w:p w14:paraId="0C4776CB">
            <w:pPr>
              <w:ind w:left="-250" w:leftChars="-119" w:firstLine="249" w:firstLineChars="119"/>
              <w:rPr>
                <w:rFonts w:cs="Times New Roman"/>
                <w:color w:val="000000" w:themeColor="text1"/>
                <w14:textFill>
                  <w14:solidFill>
                    <w14:schemeClr w14:val="tx1"/>
                  </w14:solidFill>
                </w14:textFill>
              </w:rPr>
            </w:pPr>
          </w:p>
        </w:tc>
        <w:tc>
          <w:tcPr>
            <w:tcW w:w="1855" w:type="pct"/>
            <w:vMerge w:val="continue"/>
          </w:tcPr>
          <w:p w14:paraId="1142CC3D">
            <w:pPr>
              <w:rPr>
                <w:rFonts w:cs="Times New Roman"/>
                <w:color w:val="000000" w:themeColor="text1"/>
                <w14:textFill>
                  <w14:solidFill>
                    <w14:schemeClr w14:val="tx1"/>
                  </w14:solidFill>
                </w14:textFill>
              </w:rPr>
            </w:pPr>
          </w:p>
        </w:tc>
      </w:tr>
      <w:tr w14:paraId="719F4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90" w:type="pct"/>
          </w:tcPr>
          <w:p w14:paraId="36C902A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股份总数</w:t>
            </w:r>
          </w:p>
        </w:tc>
        <w:tc>
          <w:tcPr>
            <w:tcW w:w="1854" w:type="pct"/>
            <w:vAlign w:val="center"/>
          </w:tcPr>
          <w:p w14:paraId="3E4366EE">
            <w:pPr>
              <w:jc w:val="right"/>
              <w:textAlignment w:val="center"/>
              <w:rPr>
                <w:rFonts w:cs="Times New Roman"/>
              </w:rPr>
            </w:pPr>
            <w:r>
              <w:rPr>
                <w:rFonts w:eastAsia="Arial Narrow" w:cs="Times New Roman"/>
                <w:color w:val="000000"/>
                <w:lang w:bidi="ar"/>
              </w:rPr>
              <w:t>4,391,629,404.00</w:t>
            </w:r>
          </w:p>
        </w:tc>
        <w:tc>
          <w:tcPr>
            <w:tcW w:w="1855" w:type="pct"/>
            <w:vAlign w:val="center"/>
          </w:tcPr>
          <w:p w14:paraId="0DCE2B1B">
            <w:pPr>
              <w:jc w:val="right"/>
              <w:textAlignment w:val="center"/>
              <w:rPr>
                <w:rFonts w:cs="Times New Roman"/>
              </w:rPr>
            </w:pPr>
            <w:r>
              <w:rPr>
                <w:rFonts w:eastAsia="Arial Narrow" w:cs="Times New Roman"/>
                <w:color w:val="000000"/>
                <w:lang w:bidi="ar"/>
              </w:rPr>
              <w:t>4,391,629,404.00</w:t>
            </w:r>
          </w:p>
        </w:tc>
      </w:tr>
    </w:tbl>
    <w:p w14:paraId="61F2A150">
      <w:pPr>
        <w:spacing w:before="60" w:after="60"/>
        <w:rPr>
          <w:color w:val="000000" w:themeColor="text1"/>
          <w14:textFill>
            <w14:solidFill>
              <w14:schemeClr w14:val="tx1"/>
            </w14:solidFill>
          </w14:textFill>
        </w:rPr>
      </w:pPr>
    </w:p>
    <w:p w14:paraId="59A9E6E2">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股本变动情况说明"/>
        <w:tag w:val="_GBC_752687f835754470ad7a125ef32391e4"/>
        <w:id w:val="147463042"/>
        <w:placeholder>
          <w:docPart w:val="GBC22222222222222222222222222222"/>
        </w:placeholder>
      </w:sdtPr>
      <w:sdtEndPr>
        <w:rPr>
          <w:color w:val="000000" w:themeColor="text1"/>
          <w14:textFill>
            <w14:solidFill>
              <w14:schemeClr w14:val="tx1"/>
            </w14:solidFill>
          </w14:textFill>
        </w:rPr>
      </w:sdtEndPr>
      <w:sdtContent>
        <w:p w14:paraId="7D7E04D7">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4E35A939">
      <w:pPr>
        <w:rPr>
          <w:color w:val="000000" w:themeColor="text1"/>
          <w14:textFill>
            <w14:solidFill>
              <w14:schemeClr w14:val="tx1"/>
            </w14:solidFill>
          </w14:textFill>
        </w:rPr>
      </w:pPr>
    </w:p>
    <w:p w14:paraId="6A5943C0">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其他权益工具</w:t>
      </w:r>
    </w:p>
    <w:p w14:paraId="44C6ECFC">
      <w:pPr>
        <w:pStyle w:val="58"/>
        <w:numPr>
          <w:ilvl w:val="0"/>
          <w:numId w:val="87"/>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期末发行在外的优先股、永续债等其他金融工具基本情况</w:t>
      </w:r>
    </w:p>
    <w:sdt>
      <w:sdtPr>
        <w:rPr>
          <w:color w:val="000000" w:themeColor="text1"/>
          <w14:textFill>
            <w14:solidFill>
              <w14:schemeClr w14:val="tx1"/>
            </w14:solidFill>
          </w14:textFill>
        </w:rPr>
        <w:alias w:val="是否适用：期末发行在外的优先股、永续债等其他金融工具基本情况[双击切换]"/>
        <w:tag w:val="_GBC_54d54ac45fe745e1aad9be61a846261f"/>
        <w:id w:val="147461880"/>
        <w:placeholder>
          <w:docPart w:val="GBC22222222222222222222222222222"/>
        </w:placeholder>
      </w:sdtPr>
      <w:sdtEndPr>
        <w:rPr>
          <w:color w:val="000000" w:themeColor="text1"/>
          <w14:textFill>
            <w14:solidFill>
              <w14:schemeClr w14:val="tx1"/>
            </w14:solidFill>
          </w14:textFill>
        </w:rPr>
      </w:sdtEndPr>
      <w:sdtContent>
        <w:p w14:paraId="12F467B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2A36049">
      <w:pPr>
        <w:rPr>
          <w:color w:val="000000" w:themeColor="text1"/>
          <w14:textFill>
            <w14:solidFill>
              <w14:schemeClr w14:val="tx1"/>
            </w14:solidFill>
          </w14:textFill>
        </w:rPr>
      </w:pPr>
    </w:p>
    <w:p w14:paraId="5D20299D">
      <w:pPr>
        <w:pStyle w:val="58"/>
        <w:numPr>
          <w:ilvl w:val="0"/>
          <w:numId w:val="87"/>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期末发行在外的优先股、永续债等金融工具变动情况表</w:t>
      </w:r>
    </w:p>
    <w:sdt>
      <w:sdtPr>
        <w:rPr>
          <w:color w:val="000000" w:themeColor="text1"/>
          <w14:textFill>
            <w14:solidFill>
              <w14:schemeClr w14:val="tx1"/>
            </w14:solidFill>
          </w14:textFill>
        </w:rPr>
        <w:alias w:val="是否适用：期末发行在外的优先股、永续债等金融工具变动情况表_其他权益工具[双击切换]"/>
        <w:tag w:val="_GBC_e8c53693e19e485cba80f7cd2a15ab4c"/>
        <w:id w:val="147478641"/>
        <w:placeholder>
          <w:docPart w:val="GBC22222222222222222222222222222"/>
        </w:placeholder>
      </w:sdtPr>
      <w:sdtEndPr>
        <w:rPr>
          <w:color w:val="000000" w:themeColor="text1"/>
          <w14:textFill>
            <w14:solidFill>
              <w14:schemeClr w14:val="tx1"/>
            </w14:solidFill>
          </w14:textFill>
        </w:rPr>
      </w:sdtEndPr>
      <w:sdtContent>
        <w:p w14:paraId="0C6D4B1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5170F45">
      <w:pPr>
        <w:rPr>
          <w:color w:val="000000" w:themeColor="text1"/>
          <w14:textFill>
            <w14:solidFill>
              <w14:schemeClr w14:val="tx1"/>
            </w14:solidFill>
          </w14:textFill>
        </w:rPr>
      </w:pPr>
    </w:p>
    <w:p w14:paraId="6BD796DC">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其他权益工具本期增减变动情况、变动原因说明，以及相关会计处理的依据：</w:t>
      </w:r>
    </w:p>
    <w:sdt>
      <w:sdtPr>
        <w:rPr>
          <w:color w:val="000000" w:themeColor="text1"/>
          <w14:textFill>
            <w14:solidFill>
              <w14:schemeClr w14:val="tx1"/>
            </w14:solidFill>
          </w14:textFill>
        </w:rPr>
        <w:alias w:val="是否适用：其他权益工具本期增减变动情况、变动原因说明，以及相关会计处理的依据[双击切换]"/>
        <w:tag w:val="_GBC_6229f0070f0a4c838e1e39f678f8a7bb"/>
        <w:id w:val="147450938"/>
        <w:placeholder>
          <w:docPart w:val="GBC22222222222222222222222222222"/>
        </w:placeholder>
      </w:sdtPr>
      <w:sdtEndPr>
        <w:rPr>
          <w:color w:val="000000" w:themeColor="text1"/>
          <w14:textFill>
            <w14:solidFill>
              <w14:schemeClr w14:val="tx1"/>
            </w14:solidFill>
          </w14:textFill>
        </w:rPr>
      </w:sdtEndPr>
      <w:sdtContent>
        <w:p w14:paraId="401E09C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591FA8B">
      <w:pPr>
        <w:rPr>
          <w:color w:val="000000" w:themeColor="text1"/>
          <w14:textFill>
            <w14:solidFill>
              <w14:schemeClr w14:val="tx1"/>
            </w14:solidFill>
          </w14:textFill>
        </w:rPr>
      </w:pPr>
    </w:p>
    <w:p w14:paraId="7E2BC938">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其他权益工具的其他说明[双击切换]"/>
        <w:tag w:val="_GBC_297d299126b041159b18d012f9a18c2e"/>
        <w:id w:val="147460701"/>
        <w:placeholder>
          <w:docPart w:val="GBC22222222222222222222222222222"/>
        </w:placeholder>
      </w:sdtPr>
      <w:sdtEndPr>
        <w:rPr>
          <w:color w:val="000000" w:themeColor="text1"/>
          <w14:textFill>
            <w14:solidFill>
              <w14:schemeClr w14:val="tx1"/>
            </w14:solidFill>
          </w14:textFill>
        </w:rPr>
      </w:sdtEndPr>
      <w:sdtContent>
        <w:p w14:paraId="5D02CA7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4AE7D76">
      <w:pPr>
        <w:rPr>
          <w:color w:val="000000" w:themeColor="text1"/>
          <w14:textFill>
            <w14:solidFill>
              <w14:schemeClr w14:val="tx1"/>
            </w14:solidFill>
          </w14:textFill>
        </w:rPr>
      </w:pPr>
    </w:p>
    <w:p w14:paraId="7157F757">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资本公积</w:t>
      </w:r>
    </w:p>
    <w:sdt>
      <w:sdtPr>
        <w:rPr>
          <w:color w:val="000000" w:themeColor="text1"/>
          <w14:textFill>
            <w14:solidFill>
              <w14:schemeClr w14:val="tx1"/>
            </w14:solidFill>
          </w14:textFill>
        </w:rPr>
        <w:alias w:val="是否适用：资本公积[双击切换]"/>
        <w:tag w:val="_GBC_70f32b67ce344a03adfc93d4ed72949a"/>
        <w:id w:val="147453452"/>
        <w:placeholder>
          <w:docPart w:val="GBC22222222222222222222222222222"/>
        </w:placeholder>
      </w:sdtPr>
      <w:sdtEndPr>
        <w:rPr>
          <w:color w:val="000000" w:themeColor="text1"/>
          <w14:textFill>
            <w14:solidFill>
              <w14:schemeClr w14:val="tx1"/>
            </w14:solidFill>
          </w14:textFill>
        </w:rPr>
      </w:sdtEndPr>
      <w:sdtContent>
        <w:p w14:paraId="012F55D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D92FA72">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资本公积"/>
          <w:tag w:val="_GBC_88633009fdc64f4e8238c38541b33615"/>
          <w:id w:val="1474624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资本公积"/>
          <w:tag w:val="_GBC_636aa96d47cb426abc64fc00b61c9353"/>
          <w:id w:val="1474613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6"/>
        <w:gridCol w:w="3074"/>
        <w:gridCol w:w="3097"/>
      </w:tblGrid>
      <w:tr w14:paraId="1956C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177c011500e64862903c4c16dbb2f31f"/>
            <w:id w:val="147473640"/>
          </w:sdtPr>
          <w:sdtEndPr>
            <w:rPr>
              <w:rFonts w:cs="Times New Roman"/>
            </w:rPr>
          </w:sdtEndPr>
          <w:sdtContent>
            <w:tc>
              <w:tcPr>
                <w:tcW w:w="1589" w:type="pct"/>
                <w:vAlign w:val="center"/>
              </w:tcPr>
              <w:p w14:paraId="5FE389B4">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1519f0add67f49df9173f37c00215eef"/>
            <w:id w:val="147460387"/>
          </w:sdtPr>
          <w:sdtEndPr>
            <w:rPr>
              <w:rFonts w:cs="Times New Roman"/>
            </w:rPr>
          </w:sdtEndPr>
          <w:sdtContent>
            <w:tc>
              <w:tcPr>
                <w:tcW w:w="1698" w:type="pct"/>
                <w:vAlign w:val="center"/>
              </w:tcPr>
              <w:p w14:paraId="4B66D74F">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sdt>
          <w:sdtPr>
            <w:rPr>
              <w:rFonts w:cs="Times New Roman"/>
            </w:rPr>
            <w:tag w:val="_PLD_4c3f2255a4a24c1cae63eb0cc7781f12"/>
            <w:id w:val="147477125"/>
          </w:sdtPr>
          <w:sdtEndPr>
            <w:rPr>
              <w:rFonts w:cs="Times New Roman"/>
            </w:rPr>
          </w:sdtEndPr>
          <w:sdtContent>
            <w:tc>
              <w:tcPr>
                <w:tcW w:w="1711" w:type="pct"/>
                <w:vAlign w:val="center"/>
              </w:tcPr>
              <w:p w14:paraId="370EA7F0">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tr>
      <w:tr w14:paraId="1FB63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pct"/>
          </w:tcPr>
          <w:p w14:paraId="14052224">
            <w:pPr>
              <w:autoSpaceDE w:val="0"/>
              <w:autoSpaceDN w:val="0"/>
              <w:adjustRightInd w:val="0"/>
              <w:snapToGrid w:val="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资本溢价（股本溢价）</w:t>
            </w:r>
          </w:p>
        </w:tc>
        <w:tc>
          <w:tcPr>
            <w:tcW w:w="1698" w:type="pct"/>
            <w:vAlign w:val="center"/>
          </w:tcPr>
          <w:p w14:paraId="11CE2687">
            <w:pPr>
              <w:jc w:val="right"/>
              <w:textAlignment w:val="center"/>
              <w:rPr>
                <w:rFonts w:cs="Times New Roman"/>
              </w:rPr>
            </w:pPr>
            <w:r>
              <w:rPr>
                <w:rFonts w:eastAsia="Arial Narrow" w:cs="Times New Roman"/>
                <w:color w:val="000000"/>
                <w:lang w:bidi="ar"/>
              </w:rPr>
              <w:t>7,986,597,677.86</w:t>
            </w:r>
          </w:p>
        </w:tc>
        <w:tc>
          <w:tcPr>
            <w:tcW w:w="1711" w:type="pct"/>
            <w:vAlign w:val="center"/>
          </w:tcPr>
          <w:p w14:paraId="6FDEE2BF">
            <w:pPr>
              <w:jc w:val="right"/>
              <w:textAlignment w:val="center"/>
              <w:rPr>
                <w:rFonts w:cs="Times New Roman"/>
              </w:rPr>
            </w:pPr>
            <w:r>
              <w:rPr>
                <w:rFonts w:eastAsia="Arial Narrow" w:cs="Times New Roman"/>
                <w:color w:val="000000"/>
                <w:lang w:bidi="ar"/>
              </w:rPr>
              <w:t>7,986,597,677.86</w:t>
            </w:r>
          </w:p>
        </w:tc>
      </w:tr>
      <w:tr w14:paraId="2F3AC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pct"/>
          </w:tcPr>
          <w:p w14:paraId="375200F8">
            <w:pPr>
              <w:autoSpaceDE w:val="0"/>
              <w:autoSpaceDN w:val="0"/>
              <w:adjustRightInd w:val="0"/>
              <w:snapToGrid w:val="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其他资本公积</w:t>
            </w:r>
          </w:p>
        </w:tc>
        <w:tc>
          <w:tcPr>
            <w:tcW w:w="1698" w:type="pct"/>
            <w:vAlign w:val="center"/>
          </w:tcPr>
          <w:p w14:paraId="04493212">
            <w:pPr>
              <w:jc w:val="right"/>
              <w:textAlignment w:val="center"/>
              <w:rPr>
                <w:rFonts w:cs="Times New Roman"/>
              </w:rPr>
            </w:pPr>
            <w:r>
              <w:rPr>
                <w:rFonts w:eastAsia="Arial Narrow" w:cs="Times New Roman"/>
                <w:color w:val="000000"/>
                <w:lang w:bidi="ar"/>
              </w:rPr>
              <w:t>81,168,459.22</w:t>
            </w:r>
          </w:p>
        </w:tc>
        <w:tc>
          <w:tcPr>
            <w:tcW w:w="1711" w:type="pct"/>
            <w:vAlign w:val="center"/>
          </w:tcPr>
          <w:p w14:paraId="4AA76A69">
            <w:pPr>
              <w:jc w:val="right"/>
              <w:textAlignment w:val="center"/>
              <w:rPr>
                <w:rFonts w:cs="Times New Roman"/>
              </w:rPr>
            </w:pPr>
            <w:r>
              <w:rPr>
                <w:rFonts w:eastAsia="Arial Narrow" w:cs="Times New Roman"/>
                <w:color w:val="000000"/>
                <w:lang w:bidi="ar"/>
              </w:rPr>
              <w:t>81,168,459.22</w:t>
            </w:r>
          </w:p>
        </w:tc>
      </w:tr>
      <w:tr w14:paraId="4EF23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pct"/>
            <w:vAlign w:val="center"/>
          </w:tcPr>
          <w:p w14:paraId="34D68E93">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698" w:type="pct"/>
            <w:vAlign w:val="center"/>
          </w:tcPr>
          <w:p w14:paraId="353C3D8B">
            <w:pPr>
              <w:jc w:val="right"/>
              <w:textAlignment w:val="center"/>
              <w:rPr>
                <w:rFonts w:cs="Times New Roman"/>
              </w:rPr>
            </w:pPr>
            <w:r>
              <w:rPr>
                <w:rFonts w:eastAsia="Arial Narrow" w:cs="Times New Roman"/>
                <w:color w:val="000000"/>
                <w:lang w:bidi="ar"/>
              </w:rPr>
              <w:t>8,067,766,137.08</w:t>
            </w:r>
          </w:p>
        </w:tc>
        <w:tc>
          <w:tcPr>
            <w:tcW w:w="1711" w:type="pct"/>
            <w:vAlign w:val="center"/>
          </w:tcPr>
          <w:p w14:paraId="66AEDCBF">
            <w:pPr>
              <w:jc w:val="right"/>
              <w:textAlignment w:val="center"/>
              <w:rPr>
                <w:rFonts w:cs="Times New Roman"/>
              </w:rPr>
            </w:pPr>
            <w:r>
              <w:rPr>
                <w:rFonts w:eastAsia="Arial Narrow" w:cs="Times New Roman"/>
                <w:color w:val="000000"/>
                <w:lang w:bidi="ar"/>
              </w:rPr>
              <w:t>8,067,766,137.08</w:t>
            </w:r>
          </w:p>
        </w:tc>
      </w:tr>
    </w:tbl>
    <w:p w14:paraId="39D7ECC9">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其他说明，包括本期增减变动情况、变动原因说明：</w:t>
      </w:r>
    </w:p>
    <w:p w14:paraId="6791D8BE">
      <w:pPr>
        <w:rPr>
          <w:color w:val="000000" w:themeColor="text1"/>
          <w14:textFill>
            <w14:solidFill>
              <w14:schemeClr w14:val="tx1"/>
            </w14:solidFill>
          </w14:textFill>
        </w:rPr>
      </w:pPr>
      <w:sdt>
        <w:sdtPr>
          <w:rPr>
            <w:color w:val="000000" w:themeColor="text1"/>
            <w14:textFill>
              <w14:solidFill>
                <w14:schemeClr w14:val="tx1"/>
              </w14:solidFill>
            </w14:textFill>
          </w:rPr>
          <w:alias w:val="资本公积说明"/>
          <w:tag w:val="_GBC_014f0762b4274266bec2aa5231aa0981"/>
          <w:id w:val="147458759"/>
          <w:placeholder>
            <w:docPart w:val="GBC22222222222222222222222222222"/>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无</w:t>
          </w:r>
        </w:sdtContent>
      </w:sdt>
    </w:p>
    <w:p w14:paraId="6EE02E60">
      <w:pPr>
        <w:rPr>
          <w:color w:val="000000" w:themeColor="text1"/>
          <w14:textFill>
            <w14:solidFill>
              <w14:schemeClr w14:val="tx1"/>
            </w14:solidFill>
          </w14:textFill>
        </w:rPr>
      </w:pPr>
    </w:p>
    <w:p w14:paraId="528439FD">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库存股</w:t>
      </w:r>
    </w:p>
    <w:sdt>
      <w:sdtPr>
        <w:rPr>
          <w:color w:val="000000" w:themeColor="text1"/>
          <w14:textFill>
            <w14:solidFill>
              <w14:schemeClr w14:val="tx1"/>
            </w14:solidFill>
          </w14:textFill>
        </w:rPr>
        <w:alias w:val="是否适用：库存股[双击切换]"/>
        <w:tag w:val="_GBC_4aa47a6d9b1044aa8a049146d42c3e9c"/>
        <w:id w:val="147479744"/>
        <w:placeholder>
          <w:docPart w:val="GBC22222222222222222222222222222"/>
        </w:placeholder>
      </w:sdtPr>
      <w:sdtEndPr>
        <w:rPr>
          <w:color w:val="000000" w:themeColor="text1"/>
          <w14:textFill>
            <w14:solidFill>
              <w14:schemeClr w14:val="tx1"/>
            </w14:solidFill>
          </w14:textFill>
        </w:rPr>
      </w:sdtEndPr>
      <w:sdtContent>
        <w:p w14:paraId="35C3452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6DD559B">
      <w:pPr>
        <w:pStyle w:val="63"/>
        <w:ind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财务附注：库存股"/>
          <w:tag w:val="_GBC_2ec7280618184a6dbf8764020927134a"/>
          <w:id w:val="1474722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财务附注：库存股"/>
          <w:tag w:val="_GBC_bcf1b0dc9f44435981af64b6d69d6045"/>
          <w:id w:val="1474522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2"/>
        <w:gridCol w:w="1483"/>
        <w:gridCol w:w="1484"/>
        <w:gridCol w:w="1484"/>
        <w:gridCol w:w="1486"/>
      </w:tblGrid>
      <w:tr w14:paraId="43CB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b46e14f0143b428d91ebe5e1885be6ac"/>
            <w:id w:val="147480307"/>
          </w:sdtPr>
          <w:sdtEndPr>
            <w:rPr>
              <w:rFonts w:cs="Times New Roman"/>
            </w:rPr>
          </w:sdtEndPr>
          <w:sdtContent>
            <w:tc>
              <w:tcPr>
                <w:tcW w:w="1719" w:type="pct"/>
                <w:vAlign w:val="center"/>
              </w:tcPr>
              <w:p w14:paraId="0901A46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6db0262d3f8842b4a7eba04e09be9d8a"/>
            <w:id w:val="147462562"/>
          </w:sdtPr>
          <w:sdtEndPr>
            <w:rPr>
              <w:rFonts w:cs="Times New Roman"/>
            </w:rPr>
          </w:sdtEndPr>
          <w:sdtContent>
            <w:tc>
              <w:tcPr>
                <w:tcW w:w="819" w:type="pct"/>
                <w:vAlign w:val="center"/>
              </w:tcPr>
              <w:p w14:paraId="2FDE5D8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sdt>
          <w:sdtPr>
            <w:rPr>
              <w:rFonts w:cs="Times New Roman"/>
            </w:rPr>
            <w:tag w:val="_PLD_6f585f2d8d254ed6a108b145b56ff7cc"/>
            <w:id w:val="147455124"/>
          </w:sdtPr>
          <w:sdtEndPr>
            <w:rPr>
              <w:rFonts w:cs="Times New Roman"/>
            </w:rPr>
          </w:sdtEndPr>
          <w:sdtContent>
            <w:tc>
              <w:tcPr>
                <w:tcW w:w="819" w:type="pct"/>
                <w:vAlign w:val="center"/>
              </w:tcPr>
              <w:p w14:paraId="21BC3CA7">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本期增加</w:t>
                </w:r>
              </w:p>
            </w:tc>
          </w:sdtContent>
        </w:sdt>
        <w:sdt>
          <w:sdtPr>
            <w:rPr>
              <w:rFonts w:cs="Times New Roman"/>
            </w:rPr>
            <w:tag w:val="_PLD_20354e1f567449a9b9021901b2252d15"/>
            <w:id w:val="147456145"/>
          </w:sdtPr>
          <w:sdtEndPr>
            <w:rPr>
              <w:rFonts w:cs="Times New Roman"/>
            </w:rPr>
          </w:sdtEndPr>
          <w:sdtContent>
            <w:tc>
              <w:tcPr>
                <w:tcW w:w="819" w:type="pct"/>
                <w:vAlign w:val="center"/>
              </w:tcPr>
              <w:p w14:paraId="4BDB278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本期减少</w:t>
                </w:r>
              </w:p>
            </w:tc>
          </w:sdtContent>
        </w:sdt>
        <w:sdt>
          <w:sdtPr>
            <w:rPr>
              <w:rFonts w:cs="Times New Roman"/>
            </w:rPr>
            <w:tag w:val="_PLD_94daf05bbefc4d829f1bc3b83d11b6ca"/>
            <w:id w:val="147455154"/>
          </w:sdtPr>
          <w:sdtEndPr>
            <w:rPr>
              <w:rFonts w:cs="Times New Roman"/>
            </w:rPr>
          </w:sdtEndPr>
          <w:sdtContent>
            <w:tc>
              <w:tcPr>
                <w:tcW w:w="820" w:type="pct"/>
                <w:vAlign w:val="center"/>
              </w:tcPr>
              <w:p w14:paraId="2BC8040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tr>
      <w:tr w14:paraId="7279D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pct"/>
          </w:tcPr>
          <w:p w14:paraId="0725510F">
            <w:pPr>
              <w:textAlignment w:val="top"/>
              <w:rPr>
                <w:rFonts w:cs="Times New Roman"/>
              </w:rPr>
            </w:pPr>
            <w:r>
              <w:rPr>
                <w:rFonts w:cs="Times New Roman"/>
                <w:color w:val="000000"/>
                <w:lang w:bidi="ar"/>
              </w:rPr>
              <w:t>回购股份将用于注销并减少公司注册资本</w:t>
            </w:r>
          </w:p>
        </w:tc>
        <w:tc>
          <w:tcPr>
            <w:tcW w:w="819" w:type="pct"/>
            <w:vAlign w:val="center"/>
          </w:tcPr>
          <w:p w14:paraId="482CDF36">
            <w:pPr>
              <w:jc w:val="right"/>
              <w:rPr>
                <w:rFonts w:cs="Times New Roman"/>
              </w:rPr>
            </w:pPr>
          </w:p>
        </w:tc>
        <w:tc>
          <w:tcPr>
            <w:tcW w:w="819" w:type="pct"/>
            <w:vAlign w:val="center"/>
          </w:tcPr>
          <w:p w14:paraId="59F334CD">
            <w:pPr>
              <w:jc w:val="right"/>
              <w:textAlignment w:val="center"/>
              <w:rPr>
                <w:rFonts w:cs="Times New Roman"/>
              </w:rPr>
            </w:pPr>
            <w:r>
              <w:rPr>
                <w:rFonts w:eastAsia="Arial Narrow" w:cs="Times New Roman"/>
                <w:color w:val="000000"/>
                <w:lang w:bidi="ar"/>
              </w:rPr>
              <w:t>39,938,040.72</w:t>
            </w:r>
          </w:p>
        </w:tc>
        <w:tc>
          <w:tcPr>
            <w:tcW w:w="819" w:type="pct"/>
            <w:vAlign w:val="center"/>
          </w:tcPr>
          <w:p w14:paraId="583E622E">
            <w:pPr>
              <w:jc w:val="right"/>
              <w:rPr>
                <w:rFonts w:cs="Times New Roman"/>
              </w:rPr>
            </w:pPr>
          </w:p>
        </w:tc>
        <w:tc>
          <w:tcPr>
            <w:tcW w:w="820" w:type="pct"/>
            <w:vAlign w:val="center"/>
          </w:tcPr>
          <w:p w14:paraId="60F41F2A">
            <w:pPr>
              <w:jc w:val="right"/>
              <w:textAlignment w:val="center"/>
              <w:rPr>
                <w:rFonts w:cs="Times New Roman"/>
              </w:rPr>
            </w:pPr>
            <w:r>
              <w:rPr>
                <w:rFonts w:eastAsia="Arial Narrow" w:cs="Times New Roman"/>
                <w:color w:val="000000"/>
                <w:lang w:bidi="ar"/>
              </w:rPr>
              <w:t>39,938,040.72</w:t>
            </w:r>
          </w:p>
        </w:tc>
      </w:tr>
      <w:tr w14:paraId="798D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719" w:type="pct"/>
            <w:vAlign w:val="center"/>
          </w:tcPr>
          <w:p w14:paraId="59D193C4">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819" w:type="pct"/>
          </w:tcPr>
          <w:p w14:paraId="2F3CD997">
            <w:pPr>
              <w:jc w:val="right"/>
              <w:rPr>
                <w:rFonts w:cs="Times New Roman"/>
              </w:rPr>
            </w:pPr>
          </w:p>
        </w:tc>
        <w:tc>
          <w:tcPr>
            <w:tcW w:w="819" w:type="pct"/>
            <w:vAlign w:val="center"/>
          </w:tcPr>
          <w:p w14:paraId="6D27536A">
            <w:pPr>
              <w:jc w:val="right"/>
              <w:textAlignment w:val="center"/>
              <w:rPr>
                <w:rFonts w:cs="Times New Roman"/>
              </w:rPr>
            </w:pPr>
            <w:r>
              <w:rPr>
                <w:rFonts w:eastAsia="Arial Narrow" w:cs="Times New Roman"/>
                <w:color w:val="000000"/>
                <w:lang w:bidi="ar"/>
              </w:rPr>
              <w:t>39,938,040.72</w:t>
            </w:r>
          </w:p>
        </w:tc>
        <w:tc>
          <w:tcPr>
            <w:tcW w:w="819" w:type="pct"/>
            <w:vAlign w:val="center"/>
          </w:tcPr>
          <w:p w14:paraId="7380B598">
            <w:pPr>
              <w:jc w:val="right"/>
              <w:rPr>
                <w:rFonts w:cs="Times New Roman"/>
              </w:rPr>
            </w:pPr>
          </w:p>
        </w:tc>
        <w:tc>
          <w:tcPr>
            <w:tcW w:w="820" w:type="pct"/>
            <w:vAlign w:val="center"/>
          </w:tcPr>
          <w:p w14:paraId="657458F6">
            <w:pPr>
              <w:jc w:val="right"/>
              <w:textAlignment w:val="center"/>
              <w:rPr>
                <w:rFonts w:cs="Times New Roman"/>
              </w:rPr>
            </w:pPr>
            <w:r>
              <w:rPr>
                <w:rFonts w:eastAsia="Arial Narrow" w:cs="Times New Roman"/>
                <w:color w:val="000000"/>
                <w:lang w:bidi="ar"/>
              </w:rPr>
              <w:t>39,938,040.72</w:t>
            </w:r>
          </w:p>
        </w:tc>
      </w:tr>
    </w:tbl>
    <w:p w14:paraId="7AFE09BF">
      <w:pPr>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其他说明，包括本期增减变动情况、变动原因说明：</w:t>
      </w:r>
    </w:p>
    <w:p w14:paraId="7D3E07DD">
      <w:pPr>
        <w:jc w:val="both"/>
        <w:rPr>
          <w:rFonts w:cs="Times New Roman"/>
          <w:b/>
          <w:color w:val="000000" w:themeColor="text1"/>
          <w14:textFill>
            <w14:solidFill>
              <w14:schemeClr w14:val="tx1"/>
            </w14:solidFill>
          </w14:textFill>
        </w:rPr>
      </w:pPr>
      <w:sdt>
        <w:sdtPr>
          <w:rPr>
            <w:rFonts w:cs="Times New Roman"/>
            <w:color w:val="000000" w:themeColor="text1"/>
            <w14:textFill>
              <w14:solidFill>
                <w14:schemeClr w14:val="tx1"/>
              </w14:solidFill>
            </w14:textFill>
          </w:rPr>
          <w:alias w:val="库存股情况说明"/>
          <w:tag w:val="_GBC_aeb361adcbde44daaa852df07259812c"/>
          <w:id w:val="147457109"/>
          <w:placeholder>
            <w:docPart w:val="GBC22222222222222222222222222222"/>
          </w:placeholder>
        </w:sdtPr>
        <w:sdtEndPr>
          <w:rPr>
            <w:rFonts w:cs="Times New Roman"/>
            <w:color w:val="000000" w:themeColor="text1"/>
            <w14:textFill>
              <w14:solidFill>
                <w14:schemeClr w14:val="tx1"/>
              </w14:solidFill>
            </w14:textFill>
          </w:rPr>
        </w:sdtEndPr>
        <w:sdtContent>
          <w:r>
            <w:rPr>
              <w:rFonts w:cs="Times New Roman"/>
              <w:color w:val="000000" w:themeColor="text1"/>
              <w14:textFill>
                <w14:solidFill>
                  <w14:schemeClr w14:val="tx1"/>
                </w14:solidFill>
              </w14:textFill>
            </w:rPr>
            <w:t>本公司于2024年12月6日召开的第六届董事会第七次会议、2024年12月23日召开的2024年第二次临时股东大会，审议通过了关于《以集中竞价交易方式回购公司股份的预案》的议案，拟以自有资金及自筹资金通过集中竞价交易方式回购公司部分A股股份，回购的股份将用于注销并减少公司注册资本。拟回购资金总额不低于人民币1亿元（含），不超过人民币2亿元（含）。 截至2025年6月30日，公司通过上海证券交易所交易系统以集中竞价交易方式回购股份数量15,240,401股，占公司当前总股本的比例为0.3470%，回购成交的最高价为人民币2.73元/股，最低价为人民币2.51元/股。</w:t>
          </w:r>
        </w:sdtContent>
      </w:sdt>
    </w:p>
    <w:p w14:paraId="31FC22B1">
      <w:pPr>
        <w:jc w:val="both"/>
        <w:rPr>
          <w:rFonts w:cs="Times New Roman"/>
          <w:color w:val="000000" w:themeColor="text1"/>
          <w14:textFill>
            <w14:solidFill>
              <w14:schemeClr w14:val="tx1"/>
            </w14:solidFill>
          </w14:textFill>
        </w:rPr>
        <w:sectPr>
          <w:pgSz w:w="11906" w:h="16838"/>
          <w:pgMar w:top="1525" w:right="1276" w:bottom="1440" w:left="1797" w:header="856" w:footer="992" w:gutter="0"/>
          <w:cols w:space="425" w:num="1"/>
          <w:docGrid w:linePitch="312" w:charSpace="0"/>
        </w:sectPr>
      </w:pPr>
    </w:p>
    <w:p w14:paraId="53AF3844">
      <w:pPr>
        <w:rPr>
          <w:color w:val="000000" w:themeColor="text1"/>
          <w14:textFill>
            <w14:solidFill>
              <w14:schemeClr w14:val="tx1"/>
            </w14:solidFill>
          </w14:textFill>
        </w:rPr>
      </w:pPr>
    </w:p>
    <w:p w14:paraId="4F47CABC">
      <w:pPr>
        <w:pStyle w:val="57"/>
        <w:numPr>
          <w:ilvl w:val="0"/>
          <w:numId w:val="54"/>
        </w:numPr>
        <w:rPr>
          <w:color w:val="000000" w:themeColor="text1"/>
          <w:szCs w:val="21"/>
          <w14:textFill>
            <w14:solidFill>
              <w14:schemeClr w14:val="tx1"/>
            </w14:solidFill>
          </w14:textFill>
        </w:rPr>
      </w:pPr>
      <w:bookmarkStart w:id="377" w:name="_Hlk10537776"/>
      <w:r>
        <w:rPr>
          <w:color w:val="000000" w:themeColor="text1"/>
          <w:szCs w:val="21"/>
          <w14:textFill>
            <w14:solidFill>
              <w14:schemeClr w14:val="tx1"/>
            </w14:solidFill>
          </w14:textFill>
        </w:rPr>
        <w:t>其他综合收益</w:t>
      </w:r>
    </w:p>
    <w:sdt>
      <w:sdtPr>
        <w:rPr>
          <w:color w:val="000000" w:themeColor="text1"/>
          <w14:textFill>
            <w14:solidFill>
              <w14:schemeClr w14:val="tx1"/>
            </w14:solidFill>
          </w14:textFill>
        </w:rPr>
        <w:alias w:val="是否适用：其他综合收益[双击切换]"/>
        <w:tag w:val="_GBC_a53cc67f2be24dfbbe3af1b633d9bd6d"/>
        <w:id w:val="147455082"/>
        <w:placeholder>
          <w:docPart w:val="GBC22222222222222222222222222222"/>
        </w:placeholder>
      </w:sdtPr>
      <w:sdtEndPr>
        <w:rPr>
          <w:color w:val="000000" w:themeColor="text1"/>
          <w14:textFill>
            <w14:solidFill>
              <w14:schemeClr w14:val="tx1"/>
            </w14:solidFill>
          </w14:textFill>
        </w:rPr>
      </w:sdtEndPr>
      <w:sdtContent>
        <w:p w14:paraId="52BA37E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3B7DC7E">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其他综合收益情况"/>
          <w:tag w:val="_GBC_3fcad98da74248809a759048ca194814"/>
          <w:id w:val="14746367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其他综合收益情况"/>
          <w:tag w:val="_GBC_3909f37aa0cc4eda82ff1503a6abe503"/>
          <w:id w:val="1474701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1"/>
        <w:gridCol w:w="2049"/>
        <w:gridCol w:w="1759"/>
        <w:gridCol w:w="1835"/>
        <w:gridCol w:w="1646"/>
        <w:gridCol w:w="2027"/>
        <w:gridCol w:w="2002"/>
      </w:tblGrid>
      <w:tr w14:paraId="67B50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sdt>
          <w:sdtPr>
            <w:rPr>
              <w:rFonts w:cs="Times New Roman"/>
            </w:rPr>
            <w:tag w:val="_PLD_965475dfd86e41c29d1b9f1fdff70ee0"/>
            <w:id w:val="147480130"/>
          </w:sdtPr>
          <w:sdtEndPr>
            <w:rPr>
              <w:rFonts w:cs="Times New Roman"/>
            </w:rPr>
          </w:sdtEndPr>
          <w:sdtContent>
            <w:tc>
              <w:tcPr>
                <w:tcW w:w="983" w:type="pct"/>
                <w:vMerge w:val="restart"/>
                <w:vAlign w:val="center"/>
              </w:tcPr>
              <w:p w14:paraId="26C8B0BE">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8a675a3cac5041d29cfb92203b87e9a6"/>
            <w:id w:val="147458211"/>
          </w:sdtPr>
          <w:sdtEndPr>
            <w:rPr>
              <w:rFonts w:cs="Times New Roman"/>
            </w:rPr>
          </w:sdtEndPr>
          <w:sdtContent>
            <w:tc>
              <w:tcPr>
                <w:tcW w:w="727" w:type="pct"/>
                <w:vMerge w:val="restart"/>
                <w:vAlign w:val="center"/>
              </w:tcPr>
              <w:p w14:paraId="257E7520">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w:t>
                </w:r>
              </w:p>
              <w:p w14:paraId="646CCCF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余额</w:t>
                </w:r>
              </w:p>
            </w:tc>
          </w:sdtContent>
        </w:sdt>
        <w:sdt>
          <w:sdtPr>
            <w:rPr>
              <w:rFonts w:cs="Times New Roman"/>
            </w:rPr>
            <w:tag w:val="_PLD_5ff455f3c2164019b5e694c1e00e4104"/>
            <w:id w:val="147457044"/>
          </w:sdtPr>
          <w:sdtEndPr>
            <w:rPr>
              <w:rFonts w:cs="Times New Roman"/>
            </w:rPr>
          </w:sdtEndPr>
          <w:sdtContent>
            <w:tc>
              <w:tcPr>
                <w:tcW w:w="2578" w:type="pct"/>
                <w:gridSpan w:val="4"/>
                <w:vAlign w:val="center"/>
              </w:tcPr>
              <w:p w14:paraId="5A7E955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本期发生金额</w:t>
                </w:r>
              </w:p>
            </w:tc>
          </w:sdtContent>
        </w:sdt>
        <w:sdt>
          <w:sdtPr>
            <w:rPr>
              <w:rFonts w:cs="Times New Roman"/>
            </w:rPr>
            <w:tag w:val="_PLD_e74e1b8e6f7d453b8d88ebfc65c302f4"/>
            <w:id w:val="147479186"/>
          </w:sdtPr>
          <w:sdtEndPr>
            <w:rPr>
              <w:rFonts w:cs="Times New Roman"/>
            </w:rPr>
          </w:sdtEndPr>
          <w:sdtContent>
            <w:tc>
              <w:tcPr>
                <w:tcW w:w="710" w:type="pct"/>
                <w:vMerge w:val="restart"/>
                <w:vAlign w:val="center"/>
              </w:tcPr>
              <w:p w14:paraId="0DC4D6F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w:t>
                </w:r>
              </w:p>
              <w:p w14:paraId="6FF8367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余额</w:t>
                </w:r>
              </w:p>
            </w:tc>
          </w:sdtContent>
        </w:sdt>
      </w:tr>
      <w:tr w14:paraId="311AC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pct"/>
            <w:vMerge w:val="continue"/>
          </w:tcPr>
          <w:p w14:paraId="5EE04C66">
            <w:pPr>
              <w:jc w:val="center"/>
              <w:rPr>
                <w:rFonts w:cs="Times New Roman"/>
                <w:color w:val="000000" w:themeColor="text1"/>
                <w14:textFill>
                  <w14:solidFill>
                    <w14:schemeClr w14:val="tx1"/>
                  </w14:solidFill>
                </w14:textFill>
              </w:rPr>
            </w:pPr>
          </w:p>
        </w:tc>
        <w:tc>
          <w:tcPr>
            <w:tcW w:w="727" w:type="pct"/>
            <w:vMerge w:val="continue"/>
          </w:tcPr>
          <w:p w14:paraId="57D3A9D8">
            <w:pPr>
              <w:jc w:val="center"/>
              <w:rPr>
                <w:rFonts w:cs="Times New Roman"/>
                <w:color w:val="000000" w:themeColor="text1"/>
                <w14:textFill>
                  <w14:solidFill>
                    <w14:schemeClr w14:val="tx1"/>
                  </w14:solidFill>
                </w14:textFill>
              </w:rPr>
            </w:pPr>
          </w:p>
        </w:tc>
        <w:sdt>
          <w:sdtPr>
            <w:rPr>
              <w:rFonts w:cs="Times New Roman"/>
            </w:rPr>
            <w:tag w:val="_PLD_17c016c4311444368218ab16d2bc7a4c"/>
            <w:id w:val="147460853"/>
          </w:sdtPr>
          <w:sdtEndPr>
            <w:rPr>
              <w:rFonts w:cs="Times New Roman"/>
            </w:rPr>
          </w:sdtEndPr>
          <w:sdtContent>
            <w:tc>
              <w:tcPr>
                <w:tcW w:w="624" w:type="pct"/>
                <w:vAlign w:val="center"/>
              </w:tcPr>
              <w:p w14:paraId="74691BBC">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本期所得税前发生额</w:t>
                </w:r>
              </w:p>
            </w:tc>
          </w:sdtContent>
        </w:sdt>
        <w:sdt>
          <w:sdtPr>
            <w:rPr>
              <w:rFonts w:cs="Times New Roman"/>
            </w:rPr>
            <w:tag w:val="_PLD_6ee499a1144a462687fb064cc4588343"/>
            <w:id w:val="147469128"/>
          </w:sdtPr>
          <w:sdtEndPr>
            <w:rPr>
              <w:rFonts w:cs="Times New Roman"/>
            </w:rPr>
          </w:sdtEndPr>
          <w:sdtContent>
            <w:tc>
              <w:tcPr>
                <w:tcW w:w="651" w:type="pct"/>
                <w:vAlign w:val="center"/>
              </w:tcPr>
              <w:p w14:paraId="192C63C4">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减：所得税费用</w:t>
                </w:r>
              </w:p>
            </w:tc>
          </w:sdtContent>
        </w:sdt>
        <w:sdt>
          <w:sdtPr>
            <w:rPr>
              <w:rFonts w:cs="Times New Roman"/>
            </w:rPr>
            <w:tag w:val="_PLD_97d686c5a0f042d49d097afc52b9ab56"/>
            <w:id w:val="147472044"/>
          </w:sdtPr>
          <w:sdtEndPr>
            <w:rPr>
              <w:rFonts w:cs="Times New Roman"/>
            </w:rPr>
          </w:sdtEndPr>
          <w:sdtContent>
            <w:tc>
              <w:tcPr>
                <w:tcW w:w="584" w:type="pct"/>
                <w:vAlign w:val="center"/>
              </w:tcPr>
              <w:p w14:paraId="2D2F9EAE">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税后归属于母公司</w:t>
                </w:r>
              </w:p>
            </w:tc>
          </w:sdtContent>
        </w:sdt>
        <w:sdt>
          <w:sdtPr>
            <w:rPr>
              <w:rFonts w:cs="Times New Roman"/>
            </w:rPr>
            <w:tag w:val="_PLD_dc8c642f883f4ca1b1bbacf56198209b"/>
            <w:id w:val="147471610"/>
          </w:sdtPr>
          <w:sdtEndPr>
            <w:rPr>
              <w:rFonts w:cs="Times New Roman"/>
            </w:rPr>
          </w:sdtEndPr>
          <w:sdtContent>
            <w:tc>
              <w:tcPr>
                <w:tcW w:w="719" w:type="pct"/>
                <w:vAlign w:val="center"/>
              </w:tcPr>
              <w:p w14:paraId="35ACAC7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税后归属于少数股东</w:t>
                </w:r>
              </w:p>
            </w:tc>
          </w:sdtContent>
        </w:sdt>
        <w:tc>
          <w:tcPr>
            <w:tcW w:w="710" w:type="pct"/>
            <w:vMerge w:val="continue"/>
          </w:tcPr>
          <w:p w14:paraId="49CCC734">
            <w:pPr>
              <w:jc w:val="center"/>
              <w:rPr>
                <w:rFonts w:cs="Times New Roman"/>
                <w:color w:val="000000" w:themeColor="text1"/>
                <w14:textFill>
                  <w14:solidFill>
                    <w14:schemeClr w14:val="tx1"/>
                  </w14:solidFill>
                </w14:textFill>
              </w:rPr>
            </w:pPr>
          </w:p>
        </w:tc>
      </w:tr>
      <w:tr w14:paraId="7D180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pct"/>
            <w:vAlign w:val="center"/>
          </w:tcPr>
          <w:p w14:paraId="243E1784">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一、不能重分类进损益的其他综合收益</w:t>
            </w:r>
          </w:p>
        </w:tc>
        <w:tc>
          <w:tcPr>
            <w:tcW w:w="727" w:type="pct"/>
            <w:vAlign w:val="center"/>
          </w:tcPr>
          <w:p w14:paraId="4C13E548">
            <w:pPr>
              <w:jc w:val="right"/>
              <w:textAlignment w:val="center"/>
              <w:rPr>
                <w:rFonts w:cs="Times New Roman"/>
              </w:rPr>
            </w:pPr>
            <w:r>
              <w:rPr>
                <w:rFonts w:cs="Times New Roman"/>
                <w:color w:val="000000"/>
              </w:rPr>
              <w:t>-313,643,867.95</w:t>
            </w:r>
          </w:p>
        </w:tc>
        <w:tc>
          <w:tcPr>
            <w:tcW w:w="624" w:type="pct"/>
            <w:vAlign w:val="center"/>
          </w:tcPr>
          <w:p w14:paraId="5126DDF5">
            <w:pPr>
              <w:jc w:val="right"/>
              <w:rPr>
                <w:rFonts w:cs="Times New Roman"/>
              </w:rPr>
            </w:pPr>
          </w:p>
        </w:tc>
        <w:tc>
          <w:tcPr>
            <w:tcW w:w="651" w:type="pct"/>
            <w:vAlign w:val="center"/>
          </w:tcPr>
          <w:p w14:paraId="605F75D3">
            <w:pPr>
              <w:jc w:val="right"/>
              <w:rPr>
                <w:rFonts w:cs="Times New Roman"/>
              </w:rPr>
            </w:pPr>
          </w:p>
        </w:tc>
        <w:tc>
          <w:tcPr>
            <w:tcW w:w="584" w:type="pct"/>
            <w:vAlign w:val="center"/>
          </w:tcPr>
          <w:p w14:paraId="57F8688A">
            <w:pPr>
              <w:jc w:val="right"/>
              <w:rPr>
                <w:rFonts w:cs="Times New Roman"/>
              </w:rPr>
            </w:pPr>
          </w:p>
        </w:tc>
        <w:tc>
          <w:tcPr>
            <w:tcW w:w="719" w:type="pct"/>
            <w:vAlign w:val="center"/>
          </w:tcPr>
          <w:p w14:paraId="775A14F1">
            <w:pPr>
              <w:jc w:val="right"/>
              <w:rPr>
                <w:rFonts w:cs="Times New Roman"/>
              </w:rPr>
            </w:pPr>
          </w:p>
        </w:tc>
        <w:tc>
          <w:tcPr>
            <w:tcW w:w="710" w:type="pct"/>
            <w:vAlign w:val="center"/>
          </w:tcPr>
          <w:p w14:paraId="5C4031D1">
            <w:pPr>
              <w:jc w:val="right"/>
              <w:textAlignment w:val="center"/>
              <w:rPr>
                <w:rFonts w:cs="Times New Roman"/>
              </w:rPr>
            </w:pPr>
            <w:r>
              <w:rPr>
                <w:rFonts w:cs="Times New Roman"/>
                <w:color w:val="000000"/>
              </w:rPr>
              <w:t>-313,643,867.95</w:t>
            </w:r>
          </w:p>
        </w:tc>
      </w:tr>
      <w:tr w14:paraId="7011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pct"/>
            <w:vAlign w:val="center"/>
          </w:tcPr>
          <w:p w14:paraId="49C59E6B">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其中：重新计量设定受益计划变动额</w:t>
            </w:r>
          </w:p>
        </w:tc>
        <w:tc>
          <w:tcPr>
            <w:tcW w:w="727" w:type="pct"/>
            <w:vAlign w:val="center"/>
          </w:tcPr>
          <w:p w14:paraId="500C5467">
            <w:pPr>
              <w:jc w:val="right"/>
              <w:textAlignment w:val="center"/>
              <w:rPr>
                <w:rFonts w:cs="Times New Roman"/>
              </w:rPr>
            </w:pPr>
            <w:r>
              <w:rPr>
                <w:rFonts w:cs="Times New Roman"/>
                <w:color w:val="000000"/>
              </w:rPr>
              <w:t>-87,643,899.12</w:t>
            </w:r>
          </w:p>
        </w:tc>
        <w:tc>
          <w:tcPr>
            <w:tcW w:w="624" w:type="pct"/>
            <w:vAlign w:val="center"/>
          </w:tcPr>
          <w:p w14:paraId="1A0AEB58">
            <w:pPr>
              <w:jc w:val="right"/>
              <w:rPr>
                <w:rFonts w:cs="Times New Roman"/>
              </w:rPr>
            </w:pPr>
          </w:p>
        </w:tc>
        <w:tc>
          <w:tcPr>
            <w:tcW w:w="651" w:type="pct"/>
            <w:vAlign w:val="center"/>
          </w:tcPr>
          <w:p w14:paraId="7CFC6960">
            <w:pPr>
              <w:jc w:val="right"/>
              <w:rPr>
                <w:rFonts w:cs="Times New Roman"/>
              </w:rPr>
            </w:pPr>
          </w:p>
        </w:tc>
        <w:tc>
          <w:tcPr>
            <w:tcW w:w="584" w:type="pct"/>
            <w:vAlign w:val="center"/>
          </w:tcPr>
          <w:p w14:paraId="2F3E90F3">
            <w:pPr>
              <w:jc w:val="right"/>
              <w:rPr>
                <w:rFonts w:cs="Times New Roman"/>
              </w:rPr>
            </w:pPr>
          </w:p>
        </w:tc>
        <w:tc>
          <w:tcPr>
            <w:tcW w:w="719" w:type="pct"/>
            <w:vAlign w:val="center"/>
          </w:tcPr>
          <w:p w14:paraId="00EDA5B1">
            <w:pPr>
              <w:jc w:val="right"/>
              <w:rPr>
                <w:rFonts w:cs="Times New Roman"/>
              </w:rPr>
            </w:pPr>
          </w:p>
        </w:tc>
        <w:tc>
          <w:tcPr>
            <w:tcW w:w="710" w:type="pct"/>
            <w:vAlign w:val="center"/>
          </w:tcPr>
          <w:p w14:paraId="2BF42073">
            <w:pPr>
              <w:jc w:val="right"/>
              <w:textAlignment w:val="center"/>
              <w:rPr>
                <w:rFonts w:cs="Times New Roman"/>
              </w:rPr>
            </w:pPr>
            <w:r>
              <w:rPr>
                <w:rFonts w:cs="Times New Roman"/>
                <w:color w:val="000000"/>
              </w:rPr>
              <w:t>-87,643,899.12</w:t>
            </w:r>
          </w:p>
        </w:tc>
      </w:tr>
      <w:tr w14:paraId="6B23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pct"/>
            <w:vAlign w:val="center"/>
          </w:tcPr>
          <w:p w14:paraId="070D512D">
            <w:pPr>
              <w:ind w:firstLine="210" w:firstLine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其他权益工具投资公允价值变动</w:t>
            </w:r>
          </w:p>
        </w:tc>
        <w:tc>
          <w:tcPr>
            <w:tcW w:w="727" w:type="pct"/>
            <w:vAlign w:val="center"/>
          </w:tcPr>
          <w:p w14:paraId="258EB844">
            <w:pPr>
              <w:jc w:val="right"/>
              <w:textAlignment w:val="center"/>
              <w:rPr>
                <w:rFonts w:cs="Times New Roman"/>
              </w:rPr>
            </w:pPr>
            <w:r>
              <w:rPr>
                <w:rFonts w:cs="Times New Roman"/>
                <w:color w:val="000000"/>
              </w:rPr>
              <w:t>-225,999,968.83</w:t>
            </w:r>
          </w:p>
        </w:tc>
        <w:tc>
          <w:tcPr>
            <w:tcW w:w="624" w:type="pct"/>
            <w:vAlign w:val="center"/>
          </w:tcPr>
          <w:p w14:paraId="2646D130">
            <w:pPr>
              <w:jc w:val="right"/>
              <w:rPr>
                <w:rFonts w:cs="Times New Roman"/>
              </w:rPr>
            </w:pPr>
          </w:p>
        </w:tc>
        <w:tc>
          <w:tcPr>
            <w:tcW w:w="651" w:type="pct"/>
            <w:vAlign w:val="center"/>
          </w:tcPr>
          <w:p w14:paraId="74B502F1">
            <w:pPr>
              <w:jc w:val="right"/>
              <w:rPr>
                <w:rFonts w:cs="Times New Roman"/>
              </w:rPr>
            </w:pPr>
          </w:p>
        </w:tc>
        <w:tc>
          <w:tcPr>
            <w:tcW w:w="584" w:type="pct"/>
            <w:vAlign w:val="center"/>
          </w:tcPr>
          <w:p w14:paraId="4685D34D">
            <w:pPr>
              <w:jc w:val="right"/>
              <w:rPr>
                <w:rFonts w:cs="Times New Roman"/>
              </w:rPr>
            </w:pPr>
          </w:p>
        </w:tc>
        <w:tc>
          <w:tcPr>
            <w:tcW w:w="719" w:type="pct"/>
            <w:vAlign w:val="center"/>
          </w:tcPr>
          <w:p w14:paraId="3EB0FE7D">
            <w:pPr>
              <w:jc w:val="right"/>
              <w:rPr>
                <w:rFonts w:cs="Times New Roman"/>
              </w:rPr>
            </w:pPr>
          </w:p>
        </w:tc>
        <w:tc>
          <w:tcPr>
            <w:tcW w:w="710" w:type="pct"/>
            <w:vAlign w:val="center"/>
          </w:tcPr>
          <w:p w14:paraId="5CAABA01">
            <w:pPr>
              <w:jc w:val="right"/>
              <w:textAlignment w:val="center"/>
              <w:rPr>
                <w:rFonts w:cs="Times New Roman"/>
              </w:rPr>
            </w:pPr>
            <w:r>
              <w:rPr>
                <w:rFonts w:cs="Times New Roman"/>
                <w:color w:val="000000"/>
              </w:rPr>
              <w:t>-225,999,968.83</w:t>
            </w:r>
          </w:p>
        </w:tc>
      </w:tr>
      <w:tr w14:paraId="429A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pct"/>
          </w:tcPr>
          <w:p w14:paraId="6F353267">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二、将重分类进损益的其他综合收益</w:t>
            </w:r>
          </w:p>
        </w:tc>
        <w:tc>
          <w:tcPr>
            <w:tcW w:w="727" w:type="pct"/>
            <w:vAlign w:val="center"/>
          </w:tcPr>
          <w:p w14:paraId="7ACAFB45">
            <w:pPr>
              <w:jc w:val="right"/>
              <w:textAlignment w:val="center"/>
              <w:rPr>
                <w:rFonts w:cs="Times New Roman"/>
              </w:rPr>
            </w:pPr>
            <w:r>
              <w:rPr>
                <w:rFonts w:cs="Times New Roman"/>
                <w:color w:val="000000"/>
              </w:rPr>
              <w:t>-4,990,821.48</w:t>
            </w:r>
          </w:p>
        </w:tc>
        <w:tc>
          <w:tcPr>
            <w:tcW w:w="624" w:type="pct"/>
            <w:vAlign w:val="center"/>
          </w:tcPr>
          <w:p w14:paraId="720AD0D3">
            <w:pPr>
              <w:jc w:val="right"/>
              <w:textAlignment w:val="center"/>
              <w:rPr>
                <w:rFonts w:cs="Times New Roman"/>
              </w:rPr>
            </w:pPr>
            <w:r>
              <w:rPr>
                <w:rFonts w:cs="Times New Roman"/>
                <w:color w:val="000000"/>
              </w:rPr>
              <w:t>-628,649.05</w:t>
            </w:r>
          </w:p>
        </w:tc>
        <w:tc>
          <w:tcPr>
            <w:tcW w:w="651" w:type="pct"/>
            <w:vAlign w:val="center"/>
          </w:tcPr>
          <w:p w14:paraId="14765397">
            <w:pPr>
              <w:jc w:val="right"/>
              <w:rPr>
                <w:rFonts w:cs="Times New Roman"/>
              </w:rPr>
            </w:pPr>
          </w:p>
        </w:tc>
        <w:tc>
          <w:tcPr>
            <w:tcW w:w="584" w:type="pct"/>
            <w:vAlign w:val="center"/>
          </w:tcPr>
          <w:p w14:paraId="1FE10738">
            <w:pPr>
              <w:jc w:val="right"/>
              <w:rPr>
                <w:rFonts w:cs="Times New Roman"/>
              </w:rPr>
            </w:pPr>
            <w:r>
              <w:rPr>
                <w:rFonts w:cs="Times New Roman"/>
                <w:color w:val="000000"/>
              </w:rPr>
              <w:t>-628,649.05</w:t>
            </w:r>
          </w:p>
        </w:tc>
        <w:tc>
          <w:tcPr>
            <w:tcW w:w="719" w:type="pct"/>
            <w:vAlign w:val="center"/>
          </w:tcPr>
          <w:p w14:paraId="3795B554">
            <w:pPr>
              <w:jc w:val="right"/>
              <w:rPr>
                <w:rFonts w:cs="Times New Roman"/>
              </w:rPr>
            </w:pPr>
          </w:p>
        </w:tc>
        <w:tc>
          <w:tcPr>
            <w:tcW w:w="710" w:type="pct"/>
            <w:vAlign w:val="center"/>
          </w:tcPr>
          <w:p w14:paraId="4E7BCF67">
            <w:pPr>
              <w:jc w:val="right"/>
              <w:textAlignment w:val="center"/>
              <w:rPr>
                <w:rFonts w:cs="Times New Roman"/>
              </w:rPr>
            </w:pPr>
            <w:r>
              <w:rPr>
                <w:rFonts w:cs="Times New Roman"/>
                <w:color w:val="000000"/>
              </w:rPr>
              <w:t>-5,619,470.53</w:t>
            </w:r>
          </w:p>
        </w:tc>
      </w:tr>
      <w:tr w14:paraId="3002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pct"/>
          </w:tcPr>
          <w:p w14:paraId="5CA721E0">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其中：权益法下可转损益的其他综合收益</w:t>
            </w:r>
          </w:p>
        </w:tc>
        <w:tc>
          <w:tcPr>
            <w:tcW w:w="727" w:type="pct"/>
            <w:vAlign w:val="center"/>
          </w:tcPr>
          <w:p w14:paraId="7DAB26C8">
            <w:pPr>
              <w:jc w:val="right"/>
              <w:rPr>
                <w:rFonts w:cs="Times New Roman"/>
              </w:rPr>
            </w:pPr>
          </w:p>
        </w:tc>
        <w:tc>
          <w:tcPr>
            <w:tcW w:w="624" w:type="pct"/>
            <w:vAlign w:val="center"/>
          </w:tcPr>
          <w:p w14:paraId="003D9450">
            <w:pPr>
              <w:jc w:val="right"/>
              <w:rPr>
                <w:rFonts w:cs="Times New Roman"/>
              </w:rPr>
            </w:pPr>
          </w:p>
        </w:tc>
        <w:tc>
          <w:tcPr>
            <w:tcW w:w="651" w:type="pct"/>
            <w:vAlign w:val="center"/>
          </w:tcPr>
          <w:p w14:paraId="5821E505">
            <w:pPr>
              <w:jc w:val="right"/>
              <w:rPr>
                <w:rFonts w:cs="Times New Roman"/>
              </w:rPr>
            </w:pPr>
          </w:p>
        </w:tc>
        <w:tc>
          <w:tcPr>
            <w:tcW w:w="584" w:type="pct"/>
            <w:vAlign w:val="center"/>
          </w:tcPr>
          <w:p w14:paraId="79B9F974">
            <w:pPr>
              <w:jc w:val="right"/>
              <w:rPr>
                <w:rFonts w:cs="Times New Roman"/>
              </w:rPr>
            </w:pPr>
          </w:p>
        </w:tc>
        <w:tc>
          <w:tcPr>
            <w:tcW w:w="719" w:type="pct"/>
            <w:vAlign w:val="center"/>
          </w:tcPr>
          <w:p w14:paraId="1B5508C1">
            <w:pPr>
              <w:jc w:val="right"/>
              <w:rPr>
                <w:rFonts w:cs="Times New Roman"/>
              </w:rPr>
            </w:pPr>
          </w:p>
        </w:tc>
        <w:tc>
          <w:tcPr>
            <w:tcW w:w="710" w:type="pct"/>
            <w:vAlign w:val="center"/>
          </w:tcPr>
          <w:p w14:paraId="26AAD100">
            <w:pPr>
              <w:jc w:val="right"/>
              <w:rPr>
                <w:rFonts w:cs="Times New Roman"/>
              </w:rPr>
            </w:pPr>
          </w:p>
        </w:tc>
      </w:tr>
      <w:tr w14:paraId="4CFA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pct"/>
          </w:tcPr>
          <w:p w14:paraId="791CFD86">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  外币财务报表折算差额</w:t>
            </w:r>
          </w:p>
        </w:tc>
        <w:tc>
          <w:tcPr>
            <w:tcW w:w="727" w:type="pct"/>
            <w:vAlign w:val="center"/>
          </w:tcPr>
          <w:p w14:paraId="2CCAC324">
            <w:pPr>
              <w:jc w:val="right"/>
              <w:textAlignment w:val="center"/>
              <w:rPr>
                <w:rFonts w:cs="Times New Roman"/>
              </w:rPr>
            </w:pPr>
            <w:r>
              <w:rPr>
                <w:rFonts w:cs="Times New Roman"/>
                <w:color w:val="000000"/>
              </w:rPr>
              <w:t>-4,990,821.48</w:t>
            </w:r>
          </w:p>
        </w:tc>
        <w:tc>
          <w:tcPr>
            <w:tcW w:w="624" w:type="pct"/>
            <w:vAlign w:val="center"/>
          </w:tcPr>
          <w:p w14:paraId="0451F292">
            <w:pPr>
              <w:jc w:val="right"/>
              <w:textAlignment w:val="center"/>
              <w:rPr>
                <w:rFonts w:cs="Times New Roman"/>
              </w:rPr>
            </w:pPr>
            <w:r>
              <w:rPr>
                <w:rFonts w:cs="Times New Roman"/>
                <w:color w:val="000000"/>
              </w:rPr>
              <w:t>-628,649.05</w:t>
            </w:r>
          </w:p>
        </w:tc>
        <w:tc>
          <w:tcPr>
            <w:tcW w:w="651" w:type="pct"/>
            <w:vAlign w:val="center"/>
          </w:tcPr>
          <w:p w14:paraId="3E1C4448">
            <w:pPr>
              <w:jc w:val="right"/>
              <w:rPr>
                <w:rFonts w:cs="Times New Roman"/>
              </w:rPr>
            </w:pPr>
          </w:p>
        </w:tc>
        <w:tc>
          <w:tcPr>
            <w:tcW w:w="584" w:type="pct"/>
            <w:vAlign w:val="center"/>
          </w:tcPr>
          <w:p w14:paraId="43665112">
            <w:pPr>
              <w:jc w:val="right"/>
              <w:rPr>
                <w:rFonts w:cs="Times New Roman"/>
              </w:rPr>
            </w:pPr>
            <w:r>
              <w:rPr>
                <w:rFonts w:cs="Times New Roman"/>
                <w:color w:val="000000"/>
              </w:rPr>
              <w:t>-628,649.05</w:t>
            </w:r>
          </w:p>
        </w:tc>
        <w:tc>
          <w:tcPr>
            <w:tcW w:w="719" w:type="pct"/>
            <w:vAlign w:val="center"/>
          </w:tcPr>
          <w:p w14:paraId="31E443BC">
            <w:pPr>
              <w:jc w:val="right"/>
              <w:rPr>
                <w:rFonts w:cs="Times New Roman"/>
              </w:rPr>
            </w:pPr>
          </w:p>
        </w:tc>
        <w:tc>
          <w:tcPr>
            <w:tcW w:w="710" w:type="pct"/>
            <w:vAlign w:val="center"/>
          </w:tcPr>
          <w:p w14:paraId="5347E06D">
            <w:pPr>
              <w:jc w:val="right"/>
              <w:textAlignment w:val="center"/>
              <w:rPr>
                <w:rFonts w:cs="Times New Roman"/>
              </w:rPr>
            </w:pPr>
            <w:r>
              <w:rPr>
                <w:rFonts w:cs="Times New Roman"/>
                <w:color w:val="000000"/>
              </w:rPr>
              <w:t>-5,619,470.53</w:t>
            </w:r>
          </w:p>
        </w:tc>
      </w:tr>
      <w:tr w14:paraId="1A6EE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pct"/>
            <w:vAlign w:val="center"/>
          </w:tcPr>
          <w:p w14:paraId="36D0AE63">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其他综合收益合计</w:t>
            </w:r>
          </w:p>
        </w:tc>
        <w:tc>
          <w:tcPr>
            <w:tcW w:w="727" w:type="pct"/>
            <w:vAlign w:val="center"/>
          </w:tcPr>
          <w:p w14:paraId="5C73992A">
            <w:pPr>
              <w:jc w:val="right"/>
              <w:textAlignment w:val="center"/>
              <w:rPr>
                <w:rFonts w:cs="Times New Roman"/>
              </w:rPr>
            </w:pPr>
            <w:r>
              <w:rPr>
                <w:rFonts w:cs="Times New Roman"/>
                <w:color w:val="000000"/>
              </w:rPr>
              <w:t>-318,634,689.43</w:t>
            </w:r>
          </w:p>
        </w:tc>
        <w:tc>
          <w:tcPr>
            <w:tcW w:w="624" w:type="pct"/>
            <w:vAlign w:val="center"/>
          </w:tcPr>
          <w:p w14:paraId="3192A222">
            <w:pPr>
              <w:jc w:val="right"/>
              <w:textAlignment w:val="center"/>
              <w:rPr>
                <w:rFonts w:cs="Times New Roman"/>
              </w:rPr>
            </w:pPr>
            <w:r>
              <w:rPr>
                <w:rFonts w:cs="Times New Roman"/>
                <w:color w:val="000000"/>
              </w:rPr>
              <w:t>-628,649.05</w:t>
            </w:r>
          </w:p>
        </w:tc>
        <w:tc>
          <w:tcPr>
            <w:tcW w:w="651" w:type="pct"/>
            <w:vAlign w:val="center"/>
          </w:tcPr>
          <w:p w14:paraId="441D1530">
            <w:pPr>
              <w:jc w:val="right"/>
              <w:rPr>
                <w:rFonts w:cs="Times New Roman"/>
              </w:rPr>
            </w:pPr>
          </w:p>
        </w:tc>
        <w:tc>
          <w:tcPr>
            <w:tcW w:w="584" w:type="pct"/>
            <w:vAlign w:val="center"/>
          </w:tcPr>
          <w:p w14:paraId="57ECCFA2">
            <w:pPr>
              <w:jc w:val="right"/>
              <w:rPr>
                <w:rFonts w:cs="Times New Roman"/>
              </w:rPr>
            </w:pPr>
            <w:r>
              <w:rPr>
                <w:rFonts w:cs="Times New Roman"/>
                <w:color w:val="000000"/>
              </w:rPr>
              <w:t>-628,649.05</w:t>
            </w:r>
          </w:p>
        </w:tc>
        <w:tc>
          <w:tcPr>
            <w:tcW w:w="719" w:type="pct"/>
            <w:vAlign w:val="center"/>
          </w:tcPr>
          <w:p w14:paraId="192F8771">
            <w:pPr>
              <w:jc w:val="right"/>
              <w:rPr>
                <w:rFonts w:cs="Times New Roman"/>
              </w:rPr>
            </w:pPr>
          </w:p>
        </w:tc>
        <w:tc>
          <w:tcPr>
            <w:tcW w:w="710" w:type="pct"/>
            <w:vAlign w:val="center"/>
          </w:tcPr>
          <w:p w14:paraId="4893DE15">
            <w:pPr>
              <w:jc w:val="right"/>
              <w:textAlignment w:val="center"/>
              <w:rPr>
                <w:rFonts w:cs="Times New Roman"/>
              </w:rPr>
            </w:pPr>
            <w:r>
              <w:rPr>
                <w:rFonts w:cs="Times New Roman"/>
                <w:color w:val="000000"/>
              </w:rPr>
              <w:t>-319,263,338.48</w:t>
            </w:r>
          </w:p>
        </w:tc>
      </w:tr>
    </w:tbl>
    <w:p w14:paraId="6497F900"/>
    <w:p w14:paraId="4CB53155">
      <w:pPr>
        <w:spacing w:before="60" w:after="60"/>
        <w:rPr>
          <w:b/>
          <w:color w:val="000000" w:themeColor="text1"/>
          <w14:textFill>
            <w14:solidFill>
              <w14:schemeClr w14:val="tx1"/>
            </w14:solidFill>
          </w14:textFill>
        </w:rPr>
      </w:pPr>
      <w:r>
        <w:rPr>
          <w:rFonts w:hint="eastAsia"/>
          <w:color w:val="000000" w:themeColor="text1"/>
          <w14:textFill>
            <w14:solidFill>
              <w14:schemeClr w14:val="tx1"/>
            </w14:solidFill>
          </w14:textFill>
        </w:rPr>
        <w:t>其他说明，包括对现金流量套期损益的有效部分转为被套期项目初始确认金额调整：</w:t>
      </w:r>
    </w:p>
    <w:sdt>
      <w:sdtPr>
        <w:rPr>
          <w:rFonts w:hint="eastAsia"/>
          <w:color w:val="000000" w:themeColor="text1"/>
          <w14:textFill>
            <w14:solidFill>
              <w14:schemeClr w14:val="tx1"/>
            </w14:solidFill>
          </w14:textFill>
        </w:rPr>
        <w:alias w:val="综合收益情况"/>
        <w:tag w:val="_GBC_c389c92b3ef04746a88c157ed2e05698"/>
        <w:id w:val="147451886"/>
        <w:placeholder>
          <w:docPart w:val="GBC22222222222222222222222222222"/>
        </w:placeholder>
      </w:sdtPr>
      <w:sdtEndPr>
        <w:rPr>
          <w:rFonts w:hint="eastAsia"/>
          <w:color w:val="000000" w:themeColor="text1"/>
          <w14:textFill>
            <w14:solidFill>
              <w14:schemeClr w14:val="tx1"/>
            </w14:solidFill>
          </w14:textFill>
        </w:rPr>
      </w:sdtEndPr>
      <w:sdtContent>
        <w:p w14:paraId="190990D4">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bookmarkEnd w:id="377"/>
    <w:p w14:paraId="41968EC2">
      <w:pPr>
        <w:rPr>
          <w:color w:val="000000" w:themeColor="text1"/>
          <w14:textFill>
            <w14:solidFill>
              <w14:schemeClr w14:val="tx1"/>
            </w14:solidFill>
          </w14:textFill>
        </w:rPr>
        <w:sectPr>
          <w:pgSz w:w="16838" w:h="11906" w:orient="landscape"/>
          <w:pgMar w:top="1797" w:right="1525" w:bottom="1276" w:left="1440" w:header="856" w:footer="992" w:gutter="0"/>
          <w:cols w:space="425" w:num="1"/>
          <w:docGrid w:linePitch="312" w:charSpace="0"/>
        </w:sectPr>
      </w:pPr>
    </w:p>
    <w:p w14:paraId="0150E533">
      <w:pPr>
        <w:rPr>
          <w:color w:val="000000" w:themeColor="text1"/>
          <w14:textFill>
            <w14:solidFill>
              <w14:schemeClr w14:val="tx1"/>
            </w14:solidFill>
          </w14:textFill>
        </w:rPr>
      </w:pPr>
    </w:p>
    <w:p w14:paraId="6416468C">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专项储备</w:t>
      </w:r>
    </w:p>
    <w:sdt>
      <w:sdtPr>
        <w:rPr>
          <w:color w:val="000000" w:themeColor="text1"/>
          <w14:textFill>
            <w14:solidFill>
              <w14:schemeClr w14:val="tx1"/>
            </w14:solidFill>
          </w14:textFill>
        </w:rPr>
        <w:alias w:val="是否适用：专项储备[双击切换]"/>
        <w:tag w:val="_GBC_291ec3c1c38144a3ac0bde67edb318cc"/>
        <w:id w:val="147480458"/>
        <w:placeholder>
          <w:docPart w:val="GBC22222222222222222222222222222"/>
        </w:placeholder>
      </w:sdtPr>
      <w:sdtEndPr>
        <w:rPr>
          <w:color w:val="000000" w:themeColor="text1"/>
          <w14:textFill>
            <w14:solidFill>
              <w14:schemeClr w14:val="tx1"/>
            </w14:solidFill>
          </w14:textFill>
        </w:rPr>
      </w:sdtEndPr>
      <w:sdtContent>
        <w:p w14:paraId="02BF603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290B859">
      <w:pPr>
        <w:rPr>
          <w:color w:val="000000" w:themeColor="text1"/>
          <w14:textFill>
            <w14:solidFill>
              <w14:schemeClr w14:val="tx1"/>
            </w14:solidFill>
          </w14:textFill>
        </w:rPr>
      </w:pPr>
    </w:p>
    <w:p w14:paraId="471975DC">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盈余公积</w:t>
      </w:r>
    </w:p>
    <w:sdt>
      <w:sdtPr>
        <w:rPr>
          <w:color w:val="000000" w:themeColor="text1"/>
          <w14:textFill>
            <w14:solidFill>
              <w14:schemeClr w14:val="tx1"/>
            </w14:solidFill>
          </w14:textFill>
        </w:rPr>
        <w:alias w:val="是否适用：盈余公积[双击切换]"/>
        <w:tag w:val="_GBC_52b9917fb423490bb32a9d6648a07db9"/>
        <w:id w:val="147456287"/>
        <w:placeholder>
          <w:docPart w:val="GBC22222222222222222222222222222"/>
        </w:placeholder>
      </w:sdtPr>
      <w:sdtEndPr>
        <w:rPr>
          <w:color w:val="000000" w:themeColor="text1"/>
          <w14:textFill>
            <w14:solidFill>
              <w14:schemeClr w14:val="tx1"/>
            </w14:solidFill>
          </w14:textFill>
        </w:rPr>
      </w:sdtEndPr>
      <w:sdtContent>
        <w:p w14:paraId="41D04CB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6FDB602">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盈余公积"/>
          <w:tag w:val="_GBC_ea3204141ce3498eaccd14c833f64973"/>
          <w:id w:val="1474513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盈余公积"/>
          <w:tag w:val="_GBC_f5c6664d47b9454d919a38095dd3c48d"/>
          <w:id w:val="1474711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817"/>
        <w:gridCol w:w="3031"/>
        <w:gridCol w:w="3043"/>
      </w:tblGrid>
      <w:tr w14:paraId="1B578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cs="Times New Roman"/>
            </w:rPr>
            <w:tag w:val="_PLD_70f0cea3df9b4646bf8f9454719b4599"/>
            <w:id w:val="147466799"/>
          </w:sdtPr>
          <w:sdtEndPr>
            <w:rPr>
              <w:rFonts w:cs="Times New Roman"/>
            </w:rPr>
          </w:sdtEndPr>
          <w:sdtContent>
            <w:tc>
              <w:tcPr>
                <w:tcW w:w="1584" w:type="pct"/>
              </w:tcPr>
              <w:p w14:paraId="43A00806">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5466d5e3c2b64aeb9abc2e1a21f2e6c0"/>
            <w:id w:val="147478709"/>
          </w:sdtPr>
          <w:sdtEndPr>
            <w:rPr>
              <w:rFonts w:cs="Times New Roman"/>
            </w:rPr>
          </w:sdtEndPr>
          <w:sdtContent>
            <w:tc>
              <w:tcPr>
                <w:tcW w:w="1704" w:type="pct"/>
              </w:tcPr>
              <w:p w14:paraId="053FC757">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sdt>
          <w:sdtPr>
            <w:rPr>
              <w:rFonts w:cs="Times New Roman"/>
            </w:rPr>
            <w:tag w:val="_PLD_e6d9dff1341d44c99d9c3f51d8fd2c2f"/>
            <w:id w:val="147472827"/>
          </w:sdtPr>
          <w:sdtEndPr>
            <w:rPr>
              <w:rFonts w:cs="Times New Roman"/>
            </w:rPr>
          </w:sdtEndPr>
          <w:sdtContent>
            <w:tc>
              <w:tcPr>
                <w:tcW w:w="1711" w:type="pct"/>
              </w:tcPr>
              <w:p w14:paraId="4D5291AC">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tr>
      <w:tr w14:paraId="74B7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584" w:type="pct"/>
            <w:vAlign w:val="center"/>
          </w:tcPr>
          <w:p w14:paraId="72940F2F">
            <w:pPr>
              <w:autoSpaceDE w:val="0"/>
              <w:autoSpaceDN w:val="0"/>
              <w:adjustRightInd w:val="0"/>
              <w:snapToGrid w:val="0"/>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法定盈余公积</w:t>
            </w:r>
          </w:p>
        </w:tc>
        <w:tc>
          <w:tcPr>
            <w:tcW w:w="1704" w:type="pct"/>
            <w:vAlign w:val="center"/>
          </w:tcPr>
          <w:p w14:paraId="7BF8298F">
            <w:pPr>
              <w:jc w:val="right"/>
              <w:textAlignment w:val="center"/>
              <w:rPr>
                <w:rFonts w:cs="Times New Roman"/>
              </w:rPr>
            </w:pPr>
            <w:r>
              <w:rPr>
                <w:rFonts w:eastAsia="Arial Narrow" w:cs="Times New Roman"/>
                <w:color w:val="000000"/>
                <w:lang w:bidi="ar"/>
              </w:rPr>
              <w:t>369,677,423.82</w:t>
            </w:r>
          </w:p>
        </w:tc>
        <w:tc>
          <w:tcPr>
            <w:tcW w:w="1711" w:type="pct"/>
            <w:vAlign w:val="center"/>
          </w:tcPr>
          <w:p w14:paraId="6C03E259">
            <w:pPr>
              <w:jc w:val="right"/>
              <w:textAlignment w:val="center"/>
              <w:rPr>
                <w:rFonts w:cs="Times New Roman"/>
              </w:rPr>
            </w:pPr>
            <w:r>
              <w:rPr>
                <w:rFonts w:eastAsia="Arial Narrow" w:cs="Times New Roman"/>
                <w:color w:val="000000"/>
                <w:lang w:bidi="ar"/>
              </w:rPr>
              <w:t>369,677,423.82</w:t>
            </w:r>
          </w:p>
        </w:tc>
      </w:tr>
      <w:tr w14:paraId="26A4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584" w:type="pct"/>
          </w:tcPr>
          <w:p w14:paraId="254C8487">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704" w:type="pct"/>
            <w:vAlign w:val="center"/>
          </w:tcPr>
          <w:p w14:paraId="619C65E4">
            <w:pPr>
              <w:jc w:val="right"/>
              <w:textAlignment w:val="center"/>
              <w:rPr>
                <w:rFonts w:cs="Times New Roman"/>
              </w:rPr>
            </w:pPr>
            <w:r>
              <w:rPr>
                <w:rFonts w:eastAsia="Arial Narrow" w:cs="Times New Roman"/>
                <w:color w:val="000000"/>
                <w:lang w:bidi="ar"/>
              </w:rPr>
              <w:t>369,677,423.82</w:t>
            </w:r>
          </w:p>
        </w:tc>
        <w:tc>
          <w:tcPr>
            <w:tcW w:w="1711" w:type="pct"/>
            <w:vAlign w:val="center"/>
          </w:tcPr>
          <w:p w14:paraId="69CEFCBF">
            <w:pPr>
              <w:jc w:val="right"/>
              <w:textAlignment w:val="center"/>
              <w:rPr>
                <w:rFonts w:cs="Times New Roman"/>
              </w:rPr>
            </w:pPr>
            <w:r>
              <w:rPr>
                <w:rFonts w:eastAsia="Arial Narrow" w:cs="Times New Roman"/>
                <w:color w:val="000000"/>
                <w:lang w:bidi="ar"/>
              </w:rPr>
              <w:t>369,677,423.82</w:t>
            </w:r>
          </w:p>
        </w:tc>
      </w:tr>
    </w:tbl>
    <w:p w14:paraId="7FE2AA09">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盈余公积说明，包括本期增减变动情况、变动原因说明：</w:t>
      </w:r>
    </w:p>
    <w:sdt>
      <w:sdtPr>
        <w:rPr>
          <w:color w:val="000000" w:themeColor="text1"/>
          <w14:textFill>
            <w14:solidFill>
              <w14:schemeClr w14:val="tx1"/>
            </w14:solidFill>
          </w14:textFill>
        </w:rPr>
        <w:alias w:val="盈余公积说明"/>
        <w:tag w:val="_GBC_33c5d1ed862f4b36950b5ea2188f5b09"/>
        <w:id w:val="147455368"/>
        <w:placeholder>
          <w:docPart w:val="GBC22222222222222222222222222222"/>
        </w:placeholder>
      </w:sdtPr>
      <w:sdtEndPr>
        <w:rPr>
          <w:color w:val="000000" w:themeColor="text1"/>
          <w14:textFill>
            <w14:solidFill>
              <w14:schemeClr w14:val="tx1"/>
            </w14:solidFill>
          </w14:textFill>
        </w:rPr>
      </w:sdtEndPr>
      <w:sdtContent>
        <w:p w14:paraId="00598EAD">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3ECA0158">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未分配利润</w:t>
      </w:r>
    </w:p>
    <w:p w14:paraId="13BF5BE5">
      <w:pPr>
        <w:rPr>
          <w:color w:val="000000" w:themeColor="text1"/>
          <w14:textFill>
            <w14:solidFill>
              <w14:schemeClr w14:val="tx1"/>
            </w14:solidFill>
          </w14:textFill>
        </w:rPr>
      </w:pPr>
      <w:sdt>
        <w:sdtPr>
          <w:rPr>
            <w:color w:val="000000" w:themeColor="text1"/>
            <w14:textFill>
              <w14:solidFill>
                <w14:schemeClr w14:val="tx1"/>
              </w14:solidFill>
            </w14:textFill>
          </w:rPr>
          <w:alias w:val="是否适用：未分配利润[双击切换]"/>
          <w:tag w:val="_GBC_32c558bdbb77445cabeee783e5ff910e"/>
          <w:id w:val="147466586"/>
          <w:lock w:val="contentLocked"/>
          <w:placeholder>
            <w:docPart w:val="GBC22222222222222222222222222222"/>
          </w:placeholder>
        </w:sdtPr>
        <w:sdtEndPr>
          <w:rPr>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481EB5E2">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未分配利润"/>
          <w:tag w:val="_GBC_cfb07ff3eded4b49916cfc42d821bab6"/>
          <w:id w:val="1474706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未分配利润"/>
          <w:tag w:val="_GBC_55c70fe731be4b84be72ea88afd989b8"/>
          <w:id w:val="1474550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19"/>
        <w:gridCol w:w="2392"/>
        <w:gridCol w:w="2738"/>
      </w:tblGrid>
      <w:tr w14:paraId="1D70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cs="Times New Roman"/>
            </w:rPr>
            <w:tag w:val="_PLD_b6dc2bd7eebb4e6d9f1ccea8d86e6f47"/>
            <w:id w:val="147461442"/>
          </w:sdtPr>
          <w:sdtEndPr>
            <w:rPr>
              <w:rFonts w:cs="Times New Roman"/>
            </w:rPr>
          </w:sdtEndPr>
          <w:sdtContent>
            <w:tc>
              <w:tcPr>
                <w:tcW w:w="2165" w:type="pct"/>
                <w:vAlign w:val="center"/>
              </w:tcPr>
              <w:p w14:paraId="7622434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6e60054e3c3747d1a0ffc87edacae2b6"/>
            <w:id w:val="147458724"/>
          </w:sdtPr>
          <w:sdtEndPr>
            <w:rPr>
              <w:rFonts w:cs="Times New Roman"/>
            </w:rPr>
          </w:sdtEndPr>
          <w:sdtContent>
            <w:tc>
              <w:tcPr>
                <w:tcW w:w="1321" w:type="pct"/>
                <w:vAlign w:val="center"/>
              </w:tcPr>
              <w:p w14:paraId="63AA166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w:t>
                </w:r>
              </w:p>
            </w:tc>
          </w:sdtContent>
        </w:sdt>
        <w:sdt>
          <w:sdtPr>
            <w:rPr>
              <w:rFonts w:cs="Times New Roman"/>
            </w:rPr>
            <w:tag w:val="_PLD_9afd54e9959d4b22b00bfe92596a2a16"/>
            <w:id w:val="147459953"/>
          </w:sdtPr>
          <w:sdtEndPr>
            <w:rPr>
              <w:rFonts w:cs="Times New Roman"/>
            </w:rPr>
          </w:sdtEndPr>
          <w:sdtContent>
            <w:tc>
              <w:tcPr>
                <w:tcW w:w="1512" w:type="pct"/>
                <w:vAlign w:val="center"/>
              </w:tcPr>
              <w:p w14:paraId="5C1C10BC">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上年度</w:t>
                </w:r>
              </w:p>
            </w:tc>
          </w:sdtContent>
        </w:sdt>
      </w:tr>
      <w:tr w14:paraId="502F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65" w:type="pct"/>
          </w:tcPr>
          <w:p w14:paraId="40DECC8D">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调整前上期末未分配利润</w:t>
            </w:r>
          </w:p>
        </w:tc>
        <w:tc>
          <w:tcPr>
            <w:tcW w:w="1321" w:type="pct"/>
            <w:vAlign w:val="center"/>
          </w:tcPr>
          <w:p w14:paraId="49F18787">
            <w:pPr>
              <w:jc w:val="right"/>
              <w:textAlignment w:val="center"/>
              <w:rPr>
                <w:rFonts w:cs="Times New Roman"/>
              </w:rPr>
            </w:pPr>
            <w:r>
              <w:rPr>
                <w:rFonts w:eastAsia="Arial Narrow" w:cs="Times New Roman"/>
                <w:color w:val="000000"/>
                <w:lang w:bidi="ar"/>
              </w:rPr>
              <w:t>103,250,332.59</w:t>
            </w:r>
          </w:p>
        </w:tc>
        <w:tc>
          <w:tcPr>
            <w:tcW w:w="1512" w:type="pct"/>
            <w:vAlign w:val="center"/>
          </w:tcPr>
          <w:p w14:paraId="18E10CCC">
            <w:pPr>
              <w:jc w:val="right"/>
              <w:textAlignment w:val="center"/>
              <w:rPr>
                <w:rFonts w:cs="Times New Roman"/>
              </w:rPr>
            </w:pPr>
            <w:r>
              <w:rPr>
                <w:rFonts w:cs="Times New Roman"/>
                <w:color w:val="000000"/>
              </w:rPr>
              <w:t>4,463,369,702.05</w:t>
            </w:r>
          </w:p>
        </w:tc>
      </w:tr>
      <w:tr w14:paraId="6EB1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65" w:type="pct"/>
          </w:tcPr>
          <w:p w14:paraId="5031025B">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调整后期初未分配利润</w:t>
            </w:r>
          </w:p>
        </w:tc>
        <w:tc>
          <w:tcPr>
            <w:tcW w:w="1321" w:type="pct"/>
            <w:vAlign w:val="center"/>
          </w:tcPr>
          <w:p w14:paraId="6A714C55">
            <w:pPr>
              <w:jc w:val="right"/>
              <w:textAlignment w:val="center"/>
              <w:rPr>
                <w:rFonts w:cs="Times New Roman"/>
              </w:rPr>
            </w:pPr>
            <w:r>
              <w:rPr>
                <w:rFonts w:eastAsia="Arial Narrow" w:cs="Times New Roman"/>
                <w:color w:val="000000"/>
                <w:lang w:bidi="ar"/>
              </w:rPr>
              <w:t>103,250,332.59</w:t>
            </w:r>
          </w:p>
        </w:tc>
        <w:tc>
          <w:tcPr>
            <w:tcW w:w="1512" w:type="pct"/>
            <w:vAlign w:val="center"/>
          </w:tcPr>
          <w:p w14:paraId="02D35BAC">
            <w:pPr>
              <w:jc w:val="right"/>
              <w:textAlignment w:val="center"/>
              <w:rPr>
                <w:rFonts w:cs="Times New Roman"/>
              </w:rPr>
            </w:pPr>
            <w:r>
              <w:rPr>
                <w:rFonts w:cs="Times New Roman"/>
                <w:color w:val="000000"/>
              </w:rPr>
              <w:t>4,463,369,702.05</w:t>
            </w:r>
          </w:p>
        </w:tc>
      </w:tr>
      <w:tr w14:paraId="2B475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65" w:type="pct"/>
          </w:tcPr>
          <w:p w14:paraId="7024FB29">
            <w:pPr>
              <w:ind w:right="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加：本期归属于母公司所有者的净利润</w:t>
            </w:r>
          </w:p>
        </w:tc>
        <w:tc>
          <w:tcPr>
            <w:tcW w:w="1321" w:type="pct"/>
            <w:vAlign w:val="center"/>
          </w:tcPr>
          <w:p w14:paraId="336732BF">
            <w:pPr>
              <w:jc w:val="right"/>
              <w:textAlignment w:val="center"/>
              <w:rPr>
                <w:rFonts w:cs="Times New Roman"/>
              </w:rPr>
            </w:pPr>
            <w:r>
              <w:rPr>
                <w:rFonts w:eastAsia="Arial Narrow" w:cs="Times New Roman"/>
                <w:color w:val="000000"/>
                <w:lang w:bidi="ar"/>
              </w:rPr>
              <w:t>-79,031,846.24</w:t>
            </w:r>
          </w:p>
        </w:tc>
        <w:tc>
          <w:tcPr>
            <w:tcW w:w="1512" w:type="pct"/>
            <w:vAlign w:val="center"/>
          </w:tcPr>
          <w:p w14:paraId="204F791F">
            <w:pPr>
              <w:jc w:val="right"/>
              <w:textAlignment w:val="center"/>
              <w:rPr>
                <w:rFonts w:cs="Times New Roman"/>
              </w:rPr>
            </w:pPr>
            <w:r>
              <w:rPr>
                <w:rFonts w:cs="Times New Roman"/>
                <w:color w:val="000000"/>
              </w:rPr>
              <w:t>-4,228,257,792.02</w:t>
            </w:r>
          </w:p>
        </w:tc>
      </w:tr>
      <w:tr w14:paraId="35BC8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65" w:type="pct"/>
          </w:tcPr>
          <w:p w14:paraId="245AC608">
            <w:pPr>
              <w:autoSpaceDE w:val="0"/>
              <w:autoSpaceDN w:val="0"/>
              <w:adjustRightInd w:val="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减：提取法定盈余公积</w:t>
            </w:r>
          </w:p>
        </w:tc>
        <w:tc>
          <w:tcPr>
            <w:tcW w:w="1321" w:type="pct"/>
            <w:vAlign w:val="center"/>
          </w:tcPr>
          <w:p w14:paraId="52A33BF5">
            <w:pPr>
              <w:jc w:val="right"/>
              <w:rPr>
                <w:rFonts w:cs="Times New Roman"/>
              </w:rPr>
            </w:pPr>
          </w:p>
        </w:tc>
        <w:tc>
          <w:tcPr>
            <w:tcW w:w="1512" w:type="pct"/>
            <w:vAlign w:val="center"/>
          </w:tcPr>
          <w:p w14:paraId="5B7116AA">
            <w:pPr>
              <w:jc w:val="right"/>
              <w:textAlignment w:val="center"/>
              <w:rPr>
                <w:rFonts w:cs="Times New Roman"/>
              </w:rPr>
            </w:pPr>
            <w:r>
              <w:rPr>
                <w:rFonts w:cs="Times New Roman"/>
                <w:color w:val="000000"/>
              </w:rPr>
              <w:t>20,224.92</w:t>
            </w:r>
          </w:p>
        </w:tc>
      </w:tr>
      <w:tr w14:paraId="7094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65" w:type="pct"/>
          </w:tcPr>
          <w:p w14:paraId="6F9D0EF3">
            <w:pPr>
              <w:autoSpaceDE w:val="0"/>
              <w:autoSpaceDN w:val="0"/>
              <w:adjustRightInd w:val="0"/>
              <w:ind w:firstLine="4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应付普通股股利</w:t>
            </w:r>
          </w:p>
        </w:tc>
        <w:tc>
          <w:tcPr>
            <w:tcW w:w="1321" w:type="pct"/>
            <w:vAlign w:val="center"/>
          </w:tcPr>
          <w:p w14:paraId="6B452F39">
            <w:pPr>
              <w:jc w:val="right"/>
              <w:rPr>
                <w:rFonts w:cs="Times New Roman"/>
              </w:rPr>
            </w:pPr>
          </w:p>
        </w:tc>
        <w:tc>
          <w:tcPr>
            <w:tcW w:w="1512" w:type="pct"/>
            <w:vAlign w:val="center"/>
          </w:tcPr>
          <w:p w14:paraId="4A2DFA3D">
            <w:pPr>
              <w:jc w:val="right"/>
              <w:textAlignment w:val="center"/>
              <w:rPr>
                <w:rFonts w:cs="Times New Roman"/>
              </w:rPr>
            </w:pPr>
            <w:r>
              <w:rPr>
                <w:rFonts w:cs="Times New Roman"/>
                <w:color w:val="000000"/>
              </w:rPr>
              <w:t>131,748,882.12</w:t>
            </w:r>
          </w:p>
        </w:tc>
      </w:tr>
      <w:tr w14:paraId="3AA91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65" w:type="pct"/>
          </w:tcPr>
          <w:p w14:paraId="364BFECC">
            <w:pPr>
              <w:textAlignment w:val="top"/>
              <w:rPr>
                <w:rFonts w:cs="Times New Roman"/>
              </w:rPr>
            </w:pPr>
            <w:r>
              <w:rPr>
                <w:rFonts w:cs="Times New Roman"/>
                <w:color w:val="000000"/>
                <w:lang w:bidi="ar"/>
              </w:rPr>
              <w:t>其他综合收益结转留存收益</w:t>
            </w:r>
          </w:p>
        </w:tc>
        <w:tc>
          <w:tcPr>
            <w:tcW w:w="1321" w:type="pct"/>
            <w:vAlign w:val="center"/>
          </w:tcPr>
          <w:p w14:paraId="0C5C51C0">
            <w:pPr>
              <w:jc w:val="right"/>
              <w:rPr>
                <w:rFonts w:cs="Times New Roman"/>
              </w:rPr>
            </w:pPr>
          </w:p>
        </w:tc>
        <w:tc>
          <w:tcPr>
            <w:tcW w:w="1512" w:type="pct"/>
            <w:vAlign w:val="center"/>
          </w:tcPr>
          <w:p w14:paraId="3A8E2FB5">
            <w:pPr>
              <w:jc w:val="right"/>
              <w:textAlignment w:val="center"/>
              <w:rPr>
                <w:rFonts w:cs="Times New Roman"/>
              </w:rPr>
            </w:pPr>
            <w:r>
              <w:rPr>
                <w:rFonts w:cs="Times New Roman"/>
                <w:color w:val="000000"/>
              </w:rPr>
              <w:t>-78,599.84</w:t>
            </w:r>
          </w:p>
        </w:tc>
      </w:tr>
      <w:tr w14:paraId="341A2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65" w:type="pct"/>
          </w:tcPr>
          <w:p w14:paraId="43C8DFF1">
            <w:pPr>
              <w:textAlignment w:val="top"/>
              <w:rPr>
                <w:rFonts w:cs="Times New Roman"/>
              </w:rPr>
            </w:pPr>
            <w:r>
              <w:rPr>
                <w:rFonts w:cs="Times New Roman"/>
                <w:color w:val="000000"/>
                <w:lang w:bidi="ar"/>
              </w:rPr>
              <w:t>其他</w:t>
            </w:r>
          </w:p>
        </w:tc>
        <w:tc>
          <w:tcPr>
            <w:tcW w:w="1321" w:type="pct"/>
            <w:vAlign w:val="center"/>
          </w:tcPr>
          <w:p w14:paraId="3B7075C0">
            <w:pPr>
              <w:jc w:val="right"/>
              <w:rPr>
                <w:rFonts w:cs="Times New Roman"/>
              </w:rPr>
            </w:pPr>
          </w:p>
        </w:tc>
        <w:tc>
          <w:tcPr>
            <w:tcW w:w="1512" w:type="pct"/>
            <w:vAlign w:val="center"/>
          </w:tcPr>
          <w:p w14:paraId="7539B5B4">
            <w:pPr>
              <w:jc w:val="right"/>
              <w:textAlignment w:val="center"/>
              <w:rPr>
                <w:rFonts w:cs="Times New Roman"/>
              </w:rPr>
            </w:pPr>
            <w:r>
              <w:rPr>
                <w:rFonts w:cs="Times New Roman"/>
                <w:color w:val="000000"/>
              </w:rPr>
              <w:t>-13,870.56</w:t>
            </w:r>
          </w:p>
        </w:tc>
      </w:tr>
      <w:tr w14:paraId="47B4C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65" w:type="pct"/>
          </w:tcPr>
          <w:p w14:paraId="464300CF">
            <w:pPr>
              <w:autoSpaceDE w:val="0"/>
              <w:autoSpaceDN w:val="0"/>
              <w:adjustRightInd w:val="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期末未分配利润</w:t>
            </w:r>
          </w:p>
        </w:tc>
        <w:tc>
          <w:tcPr>
            <w:tcW w:w="1321" w:type="pct"/>
            <w:vAlign w:val="center"/>
          </w:tcPr>
          <w:p w14:paraId="4630F4C1">
            <w:pPr>
              <w:jc w:val="right"/>
              <w:textAlignment w:val="center"/>
              <w:rPr>
                <w:rFonts w:cs="Times New Roman"/>
              </w:rPr>
            </w:pPr>
            <w:r>
              <w:rPr>
                <w:rFonts w:eastAsia="Arial Narrow" w:cs="Times New Roman"/>
                <w:color w:val="000000"/>
                <w:lang w:bidi="ar"/>
              </w:rPr>
              <w:t>24,218,486.35</w:t>
            </w:r>
          </w:p>
        </w:tc>
        <w:tc>
          <w:tcPr>
            <w:tcW w:w="1512" w:type="pct"/>
            <w:vAlign w:val="center"/>
          </w:tcPr>
          <w:p w14:paraId="6AA1DA81">
            <w:pPr>
              <w:jc w:val="right"/>
              <w:textAlignment w:val="center"/>
              <w:rPr>
                <w:rFonts w:cs="Times New Roman"/>
              </w:rPr>
            </w:pPr>
            <w:r>
              <w:rPr>
                <w:rFonts w:cs="Times New Roman"/>
                <w:color w:val="000000"/>
              </w:rPr>
              <w:t>103,250,332.59</w:t>
            </w:r>
          </w:p>
        </w:tc>
      </w:tr>
    </w:tbl>
    <w:p w14:paraId="4329AA06">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调整期初未分配利润明细：</w:t>
      </w:r>
    </w:p>
    <w:p w14:paraId="36D41D02">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1、由于《企业会计准则》及其相关新规定进行追溯调整，影响期初未分配利润</w:t>
      </w:r>
      <w:sdt>
        <w:sdtPr>
          <w:rPr>
            <w:rFonts w:cs="Times New Roman"/>
            <w:color w:val="000000" w:themeColor="text1"/>
            <w14:textFill>
              <w14:solidFill>
                <w14:schemeClr w14:val="tx1"/>
              </w14:solidFill>
            </w14:textFill>
          </w:rPr>
          <w:alias w:val="依据《企业会计准则》及其相关规定进行追溯调整影响年初未分配利润合计"/>
          <w:tag w:val="_GBC_a54a245e74754754a6239606b5ebbb06"/>
          <w:id w:val="147473125"/>
          <w:placeholder>
            <w:docPart w:val="GBC22222222222222222222222222222"/>
          </w:placeholder>
        </w:sdtPr>
        <w:sdtEndPr>
          <w:rPr>
            <w:rFonts w:cs="Times New Roman"/>
            <w:color w:val="000000" w:themeColor="text1"/>
            <w14:textFill>
              <w14:solidFill>
                <w14:schemeClr w14:val="tx1"/>
              </w14:solidFill>
            </w14:textFill>
          </w:rPr>
        </w:sdtEndPr>
        <w:sdtContent>
          <w:r>
            <w:rPr>
              <w:rFonts w:cs="Times New Roman"/>
              <w:color w:val="000000" w:themeColor="text1"/>
              <w14:textFill>
                <w14:solidFill>
                  <w14:schemeClr w14:val="tx1"/>
                </w14:solidFill>
              </w14:textFill>
            </w:rPr>
            <w:t>0</w:t>
          </w:r>
        </w:sdtContent>
      </w:sdt>
      <w:r>
        <w:rPr>
          <w:rFonts w:cs="Times New Roman"/>
          <w:color w:val="000000" w:themeColor="text1"/>
          <w14:textFill>
            <w14:solidFill>
              <w14:schemeClr w14:val="tx1"/>
            </w14:solidFill>
          </w14:textFill>
        </w:rPr>
        <w:t xml:space="preserve"> 元。</w:t>
      </w:r>
    </w:p>
    <w:p w14:paraId="37A594E1">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2、由于会计政策变更，影响期初未分配利润</w:t>
      </w:r>
      <w:sdt>
        <w:sdtPr>
          <w:rPr>
            <w:rFonts w:cs="Times New Roman"/>
            <w:color w:val="000000" w:themeColor="text1"/>
            <w14:textFill>
              <w14:solidFill>
                <w14:schemeClr w14:val="tx1"/>
              </w14:solidFill>
            </w14:textFill>
          </w:rPr>
          <w:alias w:val="由于会计政策变更影响年初未分配利润"/>
          <w:tag w:val="_GBC_8295d6891c8842f58b58e4223b4e1700"/>
          <w:id w:val="147455816"/>
          <w:placeholder>
            <w:docPart w:val="GBC22222222222222222222222222222"/>
          </w:placeholder>
        </w:sdtPr>
        <w:sdtEndPr>
          <w:rPr>
            <w:rFonts w:cs="Times New Roman"/>
            <w:color w:val="000000" w:themeColor="text1"/>
            <w14:textFill>
              <w14:solidFill>
                <w14:schemeClr w14:val="tx1"/>
              </w14:solidFill>
            </w14:textFill>
          </w:rPr>
        </w:sdtEndPr>
        <w:sdtContent>
          <w:r>
            <w:rPr>
              <w:rFonts w:cs="Times New Roman"/>
              <w:color w:val="000000" w:themeColor="text1"/>
              <w14:textFill>
                <w14:solidFill>
                  <w14:schemeClr w14:val="tx1"/>
                </w14:solidFill>
              </w14:textFill>
            </w:rPr>
            <w:t>0</w:t>
          </w:r>
        </w:sdtContent>
      </w:sdt>
      <w:r>
        <w:rPr>
          <w:rFonts w:cs="Times New Roman"/>
          <w:color w:val="000000" w:themeColor="text1"/>
          <w14:textFill>
            <w14:solidFill>
              <w14:schemeClr w14:val="tx1"/>
            </w14:solidFill>
          </w14:textFill>
        </w:rPr>
        <w:t xml:space="preserve"> 元。</w:t>
      </w:r>
    </w:p>
    <w:p w14:paraId="1D9216CA">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3、由于重大会计差错更正，影响期初未分配利润</w:t>
      </w:r>
      <w:sdt>
        <w:sdtPr>
          <w:rPr>
            <w:rFonts w:cs="Times New Roman"/>
            <w:color w:val="000000" w:themeColor="text1"/>
            <w14:textFill>
              <w14:solidFill>
                <w14:schemeClr w14:val="tx1"/>
              </w14:solidFill>
            </w14:textFill>
          </w:rPr>
          <w:alias w:val="由于重大会计差错更正影响年初未分配利润"/>
          <w:tag w:val="_GBC_34728ea6faff41218abab9b8fede268c"/>
          <w:id w:val="147468527"/>
          <w:placeholder>
            <w:docPart w:val="GBC22222222222222222222222222222"/>
          </w:placeholder>
        </w:sdtPr>
        <w:sdtEndPr>
          <w:rPr>
            <w:rFonts w:cs="Times New Roman"/>
            <w:color w:val="000000" w:themeColor="text1"/>
            <w14:textFill>
              <w14:solidFill>
                <w14:schemeClr w14:val="tx1"/>
              </w14:solidFill>
            </w14:textFill>
          </w:rPr>
        </w:sdtEndPr>
        <w:sdtContent>
          <w:r>
            <w:rPr>
              <w:rFonts w:cs="Times New Roman"/>
              <w:color w:val="000000" w:themeColor="text1"/>
              <w14:textFill>
                <w14:solidFill>
                  <w14:schemeClr w14:val="tx1"/>
                </w14:solidFill>
              </w14:textFill>
            </w:rPr>
            <w:t>0</w:t>
          </w:r>
        </w:sdtContent>
      </w:sdt>
      <w:r>
        <w:rPr>
          <w:rFonts w:cs="Times New Roman"/>
          <w:color w:val="000000" w:themeColor="text1"/>
          <w14:textFill>
            <w14:solidFill>
              <w14:schemeClr w14:val="tx1"/>
            </w14:solidFill>
          </w14:textFill>
        </w:rPr>
        <w:t xml:space="preserve"> 元。</w:t>
      </w:r>
    </w:p>
    <w:p w14:paraId="48D366CE">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4、由于同一控制导致的合并范围变更，影响期初未分配利润</w:t>
      </w:r>
      <w:sdt>
        <w:sdtPr>
          <w:rPr>
            <w:rFonts w:cs="Times New Roman"/>
            <w:color w:val="000000" w:themeColor="text1"/>
            <w14:textFill>
              <w14:solidFill>
                <w14:schemeClr w14:val="tx1"/>
              </w14:solidFill>
            </w14:textFill>
          </w:rPr>
          <w:alias w:val="同一控制导致的合并范围变更影响年初未分配利润"/>
          <w:tag w:val="_GBC_4d9b7a873cb94aba9044210a45f81108"/>
          <w:id w:val="147482198"/>
          <w:placeholder>
            <w:docPart w:val="GBC22222222222222222222222222222"/>
          </w:placeholder>
        </w:sdtPr>
        <w:sdtEndPr>
          <w:rPr>
            <w:rFonts w:cs="Times New Roman"/>
            <w:color w:val="000000" w:themeColor="text1"/>
            <w14:textFill>
              <w14:solidFill>
                <w14:schemeClr w14:val="tx1"/>
              </w14:solidFill>
            </w14:textFill>
          </w:rPr>
        </w:sdtEndPr>
        <w:sdtContent>
          <w:r>
            <w:rPr>
              <w:rFonts w:cs="Times New Roman"/>
              <w:color w:val="000000" w:themeColor="text1"/>
              <w14:textFill>
                <w14:solidFill>
                  <w14:schemeClr w14:val="tx1"/>
                </w14:solidFill>
              </w14:textFill>
            </w:rPr>
            <w:t>0</w:t>
          </w:r>
        </w:sdtContent>
      </w:sdt>
      <w:r>
        <w:rPr>
          <w:rFonts w:cs="Times New Roman"/>
          <w:color w:val="000000" w:themeColor="text1"/>
          <w14:textFill>
            <w14:solidFill>
              <w14:schemeClr w14:val="tx1"/>
            </w14:solidFill>
          </w14:textFill>
        </w:rPr>
        <w:t xml:space="preserve"> 元。</w:t>
      </w:r>
    </w:p>
    <w:p w14:paraId="6E6CBCB4">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5、其他调整合计影响期初未分配利润</w:t>
      </w:r>
      <w:sdt>
        <w:sdtPr>
          <w:rPr>
            <w:rFonts w:cs="Times New Roman"/>
            <w:color w:val="000000" w:themeColor="text1"/>
            <w14:textFill>
              <w14:solidFill>
                <w14:schemeClr w14:val="tx1"/>
              </w14:solidFill>
            </w14:textFill>
          </w:rPr>
          <w:alias w:val="其他调整合计影响年初未分配利润"/>
          <w:tag w:val="_GBC_ccd86b3788e04a70a2e6a2167027d7cb"/>
          <w:id w:val="147466911"/>
          <w:placeholder>
            <w:docPart w:val="GBC22222222222222222222222222222"/>
          </w:placeholder>
        </w:sdtPr>
        <w:sdtEndPr>
          <w:rPr>
            <w:rFonts w:cs="Times New Roman"/>
            <w:color w:val="000000" w:themeColor="text1"/>
            <w14:textFill>
              <w14:solidFill>
                <w14:schemeClr w14:val="tx1"/>
              </w14:solidFill>
            </w14:textFill>
          </w:rPr>
        </w:sdtEndPr>
        <w:sdtContent>
          <w:r>
            <w:rPr>
              <w:rFonts w:cs="Times New Roman"/>
              <w:color w:val="000000" w:themeColor="text1"/>
              <w14:textFill>
                <w14:solidFill>
                  <w14:schemeClr w14:val="tx1"/>
                </w14:solidFill>
              </w14:textFill>
            </w:rPr>
            <w:t>0</w:t>
          </w:r>
        </w:sdtContent>
      </w:sdt>
      <w:r>
        <w:rPr>
          <w:rFonts w:cs="Times New Roman"/>
          <w:color w:val="000000" w:themeColor="text1"/>
          <w14:textFill>
            <w14:solidFill>
              <w14:schemeClr w14:val="tx1"/>
            </w14:solidFill>
          </w14:textFill>
        </w:rPr>
        <w:t xml:space="preserve"> 元。</w:t>
      </w:r>
    </w:p>
    <w:p w14:paraId="4539F2AC">
      <w:pPr>
        <w:rPr>
          <w:color w:val="000000" w:themeColor="text1"/>
          <w14:textFill>
            <w14:solidFill>
              <w14:schemeClr w14:val="tx1"/>
            </w14:solidFill>
          </w14:textFill>
        </w:rPr>
      </w:pPr>
    </w:p>
    <w:p w14:paraId="4A2670E3">
      <w:pPr>
        <w:rPr>
          <w:color w:val="000000" w:themeColor="text1"/>
          <w14:textFill>
            <w14:solidFill>
              <w14:schemeClr w14:val="tx1"/>
            </w14:solidFill>
          </w14:textFill>
        </w:rPr>
      </w:pPr>
    </w:p>
    <w:p w14:paraId="0A72DA54">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营业收入和营业成本</w:t>
      </w:r>
    </w:p>
    <w:p w14:paraId="50E75401">
      <w:pPr>
        <w:pStyle w:val="58"/>
        <w:numPr>
          <w:ilvl w:val="0"/>
          <w:numId w:val="88"/>
        </w:numPr>
        <w:ind w:left="426" w:hanging="42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营业收入和营业成本情况</w:t>
      </w:r>
    </w:p>
    <w:sdt>
      <w:sdtPr>
        <w:rPr>
          <w:color w:val="000000" w:themeColor="text1"/>
          <w14:textFill>
            <w14:solidFill>
              <w14:schemeClr w14:val="tx1"/>
            </w14:solidFill>
          </w14:textFill>
        </w:rPr>
        <w:alias w:val="是否适用：营业收入和营业成本[双击切换]"/>
        <w:tag w:val="_GBC_876680c4ba6b433896b625efff84d599"/>
        <w:id w:val="147459015"/>
        <w:placeholder>
          <w:docPart w:val="GBC22222222222222222222222222222"/>
        </w:placeholder>
      </w:sdtPr>
      <w:sdtEndPr>
        <w:rPr>
          <w:color w:val="000000" w:themeColor="text1"/>
          <w14:textFill>
            <w14:solidFill>
              <w14:schemeClr w14:val="tx1"/>
            </w14:solidFill>
          </w14:textFill>
        </w:rPr>
      </w:sdtEndPr>
      <w:sdtContent>
        <w:p w14:paraId="5D7116B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8DE49CC">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bCs w:val="0"/>
            <w:color w:val="000000" w:themeColor="text1"/>
            <w14:textFill>
              <w14:solidFill>
                <w14:schemeClr w14:val="tx1"/>
              </w14:solidFill>
            </w14:textFill>
          </w:rPr>
          <w:alias w:val="单位：财务附注：营业收入"/>
          <w:tag w:val="_GBC_611ed6dd25a247cf86a0fb98cd86e68f"/>
          <w:id w:val="1474610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bCs w:val="0"/>
            <w:color w:val="000000" w:themeColor="text1"/>
            <w14:textFill>
              <w14:solidFill>
                <w14:schemeClr w14:val="tx1"/>
              </w14:solidFill>
            </w14:textFill>
          </w:rPr>
        </w:sdtEndPr>
        <w:sdtContent>
          <w:r>
            <w:rPr>
              <w:rFonts w:hint="eastAsia"/>
              <w:bCs w:val="0"/>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bCs w:val="0"/>
            <w:color w:val="000000" w:themeColor="text1"/>
            <w14:textFill>
              <w14:solidFill>
                <w14:schemeClr w14:val="tx1"/>
              </w14:solidFill>
            </w14:textFill>
          </w:rPr>
          <w:alias w:val="币种：财务附注：营业收入"/>
          <w:tag w:val="_GBC_ba5cd3776b804cc291ae4c216c605f02"/>
          <w:id w:val="1474730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bCs w:val="0"/>
            <w:color w:val="000000" w:themeColor="text1"/>
            <w14:textFill>
              <w14:solidFill>
                <w14:schemeClr w14:val="tx1"/>
              </w14:solidFill>
            </w14:textFill>
          </w:rPr>
        </w:sdtEndPr>
        <w:sdtContent>
          <w:r>
            <w:rPr>
              <w:rFonts w:hint="eastAsia"/>
              <w:bCs w:val="0"/>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7"/>
        <w:gridCol w:w="1889"/>
        <w:gridCol w:w="1902"/>
        <w:gridCol w:w="1900"/>
        <w:gridCol w:w="1901"/>
      </w:tblGrid>
      <w:tr w14:paraId="0BFA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41752618c6a4ee08ca01f5944b34b81"/>
            <w:id w:val="147452512"/>
          </w:sdtPr>
          <w:sdtContent>
            <w:tc>
              <w:tcPr>
                <w:tcW w:w="805" w:type="pct"/>
                <w:vMerge w:val="restart"/>
                <w:tcBorders>
                  <w:top w:val="single" w:color="auto" w:sz="4" w:space="0"/>
                  <w:left w:val="single" w:color="auto" w:sz="4" w:space="0"/>
                  <w:right w:val="single" w:color="auto" w:sz="4" w:space="0"/>
                </w:tcBorders>
                <w:vAlign w:val="center"/>
              </w:tcPr>
              <w:p w14:paraId="3E4752C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f88658ae6cb94ea390736e112b0d5ffc"/>
            <w:id w:val="147470745"/>
          </w:sdtPr>
          <w:sdtContent>
            <w:tc>
              <w:tcPr>
                <w:tcW w:w="2095" w:type="pct"/>
                <w:gridSpan w:val="2"/>
                <w:tcBorders>
                  <w:top w:val="single" w:color="auto" w:sz="4" w:space="0"/>
                  <w:left w:val="single" w:color="auto" w:sz="4" w:space="0"/>
                  <w:bottom w:val="single" w:color="auto" w:sz="4" w:space="0"/>
                  <w:right w:val="single" w:color="auto" w:sz="4" w:space="0"/>
                </w:tcBorders>
                <w:vAlign w:val="center"/>
              </w:tcPr>
              <w:p w14:paraId="1A8BF2D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0840d72efce94f22bdf4d566046b2e87"/>
            <w:id w:val="147454182"/>
          </w:sdtPr>
          <w:sdtContent>
            <w:tc>
              <w:tcPr>
                <w:tcW w:w="2100" w:type="pct"/>
                <w:gridSpan w:val="2"/>
                <w:tcBorders>
                  <w:top w:val="single" w:color="auto" w:sz="4" w:space="0"/>
                  <w:left w:val="single" w:color="auto" w:sz="4" w:space="0"/>
                  <w:bottom w:val="single" w:color="auto" w:sz="4" w:space="0"/>
                  <w:right w:val="single" w:color="auto" w:sz="4" w:space="0"/>
                </w:tcBorders>
                <w:vAlign w:val="center"/>
              </w:tcPr>
              <w:p w14:paraId="5B78DB1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tr>
      <w:tr w14:paraId="6215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vMerge w:val="continue"/>
            <w:tcBorders>
              <w:left w:val="single" w:color="auto" w:sz="4" w:space="0"/>
              <w:bottom w:val="single" w:color="auto" w:sz="4" w:space="0"/>
              <w:right w:val="single" w:color="auto" w:sz="4" w:space="0"/>
            </w:tcBorders>
          </w:tcPr>
          <w:p w14:paraId="35AF704F">
            <w:pPr>
              <w:jc w:val="center"/>
              <w:rPr>
                <w:color w:val="000000" w:themeColor="text1"/>
                <w14:textFill>
                  <w14:solidFill>
                    <w14:schemeClr w14:val="tx1"/>
                  </w14:solidFill>
                </w14:textFill>
              </w:rPr>
            </w:pPr>
          </w:p>
        </w:tc>
        <w:sdt>
          <w:sdtPr>
            <w:tag w:val="_PLD_39942ac1f2654fa6bda80d7116d83859"/>
            <w:id w:val="147453480"/>
          </w:sdtPr>
          <w:sdtContent>
            <w:tc>
              <w:tcPr>
                <w:tcW w:w="1044" w:type="pct"/>
                <w:tcBorders>
                  <w:top w:val="single" w:color="auto" w:sz="4" w:space="0"/>
                  <w:left w:val="single" w:color="auto" w:sz="4" w:space="0"/>
                  <w:bottom w:val="single" w:color="auto" w:sz="4" w:space="0"/>
                  <w:right w:val="single" w:color="auto" w:sz="4" w:space="0"/>
                </w:tcBorders>
                <w:vAlign w:val="center"/>
              </w:tcPr>
              <w:p w14:paraId="1A78260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收入</w:t>
                </w:r>
              </w:p>
            </w:tc>
          </w:sdtContent>
        </w:sdt>
        <w:sdt>
          <w:sdtPr>
            <w:tag w:val="_PLD_5075262c52564bf09f90a67ee6a84b17"/>
            <w:id w:val="147463858"/>
          </w:sdtPr>
          <w:sdtContent>
            <w:tc>
              <w:tcPr>
                <w:tcW w:w="1051" w:type="pct"/>
                <w:tcBorders>
                  <w:top w:val="single" w:color="auto" w:sz="4" w:space="0"/>
                  <w:left w:val="single" w:color="auto" w:sz="4" w:space="0"/>
                  <w:bottom w:val="single" w:color="auto" w:sz="4" w:space="0"/>
                  <w:right w:val="single" w:color="auto" w:sz="4" w:space="0"/>
                </w:tcBorders>
                <w:vAlign w:val="center"/>
              </w:tcPr>
              <w:p w14:paraId="7E86826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成本</w:t>
                </w:r>
              </w:p>
            </w:tc>
          </w:sdtContent>
        </w:sdt>
        <w:sdt>
          <w:sdtPr>
            <w:tag w:val="_PLD_33a1015c666d49cba108bce6aafea1f7"/>
            <w:id w:val="147459760"/>
          </w:sdtPr>
          <w:sdtContent>
            <w:tc>
              <w:tcPr>
                <w:tcW w:w="1050" w:type="pct"/>
                <w:tcBorders>
                  <w:top w:val="single" w:color="auto" w:sz="4" w:space="0"/>
                  <w:left w:val="single" w:color="auto" w:sz="4" w:space="0"/>
                  <w:bottom w:val="single" w:color="auto" w:sz="4" w:space="0"/>
                  <w:right w:val="single" w:color="auto" w:sz="4" w:space="0"/>
                </w:tcBorders>
                <w:vAlign w:val="center"/>
              </w:tcPr>
              <w:p w14:paraId="076F876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收入</w:t>
                </w:r>
              </w:p>
            </w:tc>
          </w:sdtContent>
        </w:sdt>
        <w:sdt>
          <w:sdtPr>
            <w:tag w:val="_PLD_d09deaa2e4d443459a3584a1d7e92203"/>
            <w:id w:val="147481139"/>
          </w:sdtPr>
          <w:sdtContent>
            <w:tc>
              <w:tcPr>
                <w:tcW w:w="1050" w:type="pct"/>
                <w:tcBorders>
                  <w:top w:val="single" w:color="auto" w:sz="4" w:space="0"/>
                  <w:left w:val="single" w:color="auto" w:sz="4" w:space="0"/>
                  <w:bottom w:val="single" w:color="auto" w:sz="4" w:space="0"/>
                  <w:right w:val="single" w:color="auto" w:sz="4" w:space="0"/>
                </w:tcBorders>
                <w:vAlign w:val="center"/>
              </w:tcPr>
              <w:p w14:paraId="1DEBAF1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成本</w:t>
                </w:r>
              </w:p>
            </w:tc>
          </w:sdtContent>
        </w:sdt>
      </w:tr>
      <w:tr w14:paraId="1DCC5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top w:val="single" w:color="auto" w:sz="4" w:space="0"/>
              <w:left w:val="single" w:color="auto" w:sz="4" w:space="0"/>
              <w:bottom w:val="single" w:color="auto" w:sz="4" w:space="0"/>
              <w:right w:val="single" w:color="auto" w:sz="4" w:space="0"/>
            </w:tcBorders>
          </w:tcPr>
          <w:p w14:paraId="66294D13">
            <w:pPr>
              <w:rPr>
                <w:color w:val="000000" w:themeColor="text1"/>
                <w14:textFill>
                  <w14:solidFill>
                    <w14:schemeClr w14:val="tx1"/>
                  </w14:solidFill>
                </w14:textFill>
              </w:rPr>
            </w:pPr>
            <w:r>
              <w:rPr>
                <w:rFonts w:hint="eastAsia"/>
                <w:color w:val="000000" w:themeColor="text1"/>
                <w14:textFill>
                  <w14:solidFill>
                    <w14:schemeClr w14:val="tx1"/>
                  </w14:solidFill>
                </w14:textFill>
              </w:rPr>
              <w:t>主营业务</w:t>
            </w:r>
          </w:p>
        </w:tc>
        <w:tc>
          <w:tcPr>
            <w:tcW w:w="1842" w:type="dxa"/>
            <w:tcBorders>
              <w:top w:val="single" w:color="auto" w:sz="4" w:space="0"/>
              <w:left w:val="single" w:color="auto" w:sz="4" w:space="0"/>
              <w:bottom w:val="single" w:color="auto" w:sz="4" w:space="0"/>
              <w:right w:val="single" w:color="auto" w:sz="4" w:space="0"/>
            </w:tcBorders>
            <w:vAlign w:val="center"/>
          </w:tcPr>
          <w:p w14:paraId="677B3710">
            <w:pPr>
              <w:jc w:val="right"/>
              <w:textAlignment w:val="center"/>
              <w:rPr>
                <w:rFonts w:cs="Times New Roman"/>
              </w:rPr>
            </w:pPr>
            <w:r>
              <w:rPr>
                <w:rFonts w:eastAsia="Arial Narrow" w:cs="Times New Roman"/>
                <w:color w:val="000000"/>
                <w:lang w:bidi="ar"/>
              </w:rPr>
              <w:t>3,066,567,878.89</w:t>
            </w:r>
          </w:p>
        </w:tc>
        <w:tc>
          <w:tcPr>
            <w:tcW w:w="1855" w:type="dxa"/>
            <w:tcBorders>
              <w:top w:val="single" w:color="auto" w:sz="4" w:space="0"/>
              <w:left w:val="single" w:color="auto" w:sz="4" w:space="0"/>
              <w:bottom w:val="single" w:color="auto" w:sz="4" w:space="0"/>
              <w:right w:val="single" w:color="auto" w:sz="4" w:space="0"/>
            </w:tcBorders>
            <w:vAlign w:val="center"/>
          </w:tcPr>
          <w:p w14:paraId="1049F5D9">
            <w:pPr>
              <w:jc w:val="right"/>
              <w:textAlignment w:val="center"/>
              <w:rPr>
                <w:rFonts w:cs="Times New Roman"/>
              </w:rPr>
            </w:pPr>
            <w:r>
              <w:rPr>
                <w:rFonts w:eastAsia="Arial Narrow" w:cs="Times New Roman"/>
                <w:color w:val="000000"/>
                <w:lang w:bidi="ar"/>
              </w:rPr>
              <w:t>2,680,781,676.85</w:t>
            </w:r>
          </w:p>
        </w:tc>
        <w:tc>
          <w:tcPr>
            <w:tcW w:w="1050" w:type="pct"/>
            <w:tcBorders>
              <w:top w:val="single" w:color="auto" w:sz="4" w:space="0"/>
              <w:left w:val="single" w:color="auto" w:sz="4" w:space="0"/>
              <w:bottom w:val="single" w:color="auto" w:sz="4" w:space="0"/>
              <w:right w:val="single" w:color="auto" w:sz="4" w:space="0"/>
            </w:tcBorders>
            <w:vAlign w:val="center"/>
          </w:tcPr>
          <w:p w14:paraId="7DC3E16C">
            <w:pPr>
              <w:jc w:val="right"/>
              <w:textAlignment w:val="center"/>
              <w:rPr>
                <w:rFonts w:cs="Times New Roman"/>
              </w:rPr>
            </w:pPr>
            <w:r>
              <w:rPr>
                <w:rFonts w:cs="Times New Roman"/>
                <w:color w:val="000000"/>
              </w:rPr>
              <w:t>5,077,698,937.82</w:t>
            </w:r>
          </w:p>
        </w:tc>
        <w:tc>
          <w:tcPr>
            <w:tcW w:w="1050" w:type="pct"/>
            <w:tcBorders>
              <w:top w:val="single" w:color="auto" w:sz="4" w:space="0"/>
              <w:left w:val="single" w:color="auto" w:sz="4" w:space="0"/>
              <w:bottom w:val="single" w:color="auto" w:sz="4" w:space="0"/>
              <w:right w:val="single" w:color="auto" w:sz="4" w:space="0"/>
            </w:tcBorders>
            <w:vAlign w:val="center"/>
          </w:tcPr>
          <w:p w14:paraId="03AFE164">
            <w:pPr>
              <w:jc w:val="right"/>
              <w:textAlignment w:val="center"/>
              <w:rPr>
                <w:rFonts w:cs="Times New Roman"/>
              </w:rPr>
            </w:pPr>
            <w:r>
              <w:rPr>
                <w:rFonts w:cs="Times New Roman"/>
                <w:color w:val="000000"/>
              </w:rPr>
              <w:t>4,440,214,040.38</w:t>
            </w:r>
          </w:p>
        </w:tc>
      </w:tr>
      <w:tr w14:paraId="140B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top w:val="single" w:color="auto" w:sz="4" w:space="0"/>
              <w:left w:val="single" w:color="auto" w:sz="4" w:space="0"/>
              <w:bottom w:val="single" w:color="auto" w:sz="4" w:space="0"/>
              <w:right w:val="single" w:color="auto" w:sz="4" w:space="0"/>
            </w:tcBorders>
          </w:tcPr>
          <w:p w14:paraId="41249B44">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其他业务</w:t>
            </w:r>
          </w:p>
        </w:tc>
        <w:tc>
          <w:tcPr>
            <w:tcW w:w="1842" w:type="dxa"/>
            <w:tcBorders>
              <w:top w:val="single" w:color="auto" w:sz="4" w:space="0"/>
              <w:left w:val="single" w:color="auto" w:sz="4" w:space="0"/>
              <w:bottom w:val="single" w:color="auto" w:sz="4" w:space="0"/>
              <w:right w:val="single" w:color="auto" w:sz="4" w:space="0"/>
            </w:tcBorders>
            <w:vAlign w:val="center"/>
          </w:tcPr>
          <w:p w14:paraId="1EE94CFD">
            <w:pPr>
              <w:jc w:val="right"/>
              <w:textAlignment w:val="center"/>
              <w:rPr>
                <w:rFonts w:cs="Times New Roman"/>
              </w:rPr>
            </w:pPr>
            <w:r>
              <w:rPr>
                <w:rFonts w:eastAsia="Arial Narrow" w:cs="Times New Roman"/>
                <w:color w:val="000000"/>
                <w:lang w:bidi="ar"/>
              </w:rPr>
              <w:t>141,164,063.96</w:t>
            </w:r>
          </w:p>
        </w:tc>
        <w:tc>
          <w:tcPr>
            <w:tcW w:w="1855" w:type="dxa"/>
            <w:tcBorders>
              <w:top w:val="single" w:color="auto" w:sz="4" w:space="0"/>
              <w:left w:val="single" w:color="auto" w:sz="4" w:space="0"/>
              <w:bottom w:val="single" w:color="auto" w:sz="4" w:space="0"/>
              <w:right w:val="single" w:color="auto" w:sz="4" w:space="0"/>
            </w:tcBorders>
            <w:vAlign w:val="center"/>
          </w:tcPr>
          <w:p w14:paraId="74039C54">
            <w:pPr>
              <w:jc w:val="right"/>
              <w:textAlignment w:val="center"/>
              <w:rPr>
                <w:rFonts w:cs="Times New Roman"/>
              </w:rPr>
            </w:pPr>
            <w:r>
              <w:rPr>
                <w:rFonts w:eastAsia="Arial Narrow" w:cs="Times New Roman"/>
                <w:color w:val="000000"/>
                <w:lang w:bidi="ar"/>
              </w:rPr>
              <w:t>77,384,458.71</w:t>
            </w:r>
          </w:p>
        </w:tc>
        <w:tc>
          <w:tcPr>
            <w:tcW w:w="1050" w:type="pct"/>
            <w:tcBorders>
              <w:top w:val="single" w:color="auto" w:sz="4" w:space="0"/>
              <w:left w:val="single" w:color="auto" w:sz="4" w:space="0"/>
              <w:bottom w:val="single" w:color="auto" w:sz="4" w:space="0"/>
              <w:right w:val="single" w:color="auto" w:sz="4" w:space="0"/>
            </w:tcBorders>
            <w:vAlign w:val="center"/>
          </w:tcPr>
          <w:p w14:paraId="265FFBF5">
            <w:pPr>
              <w:jc w:val="right"/>
              <w:textAlignment w:val="center"/>
              <w:rPr>
                <w:rFonts w:cs="Times New Roman"/>
              </w:rPr>
            </w:pPr>
            <w:r>
              <w:rPr>
                <w:rFonts w:cs="Times New Roman"/>
                <w:color w:val="000000"/>
              </w:rPr>
              <w:t>126,530,446.94</w:t>
            </w:r>
          </w:p>
        </w:tc>
        <w:tc>
          <w:tcPr>
            <w:tcW w:w="1050" w:type="pct"/>
            <w:tcBorders>
              <w:top w:val="single" w:color="auto" w:sz="4" w:space="0"/>
              <w:left w:val="single" w:color="auto" w:sz="4" w:space="0"/>
              <w:bottom w:val="single" w:color="auto" w:sz="4" w:space="0"/>
              <w:right w:val="single" w:color="auto" w:sz="4" w:space="0"/>
            </w:tcBorders>
            <w:vAlign w:val="center"/>
          </w:tcPr>
          <w:p w14:paraId="21A0B1B8">
            <w:pPr>
              <w:jc w:val="right"/>
              <w:textAlignment w:val="center"/>
              <w:rPr>
                <w:rFonts w:cs="Times New Roman"/>
              </w:rPr>
            </w:pPr>
            <w:r>
              <w:rPr>
                <w:rFonts w:cs="Times New Roman"/>
                <w:color w:val="000000"/>
              </w:rPr>
              <w:t>79,491,678.51</w:t>
            </w:r>
          </w:p>
        </w:tc>
      </w:tr>
      <w:tr w14:paraId="68A8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top w:val="single" w:color="auto" w:sz="4" w:space="0"/>
              <w:left w:val="single" w:color="auto" w:sz="4" w:space="0"/>
              <w:bottom w:val="single" w:color="auto" w:sz="4" w:space="0"/>
              <w:right w:val="single" w:color="auto" w:sz="4" w:space="0"/>
            </w:tcBorders>
            <w:vAlign w:val="center"/>
          </w:tcPr>
          <w:p w14:paraId="224338A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842" w:type="dxa"/>
            <w:tcBorders>
              <w:top w:val="single" w:color="auto" w:sz="4" w:space="0"/>
              <w:left w:val="single" w:color="auto" w:sz="4" w:space="0"/>
              <w:bottom w:val="single" w:color="auto" w:sz="4" w:space="0"/>
              <w:right w:val="single" w:color="auto" w:sz="4" w:space="0"/>
            </w:tcBorders>
            <w:vAlign w:val="center"/>
          </w:tcPr>
          <w:p w14:paraId="034C571D">
            <w:pPr>
              <w:jc w:val="right"/>
              <w:textAlignment w:val="center"/>
              <w:rPr>
                <w:rFonts w:cs="Times New Roman"/>
              </w:rPr>
            </w:pPr>
            <w:r>
              <w:rPr>
                <w:rFonts w:eastAsia="Arial Narrow" w:cs="Times New Roman"/>
                <w:color w:val="000000"/>
                <w:lang w:bidi="ar"/>
              </w:rPr>
              <w:t>3,207,731,942.85</w:t>
            </w:r>
          </w:p>
        </w:tc>
        <w:tc>
          <w:tcPr>
            <w:tcW w:w="1855" w:type="dxa"/>
            <w:tcBorders>
              <w:top w:val="single" w:color="auto" w:sz="4" w:space="0"/>
              <w:left w:val="single" w:color="auto" w:sz="4" w:space="0"/>
              <w:bottom w:val="single" w:color="auto" w:sz="4" w:space="0"/>
              <w:right w:val="single" w:color="auto" w:sz="4" w:space="0"/>
            </w:tcBorders>
            <w:vAlign w:val="center"/>
          </w:tcPr>
          <w:p w14:paraId="71E096B1">
            <w:pPr>
              <w:jc w:val="right"/>
              <w:textAlignment w:val="center"/>
              <w:rPr>
                <w:rFonts w:cs="Times New Roman"/>
              </w:rPr>
            </w:pPr>
            <w:r>
              <w:rPr>
                <w:rFonts w:eastAsia="Arial Narrow" w:cs="Times New Roman"/>
                <w:color w:val="000000"/>
                <w:lang w:bidi="ar"/>
              </w:rPr>
              <w:t>2,758,166,135.56</w:t>
            </w:r>
          </w:p>
        </w:tc>
        <w:tc>
          <w:tcPr>
            <w:tcW w:w="1050" w:type="pct"/>
            <w:tcBorders>
              <w:top w:val="single" w:color="auto" w:sz="4" w:space="0"/>
              <w:left w:val="single" w:color="auto" w:sz="4" w:space="0"/>
              <w:bottom w:val="single" w:color="auto" w:sz="4" w:space="0"/>
              <w:right w:val="single" w:color="auto" w:sz="4" w:space="0"/>
            </w:tcBorders>
            <w:vAlign w:val="center"/>
          </w:tcPr>
          <w:p w14:paraId="291D49C2">
            <w:pPr>
              <w:jc w:val="right"/>
              <w:textAlignment w:val="center"/>
              <w:rPr>
                <w:rFonts w:cs="Times New Roman"/>
              </w:rPr>
            </w:pPr>
            <w:r>
              <w:rPr>
                <w:rFonts w:cs="Times New Roman"/>
                <w:color w:val="000000"/>
              </w:rPr>
              <w:t>5,204,229,384.76</w:t>
            </w:r>
          </w:p>
        </w:tc>
        <w:tc>
          <w:tcPr>
            <w:tcW w:w="1050" w:type="pct"/>
            <w:tcBorders>
              <w:top w:val="single" w:color="auto" w:sz="4" w:space="0"/>
              <w:left w:val="single" w:color="auto" w:sz="4" w:space="0"/>
              <w:bottom w:val="single" w:color="auto" w:sz="4" w:space="0"/>
              <w:right w:val="single" w:color="auto" w:sz="4" w:space="0"/>
            </w:tcBorders>
            <w:vAlign w:val="center"/>
          </w:tcPr>
          <w:p w14:paraId="6453AB9A">
            <w:pPr>
              <w:jc w:val="right"/>
              <w:textAlignment w:val="center"/>
              <w:rPr>
                <w:rFonts w:cs="Times New Roman"/>
              </w:rPr>
            </w:pPr>
            <w:r>
              <w:rPr>
                <w:rFonts w:cs="Times New Roman"/>
                <w:color w:val="000000"/>
              </w:rPr>
              <w:t>4,519,705,718.89</w:t>
            </w:r>
          </w:p>
        </w:tc>
      </w:tr>
    </w:tbl>
    <w:p w14:paraId="74F05D49">
      <w:pPr>
        <w:rPr>
          <w:color w:val="000000" w:themeColor="text1"/>
          <w14:textFill>
            <w14:solidFill>
              <w14:schemeClr w14:val="tx1"/>
            </w14:solidFill>
          </w14:textFill>
        </w:rPr>
      </w:pPr>
    </w:p>
    <w:p w14:paraId="4AE6F7A0">
      <w:pPr>
        <w:rPr>
          <w:color w:val="000000" w:themeColor="text1"/>
          <w14:textFill>
            <w14:solidFill>
              <w14:schemeClr w14:val="tx1"/>
            </w14:solidFill>
          </w14:textFill>
        </w:rPr>
      </w:pPr>
    </w:p>
    <w:p w14:paraId="0B1836D2">
      <w:pPr>
        <w:rPr>
          <w:color w:val="000000" w:themeColor="text1"/>
          <w14:textFill>
            <w14:solidFill>
              <w14:schemeClr w14:val="tx1"/>
            </w14:solidFill>
          </w14:textFill>
        </w:rPr>
      </w:pPr>
    </w:p>
    <w:sdt>
      <w:sdtPr>
        <w:rPr>
          <w:rFonts w:hint="eastAsia" w:ascii="宋体" w:hAnsi="宋体" w:cs="宋体"/>
          <w:b w:val="0"/>
          <w:bCs/>
          <w:color w:val="000000" w:themeColor="text1"/>
          <w:kern w:val="0"/>
          <w:sz w:val="21"/>
          <w:szCs w:val="24"/>
          <w14:textFill>
            <w14:solidFill>
              <w14:schemeClr w14:val="tx1"/>
            </w14:solidFill>
          </w14:textFill>
        </w:rPr>
        <w:alias w:val="模块:合同产生的收入的情况"/>
        <w:tag w:val="_SEC_c4e8c6d213eb4da9850e04355e0aa292"/>
        <w:id w:val="147474895"/>
        <w:placeholder>
          <w:docPart w:val="GBC22222222222222222222222222222"/>
        </w:placeholder>
      </w:sdtPr>
      <w:sdtEndPr>
        <w:rPr>
          <w:rFonts w:hint="default" w:ascii="Times New Roman" w:hAnsi="Times New Roman" w:cs="宋体"/>
          <w:b w:val="0"/>
          <w:bCs/>
          <w:color w:val="000000" w:themeColor="text1"/>
          <w:kern w:val="0"/>
          <w:sz w:val="21"/>
          <w:szCs w:val="21"/>
          <w14:textFill>
            <w14:solidFill>
              <w14:schemeClr w14:val="tx1"/>
            </w14:solidFill>
          </w14:textFill>
        </w:rPr>
      </w:sdtEndPr>
      <w:sdtContent>
        <w:p w14:paraId="0E2890B3">
          <w:pPr>
            <w:pStyle w:val="58"/>
            <w:numPr>
              <w:ilvl w:val="0"/>
              <w:numId w:val="88"/>
            </w:numPr>
            <w:ind w:left="426" w:hanging="426"/>
            <w:rPr>
              <w:rFonts w:ascii="宋体" w:hAnsi="宋体"/>
              <w:color w:val="000000" w:themeColor="text1"/>
              <w14:textFill>
                <w14:solidFill>
                  <w14:schemeClr w14:val="tx1"/>
                </w14:solidFill>
              </w14:textFill>
            </w:rPr>
          </w:pPr>
          <w:bookmarkStart w:id="378" w:name="_Hlk533756233"/>
          <w:bookmarkStart w:id="379" w:name="_Hlk167969685"/>
          <w:r>
            <w:rPr>
              <w:rFonts w:hint="eastAsia" w:ascii="宋体" w:hAnsi="宋体"/>
              <w:color w:val="000000" w:themeColor="text1"/>
              <w14:textFill>
                <w14:solidFill>
                  <w14:schemeClr w14:val="tx1"/>
                </w14:solidFill>
              </w14:textFill>
            </w:rPr>
            <w:t>营业收入、营业成本的分解信息</w:t>
          </w:r>
        </w:p>
        <w:sdt>
          <w:sdtPr>
            <w:rPr>
              <w:rFonts w:ascii="宋体" w:hAnsi="宋体"/>
              <w:color w:val="000000" w:themeColor="text1"/>
              <w:szCs w:val="21"/>
              <w14:textFill>
                <w14:solidFill>
                  <w14:schemeClr w14:val="tx1"/>
                </w14:solidFill>
              </w14:textFill>
            </w:rPr>
            <w:alias w:val="是否适用：营业收入、营业成本的分解信息 [双击切换]"/>
            <w:tag w:val="_GBC_efc78032c33b40119a8d8db1511a7505"/>
            <w:id w:val="147463238"/>
            <w:placeholder>
              <w:docPart w:val="GBC22222222222222222222222222222"/>
            </w:placeholder>
          </w:sdtPr>
          <w:sdtEndPr>
            <w:rPr>
              <w:rFonts w:ascii="宋体" w:hAnsi="宋体"/>
              <w:color w:val="000000" w:themeColor="text1"/>
              <w:szCs w:val="21"/>
              <w14:textFill>
                <w14:solidFill>
                  <w14:schemeClr w14:val="tx1"/>
                </w14:solidFill>
              </w14:textFill>
            </w:rPr>
          </w:sdtEndPr>
          <w:sdtContent>
            <w:p w14:paraId="1896FE6F">
              <w:pPr>
                <w:pStyle w:val="63"/>
                <w:ind w:firstLine="0" w:firstLineChars="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r>
              <w:r>
                <w:rPr>
                  <w:rFonts w:ascii="宋体" w:hAnsi="宋体"/>
                  <w:color w:val="000000" w:themeColor="text1"/>
                  <w:szCs w:val="21"/>
                  <w14:textFill>
                    <w14:solidFill>
                      <w14:schemeClr w14:val="tx1"/>
                    </w14:solidFill>
                  </w14:textFill>
                </w:rPr>
                <w:instrText xml:space="preserve"> MACROBUTTON  SnrToggleCheckbox √适用 </w:instrText>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fldChar w:fldCharType="begin"/>
              </w:r>
              <w:r>
                <w:rPr>
                  <w:rFonts w:ascii="宋体" w:hAnsi="宋体"/>
                  <w:color w:val="000000" w:themeColor="text1"/>
                  <w:szCs w:val="21"/>
                  <w14:textFill>
                    <w14:solidFill>
                      <w14:schemeClr w14:val="tx1"/>
                    </w14:solidFill>
                  </w14:textFill>
                </w:rPr>
                <w:instrText xml:space="preserve"> MACROBUTTON  SnrToggleCheckbox □不适用 </w:instrText>
              </w:r>
              <w:r>
                <w:rPr>
                  <w:rFonts w:ascii="宋体" w:hAnsi="宋体"/>
                  <w:color w:val="000000" w:themeColor="text1"/>
                  <w:szCs w:val="21"/>
                  <w14:textFill>
                    <w14:solidFill>
                      <w14:schemeClr w14:val="tx1"/>
                    </w14:solidFill>
                  </w14:textFill>
                </w:rPr>
                <w:fldChar w:fldCharType="end"/>
              </w:r>
            </w:p>
          </w:sdtContent>
        </w:sdt>
        <w:p w14:paraId="17A1CF9B">
          <w:pPr>
            <w:pStyle w:val="63"/>
            <w:ind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营业收入、营业成本的分解信息 "/>
              <w:tag w:val="_GBC_3ccd36a6a17f4de6846b5579f456e2eb"/>
              <w:id w:val="1474690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营业收入、营业成本的分解信息 "/>
              <w:tag w:val="_GBC_4476d84f223c43caad2810c5a30db364"/>
              <w:id w:val="1474701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1686"/>
            <w:gridCol w:w="1696"/>
            <w:gridCol w:w="1696"/>
            <w:gridCol w:w="1690"/>
          </w:tblGrid>
          <w:tr w14:paraId="17C9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c4e262a708374d868aa4623ec11e26b7"/>
                <w:id w:val="147475005"/>
              </w:sdtPr>
              <w:sdtEndPr>
                <w:rPr>
                  <w:rFonts w:cs="Times New Roman"/>
                </w:rPr>
              </w:sdtEndPr>
              <w:sdtContent>
                <w:tc>
                  <w:tcPr>
                    <w:tcW w:w="1273" w:type="pct"/>
                    <w:vMerge w:val="restart"/>
                    <w:tcBorders>
                      <w:top w:val="single" w:color="auto" w:sz="4" w:space="0"/>
                      <w:left w:val="single" w:color="auto" w:sz="4" w:space="0"/>
                      <w:right w:val="single" w:color="auto" w:sz="4" w:space="0"/>
                    </w:tcBorders>
                    <w:vAlign w:val="center"/>
                  </w:tcPr>
                  <w:p w14:paraId="77AA734E">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合同分类</w:t>
                    </w:r>
                  </w:p>
                </w:tc>
              </w:sdtContent>
            </w:sdt>
            <w:sdt>
              <w:sdtPr>
                <w:rPr>
                  <w:rFonts w:cs="Times New Roman"/>
                  <w:color w:val="000000" w:themeColor="text1"/>
                  <w14:textFill>
                    <w14:solidFill>
                      <w14:schemeClr w14:val="tx1"/>
                    </w14:solidFill>
                  </w14:textFill>
                </w:rPr>
                <w:alias w:val="合同产生的收入分部名称"/>
                <w:tag w:val="_GBC_7df3bc31c2b74e979c5b3e4de1f79f5e"/>
                <w:id w:val="147469881"/>
              </w:sdtPr>
              <w:sdtEndPr>
                <w:rPr>
                  <w:rFonts w:cs="Times New Roman"/>
                  <w:color w:val="000000" w:themeColor="text1"/>
                  <w14:textFill>
                    <w14:solidFill>
                      <w14:schemeClr w14:val="tx1"/>
                    </w14:solidFill>
                  </w14:textFill>
                </w:rPr>
              </w:sdtEndPr>
              <w:sdtContent>
                <w:tc>
                  <w:tcPr>
                    <w:tcW w:w="1832" w:type="pct"/>
                    <w:gridSpan w:val="2"/>
                    <w:tcBorders>
                      <w:top w:val="single" w:color="auto" w:sz="4" w:space="0"/>
                      <w:left w:val="single" w:color="auto" w:sz="4" w:space="0"/>
                      <w:bottom w:val="single" w:color="auto" w:sz="4" w:space="0"/>
                      <w:right w:val="single" w:color="auto" w:sz="4" w:space="0"/>
                    </w:tcBorders>
                    <w:vAlign w:val="center"/>
                  </w:tcPr>
                  <w:p w14:paraId="2D4A9E79">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分部</w:t>
                    </w:r>
                  </w:p>
                </w:tc>
              </w:sdtContent>
            </w:sdt>
            <w:sdt>
              <w:sdtPr>
                <w:rPr>
                  <w:rFonts w:cs="Times New Roman"/>
                </w:rPr>
                <w:tag w:val="_PLD_2383d04a4c7d404b94d983ebd7656098"/>
                <w:id w:val="147477248"/>
              </w:sdtPr>
              <w:sdtEndPr>
                <w:rPr>
                  <w:rFonts w:cs="Times New Roman"/>
                </w:rPr>
              </w:sdtEndPr>
              <w:sdtContent>
                <w:tc>
                  <w:tcPr>
                    <w:tcW w:w="1896" w:type="pct"/>
                    <w:gridSpan w:val="2"/>
                    <w:tcBorders>
                      <w:top w:val="single" w:color="auto" w:sz="4" w:space="0"/>
                      <w:left w:val="single" w:color="auto" w:sz="4" w:space="0"/>
                      <w:bottom w:val="single" w:color="auto" w:sz="4" w:space="0"/>
                      <w:right w:val="single" w:color="auto" w:sz="4" w:space="0"/>
                    </w:tcBorders>
                    <w:vAlign w:val="center"/>
                  </w:tcPr>
                  <w:p w14:paraId="76AD0119">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r>
          <w:tr w14:paraId="0540F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pct"/>
                <w:vMerge w:val="continue"/>
                <w:tcBorders>
                  <w:left w:val="single" w:color="auto" w:sz="4" w:space="0"/>
                  <w:bottom w:val="single" w:color="auto" w:sz="4" w:space="0"/>
                  <w:right w:val="single" w:color="auto" w:sz="4" w:space="0"/>
                </w:tcBorders>
              </w:tcPr>
              <w:p w14:paraId="48B49E7E">
                <w:pPr>
                  <w:jc w:val="center"/>
                  <w:rPr>
                    <w:rFonts w:cs="Times New Roman"/>
                    <w:color w:val="000000" w:themeColor="text1"/>
                    <w14:textFill>
                      <w14:solidFill>
                        <w14:schemeClr w14:val="tx1"/>
                      </w14:solidFill>
                    </w14:textFill>
                  </w:rPr>
                </w:pPr>
              </w:p>
            </w:tc>
            <w:sdt>
              <w:sdtPr>
                <w:rPr>
                  <w:rFonts w:cs="Times New Roman"/>
                </w:rPr>
                <w:tag w:val="_PLD_4711bdc80818489d98e7ea5c86d37301"/>
                <w:id w:val="147462019"/>
              </w:sdtPr>
              <w:sdtEndPr>
                <w:rPr>
                  <w:rFonts w:cs="Times New Roman"/>
                </w:rPr>
              </w:sdtEndPr>
              <w:sdtContent>
                <w:tc>
                  <w:tcPr>
                    <w:tcW w:w="882" w:type="pct"/>
                    <w:tcBorders>
                      <w:top w:val="single" w:color="auto" w:sz="4" w:space="0"/>
                      <w:left w:val="single" w:color="auto" w:sz="4" w:space="0"/>
                      <w:bottom w:val="single" w:color="auto" w:sz="4" w:space="0"/>
                      <w:right w:val="single" w:color="auto" w:sz="4" w:space="0"/>
                    </w:tcBorders>
                    <w:vAlign w:val="center"/>
                  </w:tcPr>
                  <w:p w14:paraId="0A7FA722">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营业收入</w:t>
                    </w:r>
                  </w:p>
                </w:tc>
              </w:sdtContent>
            </w:sdt>
            <w:sdt>
              <w:sdtPr>
                <w:rPr>
                  <w:rFonts w:cs="Times New Roman"/>
                </w:rPr>
                <w:tag w:val="_PLD_4fa9a0416b22463b91b8e9af73e6832a"/>
                <w:id w:val="147482085"/>
              </w:sdtPr>
              <w:sdtEndPr>
                <w:rPr>
                  <w:rFonts w:cs="Times New Roman"/>
                </w:rPr>
              </w:sdtEndPr>
              <w:sdtContent>
                <w:tc>
                  <w:tcPr>
                    <w:tcW w:w="949" w:type="pct"/>
                    <w:tcBorders>
                      <w:top w:val="single" w:color="auto" w:sz="4" w:space="0"/>
                      <w:left w:val="single" w:color="auto" w:sz="4" w:space="0"/>
                      <w:bottom w:val="single" w:color="auto" w:sz="4" w:space="0"/>
                      <w:right w:val="single" w:color="auto" w:sz="4" w:space="0"/>
                    </w:tcBorders>
                    <w:vAlign w:val="center"/>
                  </w:tcPr>
                  <w:p w14:paraId="20988C80">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营业成本</w:t>
                    </w:r>
                  </w:p>
                </w:tc>
              </w:sdtContent>
            </w:sdt>
            <w:sdt>
              <w:sdtPr>
                <w:rPr>
                  <w:rFonts w:cs="Times New Roman"/>
                </w:rPr>
                <w:tag w:val="_PLD_58de911da1324e8586f84ab9937bcdeb"/>
                <w:id w:val="147458190"/>
              </w:sdtPr>
              <w:sdtEndPr>
                <w:rPr>
                  <w:rFonts w:cs="Times New Roman"/>
                </w:rPr>
              </w:sdtEndPr>
              <w:sdtContent>
                <w:tc>
                  <w:tcPr>
                    <w:tcW w:w="949" w:type="pct"/>
                    <w:tcBorders>
                      <w:top w:val="single" w:color="auto" w:sz="4" w:space="0"/>
                      <w:left w:val="single" w:color="auto" w:sz="4" w:space="0"/>
                      <w:bottom w:val="single" w:color="auto" w:sz="4" w:space="0"/>
                      <w:right w:val="single" w:color="auto" w:sz="4" w:space="0"/>
                    </w:tcBorders>
                    <w:vAlign w:val="center"/>
                  </w:tcPr>
                  <w:p w14:paraId="686B8FA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营业收入</w:t>
                    </w:r>
                  </w:p>
                </w:tc>
              </w:sdtContent>
            </w:sdt>
            <w:sdt>
              <w:sdtPr>
                <w:rPr>
                  <w:rFonts w:cs="Times New Roman"/>
                </w:rPr>
                <w:tag w:val="_PLD_b60d678e181949d998ae7d21f7dd9556"/>
                <w:id w:val="147460727"/>
              </w:sdtPr>
              <w:sdtEndPr>
                <w:rPr>
                  <w:rFonts w:cs="Times New Roman"/>
                </w:rPr>
              </w:sdtEndPr>
              <w:sdtContent>
                <w:tc>
                  <w:tcPr>
                    <w:tcW w:w="946" w:type="pct"/>
                    <w:tcBorders>
                      <w:top w:val="single" w:color="auto" w:sz="4" w:space="0"/>
                      <w:left w:val="single" w:color="auto" w:sz="4" w:space="0"/>
                      <w:bottom w:val="single" w:color="auto" w:sz="4" w:space="0"/>
                      <w:right w:val="single" w:color="auto" w:sz="4" w:space="0"/>
                    </w:tcBorders>
                    <w:vAlign w:val="center"/>
                  </w:tcPr>
                  <w:p w14:paraId="3709139F">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营业成本</w:t>
                    </w:r>
                  </w:p>
                </w:tc>
              </w:sdtContent>
            </w:sdt>
          </w:tr>
          <w:tr w14:paraId="7ABD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pct"/>
                <w:tcBorders>
                  <w:top w:val="single" w:color="auto" w:sz="4" w:space="0"/>
                  <w:left w:val="single" w:color="auto" w:sz="4" w:space="0"/>
                  <w:bottom w:val="single" w:color="auto" w:sz="4" w:space="0"/>
                  <w:right w:val="single" w:color="auto" w:sz="4" w:space="0"/>
                </w:tcBorders>
              </w:tcPr>
              <w:p w14:paraId="57C87D8E">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按经营地区分类</w:t>
                </w:r>
              </w:p>
            </w:tc>
            <w:tc>
              <w:tcPr>
                <w:tcW w:w="882" w:type="pct"/>
                <w:tcBorders>
                  <w:top w:val="single" w:color="auto" w:sz="4" w:space="0"/>
                  <w:left w:val="single" w:color="auto" w:sz="4" w:space="0"/>
                  <w:bottom w:val="single" w:color="auto" w:sz="4" w:space="0"/>
                  <w:right w:val="single" w:color="auto" w:sz="4" w:space="0"/>
                </w:tcBorders>
              </w:tcPr>
              <w:p w14:paraId="29594391">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w:t>
                </w:r>
              </w:p>
            </w:tc>
            <w:tc>
              <w:tcPr>
                <w:tcW w:w="949" w:type="pct"/>
                <w:tcBorders>
                  <w:top w:val="single" w:color="auto" w:sz="4" w:space="0"/>
                  <w:left w:val="single" w:color="auto" w:sz="4" w:space="0"/>
                  <w:bottom w:val="single" w:color="auto" w:sz="4" w:space="0"/>
                  <w:right w:val="single" w:color="auto" w:sz="4" w:space="0"/>
                </w:tcBorders>
              </w:tcPr>
              <w:p w14:paraId="25D47E20">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w:t>
                </w:r>
              </w:p>
            </w:tc>
            <w:tc>
              <w:tcPr>
                <w:tcW w:w="949" w:type="pct"/>
                <w:tcBorders>
                  <w:top w:val="single" w:color="auto" w:sz="4" w:space="0"/>
                  <w:left w:val="single" w:color="auto" w:sz="4" w:space="0"/>
                  <w:bottom w:val="single" w:color="auto" w:sz="4" w:space="0"/>
                  <w:right w:val="single" w:color="auto" w:sz="4" w:space="0"/>
                </w:tcBorders>
              </w:tcPr>
              <w:p w14:paraId="0B3AA78E">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w:t>
                </w:r>
              </w:p>
            </w:tc>
            <w:tc>
              <w:tcPr>
                <w:tcW w:w="946" w:type="pct"/>
                <w:tcBorders>
                  <w:top w:val="single" w:color="auto" w:sz="4" w:space="0"/>
                  <w:left w:val="single" w:color="auto" w:sz="4" w:space="0"/>
                  <w:bottom w:val="single" w:color="auto" w:sz="4" w:space="0"/>
                  <w:right w:val="single" w:color="auto" w:sz="4" w:space="0"/>
                </w:tcBorders>
              </w:tcPr>
              <w:p w14:paraId="2EAD92FD">
                <w:pPr>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w:t>
                </w:r>
              </w:p>
            </w:tc>
          </w:tr>
          <w:tr w14:paraId="6EED4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pct"/>
                <w:tcBorders>
                  <w:top w:val="single" w:color="auto" w:sz="4" w:space="0"/>
                  <w:left w:val="single" w:color="auto" w:sz="4" w:space="0"/>
                  <w:bottom w:val="single" w:color="auto" w:sz="4" w:space="0"/>
                  <w:right w:val="single" w:color="auto" w:sz="4" w:space="0"/>
                </w:tcBorders>
              </w:tcPr>
              <w:p w14:paraId="26E6C196">
                <w:pPr>
                  <w:ind w:firstLine="420" w:firstLineChars="200"/>
                  <w:textAlignment w:val="top"/>
                  <w:rPr>
                    <w:rFonts w:cs="Times New Roman"/>
                  </w:rPr>
                </w:pPr>
                <w:r>
                  <w:rPr>
                    <w:rFonts w:cs="Times New Roman"/>
                    <w:color w:val="000000"/>
                    <w:lang w:bidi="ar"/>
                  </w:rPr>
                  <w:t>境内</w:t>
                </w:r>
              </w:p>
            </w:tc>
            <w:tc>
              <w:tcPr>
                <w:tcW w:w="1557" w:type="dxa"/>
                <w:tcBorders>
                  <w:top w:val="single" w:color="auto" w:sz="4" w:space="0"/>
                  <w:left w:val="single" w:color="auto" w:sz="4" w:space="0"/>
                  <w:bottom w:val="single" w:color="auto" w:sz="4" w:space="0"/>
                  <w:right w:val="single" w:color="auto" w:sz="4" w:space="0"/>
                </w:tcBorders>
                <w:vAlign w:val="center"/>
              </w:tcPr>
              <w:p w14:paraId="4D9B30BC">
                <w:pPr>
                  <w:jc w:val="right"/>
                  <w:textAlignment w:val="center"/>
                  <w:rPr>
                    <w:rFonts w:cs="Times New Roman"/>
                  </w:rPr>
                </w:pPr>
                <w:r>
                  <w:rPr>
                    <w:rFonts w:eastAsia="Arial Narrow" w:cs="Times New Roman"/>
                    <w:color w:val="000000"/>
                    <w:lang w:bidi="ar"/>
                  </w:rPr>
                  <w:t>2,964,928,120.28</w:t>
                </w:r>
              </w:p>
            </w:tc>
            <w:tc>
              <w:tcPr>
                <w:tcW w:w="1676" w:type="dxa"/>
                <w:tcBorders>
                  <w:top w:val="single" w:color="auto" w:sz="4" w:space="0"/>
                  <w:left w:val="single" w:color="auto" w:sz="4" w:space="0"/>
                  <w:bottom w:val="single" w:color="auto" w:sz="4" w:space="0"/>
                  <w:right w:val="single" w:color="auto" w:sz="4" w:space="0"/>
                </w:tcBorders>
                <w:vAlign w:val="center"/>
              </w:tcPr>
              <w:p w14:paraId="23C09AFB">
                <w:pPr>
                  <w:jc w:val="right"/>
                  <w:textAlignment w:val="center"/>
                  <w:rPr>
                    <w:rFonts w:cs="Times New Roman"/>
                  </w:rPr>
                </w:pPr>
                <w:r>
                  <w:rPr>
                    <w:rFonts w:eastAsia="Arial Narrow" w:cs="Times New Roman"/>
                    <w:color w:val="000000"/>
                    <w:lang w:bidi="ar"/>
                  </w:rPr>
                  <w:t>2,542,613,208.37</w:t>
                </w:r>
              </w:p>
            </w:tc>
            <w:tc>
              <w:tcPr>
                <w:tcW w:w="1675" w:type="dxa"/>
                <w:tcBorders>
                  <w:top w:val="single" w:color="auto" w:sz="4" w:space="0"/>
                  <w:left w:val="single" w:color="auto" w:sz="4" w:space="0"/>
                  <w:bottom w:val="single" w:color="auto" w:sz="4" w:space="0"/>
                  <w:right w:val="single" w:color="auto" w:sz="4" w:space="0"/>
                </w:tcBorders>
                <w:vAlign w:val="center"/>
              </w:tcPr>
              <w:p w14:paraId="60B16664">
                <w:pPr>
                  <w:jc w:val="right"/>
                  <w:textAlignment w:val="center"/>
                  <w:rPr>
                    <w:rFonts w:cs="Times New Roman"/>
                  </w:rPr>
                </w:pPr>
                <w:r>
                  <w:rPr>
                    <w:rFonts w:eastAsia="Arial Narrow" w:cs="Times New Roman"/>
                    <w:color w:val="000000"/>
                    <w:lang w:bidi="ar"/>
                  </w:rPr>
                  <w:t>2,964,928,120.28</w:t>
                </w:r>
              </w:p>
            </w:tc>
            <w:tc>
              <w:tcPr>
                <w:tcW w:w="1669" w:type="dxa"/>
                <w:tcBorders>
                  <w:top w:val="single" w:color="auto" w:sz="4" w:space="0"/>
                  <w:left w:val="single" w:color="auto" w:sz="4" w:space="0"/>
                  <w:bottom w:val="single" w:color="auto" w:sz="4" w:space="0"/>
                  <w:right w:val="single" w:color="auto" w:sz="4" w:space="0"/>
                </w:tcBorders>
                <w:vAlign w:val="center"/>
              </w:tcPr>
              <w:p w14:paraId="66D17029">
                <w:pPr>
                  <w:jc w:val="right"/>
                  <w:textAlignment w:val="center"/>
                  <w:rPr>
                    <w:rFonts w:cs="Times New Roman"/>
                  </w:rPr>
                </w:pPr>
                <w:r>
                  <w:rPr>
                    <w:rFonts w:eastAsia="Arial Narrow" w:cs="Times New Roman"/>
                    <w:color w:val="000000"/>
                    <w:lang w:bidi="ar"/>
                  </w:rPr>
                  <w:t>2,542,613,208.37</w:t>
                </w:r>
              </w:p>
            </w:tc>
          </w:tr>
          <w:tr w14:paraId="61C7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pct"/>
                <w:tcBorders>
                  <w:top w:val="single" w:color="auto" w:sz="4" w:space="0"/>
                  <w:left w:val="single" w:color="auto" w:sz="4" w:space="0"/>
                  <w:bottom w:val="single" w:color="auto" w:sz="4" w:space="0"/>
                  <w:right w:val="single" w:color="auto" w:sz="4" w:space="0"/>
                </w:tcBorders>
              </w:tcPr>
              <w:p w14:paraId="0B75F827">
                <w:pPr>
                  <w:ind w:firstLine="420" w:firstLineChars="200"/>
                  <w:textAlignment w:val="top"/>
                  <w:rPr>
                    <w:rFonts w:cs="Times New Roman"/>
                    <w:color w:val="000000" w:themeColor="text1"/>
                    <w14:textFill>
                      <w14:solidFill>
                        <w14:schemeClr w14:val="tx1"/>
                      </w14:solidFill>
                    </w14:textFill>
                  </w:rPr>
                </w:pPr>
                <w:r>
                  <w:rPr>
                    <w:rFonts w:cs="Times New Roman"/>
                    <w:color w:val="000000"/>
                    <w:lang w:bidi="ar"/>
                  </w:rPr>
                  <w:t>境外</w:t>
                </w:r>
              </w:p>
            </w:tc>
            <w:tc>
              <w:tcPr>
                <w:tcW w:w="1557" w:type="dxa"/>
                <w:tcBorders>
                  <w:top w:val="single" w:color="auto" w:sz="4" w:space="0"/>
                  <w:left w:val="single" w:color="auto" w:sz="4" w:space="0"/>
                  <w:bottom w:val="single" w:color="auto" w:sz="4" w:space="0"/>
                  <w:right w:val="single" w:color="auto" w:sz="4" w:space="0"/>
                </w:tcBorders>
                <w:vAlign w:val="center"/>
              </w:tcPr>
              <w:p w14:paraId="114F162F">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242,803,822.57</w:t>
                </w:r>
              </w:p>
            </w:tc>
            <w:tc>
              <w:tcPr>
                <w:tcW w:w="1676" w:type="dxa"/>
                <w:tcBorders>
                  <w:top w:val="single" w:color="auto" w:sz="4" w:space="0"/>
                  <w:left w:val="single" w:color="auto" w:sz="4" w:space="0"/>
                  <w:bottom w:val="single" w:color="auto" w:sz="4" w:space="0"/>
                  <w:right w:val="single" w:color="auto" w:sz="4" w:space="0"/>
                </w:tcBorders>
                <w:vAlign w:val="center"/>
              </w:tcPr>
              <w:p w14:paraId="0D7B7211">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215,552,927.19</w:t>
                </w:r>
              </w:p>
            </w:tc>
            <w:tc>
              <w:tcPr>
                <w:tcW w:w="1675" w:type="dxa"/>
                <w:tcBorders>
                  <w:top w:val="single" w:color="auto" w:sz="4" w:space="0"/>
                  <w:left w:val="single" w:color="auto" w:sz="4" w:space="0"/>
                  <w:bottom w:val="single" w:color="auto" w:sz="4" w:space="0"/>
                  <w:right w:val="single" w:color="auto" w:sz="4" w:space="0"/>
                </w:tcBorders>
                <w:vAlign w:val="center"/>
              </w:tcPr>
              <w:p w14:paraId="4D12B9BF">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242,803,822.57</w:t>
                </w:r>
              </w:p>
            </w:tc>
            <w:tc>
              <w:tcPr>
                <w:tcW w:w="1669" w:type="dxa"/>
                <w:tcBorders>
                  <w:top w:val="single" w:color="auto" w:sz="4" w:space="0"/>
                  <w:left w:val="single" w:color="auto" w:sz="4" w:space="0"/>
                  <w:bottom w:val="single" w:color="auto" w:sz="4" w:space="0"/>
                  <w:right w:val="single" w:color="auto" w:sz="4" w:space="0"/>
                </w:tcBorders>
                <w:vAlign w:val="center"/>
              </w:tcPr>
              <w:p w14:paraId="56B6B96A">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215,552,927.19</w:t>
                </w:r>
              </w:p>
            </w:tc>
          </w:tr>
          <w:tr w14:paraId="1DC9C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pct"/>
                <w:tcBorders>
                  <w:top w:val="single" w:color="auto" w:sz="4" w:space="0"/>
                  <w:left w:val="single" w:color="auto" w:sz="4" w:space="0"/>
                  <w:bottom w:val="single" w:color="auto" w:sz="4" w:space="0"/>
                  <w:right w:val="single" w:color="auto" w:sz="4" w:space="0"/>
                </w:tcBorders>
              </w:tcPr>
              <w:p w14:paraId="497ED165">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市场或客户类型</w:t>
                </w:r>
              </w:p>
            </w:tc>
            <w:tc>
              <w:tcPr>
                <w:tcW w:w="1557" w:type="dxa"/>
                <w:tcBorders>
                  <w:top w:val="single" w:color="auto" w:sz="4" w:space="0"/>
                  <w:left w:val="single" w:color="auto" w:sz="4" w:space="0"/>
                  <w:bottom w:val="single" w:color="auto" w:sz="4" w:space="0"/>
                  <w:right w:val="single" w:color="auto" w:sz="4" w:space="0"/>
                </w:tcBorders>
                <w:vAlign w:val="center"/>
              </w:tcPr>
              <w:p w14:paraId="0F41F884">
                <w:pPr>
                  <w:jc w:val="right"/>
                  <w:rPr>
                    <w:rFonts w:cs="Times New Roman"/>
                    <w:color w:val="000000" w:themeColor="text1"/>
                    <w14:textFill>
                      <w14:solidFill>
                        <w14:schemeClr w14:val="tx1"/>
                      </w14:solidFill>
                    </w14:textFill>
                  </w:rPr>
                </w:pPr>
              </w:p>
            </w:tc>
            <w:tc>
              <w:tcPr>
                <w:tcW w:w="1676" w:type="dxa"/>
                <w:tcBorders>
                  <w:top w:val="single" w:color="auto" w:sz="4" w:space="0"/>
                  <w:left w:val="single" w:color="auto" w:sz="4" w:space="0"/>
                  <w:bottom w:val="single" w:color="auto" w:sz="4" w:space="0"/>
                  <w:right w:val="single" w:color="auto" w:sz="4" w:space="0"/>
                </w:tcBorders>
                <w:vAlign w:val="center"/>
              </w:tcPr>
              <w:p w14:paraId="364FD17A">
                <w:pPr>
                  <w:jc w:val="right"/>
                  <w:rPr>
                    <w:rFonts w:cs="Times New Roman"/>
                    <w:color w:val="000000" w:themeColor="text1"/>
                    <w14:textFill>
                      <w14:solidFill>
                        <w14:schemeClr w14:val="tx1"/>
                      </w14:solidFill>
                    </w14:textFill>
                  </w:rPr>
                </w:pPr>
              </w:p>
            </w:tc>
            <w:tc>
              <w:tcPr>
                <w:tcW w:w="1675" w:type="dxa"/>
                <w:tcBorders>
                  <w:top w:val="single" w:color="auto" w:sz="4" w:space="0"/>
                  <w:left w:val="single" w:color="auto" w:sz="4" w:space="0"/>
                  <w:bottom w:val="single" w:color="auto" w:sz="4" w:space="0"/>
                  <w:right w:val="single" w:color="auto" w:sz="4" w:space="0"/>
                </w:tcBorders>
                <w:vAlign w:val="center"/>
              </w:tcPr>
              <w:p w14:paraId="7CF00CF3">
                <w:pPr>
                  <w:jc w:val="right"/>
                  <w:rPr>
                    <w:rFonts w:cs="Times New Roman"/>
                    <w:color w:val="000000" w:themeColor="text1"/>
                    <w14:textFill>
                      <w14:solidFill>
                        <w14:schemeClr w14:val="tx1"/>
                      </w14:solidFill>
                    </w14:textFill>
                  </w:rPr>
                </w:pPr>
              </w:p>
            </w:tc>
            <w:tc>
              <w:tcPr>
                <w:tcW w:w="1669" w:type="dxa"/>
                <w:tcBorders>
                  <w:top w:val="single" w:color="auto" w:sz="4" w:space="0"/>
                  <w:left w:val="single" w:color="auto" w:sz="4" w:space="0"/>
                  <w:bottom w:val="single" w:color="auto" w:sz="4" w:space="0"/>
                  <w:right w:val="single" w:color="auto" w:sz="4" w:space="0"/>
                </w:tcBorders>
                <w:vAlign w:val="center"/>
              </w:tcPr>
              <w:p w14:paraId="6792DF82">
                <w:pPr>
                  <w:jc w:val="right"/>
                  <w:rPr>
                    <w:rFonts w:cs="Times New Roman"/>
                    <w:color w:val="000000" w:themeColor="text1"/>
                    <w14:textFill>
                      <w14:solidFill>
                        <w14:schemeClr w14:val="tx1"/>
                      </w14:solidFill>
                    </w14:textFill>
                  </w:rPr>
                </w:pPr>
              </w:p>
            </w:tc>
          </w:tr>
          <w:tr w14:paraId="4C25B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pct"/>
                <w:tcBorders>
                  <w:top w:val="single" w:color="auto" w:sz="4" w:space="0"/>
                  <w:left w:val="single" w:color="auto" w:sz="4" w:space="0"/>
                  <w:bottom w:val="single" w:color="auto" w:sz="4" w:space="0"/>
                  <w:right w:val="single" w:color="auto" w:sz="4" w:space="0"/>
                </w:tcBorders>
              </w:tcPr>
              <w:p w14:paraId="371282D0">
                <w:pPr>
                  <w:ind w:firstLine="420" w:firstLineChars="200"/>
                  <w:textAlignment w:val="top"/>
                  <w:rPr>
                    <w:rFonts w:cs="Times New Roman"/>
                  </w:rPr>
                </w:pPr>
                <w:r>
                  <w:rPr>
                    <w:rFonts w:cs="Times New Roman"/>
                    <w:color w:val="000000"/>
                    <w:lang w:bidi="ar"/>
                  </w:rPr>
                  <w:t>军品</w:t>
                </w:r>
              </w:p>
            </w:tc>
            <w:tc>
              <w:tcPr>
                <w:tcW w:w="1557" w:type="dxa"/>
                <w:tcBorders>
                  <w:top w:val="single" w:color="auto" w:sz="4" w:space="0"/>
                  <w:left w:val="single" w:color="auto" w:sz="4" w:space="0"/>
                  <w:bottom w:val="single" w:color="auto" w:sz="4" w:space="0"/>
                  <w:right w:val="single" w:color="auto" w:sz="4" w:space="0"/>
                </w:tcBorders>
                <w:vAlign w:val="center"/>
              </w:tcPr>
              <w:p w14:paraId="28DBDD53">
                <w:pPr>
                  <w:jc w:val="right"/>
                  <w:textAlignment w:val="center"/>
                  <w:rPr>
                    <w:rFonts w:cs="Times New Roman"/>
                  </w:rPr>
                </w:pPr>
                <w:r>
                  <w:rPr>
                    <w:rFonts w:eastAsia="Arial Narrow" w:cs="Times New Roman"/>
                    <w:color w:val="000000"/>
                    <w:lang w:bidi="ar"/>
                  </w:rPr>
                  <w:t>658,602,305.93</w:t>
                </w:r>
              </w:p>
            </w:tc>
            <w:tc>
              <w:tcPr>
                <w:tcW w:w="1676" w:type="dxa"/>
                <w:tcBorders>
                  <w:top w:val="single" w:color="auto" w:sz="4" w:space="0"/>
                  <w:left w:val="single" w:color="auto" w:sz="4" w:space="0"/>
                  <w:bottom w:val="single" w:color="auto" w:sz="4" w:space="0"/>
                  <w:right w:val="single" w:color="auto" w:sz="4" w:space="0"/>
                </w:tcBorders>
                <w:vAlign w:val="center"/>
              </w:tcPr>
              <w:p w14:paraId="77DE924B">
                <w:pPr>
                  <w:jc w:val="right"/>
                  <w:textAlignment w:val="center"/>
                  <w:rPr>
                    <w:rFonts w:cs="Times New Roman"/>
                  </w:rPr>
                </w:pPr>
                <w:r>
                  <w:rPr>
                    <w:rFonts w:eastAsia="Arial Narrow" w:cs="Times New Roman"/>
                    <w:color w:val="000000"/>
                    <w:lang w:bidi="ar"/>
                  </w:rPr>
                  <w:t>553,655,836.05</w:t>
                </w:r>
              </w:p>
            </w:tc>
            <w:tc>
              <w:tcPr>
                <w:tcW w:w="1675" w:type="dxa"/>
                <w:tcBorders>
                  <w:top w:val="single" w:color="auto" w:sz="4" w:space="0"/>
                  <w:left w:val="single" w:color="auto" w:sz="4" w:space="0"/>
                  <w:bottom w:val="single" w:color="auto" w:sz="4" w:space="0"/>
                  <w:right w:val="single" w:color="auto" w:sz="4" w:space="0"/>
                </w:tcBorders>
                <w:vAlign w:val="center"/>
              </w:tcPr>
              <w:p w14:paraId="23072DA3">
                <w:pPr>
                  <w:jc w:val="right"/>
                  <w:textAlignment w:val="center"/>
                  <w:rPr>
                    <w:rFonts w:cs="Times New Roman"/>
                  </w:rPr>
                </w:pPr>
                <w:r>
                  <w:rPr>
                    <w:rFonts w:eastAsia="Arial Narrow" w:cs="Times New Roman"/>
                    <w:color w:val="000000"/>
                    <w:lang w:bidi="ar"/>
                  </w:rPr>
                  <w:t>658,602,305.93</w:t>
                </w:r>
              </w:p>
            </w:tc>
            <w:tc>
              <w:tcPr>
                <w:tcW w:w="1669" w:type="dxa"/>
                <w:tcBorders>
                  <w:top w:val="single" w:color="auto" w:sz="4" w:space="0"/>
                  <w:left w:val="single" w:color="auto" w:sz="4" w:space="0"/>
                  <w:bottom w:val="single" w:color="auto" w:sz="4" w:space="0"/>
                  <w:right w:val="single" w:color="auto" w:sz="4" w:space="0"/>
                </w:tcBorders>
                <w:vAlign w:val="center"/>
              </w:tcPr>
              <w:p w14:paraId="768B058A">
                <w:pPr>
                  <w:jc w:val="right"/>
                  <w:textAlignment w:val="center"/>
                  <w:rPr>
                    <w:rFonts w:cs="Times New Roman"/>
                  </w:rPr>
                </w:pPr>
                <w:r>
                  <w:rPr>
                    <w:rFonts w:eastAsia="Arial Narrow" w:cs="Times New Roman"/>
                    <w:color w:val="000000"/>
                    <w:lang w:bidi="ar"/>
                  </w:rPr>
                  <w:t>553,655,836.05</w:t>
                </w:r>
              </w:p>
            </w:tc>
          </w:tr>
          <w:tr w14:paraId="3BDB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pct"/>
                <w:tcBorders>
                  <w:top w:val="single" w:color="auto" w:sz="4" w:space="0"/>
                  <w:left w:val="single" w:color="auto" w:sz="4" w:space="0"/>
                  <w:bottom w:val="single" w:color="auto" w:sz="4" w:space="0"/>
                  <w:right w:val="single" w:color="auto" w:sz="4" w:space="0"/>
                </w:tcBorders>
              </w:tcPr>
              <w:p w14:paraId="0C96BE4A">
                <w:pPr>
                  <w:ind w:firstLine="420" w:firstLineChars="200"/>
                  <w:textAlignment w:val="top"/>
                  <w:rPr>
                    <w:rFonts w:cs="Times New Roman"/>
                    <w:color w:val="000000" w:themeColor="text1"/>
                    <w14:textFill>
                      <w14:solidFill>
                        <w14:schemeClr w14:val="tx1"/>
                      </w14:solidFill>
                    </w14:textFill>
                  </w:rPr>
                </w:pPr>
                <w:r>
                  <w:rPr>
                    <w:rFonts w:cs="Times New Roman"/>
                    <w:color w:val="000000"/>
                    <w:lang w:bidi="ar"/>
                  </w:rPr>
                  <w:t>民品</w:t>
                </w:r>
              </w:p>
            </w:tc>
            <w:tc>
              <w:tcPr>
                <w:tcW w:w="1557" w:type="dxa"/>
                <w:tcBorders>
                  <w:top w:val="single" w:color="auto" w:sz="4" w:space="0"/>
                  <w:left w:val="single" w:color="auto" w:sz="4" w:space="0"/>
                  <w:bottom w:val="single" w:color="auto" w:sz="4" w:space="0"/>
                  <w:right w:val="single" w:color="auto" w:sz="4" w:space="0"/>
                </w:tcBorders>
                <w:vAlign w:val="center"/>
              </w:tcPr>
              <w:p w14:paraId="38BC53BF">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2,277,462,031.42</w:t>
                </w:r>
              </w:p>
            </w:tc>
            <w:tc>
              <w:tcPr>
                <w:tcW w:w="1676" w:type="dxa"/>
                <w:tcBorders>
                  <w:top w:val="single" w:color="auto" w:sz="4" w:space="0"/>
                  <w:left w:val="single" w:color="auto" w:sz="4" w:space="0"/>
                  <w:bottom w:val="single" w:color="auto" w:sz="4" w:space="0"/>
                  <w:right w:val="single" w:color="auto" w:sz="4" w:space="0"/>
                </w:tcBorders>
                <w:vAlign w:val="center"/>
              </w:tcPr>
              <w:p w14:paraId="035FFB3C">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2,034,947,330.31</w:t>
                </w:r>
              </w:p>
            </w:tc>
            <w:tc>
              <w:tcPr>
                <w:tcW w:w="1675" w:type="dxa"/>
                <w:tcBorders>
                  <w:top w:val="single" w:color="auto" w:sz="4" w:space="0"/>
                  <w:left w:val="single" w:color="auto" w:sz="4" w:space="0"/>
                  <w:bottom w:val="single" w:color="auto" w:sz="4" w:space="0"/>
                  <w:right w:val="single" w:color="auto" w:sz="4" w:space="0"/>
                </w:tcBorders>
                <w:vAlign w:val="center"/>
              </w:tcPr>
              <w:p w14:paraId="7CADEF2F">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2,277,462,031.42</w:t>
                </w:r>
              </w:p>
            </w:tc>
            <w:tc>
              <w:tcPr>
                <w:tcW w:w="1669" w:type="dxa"/>
                <w:tcBorders>
                  <w:top w:val="single" w:color="auto" w:sz="4" w:space="0"/>
                  <w:left w:val="single" w:color="auto" w:sz="4" w:space="0"/>
                  <w:bottom w:val="single" w:color="auto" w:sz="4" w:space="0"/>
                  <w:right w:val="single" w:color="auto" w:sz="4" w:space="0"/>
                </w:tcBorders>
                <w:vAlign w:val="center"/>
              </w:tcPr>
              <w:p w14:paraId="76A5C34F">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2,034,947,330.31</w:t>
                </w:r>
              </w:p>
            </w:tc>
          </w:tr>
          <w:tr w14:paraId="35DF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pct"/>
                <w:tcBorders>
                  <w:top w:val="single" w:color="auto" w:sz="4" w:space="0"/>
                  <w:left w:val="single" w:color="auto" w:sz="4" w:space="0"/>
                  <w:bottom w:val="single" w:color="auto" w:sz="4" w:space="0"/>
                  <w:right w:val="single" w:color="auto" w:sz="4" w:space="0"/>
                </w:tcBorders>
              </w:tcPr>
              <w:p w14:paraId="683C1BD1">
                <w:pPr>
                  <w:ind w:firstLine="420" w:firstLineChars="200"/>
                  <w:textAlignment w:val="top"/>
                  <w:rPr>
                    <w:rFonts w:cs="Times New Roman"/>
                    <w:color w:val="000000" w:themeColor="text1"/>
                    <w14:textFill>
                      <w14:solidFill>
                        <w14:schemeClr w14:val="tx1"/>
                      </w14:solidFill>
                    </w14:textFill>
                  </w:rPr>
                </w:pPr>
                <w:r>
                  <w:rPr>
                    <w:rFonts w:cs="Times New Roman"/>
                    <w:color w:val="000000"/>
                    <w:lang w:bidi="ar"/>
                  </w:rPr>
                  <w:t>贸易及其他</w:t>
                </w:r>
              </w:p>
            </w:tc>
            <w:tc>
              <w:tcPr>
                <w:tcW w:w="1557" w:type="dxa"/>
                <w:tcBorders>
                  <w:top w:val="single" w:color="auto" w:sz="4" w:space="0"/>
                  <w:left w:val="single" w:color="auto" w:sz="4" w:space="0"/>
                  <w:bottom w:val="single" w:color="auto" w:sz="4" w:space="0"/>
                  <w:right w:val="single" w:color="auto" w:sz="4" w:space="0"/>
                </w:tcBorders>
                <w:vAlign w:val="center"/>
              </w:tcPr>
              <w:p w14:paraId="5389BB54">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271,667,605.50</w:t>
                </w:r>
              </w:p>
            </w:tc>
            <w:tc>
              <w:tcPr>
                <w:tcW w:w="1676" w:type="dxa"/>
                <w:tcBorders>
                  <w:top w:val="single" w:color="auto" w:sz="4" w:space="0"/>
                  <w:left w:val="single" w:color="auto" w:sz="4" w:space="0"/>
                  <w:bottom w:val="single" w:color="auto" w:sz="4" w:space="0"/>
                  <w:right w:val="single" w:color="auto" w:sz="4" w:space="0"/>
                </w:tcBorders>
                <w:vAlign w:val="center"/>
              </w:tcPr>
              <w:p w14:paraId="4271A5BA">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169,562,969.20</w:t>
                </w:r>
              </w:p>
            </w:tc>
            <w:tc>
              <w:tcPr>
                <w:tcW w:w="1675" w:type="dxa"/>
                <w:tcBorders>
                  <w:top w:val="single" w:color="auto" w:sz="4" w:space="0"/>
                  <w:left w:val="single" w:color="auto" w:sz="4" w:space="0"/>
                  <w:bottom w:val="single" w:color="auto" w:sz="4" w:space="0"/>
                  <w:right w:val="single" w:color="auto" w:sz="4" w:space="0"/>
                </w:tcBorders>
                <w:vAlign w:val="center"/>
              </w:tcPr>
              <w:p w14:paraId="7DF400F8">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271,667,605.50</w:t>
                </w:r>
              </w:p>
            </w:tc>
            <w:tc>
              <w:tcPr>
                <w:tcW w:w="1669" w:type="dxa"/>
                <w:tcBorders>
                  <w:top w:val="single" w:color="auto" w:sz="4" w:space="0"/>
                  <w:left w:val="single" w:color="auto" w:sz="4" w:space="0"/>
                  <w:bottom w:val="single" w:color="auto" w:sz="4" w:space="0"/>
                  <w:right w:val="single" w:color="auto" w:sz="4" w:space="0"/>
                </w:tcBorders>
                <w:vAlign w:val="center"/>
              </w:tcPr>
              <w:p w14:paraId="7CDA8A9B">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169,562,969.20</w:t>
                </w:r>
              </w:p>
            </w:tc>
          </w:tr>
          <w:tr w14:paraId="45E7D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pct"/>
                <w:tcBorders>
                  <w:top w:val="single" w:color="auto" w:sz="4" w:space="0"/>
                  <w:left w:val="single" w:color="auto" w:sz="4" w:space="0"/>
                  <w:bottom w:val="single" w:color="auto" w:sz="4" w:space="0"/>
                  <w:right w:val="single" w:color="auto" w:sz="4" w:space="0"/>
                </w:tcBorders>
              </w:tcPr>
              <w:p w14:paraId="0616C9BE">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557" w:type="dxa"/>
                <w:tcBorders>
                  <w:top w:val="single" w:color="auto" w:sz="4" w:space="0"/>
                  <w:left w:val="single" w:color="auto" w:sz="4" w:space="0"/>
                  <w:bottom w:val="single" w:color="auto" w:sz="4" w:space="0"/>
                  <w:right w:val="single" w:color="auto" w:sz="4" w:space="0"/>
                </w:tcBorders>
                <w:vAlign w:val="center"/>
              </w:tcPr>
              <w:p w14:paraId="59D8D966">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3,207,731,942.85</w:t>
                </w:r>
              </w:p>
            </w:tc>
            <w:tc>
              <w:tcPr>
                <w:tcW w:w="1676" w:type="dxa"/>
                <w:tcBorders>
                  <w:top w:val="single" w:color="auto" w:sz="4" w:space="0"/>
                  <w:left w:val="single" w:color="auto" w:sz="4" w:space="0"/>
                  <w:bottom w:val="single" w:color="auto" w:sz="4" w:space="0"/>
                  <w:right w:val="single" w:color="auto" w:sz="4" w:space="0"/>
                </w:tcBorders>
                <w:vAlign w:val="center"/>
              </w:tcPr>
              <w:p w14:paraId="787ABC35">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2,758,166,135.56</w:t>
                </w:r>
              </w:p>
            </w:tc>
            <w:tc>
              <w:tcPr>
                <w:tcW w:w="1675" w:type="dxa"/>
                <w:tcBorders>
                  <w:top w:val="single" w:color="auto" w:sz="4" w:space="0"/>
                  <w:left w:val="single" w:color="auto" w:sz="4" w:space="0"/>
                  <w:bottom w:val="single" w:color="auto" w:sz="4" w:space="0"/>
                  <w:right w:val="single" w:color="auto" w:sz="4" w:space="0"/>
                </w:tcBorders>
                <w:vAlign w:val="center"/>
              </w:tcPr>
              <w:p w14:paraId="5AF2F02E">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3,207,731,942.85</w:t>
                </w:r>
              </w:p>
            </w:tc>
            <w:tc>
              <w:tcPr>
                <w:tcW w:w="1669" w:type="dxa"/>
                <w:tcBorders>
                  <w:top w:val="single" w:color="auto" w:sz="4" w:space="0"/>
                  <w:left w:val="single" w:color="auto" w:sz="4" w:space="0"/>
                  <w:bottom w:val="single" w:color="auto" w:sz="4" w:space="0"/>
                  <w:right w:val="single" w:color="auto" w:sz="4" w:space="0"/>
                </w:tcBorders>
                <w:vAlign w:val="center"/>
              </w:tcPr>
              <w:p w14:paraId="4D61798D">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2,758,166,135.56</w:t>
                </w:r>
              </w:p>
            </w:tc>
          </w:tr>
        </w:tbl>
        <w:p w14:paraId="567B1AF4"/>
        <w:p w14:paraId="02ACCC94">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营业收入、营业成本的分解信息说明 [双击切换]"/>
            <w:tag w:val="_GBC_04602e125f9d4f519cbc5efd2f4ee0ea"/>
            <w:id w:val="147459359"/>
            <w:placeholder>
              <w:docPart w:val="GBC22222222222222222222222222222"/>
            </w:placeholder>
          </w:sdtPr>
          <w:sdtEndPr>
            <w:rPr>
              <w:color w:val="000000" w:themeColor="text1"/>
              <w14:textFill>
                <w14:solidFill>
                  <w14:schemeClr w14:val="tx1"/>
                </w14:solidFill>
              </w14:textFill>
            </w:rPr>
          </w:sdtEndPr>
          <w:sdtContent>
            <w:p w14:paraId="6CF7115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F0F36F0">
          <w:pPr>
            <w:rPr>
              <w:color w:val="000000" w:themeColor="text1"/>
              <w14:textFill>
                <w14:solidFill>
                  <w14:schemeClr w14:val="tx1"/>
                </w14:solidFill>
              </w14:textFill>
            </w:rPr>
          </w:pPr>
        </w:p>
      </w:sdtContent>
    </w:sdt>
    <w:bookmarkEnd w:id="378"/>
    <w:p w14:paraId="07A96520">
      <w:pPr>
        <w:pStyle w:val="58"/>
        <w:numPr>
          <w:ilvl w:val="0"/>
          <w:numId w:val="88"/>
        </w:numPr>
        <w:ind w:left="426" w:hanging="426"/>
        <w:rPr>
          <w:rFonts w:ascii="宋体" w:hAnsi="宋体"/>
          <w:color w:val="000000" w:themeColor="text1"/>
          <w14:textFill>
            <w14:solidFill>
              <w14:schemeClr w14:val="tx1"/>
            </w14:solidFill>
          </w14:textFill>
        </w:rPr>
      </w:pPr>
      <w:bookmarkStart w:id="380" w:name="_Hlk533670431"/>
      <w:r>
        <w:rPr>
          <w:rFonts w:hint="eastAsia" w:ascii="宋体" w:hAnsi="宋体"/>
          <w:color w:val="000000" w:themeColor="text1"/>
          <w14:textFill>
            <w14:solidFill>
              <w14:schemeClr w14:val="tx1"/>
            </w14:solidFill>
          </w14:textFill>
        </w:rPr>
        <w:t>履约义务的说明</w:t>
      </w:r>
    </w:p>
    <w:sdt>
      <w:sdtPr>
        <w:rPr>
          <w:color w:val="000000" w:themeColor="text1"/>
          <w14:textFill>
            <w14:solidFill>
              <w14:schemeClr w14:val="tx1"/>
            </w14:solidFill>
          </w14:textFill>
        </w:rPr>
        <w:alias w:val="是否适用：履约义务的说明[双击切换]"/>
        <w:tag w:val="_GBC_ec22242632ae490ba6bc8afe3b2e35bc"/>
        <w:id w:val="147450972"/>
        <w:placeholder>
          <w:docPart w:val="GBC22222222222222222222222222222"/>
        </w:placeholder>
      </w:sdtPr>
      <w:sdtEndPr>
        <w:rPr>
          <w:color w:val="000000" w:themeColor="text1"/>
          <w14:textFill>
            <w14:solidFill>
              <w14:schemeClr w14:val="tx1"/>
            </w14:solidFill>
          </w14:textFill>
        </w:rPr>
      </w:sdtEndPr>
      <w:sdtContent>
        <w:p w14:paraId="767240B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0C654DC">
      <w:pPr>
        <w:rPr>
          <w:color w:val="000000" w:themeColor="text1"/>
          <w14:textFill>
            <w14:solidFill>
              <w14:schemeClr w14:val="tx1"/>
            </w14:solidFill>
          </w14:textFill>
        </w:rPr>
      </w:pPr>
    </w:p>
    <w:bookmarkEnd w:id="379"/>
    <w:bookmarkEnd w:id="380"/>
    <w:p w14:paraId="620599C5">
      <w:pPr>
        <w:pStyle w:val="58"/>
        <w:numPr>
          <w:ilvl w:val="0"/>
          <w:numId w:val="88"/>
        </w:numPr>
        <w:ind w:left="426" w:hanging="426"/>
        <w:rPr>
          <w:rFonts w:ascii="宋体" w:hAnsi="宋体"/>
          <w:color w:val="000000" w:themeColor="text1"/>
          <w14:textFill>
            <w14:solidFill>
              <w14:schemeClr w14:val="tx1"/>
            </w14:solidFill>
          </w14:textFill>
        </w:rPr>
      </w:pPr>
      <w:bookmarkStart w:id="381" w:name="_Hlk10538107"/>
      <w:bookmarkStart w:id="382" w:name="_Hlk10538117"/>
      <w:r>
        <w:rPr>
          <w:rFonts w:hint="eastAsia" w:ascii="宋体" w:hAnsi="宋体"/>
          <w:color w:val="000000" w:themeColor="text1"/>
          <w14:textFill>
            <w14:solidFill>
              <w14:schemeClr w14:val="tx1"/>
            </w14:solidFill>
          </w14:textFill>
        </w:rPr>
        <w:t>分摊至剩余履约义务的说明</w:t>
      </w:r>
      <w:bookmarkEnd w:id="381"/>
    </w:p>
    <w:sdt>
      <w:sdtPr>
        <w:rPr>
          <w:color w:val="000000" w:themeColor="text1"/>
          <w14:textFill>
            <w14:solidFill>
              <w14:schemeClr w14:val="tx1"/>
            </w14:solidFill>
          </w14:textFill>
        </w:rPr>
        <w:alias w:val="是否适用：分摊至剩余履约义务的说明[双击切换]"/>
        <w:tag w:val="_GBC_3e12eb65fc9e4c7b80815a7392be58f2"/>
        <w:id w:val="147463981"/>
        <w:placeholder>
          <w:docPart w:val="GBC22222222222222222222222222222"/>
        </w:placeholder>
      </w:sdtPr>
      <w:sdtEndPr>
        <w:rPr>
          <w:color w:val="000000" w:themeColor="text1"/>
          <w14:textFill>
            <w14:solidFill>
              <w14:schemeClr w14:val="tx1"/>
            </w14:solidFill>
          </w14:textFill>
        </w:rPr>
      </w:sdtEndPr>
      <w:sdtContent>
        <w:p w14:paraId="214E77D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82"/>
    <w:p w14:paraId="07BB65D5">
      <w:pPr>
        <w:rPr>
          <w:color w:val="000000" w:themeColor="text1"/>
          <w14:textFill>
            <w14:solidFill>
              <w14:schemeClr w14:val="tx1"/>
            </w14:solidFill>
          </w14:textFill>
        </w:rPr>
      </w:pPr>
    </w:p>
    <w:p w14:paraId="4DEEF9D5">
      <w:pPr>
        <w:pStyle w:val="58"/>
        <w:numPr>
          <w:ilvl w:val="0"/>
          <w:numId w:val="88"/>
        </w:numPr>
        <w:ind w:left="426" w:hanging="426"/>
        <w:rPr>
          <w:rFonts w:ascii="宋体" w:hAnsi="宋体"/>
          <w:color w:val="000000" w:themeColor="text1"/>
          <w14:textFill>
            <w14:solidFill>
              <w14:schemeClr w14:val="tx1"/>
            </w14:solidFill>
          </w14:textFill>
        </w:rPr>
      </w:pPr>
      <w:bookmarkStart w:id="383" w:name="_Hlk167969793"/>
      <w:r>
        <w:rPr>
          <w:rFonts w:hint="eastAsia" w:ascii="宋体" w:hAnsi="宋体"/>
          <w:color w:val="000000" w:themeColor="text1"/>
          <w14:textFill>
            <w14:solidFill>
              <w14:schemeClr w14:val="tx1"/>
            </w14:solidFill>
          </w14:textFill>
        </w:rPr>
        <w:t>重大合同变更或重大交易价格调整</w:t>
      </w:r>
    </w:p>
    <w:sdt>
      <w:sdtPr>
        <w:rPr>
          <w:color w:val="000000" w:themeColor="text1"/>
          <w14:textFill>
            <w14:solidFill>
              <w14:schemeClr w14:val="tx1"/>
            </w14:solidFill>
          </w14:textFill>
        </w:rPr>
        <w:alias w:val="是否适用：重大合同变更或重大交易价格调整[双击切换]"/>
        <w:tag w:val="_GBC_4ff195f785f7474ba9def45795b4e11c"/>
        <w:id w:val="147458655"/>
        <w:placeholder>
          <w:docPart w:val="GBC22222222222222222222222222222"/>
        </w:placeholder>
      </w:sdtPr>
      <w:sdtEndPr>
        <w:rPr>
          <w:color w:val="000000" w:themeColor="text1"/>
          <w14:textFill>
            <w14:solidFill>
              <w14:schemeClr w14:val="tx1"/>
            </w14:solidFill>
          </w14:textFill>
        </w:rPr>
      </w:sdtEndPr>
      <w:sdtContent>
        <w:p w14:paraId="7E759A6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DC85629">
      <w:pPr>
        <w:rPr>
          <w:color w:val="000000" w:themeColor="text1"/>
          <w14:textFill>
            <w14:solidFill>
              <w14:schemeClr w14:val="tx1"/>
            </w14:solidFill>
          </w14:textFill>
        </w:rPr>
      </w:pPr>
    </w:p>
    <w:bookmarkEnd w:id="383"/>
    <w:p w14:paraId="0C8FC2A4">
      <w:pPr>
        <w:spacing w:before="60" w:after="60"/>
        <w:rPr>
          <w:color w:val="000000" w:themeColor="text1"/>
          <w14:textFill>
            <w14:solidFill>
              <w14:schemeClr w14:val="tx1"/>
            </w14:solidFill>
          </w14:textFill>
        </w:rPr>
      </w:pPr>
      <w:bookmarkStart w:id="384" w:name="_Hlk26364697"/>
      <w:bookmarkStart w:id="385" w:name="_Hlk41487523"/>
      <w:r>
        <w:rPr>
          <w:rFonts w:hint="eastAsia"/>
          <w:color w:val="000000" w:themeColor="text1"/>
          <w14:textFill>
            <w14:solidFill>
              <w14:schemeClr w14:val="tx1"/>
            </w14:solidFill>
          </w14:textFill>
        </w:rPr>
        <w:t>其他说明：</w:t>
      </w:r>
    </w:p>
    <w:p w14:paraId="145AD1E0">
      <w:pPr>
        <w:rPr>
          <w:color w:val="000000" w:themeColor="text1"/>
          <w14:textFill>
            <w14:solidFill>
              <w14:schemeClr w14:val="tx1"/>
            </w14:solidFill>
          </w14:textFill>
        </w:rPr>
      </w:pPr>
      <w:sdt>
        <w:sdtPr>
          <w:rPr>
            <w:color w:val="000000" w:themeColor="text1"/>
            <w14:textFill>
              <w14:solidFill>
                <w14:schemeClr w14:val="tx1"/>
              </w14:solidFill>
            </w14:textFill>
          </w:rPr>
          <w:alias w:val="主营业务说明"/>
          <w:tag w:val="_GBC_72a96250960e4e188d2fa1097869655e"/>
          <w:id w:val="147457199"/>
          <w:placeholder>
            <w:docPart w:val="GBC22222222222222222222222222222"/>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无</w:t>
          </w:r>
        </w:sdtContent>
      </w:sdt>
      <w:bookmarkEnd w:id="384"/>
    </w:p>
    <w:p w14:paraId="15E46B9F">
      <w:pPr>
        <w:rPr>
          <w:color w:val="000000" w:themeColor="text1"/>
          <w14:textFill>
            <w14:solidFill>
              <w14:schemeClr w14:val="tx1"/>
            </w14:solidFill>
          </w14:textFill>
        </w:rPr>
      </w:pPr>
    </w:p>
    <w:p w14:paraId="6D13B768">
      <w:pPr>
        <w:rPr>
          <w:color w:val="000000" w:themeColor="text1"/>
          <w14:textFill>
            <w14:solidFill>
              <w14:schemeClr w14:val="tx1"/>
            </w14:solidFill>
          </w14:textFill>
        </w:rPr>
      </w:pPr>
    </w:p>
    <w:bookmarkEnd w:id="385"/>
    <w:p w14:paraId="3CE65817">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税金及附加</w:t>
      </w:r>
    </w:p>
    <w:sdt>
      <w:sdtPr>
        <w:rPr>
          <w:color w:val="000000" w:themeColor="text1"/>
          <w14:textFill>
            <w14:solidFill>
              <w14:schemeClr w14:val="tx1"/>
            </w14:solidFill>
          </w14:textFill>
        </w:rPr>
        <w:alias w:val="是否适用：税金及附加[双击切换]"/>
        <w:tag w:val="_GBC_e6e37ca7fd2a435e8e042586945bb4d2"/>
        <w:id w:val="147475869"/>
        <w:placeholder>
          <w:docPart w:val="GBC22222222222222222222222222222"/>
        </w:placeholder>
      </w:sdtPr>
      <w:sdtEndPr>
        <w:rPr>
          <w:color w:val="000000" w:themeColor="text1"/>
          <w14:textFill>
            <w14:solidFill>
              <w14:schemeClr w14:val="tx1"/>
            </w14:solidFill>
          </w14:textFill>
        </w:rPr>
      </w:sdtEndPr>
      <w:sdtContent>
        <w:p w14:paraId="5584D10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28E4674">
      <w:pPr>
        <w:jc w:val="right"/>
        <w:rPr>
          <w:b/>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税金及附加"/>
          <w:tag w:val="_GBC_bdd382ceb0b74413bcc8ce354afae4a8"/>
          <w:id w:val="1474745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税金及附加"/>
          <w:tag w:val="_GBC_ecf8b53c11ec4336b91007df3f6b5f78"/>
          <w:id w:val="1474638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3071"/>
        <w:gridCol w:w="3070"/>
      </w:tblGrid>
      <w:tr w14:paraId="3C50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444bcf5500dc4f7f9041afd20c147408"/>
            <w:id w:val="147468007"/>
          </w:sdtPr>
          <w:sdtEndPr>
            <w:rPr>
              <w:rFonts w:cs="Times New Roman"/>
            </w:rPr>
          </w:sdtEndPr>
          <w:sdtContent>
            <w:tc>
              <w:tcPr>
                <w:tcW w:w="1607" w:type="pct"/>
                <w:vAlign w:val="center"/>
              </w:tcPr>
              <w:p w14:paraId="7A0830E0">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986496e04f5841889074687e953bf8a9"/>
            <w:id w:val="147476062"/>
          </w:sdtPr>
          <w:sdtEndPr>
            <w:rPr>
              <w:rFonts w:cs="Times New Roman"/>
            </w:rPr>
          </w:sdtEndPr>
          <w:sdtContent>
            <w:tc>
              <w:tcPr>
                <w:tcW w:w="1697" w:type="pct"/>
              </w:tcPr>
              <w:p w14:paraId="34A3E15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tc>
          </w:sdtContent>
        </w:sdt>
        <w:sdt>
          <w:sdtPr>
            <w:rPr>
              <w:rFonts w:cs="Times New Roman"/>
            </w:rPr>
            <w:tag w:val="_PLD_4ab1376344dc484195a5459c78069a64"/>
            <w:id w:val="147465927"/>
          </w:sdtPr>
          <w:sdtEndPr>
            <w:rPr>
              <w:rFonts w:cs="Times New Roman"/>
            </w:rPr>
          </w:sdtEndPr>
          <w:sdtContent>
            <w:tc>
              <w:tcPr>
                <w:tcW w:w="1697" w:type="pct"/>
                <w:vAlign w:val="center"/>
              </w:tcPr>
              <w:p w14:paraId="7F08F64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tc>
          </w:sdtContent>
        </w:sdt>
      </w:tr>
      <w:tr w14:paraId="29AE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vAlign w:val="center"/>
          </w:tcPr>
          <w:p w14:paraId="7AE8437E">
            <w:pPr>
              <w:autoSpaceDE w:val="0"/>
              <w:autoSpaceDN w:val="0"/>
              <w:adjustRightInd w:val="0"/>
              <w:snapToGrid w:val="0"/>
              <w:spacing w:line="240" w:lineRule="atLeas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城市维护建设税</w:t>
            </w:r>
          </w:p>
        </w:tc>
        <w:tc>
          <w:tcPr>
            <w:tcW w:w="1697" w:type="pct"/>
            <w:vAlign w:val="center"/>
          </w:tcPr>
          <w:p w14:paraId="237A0976">
            <w:pPr>
              <w:jc w:val="right"/>
              <w:textAlignment w:val="center"/>
              <w:rPr>
                <w:rFonts w:cs="Times New Roman"/>
              </w:rPr>
            </w:pPr>
            <w:r>
              <w:rPr>
                <w:rFonts w:cs="Times New Roman"/>
                <w:color w:val="000000"/>
              </w:rPr>
              <w:t>3,873,317.74</w:t>
            </w:r>
          </w:p>
        </w:tc>
        <w:tc>
          <w:tcPr>
            <w:tcW w:w="1697" w:type="pct"/>
            <w:vAlign w:val="center"/>
          </w:tcPr>
          <w:p w14:paraId="5CA82913">
            <w:pPr>
              <w:jc w:val="right"/>
              <w:textAlignment w:val="center"/>
              <w:rPr>
                <w:rFonts w:cs="Times New Roman"/>
              </w:rPr>
            </w:pPr>
            <w:r>
              <w:rPr>
                <w:rFonts w:cs="Times New Roman"/>
                <w:color w:val="000000"/>
              </w:rPr>
              <w:t>2,309,344.87</w:t>
            </w:r>
          </w:p>
        </w:tc>
      </w:tr>
      <w:tr w14:paraId="1ECD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vAlign w:val="center"/>
          </w:tcPr>
          <w:p w14:paraId="0D85C94A">
            <w:pPr>
              <w:autoSpaceDE w:val="0"/>
              <w:autoSpaceDN w:val="0"/>
              <w:adjustRightInd w:val="0"/>
              <w:snapToGrid w:val="0"/>
              <w:spacing w:line="240" w:lineRule="atLeas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教育费附加</w:t>
            </w:r>
          </w:p>
        </w:tc>
        <w:tc>
          <w:tcPr>
            <w:tcW w:w="1697" w:type="pct"/>
            <w:vAlign w:val="center"/>
          </w:tcPr>
          <w:p w14:paraId="0B07F6CE">
            <w:pPr>
              <w:jc w:val="right"/>
              <w:textAlignment w:val="center"/>
              <w:rPr>
                <w:rFonts w:cs="Times New Roman"/>
              </w:rPr>
            </w:pPr>
            <w:r>
              <w:rPr>
                <w:rFonts w:cs="Times New Roman"/>
                <w:color w:val="000000"/>
              </w:rPr>
              <w:t>3,178,605.29</w:t>
            </w:r>
          </w:p>
        </w:tc>
        <w:tc>
          <w:tcPr>
            <w:tcW w:w="1697" w:type="pct"/>
            <w:vAlign w:val="center"/>
          </w:tcPr>
          <w:p w14:paraId="3285F362">
            <w:pPr>
              <w:jc w:val="right"/>
              <w:textAlignment w:val="center"/>
              <w:rPr>
                <w:rFonts w:cs="Times New Roman"/>
              </w:rPr>
            </w:pPr>
            <w:r>
              <w:rPr>
                <w:rFonts w:cs="Times New Roman"/>
                <w:color w:val="000000"/>
              </w:rPr>
              <w:t>1,982,201.28</w:t>
            </w:r>
          </w:p>
        </w:tc>
      </w:tr>
      <w:tr w14:paraId="6C4B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vAlign w:val="center"/>
          </w:tcPr>
          <w:p w14:paraId="7C3B25A8">
            <w:pPr>
              <w:autoSpaceDE w:val="0"/>
              <w:autoSpaceDN w:val="0"/>
              <w:adjustRightInd w:val="0"/>
              <w:snapToGrid w:val="0"/>
              <w:spacing w:line="240" w:lineRule="atLeas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房产税</w:t>
            </w:r>
          </w:p>
        </w:tc>
        <w:tc>
          <w:tcPr>
            <w:tcW w:w="1697" w:type="pct"/>
            <w:vAlign w:val="center"/>
          </w:tcPr>
          <w:p w14:paraId="0C0C9A3B">
            <w:pPr>
              <w:jc w:val="right"/>
              <w:textAlignment w:val="center"/>
              <w:rPr>
                <w:rFonts w:cs="Times New Roman"/>
              </w:rPr>
            </w:pPr>
            <w:r>
              <w:rPr>
                <w:rFonts w:cs="Times New Roman"/>
                <w:color w:val="000000"/>
              </w:rPr>
              <w:t>24,705,122.62</w:t>
            </w:r>
          </w:p>
        </w:tc>
        <w:tc>
          <w:tcPr>
            <w:tcW w:w="1697" w:type="pct"/>
            <w:vAlign w:val="center"/>
          </w:tcPr>
          <w:p w14:paraId="0A5DB0C4">
            <w:pPr>
              <w:jc w:val="right"/>
              <w:textAlignment w:val="center"/>
              <w:rPr>
                <w:rFonts w:cs="Times New Roman"/>
              </w:rPr>
            </w:pPr>
            <w:r>
              <w:rPr>
                <w:rFonts w:cs="Times New Roman"/>
                <w:color w:val="000000"/>
              </w:rPr>
              <w:t>21,518,123.56</w:t>
            </w:r>
          </w:p>
        </w:tc>
      </w:tr>
      <w:tr w14:paraId="6DC9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vAlign w:val="center"/>
          </w:tcPr>
          <w:p w14:paraId="2F11A0F3">
            <w:pPr>
              <w:autoSpaceDE w:val="0"/>
              <w:autoSpaceDN w:val="0"/>
              <w:adjustRightInd w:val="0"/>
              <w:snapToGrid w:val="0"/>
              <w:spacing w:line="240" w:lineRule="atLeas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土地使用税</w:t>
            </w:r>
          </w:p>
        </w:tc>
        <w:tc>
          <w:tcPr>
            <w:tcW w:w="1697" w:type="pct"/>
            <w:vAlign w:val="center"/>
          </w:tcPr>
          <w:p w14:paraId="1BBFBDE2">
            <w:pPr>
              <w:jc w:val="right"/>
              <w:textAlignment w:val="center"/>
              <w:rPr>
                <w:rFonts w:cs="Times New Roman"/>
              </w:rPr>
            </w:pPr>
            <w:r>
              <w:rPr>
                <w:rFonts w:cs="Times New Roman"/>
                <w:color w:val="000000"/>
              </w:rPr>
              <w:t>15,670,669.93</w:t>
            </w:r>
          </w:p>
        </w:tc>
        <w:tc>
          <w:tcPr>
            <w:tcW w:w="1697" w:type="pct"/>
            <w:vAlign w:val="center"/>
          </w:tcPr>
          <w:p w14:paraId="25884C84">
            <w:pPr>
              <w:jc w:val="right"/>
              <w:textAlignment w:val="center"/>
              <w:rPr>
                <w:rFonts w:cs="Times New Roman"/>
              </w:rPr>
            </w:pPr>
            <w:r>
              <w:rPr>
                <w:rFonts w:cs="Times New Roman"/>
                <w:color w:val="000000"/>
              </w:rPr>
              <w:t>15,107,680.91</w:t>
            </w:r>
          </w:p>
        </w:tc>
      </w:tr>
      <w:tr w14:paraId="58CD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vAlign w:val="center"/>
          </w:tcPr>
          <w:p w14:paraId="496443C1">
            <w:pPr>
              <w:autoSpaceDE w:val="0"/>
              <w:autoSpaceDN w:val="0"/>
              <w:adjustRightInd w:val="0"/>
              <w:snapToGrid w:val="0"/>
              <w:spacing w:line="240" w:lineRule="atLeas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车船使用税</w:t>
            </w:r>
          </w:p>
        </w:tc>
        <w:tc>
          <w:tcPr>
            <w:tcW w:w="1697" w:type="pct"/>
            <w:vAlign w:val="center"/>
          </w:tcPr>
          <w:p w14:paraId="6E57977F">
            <w:pPr>
              <w:jc w:val="right"/>
              <w:textAlignment w:val="center"/>
              <w:rPr>
                <w:rFonts w:cs="Times New Roman"/>
              </w:rPr>
            </w:pPr>
            <w:r>
              <w:rPr>
                <w:rFonts w:cs="Times New Roman"/>
                <w:color w:val="000000"/>
              </w:rPr>
              <w:t>27,382.00</w:t>
            </w:r>
          </w:p>
        </w:tc>
        <w:tc>
          <w:tcPr>
            <w:tcW w:w="1697" w:type="pct"/>
            <w:vAlign w:val="center"/>
          </w:tcPr>
          <w:p w14:paraId="35C91C07">
            <w:pPr>
              <w:jc w:val="right"/>
              <w:textAlignment w:val="center"/>
              <w:rPr>
                <w:rFonts w:cs="Times New Roman"/>
              </w:rPr>
            </w:pPr>
            <w:r>
              <w:rPr>
                <w:rFonts w:cs="Times New Roman"/>
                <w:color w:val="000000"/>
              </w:rPr>
              <w:t>56,896.82</w:t>
            </w:r>
          </w:p>
        </w:tc>
      </w:tr>
      <w:tr w14:paraId="1412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vAlign w:val="center"/>
          </w:tcPr>
          <w:p w14:paraId="11BDA46E">
            <w:pPr>
              <w:autoSpaceDE w:val="0"/>
              <w:autoSpaceDN w:val="0"/>
              <w:adjustRightInd w:val="0"/>
              <w:snapToGrid w:val="0"/>
              <w:spacing w:line="240" w:lineRule="atLeas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印花税</w:t>
            </w:r>
          </w:p>
        </w:tc>
        <w:tc>
          <w:tcPr>
            <w:tcW w:w="1697" w:type="pct"/>
            <w:vAlign w:val="center"/>
          </w:tcPr>
          <w:p w14:paraId="3275F662">
            <w:pPr>
              <w:jc w:val="right"/>
              <w:textAlignment w:val="center"/>
              <w:rPr>
                <w:rFonts w:cs="Times New Roman"/>
              </w:rPr>
            </w:pPr>
            <w:r>
              <w:rPr>
                <w:rFonts w:cs="Times New Roman"/>
                <w:color w:val="000000"/>
              </w:rPr>
              <w:t>2,565,085.31</w:t>
            </w:r>
          </w:p>
        </w:tc>
        <w:tc>
          <w:tcPr>
            <w:tcW w:w="1697" w:type="pct"/>
            <w:vAlign w:val="center"/>
          </w:tcPr>
          <w:p w14:paraId="58A9CC1F">
            <w:pPr>
              <w:jc w:val="right"/>
              <w:textAlignment w:val="center"/>
              <w:rPr>
                <w:rFonts w:cs="Times New Roman"/>
              </w:rPr>
            </w:pPr>
            <w:r>
              <w:rPr>
                <w:rFonts w:cs="Times New Roman"/>
                <w:color w:val="000000"/>
              </w:rPr>
              <w:t>4,011,566.94</w:t>
            </w:r>
          </w:p>
        </w:tc>
      </w:tr>
      <w:tr w14:paraId="56D4A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vAlign w:val="center"/>
          </w:tcPr>
          <w:p w14:paraId="3D354A1B">
            <w:pPr>
              <w:autoSpaceDE w:val="0"/>
              <w:autoSpaceDN w:val="0"/>
              <w:adjustRightInd w:val="0"/>
              <w:snapToGrid w:val="0"/>
              <w:spacing w:line="240" w:lineRule="atLeast"/>
              <w:rPr>
                <w:rFonts w:cs="Times New Roman"/>
              </w:rPr>
            </w:pPr>
            <w:r>
              <w:rPr>
                <w:rFonts w:cs="Times New Roman"/>
              </w:rPr>
              <w:t>其他</w:t>
            </w:r>
          </w:p>
        </w:tc>
        <w:tc>
          <w:tcPr>
            <w:tcW w:w="1697" w:type="pct"/>
            <w:vAlign w:val="center"/>
          </w:tcPr>
          <w:p w14:paraId="6C40CA80">
            <w:pPr>
              <w:jc w:val="right"/>
              <w:textAlignment w:val="center"/>
              <w:rPr>
                <w:rFonts w:cs="Times New Roman"/>
              </w:rPr>
            </w:pPr>
            <w:r>
              <w:rPr>
                <w:rFonts w:cs="Times New Roman"/>
                <w:color w:val="000000"/>
              </w:rPr>
              <w:t>1,240,659.69</w:t>
            </w:r>
          </w:p>
        </w:tc>
        <w:tc>
          <w:tcPr>
            <w:tcW w:w="1697" w:type="pct"/>
            <w:vAlign w:val="center"/>
          </w:tcPr>
          <w:p w14:paraId="576B242E">
            <w:pPr>
              <w:jc w:val="right"/>
              <w:textAlignment w:val="center"/>
              <w:rPr>
                <w:rFonts w:cs="Times New Roman"/>
              </w:rPr>
            </w:pPr>
            <w:r>
              <w:rPr>
                <w:rFonts w:cs="Times New Roman"/>
                <w:color w:val="000000"/>
              </w:rPr>
              <w:t>2,176,361.78</w:t>
            </w:r>
          </w:p>
        </w:tc>
      </w:tr>
      <w:tr w14:paraId="686B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vAlign w:val="center"/>
          </w:tcPr>
          <w:p w14:paraId="5FB973F6">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697" w:type="pct"/>
            <w:vAlign w:val="center"/>
          </w:tcPr>
          <w:p w14:paraId="098E89B7">
            <w:pPr>
              <w:jc w:val="right"/>
              <w:textAlignment w:val="center"/>
              <w:rPr>
                <w:rFonts w:cs="Times New Roman"/>
              </w:rPr>
            </w:pPr>
            <w:r>
              <w:rPr>
                <w:rFonts w:cs="Times New Roman"/>
                <w:color w:val="000000"/>
              </w:rPr>
              <w:t>51,260,842.58</w:t>
            </w:r>
          </w:p>
        </w:tc>
        <w:tc>
          <w:tcPr>
            <w:tcW w:w="1697" w:type="pct"/>
            <w:vAlign w:val="center"/>
          </w:tcPr>
          <w:p w14:paraId="419181BB">
            <w:pPr>
              <w:jc w:val="right"/>
              <w:textAlignment w:val="center"/>
              <w:rPr>
                <w:rFonts w:cs="Times New Roman"/>
              </w:rPr>
            </w:pPr>
            <w:r>
              <w:rPr>
                <w:rFonts w:cs="Times New Roman"/>
                <w:color w:val="000000"/>
              </w:rPr>
              <w:t>47,162,176.16</w:t>
            </w:r>
          </w:p>
        </w:tc>
      </w:tr>
    </w:tbl>
    <w:p w14:paraId="3111C519">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rFonts w:hint="eastAsia"/>
          <w:color w:val="000000" w:themeColor="text1"/>
          <w14:textFill>
            <w14:solidFill>
              <w14:schemeClr w14:val="tx1"/>
            </w14:solidFill>
          </w14:textFill>
        </w:rPr>
        <w:alias w:val="税金及附加说明"/>
        <w:tag w:val="_GBC_f78e413320ad4d20a3dab91dff935491"/>
        <w:id w:val="147473965"/>
        <w:placeholder>
          <w:docPart w:val="GBC22222222222222222222222222222"/>
        </w:placeholder>
      </w:sdtPr>
      <w:sdtEndPr>
        <w:rPr>
          <w:rFonts w:hint="eastAsia"/>
          <w:color w:val="000000" w:themeColor="text1"/>
          <w14:textFill>
            <w14:solidFill>
              <w14:schemeClr w14:val="tx1"/>
            </w14:solidFill>
          </w14:textFill>
        </w:rPr>
      </w:sdtEndPr>
      <w:sdtContent>
        <w:p w14:paraId="3A05A647">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6B12FD94">
      <w:pPr>
        <w:rPr>
          <w:color w:val="000000" w:themeColor="text1"/>
          <w14:textFill>
            <w14:solidFill>
              <w14:schemeClr w14:val="tx1"/>
            </w14:solidFill>
          </w14:textFill>
        </w:rPr>
      </w:pPr>
    </w:p>
    <w:p w14:paraId="5ECBABB2">
      <w:pPr>
        <w:rPr>
          <w:color w:val="000000" w:themeColor="text1"/>
          <w14:textFill>
            <w14:solidFill>
              <w14:schemeClr w14:val="tx1"/>
            </w14:solidFill>
          </w14:textFill>
        </w:rPr>
      </w:pPr>
    </w:p>
    <w:p w14:paraId="58995541">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销售费用</w:t>
      </w:r>
    </w:p>
    <w:sdt>
      <w:sdtPr>
        <w:rPr>
          <w:color w:val="000000" w:themeColor="text1"/>
          <w14:textFill>
            <w14:solidFill>
              <w14:schemeClr w14:val="tx1"/>
            </w14:solidFill>
          </w14:textFill>
        </w:rPr>
        <w:alias w:val="是否适用：销售费用[双击切换]"/>
        <w:tag w:val="_GBC_5302d6af48674660a2279c7c8a87bb8c"/>
        <w:id w:val="147474155"/>
        <w:placeholder>
          <w:docPart w:val="GBC22222222222222222222222222222"/>
        </w:placeholder>
      </w:sdtPr>
      <w:sdtEndPr>
        <w:rPr>
          <w:color w:val="000000" w:themeColor="text1"/>
          <w14:textFill>
            <w14:solidFill>
              <w14:schemeClr w14:val="tx1"/>
            </w14:solidFill>
          </w14:textFill>
        </w:rPr>
      </w:sdtEndPr>
      <w:sdtContent>
        <w:p w14:paraId="494ED14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12E8777">
      <w:pPr>
        <w:pStyle w:val="63"/>
        <w:ind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销售费用"/>
          <w:tag w:val="_GBC_893203a5a3df44649aef388407d22c68"/>
          <w:id w:val="1474799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销售费用"/>
          <w:tag w:val="_GBC_4954a9fca98d4f279270fb28f987aa6f"/>
          <w:id w:val="1474516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gridCol w:w="2693"/>
        <w:gridCol w:w="2420"/>
      </w:tblGrid>
      <w:tr w14:paraId="3866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16c47970a3b145c98f438f3cb34ff636"/>
            <w:id w:val="147463502"/>
          </w:sdtPr>
          <w:sdtEndPr>
            <w:rPr>
              <w:rFonts w:cs="Times New Roman"/>
            </w:rPr>
          </w:sdtEndPr>
          <w:sdtContent>
            <w:tc>
              <w:tcPr>
                <w:tcW w:w="2175" w:type="pct"/>
                <w:tcBorders>
                  <w:top w:val="single" w:color="auto" w:sz="4" w:space="0"/>
                  <w:left w:val="single" w:color="auto" w:sz="4" w:space="0"/>
                  <w:bottom w:val="single" w:color="auto" w:sz="4" w:space="0"/>
                  <w:right w:val="single" w:color="auto" w:sz="4" w:space="0"/>
                </w:tcBorders>
                <w:vAlign w:val="center"/>
              </w:tcPr>
              <w:p w14:paraId="0BA0A4BF">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b3ce435531054240b373e649bc9ae7a1"/>
            <w:id w:val="147456880"/>
          </w:sdtPr>
          <w:sdtEndPr>
            <w:rPr>
              <w:rFonts w:cs="Times New Roman"/>
            </w:rPr>
          </w:sdtEndPr>
          <w:sdtContent>
            <w:tc>
              <w:tcPr>
                <w:tcW w:w="1488" w:type="pct"/>
                <w:tcBorders>
                  <w:top w:val="single" w:color="auto" w:sz="4" w:space="0"/>
                  <w:left w:val="single" w:color="auto" w:sz="4" w:space="0"/>
                  <w:bottom w:val="single" w:color="auto" w:sz="4" w:space="0"/>
                  <w:right w:val="single" w:color="auto" w:sz="4" w:space="0"/>
                </w:tcBorders>
                <w:vAlign w:val="center"/>
              </w:tcPr>
              <w:p w14:paraId="7F2F126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tc>
          </w:sdtContent>
        </w:sdt>
        <w:sdt>
          <w:sdtPr>
            <w:rPr>
              <w:rFonts w:cs="Times New Roman"/>
            </w:rPr>
            <w:tag w:val="_PLD_9480cd5806624557b975b5d0ce06575b"/>
            <w:id w:val="147451879"/>
          </w:sdtPr>
          <w:sdtEndPr>
            <w:rPr>
              <w:rFonts w:cs="Times New Roman"/>
            </w:rPr>
          </w:sdtEndPr>
          <w:sdtContent>
            <w:tc>
              <w:tcPr>
                <w:tcW w:w="1337" w:type="pct"/>
                <w:tcBorders>
                  <w:top w:val="single" w:color="auto" w:sz="4" w:space="0"/>
                  <w:left w:val="single" w:color="auto" w:sz="4" w:space="0"/>
                  <w:bottom w:val="single" w:color="auto" w:sz="4" w:space="0"/>
                  <w:right w:val="single" w:color="auto" w:sz="4" w:space="0"/>
                </w:tcBorders>
                <w:vAlign w:val="center"/>
              </w:tcPr>
              <w:p w14:paraId="7B103BA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tc>
          </w:sdtContent>
        </w:sdt>
      </w:tr>
      <w:tr w14:paraId="0774D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5E6BCA11">
            <w:pPr>
              <w:textAlignment w:val="center"/>
              <w:rPr>
                <w:rFonts w:cs="Times New Roman"/>
              </w:rPr>
            </w:pPr>
            <w:r>
              <w:rPr>
                <w:rFonts w:cs="Times New Roman"/>
              </w:rPr>
              <w:t>职工薪酬</w:t>
            </w:r>
          </w:p>
        </w:tc>
        <w:tc>
          <w:tcPr>
            <w:tcW w:w="2693" w:type="dxa"/>
            <w:tcBorders>
              <w:top w:val="single" w:color="auto" w:sz="4" w:space="0"/>
              <w:left w:val="single" w:color="auto" w:sz="4" w:space="0"/>
              <w:bottom w:val="single" w:color="auto" w:sz="4" w:space="0"/>
              <w:right w:val="single" w:color="auto" w:sz="4" w:space="0"/>
            </w:tcBorders>
            <w:vAlign w:val="center"/>
          </w:tcPr>
          <w:p w14:paraId="1CFAF53E">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62,678,751.29</w:t>
            </w:r>
          </w:p>
        </w:tc>
        <w:tc>
          <w:tcPr>
            <w:tcW w:w="1337" w:type="pct"/>
            <w:tcBorders>
              <w:top w:val="single" w:color="auto" w:sz="4" w:space="0"/>
              <w:left w:val="single" w:color="auto" w:sz="4" w:space="0"/>
              <w:bottom w:val="single" w:color="auto" w:sz="4" w:space="0"/>
              <w:right w:val="single" w:color="auto" w:sz="4" w:space="0"/>
            </w:tcBorders>
            <w:vAlign w:val="center"/>
          </w:tcPr>
          <w:p w14:paraId="2D1E40ED">
            <w:pPr>
              <w:jc w:val="right"/>
              <w:textAlignment w:val="center"/>
              <w:rPr>
                <w:rFonts w:cs="Times New Roman"/>
              </w:rPr>
            </w:pPr>
            <w:r>
              <w:rPr>
                <w:rFonts w:cs="Times New Roman"/>
              </w:rPr>
              <w:t>101,714,712.04</w:t>
            </w:r>
          </w:p>
        </w:tc>
      </w:tr>
      <w:tr w14:paraId="3B2DF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76F1A9E0">
            <w:pPr>
              <w:textAlignment w:val="center"/>
              <w:rPr>
                <w:rFonts w:cs="Times New Roman"/>
              </w:rPr>
            </w:pPr>
            <w:r>
              <w:rPr>
                <w:rFonts w:cs="Times New Roman"/>
              </w:rPr>
              <w:t>咨询费</w:t>
            </w:r>
          </w:p>
        </w:tc>
        <w:tc>
          <w:tcPr>
            <w:tcW w:w="2693" w:type="dxa"/>
            <w:tcBorders>
              <w:top w:val="single" w:color="auto" w:sz="4" w:space="0"/>
              <w:left w:val="single" w:color="auto" w:sz="4" w:space="0"/>
              <w:bottom w:val="single" w:color="auto" w:sz="4" w:space="0"/>
              <w:right w:val="single" w:color="auto" w:sz="4" w:space="0"/>
            </w:tcBorders>
            <w:vAlign w:val="center"/>
          </w:tcPr>
          <w:p w14:paraId="38125F0F">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14,561,604.62</w:t>
            </w:r>
          </w:p>
        </w:tc>
        <w:tc>
          <w:tcPr>
            <w:tcW w:w="1337" w:type="pct"/>
            <w:tcBorders>
              <w:top w:val="single" w:color="auto" w:sz="4" w:space="0"/>
              <w:left w:val="single" w:color="auto" w:sz="4" w:space="0"/>
              <w:bottom w:val="single" w:color="auto" w:sz="4" w:space="0"/>
              <w:right w:val="single" w:color="auto" w:sz="4" w:space="0"/>
            </w:tcBorders>
            <w:vAlign w:val="center"/>
          </w:tcPr>
          <w:p w14:paraId="1EAF05D1">
            <w:pPr>
              <w:jc w:val="right"/>
              <w:textAlignment w:val="center"/>
              <w:rPr>
                <w:rFonts w:cs="Times New Roman"/>
              </w:rPr>
            </w:pPr>
            <w:r>
              <w:rPr>
                <w:rFonts w:cs="Times New Roman"/>
              </w:rPr>
              <w:t>17,215,263.30</w:t>
            </w:r>
          </w:p>
        </w:tc>
      </w:tr>
      <w:tr w14:paraId="4080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42559328">
            <w:pPr>
              <w:textAlignment w:val="center"/>
              <w:rPr>
                <w:rFonts w:cs="Times New Roman"/>
              </w:rPr>
            </w:pPr>
            <w:r>
              <w:rPr>
                <w:rFonts w:cs="Times New Roman"/>
              </w:rPr>
              <w:t>差旅费</w:t>
            </w:r>
          </w:p>
        </w:tc>
        <w:tc>
          <w:tcPr>
            <w:tcW w:w="2693" w:type="dxa"/>
            <w:tcBorders>
              <w:top w:val="single" w:color="auto" w:sz="4" w:space="0"/>
              <w:left w:val="single" w:color="auto" w:sz="4" w:space="0"/>
              <w:bottom w:val="single" w:color="auto" w:sz="4" w:space="0"/>
              <w:right w:val="single" w:color="auto" w:sz="4" w:space="0"/>
            </w:tcBorders>
            <w:vAlign w:val="center"/>
          </w:tcPr>
          <w:p w14:paraId="30598F8C">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9,715,544.68</w:t>
            </w:r>
          </w:p>
        </w:tc>
        <w:tc>
          <w:tcPr>
            <w:tcW w:w="1337" w:type="pct"/>
            <w:tcBorders>
              <w:top w:val="single" w:color="auto" w:sz="4" w:space="0"/>
              <w:left w:val="single" w:color="auto" w:sz="4" w:space="0"/>
              <w:bottom w:val="single" w:color="auto" w:sz="4" w:space="0"/>
              <w:right w:val="single" w:color="auto" w:sz="4" w:space="0"/>
            </w:tcBorders>
            <w:vAlign w:val="center"/>
          </w:tcPr>
          <w:p w14:paraId="20CE96CF">
            <w:pPr>
              <w:jc w:val="right"/>
              <w:textAlignment w:val="center"/>
              <w:rPr>
                <w:rFonts w:cs="Times New Roman"/>
              </w:rPr>
            </w:pPr>
            <w:r>
              <w:rPr>
                <w:rFonts w:cs="Times New Roman"/>
              </w:rPr>
              <w:t>10,831,729.78</w:t>
            </w:r>
          </w:p>
        </w:tc>
      </w:tr>
      <w:tr w14:paraId="7433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0AF4F47B">
            <w:pPr>
              <w:textAlignment w:val="center"/>
              <w:rPr>
                <w:rFonts w:cs="Times New Roman"/>
              </w:rPr>
            </w:pPr>
            <w:r>
              <w:rPr>
                <w:rFonts w:cs="Times New Roman"/>
              </w:rPr>
              <w:t>出口费用</w:t>
            </w:r>
          </w:p>
        </w:tc>
        <w:tc>
          <w:tcPr>
            <w:tcW w:w="2693" w:type="dxa"/>
            <w:tcBorders>
              <w:top w:val="single" w:color="auto" w:sz="4" w:space="0"/>
              <w:left w:val="single" w:color="auto" w:sz="4" w:space="0"/>
              <w:bottom w:val="single" w:color="auto" w:sz="4" w:space="0"/>
              <w:right w:val="single" w:color="auto" w:sz="4" w:space="0"/>
            </w:tcBorders>
            <w:vAlign w:val="center"/>
          </w:tcPr>
          <w:p w14:paraId="03FF3A11">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377,251.43</w:t>
            </w:r>
          </w:p>
        </w:tc>
        <w:tc>
          <w:tcPr>
            <w:tcW w:w="1337" w:type="pct"/>
            <w:tcBorders>
              <w:top w:val="single" w:color="auto" w:sz="4" w:space="0"/>
              <w:left w:val="single" w:color="auto" w:sz="4" w:space="0"/>
              <w:bottom w:val="single" w:color="auto" w:sz="4" w:space="0"/>
              <w:right w:val="single" w:color="auto" w:sz="4" w:space="0"/>
            </w:tcBorders>
            <w:vAlign w:val="center"/>
          </w:tcPr>
          <w:p w14:paraId="5A8EBBE0">
            <w:pPr>
              <w:jc w:val="right"/>
              <w:textAlignment w:val="center"/>
              <w:rPr>
                <w:rFonts w:cs="Times New Roman"/>
              </w:rPr>
            </w:pPr>
            <w:r>
              <w:rPr>
                <w:rFonts w:cs="Times New Roman"/>
              </w:rPr>
              <w:t>3,821,915.00</w:t>
            </w:r>
          </w:p>
        </w:tc>
      </w:tr>
      <w:tr w14:paraId="6ADA2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59384267">
            <w:pPr>
              <w:textAlignment w:val="center"/>
              <w:rPr>
                <w:rFonts w:cs="Times New Roman"/>
              </w:rPr>
            </w:pPr>
            <w:r>
              <w:rPr>
                <w:rFonts w:cs="Times New Roman"/>
              </w:rPr>
              <w:t>业务招待费</w:t>
            </w:r>
          </w:p>
        </w:tc>
        <w:tc>
          <w:tcPr>
            <w:tcW w:w="2693" w:type="dxa"/>
            <w:tcBorders>
              <w:top w:val="single" w:color="auto" w:sz="4" w:space="0"/>
              <w:left w:val="single" w:color="auto" w:sz="4" w:space="0"/>
              <w:bottom w:val="single" w:color="auto" w:sz="4" w:space="0"/>
              <w:right w:val="single" w:color="auto" w:sz="4" w:space="0"/>
            </w:tcBorders>
            <w:vAlign w:val="center"/>
          </w:tcPr>
          <w:p w14:paraId="0413CEEF">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3,851,871.52</w:t>
            </w:r>
          </w:p>
        </w:tc>
        <w:tc>
          <w:tcPr>
            <w:tcW w:w="1337" w:type="pct"/>
            <w:tcBorders>
              <w:top w:val="single" w:color="auto" w:sz="4" w:space="0"/>
              <w:left w:val="single" w:color="auto" w:sz="4" w:space="0"/>
              <w:bottom w:val="single" w:color="auto" w:sz="4" w:space="0"/>
              <w:right w:val="single" w:color="auto" w:sz="4" w:space="0"/>
            </w:tcBorders>
            <w:vAlign w:val="center"/>
          </w:tcPr>
          <w:p w14:paraId="53D143C0">
            <w:pPr>
              <w:jc w:val="right"/>
              <w:textAlignment w:val="center"/>
              <w:rPr>
                <w:rFonts w:cs="Times New Roman"/>
              </w:rPr>
            </w:pPr>
            <w:r>
              <w:rPr>
                <w:rFonts w:cs="Times New Roman"/>
              </w:rPr>
              <w:t>6,292,892.45</w:t>
            </w:r>
          </w:p>
        </w:tc>
      </w:tr>
      <w:tr w14:paraId="31DF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1328BF12">
            <w:pPr>
              <w:textAlignment w:val="center"/>
              <w:rPr>
                <w:rFonts w:cs="Times New Roman"/>
              </w:rPr>
            </w:pPr>
            <w:r>
              <w:rPr>
                <w:rFonts w:cs="Times New Roman"/>
              </w:rPr>
              <w:t>招标费</w:t>
            </w:r>
          </w:p>
        </w:tc>
        <w:tc>
          <w:tcPr>
            <w:tcW w:w="2693" w:type="dxa"/>
            <w:tcBorders>
              <w:top w:val="single" w:color="auto" w:sz="4" w:space="0"/>
              <w:left w:val="single" w:color="auto" w:sz="4" w:space="0"/>
              <w:bottom w:val="single" w:color="auto" w:sz="4" w:space="0"/>
              <w:right w:val="single" w:color="auto" w:sz="4" w:space="0"/>
            </w:tcBorders>
            <w:vAlign w:val="center"/>
          </w:tcPr>
          <w:p w14:paraId="661AE3B7">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2,943,735.51</w:t>
            </w:r>
          </w:p>
        </w:tc>
        <w:tc>
          <w:tcPr>
            <w:tcW w:w="1337" w:type="pct"/>
            <w:tcBorders>
              <w:top w:val="single" w:color="auto" w:sz="4" w:space="0"/>
              <w:left w:val="single" w:color="auto" w:sz="4" w:space="0"/>
              <w:bottom w:val="single" w:color="auto" w:sz="4" w:space="0"/>
              <w:right w:val="single" w:color="auto" w:sz="4" w:space="0"/>
            </w:tcBorders>
            <w:vAlign w:val="center"/>
          </w:tcPr>
          <w:p w14:paraId="05EFD0D8">
            <w:pPr>
              <w:jc w:val="right"/>
              <w:textAlignment w:val="center"/>
              <w:rPr>
                <w:rFonts w:cs="Times New Roman"/>
              </w:rPr>
            </w:pPr>
            <w:r>
              <w:rPr>
                <w:rFonts w:cs="Times New Roman"/>
              </w:rPr>
              <w:t>6,865,077.67</w:t>
            </w:r>
          </w:p>
        </w:tc>
      </w:tr>
      <w:tr w14:paraId="560E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7C92CA1E">
            <w:pPr>
              <w:textAlignment w:val="center"/>
              <w:rPr>
                <w:rFonts w:cs="Times New Roman"/>
              </w:rPr>
            </w:pPr>
            <w:r>
              <w:rPr>
                <w:rFonts w:cs="Times New Roman"/>
              </w:rPr>
              <w:t>展览费</w:t>
            </w:r>
          </w:p>
        </w:tc>
        <w:tc>
          <w:tcPr>
            <w:tcW w:w="2693" w:type="dxa"/>
            <w:tcBorders>
              <w:top w:val="single" w:color="auto" w:sz="4" w:space="0"/>
              <w:left w:val="single" w:color="auto" w:sz="4" w:space="0"/>
              <w:bottom w:val="single" w:color="auto" w:sz="4" w:space="0"/>
              <w:right w:val="single" w:color="auto" w:sz="4" w:space="0"/>
            </w:tcBorders>
            <w:vAlign w:val="center"/>
          </w:tcPr>
          <w:p w14:paraId="56962E9A">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3,456,567.21</w:t>
            </w:r>
          </w:p>
        </w:tc>
        <w:tc>
          <w:tcPr>
            <w:tcW w:w="1337" w:type="pct"/>
            <w:tcBorders>
              <w:top w:val="single" w:color="auto" w:sz="4" w:space="0"/>
              <w:left w:val="single" w:color="auto" w:sz="4" w:space="0"/>
              <w:bottom w:val="single" w:color="auto" w:sz="4" w:space="0"/>
              <w:right w:val="single" w:color="auto" w:sz="4" w:space="0"/>
            </w:tcBorders>
            <w:vAlign w:val="center"/>
          </w:tcPr>
          <w:p w14:paraId="30A94B2E">
            <w:pPr>
              <w:jc w:val="right"/>
              <w:textAlignment w:val="center"/>
              <w:rPr>
                <w:rFonts w:cs="Times New Roman"/>
              </w:rPr>
            </w:pPr>
            <w:r>
              <w:rPr>
                <w:rFonts w:cs="Times New Roman"/>
              </w:rPr>
              <w:t>4,573,509.99</w:t>
            </w:r>
          </w:p>
        </w:tc>
      </w:tr>
      <w:tr w14:paraId="6305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1E8EB8AB">
            <w:pPr>
              <w:textAlignment w:val="center"/>
              <w:rPr>
                <w:rFonts w:cs="Times New Roman"/>
              </w:rPr>
            </w:pPr>
            <w:r>
              <w:rPr>
                <w:rFonts w:cs="Times New Roman"/>
              </w:rPr>
              <w:t>广告及宣传费</w:t>
            </w:r>
          </w:p>
        </w:tc>
        <w:tc>
          <w:tcPr>
            <w:tcW w:w="2693" w:type="dxa"/>
            <w:tcBorders>
              <w:top w:val="single" w:color="auto" w:sz="4" w:space="0"/>
              <w:left w:val="single" w:color="auto" w:sz="4" w:space="0"/>
              <w:bottom w:val="single" w:color="auto" w:sz="4" w:space="0"/>
              <w:right w:val="single" w:color="auto" w:sz="4" w:space="0"/>
            </w:tcBorders>
            <w:vAlign w:val="center"/>
          </w:tcPr>
          <w:p w14:paraId="0A26E319">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1,295,793.43</w:t>
            </w:r>
          </w:p>
        </w:tc>
        <w:tc>
          <w:tcPr>
            <w:tcW w:w="1337" w:type="pct"/>
            <w:tcBorders>
              <w:top w:val="single" w:color="auto" w:sz="4" w:space="0"/>
              <w:left w:val="single" w:color="auto" w:sz="4" w:space="0"/>
              <w:bottom w:val="single" w:color="auto" w:sz="4" w:space="0"/>
              <w:right w:val="single" w:color="auto" w:sz="4" w:space="0"/>
            </w:tcBorders>
            <w:vAlign w:val="center"/>
          </w:tcPr>
          <w:p w14:paraId="2CFFC4AF">
            <w:pPr>
              <w:jc w:val="right"/>
              <w:textAlignment w:val="center"/>
              <w:rPr>
                <w:rFonts w:cs="Times New Roman"/>
              </w:rPr>
            </w:pPr>
            <w:r>
              <w:rPr>
                <w:rFonts w:cs="Times New Roman"/>
              </w:rPr>
              <w:t>5,682,813.06</w:t>
            </w:r>
          </w:p>
        </w:tc>
      </w:tr>
      <w:tr w14:paraId="590C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234B1B85">
            <w:pPr>
              <w:textAlignment w:val="center"/>
              <w:rPr>
                <w:rFonts w:cs="Times New Roman"/>
              </w:rPr>
            </w:pPr>
            <w:r>
              <w:rPr>
                <w:rFonts w:cs="Times New Roman"/>
              </w:rPr>
              <w:t>租赁费</w:t>
            </w:r>
          </w:p>
        </w:tc>
        <w:tc>
          <w:tcPr>
            <w:tcW w:w="2693" w:type="dxa"/>
            <w:tcBorders>
              <w:top w:val="single" w:color="auto" w:sz="4" w:space="0"/>
              <w:left w:val="single" w:color="auto" w:sz="4" w:space="0"/>
              <w:bottom w:val="single" w:color="auto" w:sz="4" w:space="0"/>
              <w:right w:val="single" w:color="auto" w:sz="4" w:space="0"/>
            </w:tcBorders>
            <w:vAlign w:val="center"/>
          </w:tcPr>
          <w:p w14:paraId="5398E642">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1,828,256.54</w:t>
            </w:r>
          </w:p>
        </w:tc>
        <w:tc>
          <w:tcPr>
            <w:tcW w:w="1337" w:type="pct"/>
            <w:tcBorders>
              <w:top w:val="single" w:color="auto" w:sz="4" w:space="0"/>
              <w:left w:val="single" w:color="auto" w:sz="4" w:space="0"/>
              <w:bottom w:val="single" w:color="auto" w:sz="4" w:space="0"/>
              <w:right w:val="single" w:color="auto" w:sz="4" w:space="0"/>
            </w:tcBorders>
            <w:vAlign w:val="center"/>
          </w:tcPr>
          <w:p w14:paraId="4384E495">
            <w:pPr>
              <w:jc w:val="right"/>
              <w:textAlignment w:val="center"/>
              <w:rPr>
                <w:rFonts w:cs="Times New Roman"/>
              </w:rPr>
            </w:pPr>
            <w:r>
              <w:rPr>
                <w:rFonts w:cs="Times New Roman"/>
              </w:rPr>
              <w:t>2,117,195.20</w:t>
            </w:r>
          </w:p>
        </w:tc>
      </w:tr>
      <w:tr w14:paraId="69F4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1A4EB3D8">
            <w:pPr>
              <w:textAlignment w:val="center"/>
              <w:rPr>
                <w:rFonts w:cs="Times New Roman"/>
              </w:rPr>
            </w:pPr>
            <w:r>
              <w:rPr>
                <w:rFonts w:cs="Times New Roman"/>
              </w:rPr>
              <w:t>其他</w:t>
            </w:r>
          </w:p>
        </w:tc>
        <w:tc>
          <w:tcPr>
            <w:tcW w:w="2693" w:type="dxa"/>
            <w:tcBorders>
              <w:top w:val="single" w:color="auto" w:sz="4" w:space="0"/>
              <w:left w:val="single" w:color="auto" w:sz="4" w:space="0"/>
              <w:bottom w:val="single" w:color="auto" w:sz="4" w:space="0"/>
              <w:right w:val="single" w:color="auto" w:sz="4" w:space="0"/>
            </w:tcBorders>
            <w:vAlign w:val="center"/>
          </w:tcPr>
          <w:p w14:paraId="08A35287">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13,594,594.91</w:t>
            </w:r>
          </w:p>
        </w:tc>
        <w:tc>
          <w:tcPr>
            <w:tcW w:w="1337" w:type="pct"/>
            <w:tcBorders>
              <w:top w:val="single" w:color="auto" w:sz="4" w:space="0"/>
              <w:left w:val="single" w:color="auto" w:sz="4" w:space="0"/>
              <w:bottom w:val="single" w:color="auto" w:sz="4" w:space="0"/>
              <w:right w:val="single" w:color="auto" w:sz="4" w:space="0"/>
            </w:tcBorders>
            <w:vAlign w:val="center"/>
          </w:tcPr>
          <w:p w14:paraId="061F91C7">
            <w:pPr>
              <w:jc w:val="right"/>
              <w:textAlignment w:val="center"/>
              <w:rPr>
                <w:rFonts w:cs="Times New Roman"/>
              </w:rPr>
            </w:pPr>
            <w:r>
              <w:rPr>
                <w:rFonts w:cs="Times New Roman"/>
              </w:rPr>
              <w:t>13,877,060.07</w:t>
            </w:r>
          </w:p>
        </w:tc>
      </w:tr>
      <w:tr w14:paraId="0DB7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38AF8E11">
            <w:pPr>
              <w:jc w:val="center"/>
              <w:rPr>
                <w:rFonts w:cs="Times New Roman"/>
              </w:rPr>
            </w:pPr>
            <w:r>
              <w:rPr>
                <w:rFonts w:cs="Times New Roman"/>
              </w:rPr>
              <w:t>合计</w:t>
            </w:r>
          </w:p>
        </w:tc>
        <w:tc>
          <w:tcPr>
            <w:tcW w:w="2693" w:type="dxa"/>
            <w:tcBorders>
              <w:top w:val="single" w:color="auto" w:sz="4" w:space="0"/>
              <w:left w:val="single" w:color="auto" w:sz="4" w:space="0"/>
              <w:bottom w:val="single" w:color="auto" w:sz="4" w:space="0"/>
              <w:right w:val="single" w:color="auto" w:sz="4" w:space="0"/>
            </w:tcBorders>
            <w:vAlign w:val="center"/>
          </w:tcPr>
          <w:p w14:paraId="3DD71C09">
            <w:pPr>
              <w:jc w:val="right"/>
              <w:textAlignment w:val="center"/>
              <w:rPr>
                <w:rFonts w:cs="Times New Roman"/>
                <w:color w:val="000000" w:themeColor="text1"/>
                <w14:textFill>
                  <w14:solidFill>
                    <w14:schemeClr w14:val="tx1"/>
                  </w14:solidFill>
                </w14:textFill>
              </w:rPr>
            </w:pPr>
            <w:r>
              <w:rPr>
                <w:rFonts w:eastAsia="Arial Narrow" w:cs="Times New Roman"/>
                <w:color w:val="000000" w:themeColor="text1"/>
                <w:lang w:bidi="ar"/>
                <w14:textFill>
                  <w14:solidFill>
                    <w14:schemeClr w14:val="tx1"/>
                  </w14:solidFill>
                </w14:textFill>
              </w:rPr>
              <w:t>114,303,971.14</w:t>
            </w:r>
          </w:p>
        </w:tc>
        <w:tc>
          <w:tcPr>
            <w:tcW w:w="1337" w:type="pct"/>
            <w:tcBorders>
              <w:top w:val="single" w:color="auto" w:sz="4" w:space="0"/>
              <w:left w:val="single" w:color="auto" w:sz="4" w:space="0"/>
              <w:bottom w:val="single" w:color="auto" w:sz="4" w:space="0"/>
              <w:right w:val="single" w:color="auto" w:sz="4" w:space="0"/>
            </w:tcBorders>
            <w:vAlign w:val="center"/>
          </w:tcPr>
          <w:p w14:paraId="327DDCFA">
            <w:pPr>
              <w:jc w:val="right"/>
              <w:textAlignment w:val="center"/>
              <w:rPr>
                <w:rFonts w:cs="Times New Roman"/>
              </w:rPr>
            </w:pPr>
            <w:r>
              <w:rPr>
                <w:rFonts w:cs="Times New Roman"/>
              </w:rPr>
              <w:t>172,992,168.56</w:t>
            </w:r>
          </w:p>
        </w:tc>
      </w:tr>
    </w:tbl>
    <w:p w14:paraId="34D16D43">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销售费用的其他说明事项"/>
        <w:tag w:val="_GBC_42921bca5478449e9dd3932a8303975a"/>
        <w:id w:val="147474224"/>
        <w:placeholder>
          <w:docPart w:val="GBC22222222222222222222222222222"/>
        </w:placeholder>
      </w:sdtPr>
      <w:sdtEndPr>
        <w:rPr>
          <w:color w:val="000000" w:themeColor="text1"/>
          <w14:textFill>
            <w14:solidFill>
              <w14:schemeClr w14:val="tx1"/>
            </w14:solidFill>
          </w14:textFill>
        </w:rPr>
      </w:sdtEndPr>
      <w:sdtContent>
        <w:p w14:paraId="7B9B5383">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2C580F43">
      <w:pPr>
        <w:rPr>
          <w:color w:val="000000" w:themeColor="text1"/>
          <w14:textFill>
            <w14:solidFill>
              <w14:schemeClr w14:val="tx1"/>
            </w14:solidFill>
          </w14:textFill>
        </w:rPr>
      </w:pPr>
    </w:p>
    <w:p w14:paraId="650F4B8C">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管理费用</w:t>
      </w:r>
    </w:p>
    <w:sdt>
      <w:sdtPr>
        <w:rPr>
          <w:color w:val="000000" w:themeColor="text1"/>
          <w14:textFill>
            <w14:solidFill>
              <w14:schemeClr w14:val="tx1"/>
            </w14:solidFill>
          </w14:textFill>
        </w:rPr>
        <w:alias w:val="是否适用：管理费用[双击切换]"/>
        <w:tag w:val="_GBC_864c9dd9adce435698261f1da02ab8fb"/>
        <w:id w:val="147460951"/>
        <w:placeholder>
          <w:docPart w:val="GBC22222222222222222222222222222"/>
        </w:placeholder>
      </w:sdtPr>
      <w:sdtEndPr>
        <w:rPr>
          <w:color w:val="000000" w:themeColor="text1"/>
          <w14:textFill>
            <w14:solidFill>
              <w14:schemeClr w14:val="tx1"/>
            </w14:solidFill>
          </w14:textFill>
        </w:rPr>
      </w:sdtEndPr>
      <w:sdtContent>
        <w:p w14:paraId="4BBE993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552BEC9">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管理费用"/>
          <w:tag w:val="_GBC_b8198aec3f7748d28785c1eebbf02df7"/>
          <w:id w:val="1474522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管理费用"/>
          <w:tag w:val="_GBC_f92af61f8b3b45ba9ec818ede9725428"/>
          <w:id w:val="1474604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14:paraId="30DE4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249fd0c096ba421285089a0fada9d43a"/>
            <w:id w:val="147472186"/>
          </w:sdtPr>
          <w:sdtEndPr>
            <w:rPr>
              <w:rFonts w:cs="Times New Roman"/>
            </w:rPr>
          </w:sdtEndPr>
          <w:sdtContent>
            <w:tc>
              <w:tcPr>
                <w:tcW w:w="2213" w:type="pct"/>
                <w:tcBorders>
                  <w:top w:val="single" w:color="auto" w:sz="4" w:space="0"/>
                  <w:left w:val="single" w:color="auto" w:sz="4" w:space="0"/>
                  <w:bottom w:val="single" w:color="auto" w:sz="4" w:space="0"/>
                  <w:right w:val="single" w:color="auto" w:sz="4" w:space="0"/>
                </w:tcBorders>
              </w:tcPr>
              <w:p w14:paraId="01745F7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acf5bcbf929244268be56ad5d0f3ea18"/>
            <w:id w:val="147461975"/>
          </w:sdtPr>
          <w:sdtEndPr>
            <w:rPr>
              <w:rFonts w:cs="Times New Roman"/>
            </w:rPr>
          </w:sdtEndPr>
          <w:sdtContent>
            <w:tc>
              <w:tcPr>
                <w:tcW w:w="1439" w:type="pct"/>
                <w:tcBorders>
                  <w:top w:val="single" w:color="auto" w:sz="4" w:space="0"/>
                  <w:left w:val="single" w:color="auto" w:sz="4" w:space="0"/>
                  <w:bottom w:val="single" w:color="auto" w:sz="4" w:space="0"/>
                  <w:right w:val="single" w:color="auto" w:sz="4" w:space="0"/>
                </w:tcBorders>
              </w:tcPr>
              <w:p w14:paraId="78D6BEB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tc>
          </w:sdtContent>
        </w:sdt>
        <w:sdt>
          <w:sdtPr>
            <w:rPr>
              <w:rFonts w:cs="Times New Roman"/>
            </w:rPr>
            <w:tag w:val="_PLD_d37d8a59d4d74c26ac22dc33983efa29"/>
            <w:id w:val="147457717"/>
          </w:sdtPr>
          <w:sdtEndPr>
            <w:rPr>
              <w:rFonts w:cs="Times New Roman"/>
            </w:rPr>
          </w:sdtEndPr>
          <w:sdtContent>
            <w:tc>
              <w:tcPr>
                <w:tcW w:w="1348" w:type="pct"/>
                <w:tcBorders>
                  <w:top w:val="single" w:color="auto" w:sz="4" w:space="0"/>
                  <w:left w:val="single" w:color="auto" w:sz="4" w:space="0"/>
                  <w:bottom w:val="single" w:color="auto" w:sz="4" w:space="0"/>
                  <w:right w:val="single" w:color="auto" w:sz="4" w:space="0"/>
                </w:tcBorders>
              </w:tcPr>
              <w:p w14:paraId="4FBC9CBA">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tc>
          </w:sdtContent>
        </w:sdt>
      </w:tr>
      <w:tr w14:paraId="5BA6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27DF4420">
            <w:pPr>
              <w:textAlignment w:val="center"/>
              <w:rPr>
                <w:rFonts w:cs="Times New Roman"/>
              </w:rPr>
            </w:pPr>
            <w:r>
              <w:rPr>
                <w:rFonts w:cs="Times New Roman"/>
                <w:color w:val="000000"/>
              </w:rPr>
              <w:t>职工薪酬</w:t>
            </w:r>
          </w:p>
        </w:tc>
        <w:tc>
          <w:tcPr>
            <w:tcW w:w="2604" w:type="dxa"/>
            <w:tcBorders>
              <w:top w:val="single" w:color="auto" w:sz="4" w:space="0"/>
              <w:left w:val="single" w:color="auto" w:sz="4" w:space="0"/>
              <w:bottom w:val="single" w:color="auto" w:sz="4" w:space="0"/>
              <w:right w:val="single" w:color="auto" w:sz="4" w:space="0"/>
            </w:tcBorders>
            <w:vAlign w:val="center"/>
          </w:tcPr>
          <w:p w14:paraId="4D01929A">
            <w:pPr>
              <w:jc w:val="right"/>
              <w:textAlignment w:val="center"/>
              <w:rPr>
                <w:rFonts w:cs="Times New Roman"/>
              </w:rPr>
            </w:pPr>
            <w:r>
              <w:rPr>
                <w:rFonts w:eastAsia="Arial Narrow" w:cs="Times New Roman"/>
                <w:color w:val="000000"/>
                <w:lang w:bidi="ar"/>
              </w:rPr>
              <w:t>147,607,547.34</w:t>
            </w:r>
          </w:p>
        </w:tc>
        <w:tc>
          <w:tcPr>
            <w:tcW w:w="1348" w:type="pct"/>
            <w:tcBorders>
              <w:top w:val="single" w:color="auto" w:sz="4" w:space="0"/>
              <w:left w:val="single" w:color="auto" w:sz="4" w:space="0"/>
              <w:bottom w:val="single" w:color="auto" w:sz="4" w:space="0"/>
              <w:right w:val="single" w:color="auto" w:sz="4" w:space="0"/>
            </w:tcBorders>
            <w:vAlign w:val="center"/>
          </w:tcPr>
          <w:p w14:paraId="6ABB6B2C">
            <w:pPr>
              <w:jc w:val="right"/>
              <w:textAlignment w:val="center"/>
              <w:rPr>
                <w:rFonts w:cs="Times New Roman"/>
              </w:rPr>
            </w:pPr>
            <w:r>
              <w:rPr>
                <w:rFonts w:cs="Times New Roman"/>
                <w:color w:val="000000"/>
              </w:rPr>
              <w:t>174,018,695.91</w:t>
            </w:r>
          </w:p>
        </w:tc>
      </w:tr>
      <w:tr w14:paraId="0CE0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478B2B9C">
            <w:pPr>
              <w:textAlignment w:val="center"/>
              <w:rPr>
                <w:rFonts w:cs="Times New Roman"/>
              </w:rPr>
            </w:pPr>
            <w:r>
              <w:rPr>
                <w:rFonts w:cs="Times New Roman"/>
                <w:color w:val="000000"/>
              </w:rPr>
              <w:t>摊销费</w:t>
            </w:r>
          </w:p>
        </w:tc>
        <w:tc>
          <w:tcPr>
            <w:tcW w:w="2604" w:type="dxa"/>
            <w:tcBorders>
              <w:top w:val="single" w:color="auto" w:sz="4" w:space="0"/>
              <w:left w:val="single" w:color="auto" w:sz="4" w:space="0"/>
              <w:bottom w:val="single" w:color="auto" w:sz="4" w:space="0"/>
              <w:right w:val="single" w:color="auto" w:sz="4" w:space="0"/>
            </w:tcBorders>
            <w:vAlign w:val="center"/>
          </w:tcPr>
          <w:p w14:paraId="2D99E516">
            <w:pPr>
              <w:jc w:val="right"/>
              <w:textAlignment w:val="center"/>
              <w:rPr>
                <w:rFonts w:cs="Times New Roman"/>
              </w:rPr>
            </w:pPr>
            <w:r>
              <w:rPr>
                <w:rFonts w:eastAsia="Arial Narrow" w:cs="Times New Roman"/>
                <w:color w:val="000000"/>
                <w:lang w:bidi="ar"/>
              </w:rPr>
              <w:t>18,109,470.80</w:t>
            </w:r>
          </w:p>
        </w:tc>
        <w:tc>
          <w:tcPr>
            <w:tcW w:w="1348" w:type="pct"/>
            <w:tcBorders>
              <w:top w:val="single" w:color="auto" w:sz="4" w:space="0"/>
              <w:left w:val="single" w:color="auto" w:sz="4" w:space="0"/>
              <w:bottom w:val="single" w:color="auto" w:sz="4" w:space="0"/>
              <w:right w:val="single" w:color="auto" w:sz="4" w:space="0"/>
            </w:tcBorders>
            <w:vAlign w:val="center"/>
          </w:tcPr>
          <w:p w14:paraId="0FD083B2">
            <w:pPr>
              <w:jc w:val="right"/>
              <w:textAlignment w:val="center"/>
              <w:rPr>
                <w:rFonts w:cs="Times New Roman"/>
              </w:rPr>
            </w:pPr>
            <w:r>
              <w:rPr>
                <w:rFonts w:cs="Times New Roman"/>
                <w:color w:val="000000"/>
              </w:rPr>
              <w:t>20,992,485.09</w:t>
            </w:r>
          </w:p>
        </w:tc>
      </w:tr>
      <w:tr w14:paraId="51B19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0A8843E7">
            <w:pPr>
              <w:textAlignment w:val="center"/>
              <w:rPr>
                <w:rFonts w:cs="Times New Roman"/>
              </w:rPr>
            </w:pPr>
            <w:r>
              <w:rPr>
                <w:rFonts w:cs="Times New Roman"/>
                <w:color w:val="000000"/>
              </w:rPr>
              <w:t>折旧费</w:t>
            </w:r>
          </w:p>
        </w:tc>
        <w:tc>
          <w:tcPr>
            <w:tcW w:w="2604" w:type="dxa"/>
            <w:tcBorders>
              <w:top w:val="single" w:color="auto" w:sz="4" w:space="0"/>
              <w:left w:val="single" w:color="auto" w:sz="4" w:space="0"/>
              <w:bottom w:val="single" w:color="auto" w:sz="4" w:space="0"/>
              <w:right w:val="single" w:color="auto" w:sz="4" w:space="0"/>
            </w:tcBorders>
            <w:vAlign w:val="center"/>
          </w:tcPr>
          <w:p w14:paraId="70E491FC">
            <w:pPr>
              <w:jc w:val="right"/>
              <w:textAlignment w:val="center"/>
              <w:rPr>
                <w:rFonts w:cs="Times New Roman"/>
              </w:rPr>
            </w:pPr>
            <w:r>
              <w:rPr>
                <w:rFonts w:eastAsia="Arial Narrow" w:cs="Times New Roman"/>
                <w:color w:val="000000"/>
                <w:lang w:bidi="ar"/>
              </w:rPr>
              <w:t>42,066,683.26</w:t>
            </w:r>
          </w:p>
        </w:tc>
        <w:tc>
          <w:tcPr>
            <w:tcW w:w="1348" w:type="pct"/>
            <w:tcBorders>
              <w:top w:val="single" w:color="auto" w:sz="4" w:space="0"/>
              <w:left w:val="single" w:color="auto" w:sz="4" w:space="0"/>
              <w:bottom w:val="single" w:color="auto" w:sz="4" w:space="0"/>
              <w:right w:val="single" w:color="auto" w:sz="4" w:space="0"/>
            </w:tcBorders>
            <w:vAlign w:val="center"/>
          </w:tcPr>
          <w:p w14:paraId="4FE903E4">
            <w:pPr>
              <w:jc w:val="right"/>
              <w:textAlignment w:val="center"/>
              <w:rPr>
                <w:rFonts w:cs="Times New Roman"/>
              </w:rPr>
            </w:pPr>
            <w:r>
              <w:rPr>
                <w:rFonts w:cs="Times New Roman"/>
                <w:color w:val="000000"/>
              </w:rPr>
              <w:t>30,250,914.22</w:t>
            </w:r>
          </w:p>
        </w:tc>
      </w:tr>
      <w:tr w14:paraId="614CB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1D33077B">
            <w:pPr>
              <w:textAlignment w:val="center"/>
              <w:rPr>
                <w:rFonts w:cs="Times New Roman"/>
              </w:rPr>
            </w:pPr>
            <w:r>
              <w:rPr>
                <w:rFonts w:cs="Times New Roman"/>
                <w:color w:val="000000"/>
              </w:rPr>
              <w:t>修理费</w:t>
            </w:r>
          </w:p>
        </w:tc>
        <w:tc>
          <w:tcPr>
            <w:tcW w:w="2604" w:type="dxa"/>
            <w:tcBorders>
              <w:top w:val="single" w:color="auto" w:sz="4" w:space="0"/>
              <w:left w:val="single" w:color="auto" w:sz="4" w:space="0"/>
              <w:bottom w:val="single" w:color="auto" w:sz="4" w:space="0"/>
              <w:right w:val="single" w:color="auto" w:sz="4" w:space="0"/>
            </w:tcBorders>
            <w:vAlign w:val="center"/>
          </w:tcPr>
          <w:p w14:paraId="7A9D0082">
            <w:pPr>
              <w:jc w:val="right"/>
              <w:textAlignment w:val="center"/>
              <w:rPr>
                <w:rFonts w:cs="Times New Roman"/>
              </w:rPr>
            </w:pPr>
            <w:r>
              <w:rPr>
                <w:rFonts w:eastAsia="Arial Narrow" w:cs="Times New Roman"/>
                <w:color w:val="000000"/>
                <w:lang w:bidi="ar"/>
              </w:rPr>
              <w:t>6,346,789.68</w:t>
            </w:r>
          </w:p>
        </w:tc>
        <w:tc>
          <w:tcPr>
            <w:tcW w:w="1348" w:type="pct"/>
            <w:tcBorders>
              <w:top w:val="single" w:color="auto" w:sz="4" w:space="0"/>
              <w:left w:val="single" w:color="auto" w:sz="4" w:space="0"/>
              <w:bottom w:val="single" w:color="auto" w:sz="4" w:space="0"/>
              <w:right w:val="single" w:color="auto" w:sz="4" w:space="0"/>
            </w:tcBorders>
            <w:vAlign w:val="center"/>
          </w:tcPr>
          <w:p w14:paraId="46C52B0F">
            <w:pPr>
              <w:jc w:val="right"/>
              <w:textAlignment w:val="center"/>
              <w:rPr>
                <w:rFonts w:cs="Times New Roman"/>
              </w:rPr>
            </w:pPr>
            <w:r>
              <w:rPr>
                <w:rFonts w:cs="Times New Roman"/>
                <w:color w:val="000000"/>
              </w:rPr>
              <w:t>9,587,443.14</w:t>
            </w:r>
          </w:p>
        </w:tc>
      </w:tr>
      <w:tr w14:paraId="1D174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796D9998">
            <w:pPr>
              <w:textAlignment w:val="center"/>
              <w:rPr>
                <w:rFonts w:cs="Times New Roman"/>
              </w:rPr>
            </w:pPr>
            <w:r>
              <w:rPr>
                <w:rFonts w:cs="Times New Roman"/>
                <w:color w:val="000000"/>
              </w:rPr>
              <w:t>水电费</w:t>
            </w:r>
          </w:p>
        </w:tc>
        <w:tc>
          <w:tcPr>
            <w:tcW w:w="2604" w:type="dxa"/>
            <w:tcBorders>
              <w:top w:val="single" w:color="auto" w:sz="4" w:space="0"/>
              <w:left w:val="single" w:color="auto" w:sz="4" w:space="0"/>
              <w:bottom w:val="single" w:color="auto" w:sz="4" w:space="0"/>
              <w:right w:val="single" w:color="auto" w:sz="4" w:space="0"/>
            </w:tcBorders>
            <w:vAlign w:val="center"/>
          </w:tcPr>
          <w:p w14:paraId="7E32F501">
            <w:pPr>
              <w:jc w:val="right"/>
              <w:textAlignment w:val="center"/>
              <w:rPr>
                <w:rFonts w:cs="Times New Roman"/>
              </w:rPr>
            </w:pPr>
            <w:r>
              <w:rPr>
                <w:rFonts w:eastAsia="Arial Narrow" w:cs="Times New Roman"/>
                <w:color w:val="000000"/>
                <w:lang w:bidi="ar"/>
              </w:rPr>
              <w:t>6,217,472.15</w:t>
            </w:r>
          </w:p>
        </w:tc>
        <w:tc>
          <w:tcPr>
            <w:tcW w:w="1348" w:type="pct"/>
            <w:tcBorders>
              <w:top w:val="single" w:color="auto" w:sz="4" w:space="0"/>
              <w:left w:val="single" w:color="auto" w:sz="4" w:space="0"/>
              <w:bottom w:val="single" w:color="auto" w:sz="4" w:space="0"/>
              <w:right w:val="single" w:color="auto" w:sz="4" w:space="0"/>
            </w:tcBorders>
            <w:vAlign w:val="center"/>
          </w:tcPr>
          <w:p w14:paraId="2328A571">
            <w:pPr>
              <w:jc w:val="right"/>
              <w:textAlignment w:val="center"/>
              <w:rPr>
                <w:rFonts w:cs="Times New Roman"/>
              </w:rPr>
            </w:pPr>
            <w:r>
              <w:rPr>
                <w:rFonts w:cs="Times New Roman"/>
                <w:color w:val="000000"/>
              </w:rPr>
              <w:t>8,454,724.14</w:t>
            </w:r>
          </w:p>
        </w:tc>
      </w:tr>
      <w:tr w14:paraId="40316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7DA7B60E">
            <w:pPr>
              <w:textAlignment w:val="center"/>
              <w:rPr>
                <w:rFonts w:cs="Times New Roman"/>
              </w:rPr>
            </w:pPr>
            <w:r>
              <w:rPr>
                <w:rFonts w:cs="Times New Roman"/>
                <w:color w:val="000000"/>
              </w:rPr>
              <w:t>差旅费</w:t>
            </w:r>
          </w:p>
        </w:tc>
        <w:tc>
          <w:tcPr>
            <w:tcW w:w="2604" w:type="dxa"/>
            <w:tcBorders>
              <w:top w:val="single" w:color="auto" w:sz="4" w:space="0"/>
              <w:left w:val="single" w:color="auto" w:sz="4" w:space="0"/>
              <w:bottom w:val="single" w:color="auto" w:sz="4" w:space="0"/>
              <w:right w:val="single" w:color="auto" w:sz="4" w:space="0"/>
            </w:tcBorders>
            <w:vAlign w:val="center"/>
          </w:tcPr>
          <w:p w14:paraId="37C2741B">
            <w:pPr>
              <w:jc w:val="right"/>
              <w:textAlignment w:val="center"/>
              <w:rPr>
                <w:rFonts w:cs="Times New Roman"/>
              </w:rPr>
            </w:pPr>
            <w:r>
              <w:rPr>
                <w:rFonts w:eastAsia="Arial Narrow" w:cs="Times New Roman"/>
                <w:color w:val="000000"/>
                <w:lang w:bidi="ar"/>
              </w:rPr>
              <w:t>4,859,966.17</w:t>
            </w:r>
          </w:p>
        </w:tc>
        <w:tc>
          <w:tcPr>
            <w:tcW w:w="1348" w:type="pct"/>
            <w:tcBorders>
              <w:top w:val="single" w:color="auto" w:sz="4" w:space="0"/>
              <w:left w:val="single" w:color="auto" w:sz="4" w:space="0"/>
              <w:bottom w:val="single" w:color="auto" w:sz="4" w:space="0"/>
              <w:right w:val="single" w:color="auto" w:sz="4" w:space="0"/>
            </w:tcBorders>
            <w:vAlign w:val="center"/>
          </w:tcPr>
          <w:p w14:paraId="3923C108">
            <w:pPr>
              <w:jc w:val="right"/>
              <w:textAlignment w:val="center"/>
              <w:rPr>
                <w:rFonts w:cs="Times New Roman"/>
              </w:rPr>
            </w:pPr>
            <w:r>
              <w:rPr>
                <w:rFonts w:cs="Times New Roman"/>
                <w:color w:val="000000"/>
              </w:rPr>
              <w:t>4,920,722.09</w:t>
            </w:r>
          </w:p>
        </w:tc>
      </w:tr>
      <w:tr w14:paraId="3364A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7C542624">
            <w:pPr>
              <w:textAlignment w:val="center"/>
              <w:rPr>
                <w:rFonts w:cs="Times New Roman"/>
              </w:rPr>
            </w:pPr>
            <w:r>
              <w:rPr>
                <w:rFonts w:cs="Times New Roman"/>
                <w:color w:val="000000"/>
              </w:rPr>
              <w:t>取暖降温费</w:t>
            </w:r>
          </w:p>
        </w:tc>
        <w:tc>
          <w:tcPr>
            <w:tcW w:w="2604" w:type="dxa"/>
            <w:tcBorders>
              <w:top w:val="single" w:color="auto" w:sz="4" w:space="0"/>
              <w:left w:val="single" w:color="auto" w:sz="4" w:space="0"/>
              <w:bottom w:val="single" w:color="auto" w:sz="4" w:space="0"/>
              <w:right w:val="single" w:color="auto" w:sz="4" w:space="0"/>
            </w:tcBorders>
            <w:vAlign w:val="center"/>
          </w:tcPr>
          <w:p w14:paraId="31F7F8C9">
            <w:pPr>
              <w:jc w:val="right"/>
              <w:textAlignment w:val="center"/>
              <w:rPr>
                <w:rFonts w:cs="Times New Roman"/>
              </w:rPr>
            </w:pPr>
            <w:r>
              <w:rPr>
                <w:rFonts w:eastAsia="Arial Narrow" w:cs="Times New Roman"/>
                <w:color w:val="000000"/>
                <w:lang w:bidi="ar"/>
              </w:rPr>
              <w:t>1,667,294.17</w:t>
            </w:r>
          </w:p>
        </w:tc>
        <w:tc>
          <w:tcPr>
            <w:tcW w:w="1348" w:type="pct"/>
            <w:tcBorders>
              <w:top w:val="single" w:color="auto" w:sz="4" w:space="0"/>
              <w:left w:val="single" w:color="auto" w:sz="4" w:space="0"/>
              <w:bottom w:val="single" w:color="auto" w:sz="4" w:space="0"/>
              <w:right w:val="single" w:color="auto" w:sz="4" w:space="0"/>
            </w:tcBorders>
            <w:vAlign w:val="center"/>
          </w:tcPr>
          <w:p w14:paraId="56B9042B">
            <w:pPr>
              <w:jc w:val="right"/>
              <w:textAlignment w:val="center"/>
              <w:rPr>
                <w:rFonts w:cs="Times New Roman"/>
              </w:rPr>
            </w:pPr>
            <w:r>
              <w:rPr>
                <w:rFonts w:cs="Times New Roman"/>
                <w:color w:val="000000"/>
              </w:rPr>
              <w:t>1,284,542.51</w:t>
            </w:r>
          </w:p>
        </w:tc>
      </w:tr>
      <w:tr w14:paraId="6353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7B757AFD">
            <w:pPr>
              <w:textAlignment w:val="center"/>
              <w:rPr>
                <w:rFonts w:cs="Times New Roman"/>
              </w:rPr>
            </w:pPr>
            <w:r>
              <w:rPr>
                <w:rFonts w:cs="Times New Roman"/>
                <w:color w:val="000000"/>
              </w:rPr>
              <w:t>业务招待费</w:t>
            </w:r>
          </w:p>
        </w:tc>
        <w:tc>
          <w:tcPr>
            <w:tcW w:w="2604" w:type="dxa"/>
            <w:tcBorders>
              <w:top w:val="single" w:color="auto" w:sz="4" w:space="0"/>
              <w:left w:val="single" w:color="auto" w:sz="4" w:space="0"/>
              <w:bottom w:val="single" w:color="auto" w:sz="4" w:space="0"/>
              <w:right w:val="single" w:color="auto" w:sz="4" w:space="0"/>
            </w:tcBorders>
            <w:vAlign w:val="center"/>
          </w:tcPr>
          <w:p w14:paraId="707DB382">
            <w:pPr>
              <w:jc w:val="right"/>
              <w:textAlignment w:val="center"/>
              <w:rPr>
                <w:rFonts w:cs="Times New Roman"/>
              </w:rPr>
            </w:pPr>
            <w:r>
              <w:rPr>
                <w:rFonts w:eastAsia="Arial Narrow" w:cs="Times New Roman"/>
                <w:color w:val="000000"/>
                <w:lang w:bidi="ar"/>
              </w:rPr>
              <w:t>3,375,562.32</w:t>
            </w:r>
          </w:p>
        </w:tc>
        <w:tc>
          <w:tcPr>
            <w:tcW w:w="1348" w:type="pct"/>
            <w:tcBorders>
              <w:top w:val="single" w:color="auto" w:sz="4" w:space="0"/>
              <w:left w:val="single" w:color="auto" w:sz="4" w:space="0"/>
              <w:bottom w:val="single" w:color="auto" w:sz="4" w:space="0"/>
              <w:right w:val="single" w:color="auto" w:sz="4" w:space="0"/>
            </w:tcBorders>
            <w:vAlign w:val="center"/>
          </w:tcPr>
          <w:p w14:paraId="1A14475A">
            <w:pPr>
              <w:jc w:val="right"/>
              <w:textAlignment w:val="center"/>
              <w:rPr>
                <w:rFonts w:cs="Times New Roman"/>
              </w:rPr>
            </w:pPr>
            <w:r>
              <w:rPr>
                <w:rFonts w:cs="Times New Roman"/>
                <w:color w:val="000000"/>
              </w:rPr>
              <w:t>4,686,496.50</w:t>
            </w:r>
          </w:p>
        </w:tc>
      </w:tr>
      <w:tr w14:paraId="4FEAF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5B24ADB2">
            <w:pPr>
              <w:textAlignment w:val="center"/>
              <w:rPr>
                <w:rFonts w:cs="Times New Roman"/>
              </w:rPr>
            </w:pPr>
            <w:r>
              <w:rPr>
                <w:rFonts w:cs="Times New Roman"/>
                <w:color w:val="000000"/>
              </w:rPr>
              <w:t>办公费</w:t>
            </w:r>
          </w:p>
        </w:tc>
        <w:tc>
          <w:tcPr>
            <w:tcW w:w="2604" w:type="dxa"/>
            <w:tcBorders>
              <w:top w:val="single" w:color="auto" w:sz="4" w:space="0"/>
              <w:left w:val="single" w:color="auto" w:sz="4" w:space="0"/>
              <w:bottom w:val="single" w:color="auto" w:sz="4" w:space="0"/>
              <w:right w:val="single" w:color="auto" w:sz="4" w:space="0"/>
            </w:tcBorders>
            <w:vAlign w:val="center"/>
          </w:tcPr>
          <w:p w14:paraId="66334811">
            <w:pPr>
              <w:jc w:val="right"/>
              <w:textAlignment w:val="center"/>
              <w:rPr>
                <w:rFonts w:cs="Times New Roman"/>
              </w:rPr>
            </w:pPr>
            <w:r>
              <w:rPr>
                <w:rFonts w:eastAsia="Arial Narrow" w:cs="Times New Roman"/>
                <w:color w:val="000000"/>
                <w:lang w:bidi="ar"/>
              </w:rPr>
              <w:t>706,414.15</w:t>
            </w:r>
          </w:p>
        </w:tc>
        <w:tc>
          <w:tcPr>
            <w:tcW w:w="1348" w:type="pct"/>
            <w:tcBorders>
              <w:top w:val="single" w:color="auto" w:sz="4" w:space="0"/>
              <w:left w:val="single" w:color="auto" w:sz="4" w:space="0"/>
              <w:bottom w:val="single" w:color="auto" w:sz="4" w:space="0"/>
              <w:right w:val="single" w:color="auto" w:sz="4" w:space="0"/>
            </w:tcBorders>
            <w:vAlign w:val="center"/>
          </w:tcPr>
          <w:p w14:paraId="48705581">
            <w:pPr>
              <w:jc w:val="right"/>
              <w:textAlignment w:val="center"/>
              <w:rPr>
                <w:rFonts w:cs="Times New Roman"/>
              </w:rPr>
            </w:pPr>
            <w:r>
              <w:rPr>
                <w:rFonts w:cs="Times New Roman"/>
                <w:color w:val="000000"/>
              </w:rPr>
              <w:t>1,052,225.97</w:t>
            </w:r>
          </w:p>
        </w:tc>
      </w:tr>
      <w:tr w14:paraId="2462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2C7C2F86">
            <w:pPr>
              <w:textAlignment w:val="center"/>
              <w:rPr>
                <w:rFonts w:cs="Times New Roman"/>
              </w:rPr>
            </w:pPr>
            <w:r>
              <w:rPr>
                <w:rFonts w:cs="Times New Roman"/>
                <w:color w:val="000000"/>
              </w:rPr>
              <w:t>其他</w:t>
            </w:r>
          </w:p>
        </w:tc>
        <w:tc>
          <w:tcPr>
            <w:tcW w:w="2604" w:type="dxa"/>
            <w:tcBorders>
              <w:top w:val="single" w:color="auto" w:sz="4" w:space="0"/>
              <w:left w:val="single" w:color="auto" w:sz="4" w:space="0"/>
              <w:bottom w:val="single" w:color="auto" w:sz="4" w:space="0"/>
              <w:right w:val="single" w:color="auto" w:sz="4" w:space="0"/>
            </w:tcBorders>
            <w:vAlign w:val="center"/>
          </w:tcPr>
          <w:p w14:paraId="594C4EFF">
            <w:pPr>
              <w:jc w:val="right"/>
              <w:textAlignment w:val="center"/>
              <w:rPr>
                <w:rFonts w:cs="Times New Roman"/>
              </w:rPr>
            </w:pPr>
            <w:r>
              <w:rPr>
                <w:rFonts w:eastAsia="Arial Narrow" w:cs="Times New Roman"/>
                <w:color w:val="000000"/>
                <w:lang w:bidi="ar"/>
              </w:rPr>
              <w:t>46,134,265.68</w:t>
            </w:r>
          </w:p>
        </w:tc>
        <w:tc>
          <w:tcPr>
            <w:tcW w:w="1348" w:type="pct"/>
            <w:tcBorders>
              <w:top w:val="single" w:color="auto" w:sz="4" w:space="0"/>
              <w:left w:val="single" w:color="auto" w:sz="4" w:space="0"/>
              <w:bottom w:val="single" w:color="auto" w:sz="4" w:space="0"/>
              <w:right w:val="single" w:color="auto" w:sz="4" w:space="0"/>
            </w:tcBorders>
            <w:vAlign w:val="center"/>
          </w:tcPr>
          <w:p w14:paraId="3A3AC80A">
            <w:pPr>
              <w:jc w:val="right"/>
              <w:textAlignment w:val="center"/>
              <w:rPr>
                <w:rFonts w:cs="Times New Roman"/>
              </w:rPr>
            </w:pPr>
            <w:r>
              <w:rPr>
                <w:rFonts w:cs="Times New Roman"/>
                <w:color w:val="000000"/>
              </w:rPr>
              <w:t>50,888,082.02</w:t>
            </w:r>
          </w:p>
        </w:tc>
      </w:tr>
      <w:tr w14:paraId="0B3BC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tcPr>
          <w:p w14:paraId="79391C2F">
            <w:pPr>
              <w:jc w:val="center"/>
              <w:rPr>
                <w:rFonts w:cs="Times New Roman"/>
                <w:color w:val="000000" w:themeColor="text1"/>
                <w14:textFill>
                  <w14:solidFill>
                    <w14:schemeClr w14:val="tx1"/>
                  </w14:solidFill>
                </w14:textFill>
              </w:rPr>
            </w:pPr>
            <w:r>
              <w:rPr>
                <w:rFonts w:cs="Times New Roman"/>
                <w:color w:val="000000"/>
              </w:rPr>
              <w:t>合计</w:t>
            </w:r>
          </w:p>
        </w:tc>
        <w:tc>
          <w:tcPr>
            <w:tcW w:w="2604" w:type="dxa"/>
            <w:tcBorders>
              <w:top w:val="single" w:color="auto" w:sz="4" w:space="0"/>
              <w:left w:val="single" w:color="auto" w:sz="4" w:space="0"/>
              <w:bottom w:val="single" w:color="auto" w:sz="4" w:space="0"/>
              <w:right w:val="single" w:color="auto" w:sz="4" w:space="0"/>
            </w:tcBorders>
            <w:vAlign w:val="center"/>
          </w:tcPr>
          <w:p w14:paraId="747FC0CB">
            <w:pPr>
              <w:jc w:val="right"/>
              <w:textAlignment w:val="center"/>
              <w:rPr>
                <w:rFonts w:cs="Times New Roman"/>
              </w:rPr>
            </w:pPr>
            <w:r>
              <w:rPr>
                <w:rFonts w:eastAsia="Arial Narrow" w:cs="Times New Roman"/>
                <w:color w:val="000000"/>
                <w:lang w:bidi="ar"/>
              </w:rPr>
              <w:t>277,091,465.72</w:t>
            </w:r>
          </w:p>
        </w:tc>
        <w:tc>
          <w:tcPr>
            <w:tcW w:w="1348" w:type="pct"/>
            <w:tcBorders>
              <w:top w:val="single" w:color="auto" w:sz="4" w:space="0"/>
              <w:left w:val="single" w:color="auto" w:sz="4" w:space="0"/>
              <w:bottom w:val="single" w:color="auto" w:sz="4" w:space="0"/>
              <w:right w:val="single" w:color="auto" w:sz="4" w:space="0"/>
            </w:tcBorders>
            <w:vAlign w:val="center"/>
          </w:tcPr>
          <w:p w14:paraId="4812C8FC">
            <w:pPr>
              <w:jc w:val="right"/>
              <w:textAlignment w:val="center"/>
              <w:rPr>
                <w:rFonts w:cs="Times New Roman"/>
              </w:rPr>
            </w:pPr>
            <w:r>
              <w:rPr>
                <w:rFonts w:cs="Times New Roman"/>
                <w:color w:val="000000"/>
              </w:rPr>
              <w:t>306,136,331.59</w:t>
            </w:r>
          </w:p>
        </w:tc>
      </w:tr>
    </w:tbl>
    <w:p w14:paraId="6E700CC5">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管理费用的其他说明事项"/>
        <w:tag w:val="_GBC_2ddba7c397f842b2a457e4f7fe020aca"/>
        <w:id w:val="147471306"/>
        <w:placeholder>
          <w:docPart w:val="GBC22222222222222222222222222222"/>
        </w:placeholder>
      </w:sdtPr>
      <w:sdtEndPr>
        <w:rPr>
          <w:color w:val="000000" w:themeColor="text1"/>
          <w14:textFill>
            <w14:solidFill>
              <w14:schemeClr w14:val="tx1"/>
            </w14:solidFill>
          </w14:textFill>
        </w:rPr>
      </w:sdtEndPr>
      <w:sdtContent>
        <w:p w14:paraId="4406F883">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7D85A97F">
      <w:pPr>
        <w:rPr>
          <w:color w:val="000000" w:themeColor="text1"/>
          <w14:textFill>
            <w14:solidFill>
              <w14:schemeClr w14:val="tx1"/>
            </w14:solidFill>
          </w14:textFill>
        </w:rPr>
      </w:pPr>
    </w:p>
    <w:p w14:paraId="296A7C8B">
      <w:pPr>
        <w:pStyle w:val="57"/>
        <w:numPr>
          <w:ilvl w:val="0"/>
          <w:numId w:val="54"/>
        </w:numPr>
        <w:rPr>
          <w:color w:val="000000" w:themeColor="text1"/>
          <w:szCs w:val="21"/>
          <w14:textFill>
            <w14:solidFill>
              <w14:schemeClr w14:val="tx1"/>
            </w14:solidFill>
          </w14:textFill>
        </w:rPr>
      </w:pPr>
      <w:bookmarkStart w:id="386" w:name="_Hlk10538261"/>
      <w:r>
        <w:rPr>
          <w:color w:val="000000" w:themeColor="text1"/>
          <w:szCs w:val="21"/>
          <w14:textFill>
            <w14:solidFill>
              <w14:schemeClr w14:val="tx1"/>
            </w14:solidFill>
          </w14:textFill>
        </w:rPr>
        <w:t>研发费用</w:t>
      </w:r>
    </w:p>
    <w:sdt>
      <w:sdtPr>
        <w:rPr>
          <w:color w:val="000000" w:themeColor="text1"/>
          <w14:textFill>
            <w14:solidFill>
              <w14:schemeClr w14:val="tx1"/>
            </w14:solidFill>
          </w14:textFill>
        </w:rPr>
        <w:alias w:val="是否适用：研发费用[双击切换]"/>
        <w:tag w:val="_GBC_48b4a6beb6f54c3ba7c01af3727337bb"/>
        <w:id w:val="147461139"/>
        <w:placeholder>
          <w:docPart w:val="GBC22222222222222222222222222222"/>
        </w:placeholder>
      </w:sdtPr>
      <w:sdtEndPr>
        <w:rPr>
          <w:color w:val="000000" w:themeColor="text1"/>
          <w14:textFill>
            <w14:solidFill>
              <w14:schemeClr w14:val="tx1"/>
            </w14:solidFill>
          </w14:textFill>
        </w:rPr>
      </w:sdtEndPr>
      <w:sdtContent>
        <w:p w14:paraId="4BDC00E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EEA7017">
      <w:pPr>
        <w:pStyle w:val="63"/>
        <w:ind w:left="420"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研发费用"/>
          <w:tag w:val="_GBC_a0292321d82f46b8823ab163b1084fea"/>
          <w:id w:val="1474809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研发费用"/>
          <w:tag w:val="_GBC_a0b2b92cacc24641a2d69fc025b920ea"/>
          <w:id w:val="1474560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14:paraId="7AE57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rFonts w:cs="Times New Roman"/>
            </w:rPr>
            <w:tag w:val="_PLD_878c2bf88dff43e8bf48fe187921cf85"/>
            <w:id w:val="147468836"/>
          </w:sdtPr>
          <w:sdtEndPr>
            <w:rPr>
              <w:rFonts w:cs="Times New Roman"/>
            </w:rPr>
          </w:sdtEndPr>
          <w:sdtContent>
            <w:tc>
              <w:tcPr>
                <w:tcW w:w="2213" w:type="pct"/>
                <w:tcBorders>
                  <w:top w:val="single" w:color="auto" w:sz="4" w:space="0"/>
                  <w:left w:val="single" w:color="auto" w:sz="4" w:space="0"/>
                  <w:bottom w:val="single" w:color="auto" w:sz="4" w:space="0"/>
                  <w:right w:val="single" w:color="auto" w:sz="4" w:space="0"/>
                </w:tcBorders>
              </w:tcPr>
              <w:p w14:paraId="6EE9C947">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043e1c3ae76a497c9be9c1eef3db33c6"/>
            <w:id w:val="147474237"/>
          </w:sdtPr>
          <w:sdtEndPr>
            <w:rPr>
              <w:rFonts w:cs="Times New Roman"/>
            </w:rPr>
          </w:sdtEndPr>
          <w:sdtContent>
            <w:tc>
              <w:tcPr>
                <w:tcW w:w="1439" w:type="pct"/>
                <w:tcBorders>
                  <w:top w:val="single" w:color="auto" w:sz="4" w:space="0"/>
                  <w:left w:val="single" w:color="auto" w:sz="4" w:space="0"/>
                  <w:bottom w:val="single" w:color="auto" w:sz="4" w:space="0"/>
                  <w:right w:val="single" w:color="auto" w:sz="4" w:space="0"/>
                </w:tcBorders>
              </w:tcPr>
              <w:p w14:paraId="774766B2">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tc>
          </w:sdtContent>
        </w:sdt>
        <w:sdt>
          <w:sdtPr>
            <w:rPr>
              <w:rFonts w:cs="Times New Roman"/>
            </w:rPr>
            <w:tag w:val="_PLD_d0588c88282b4dae9e42d7ffd38d27c6"/>
            <w:id w:val="147473923"/>
          </w:sdtPr>
          <w:sdtEndPr>
            <w:rPr>
              <w:rFonts w:cs="Times New Roman"/>
            </w:rPr>
          </w:sdtEndPr>
          <w:sdtContent>
            <w:tc>
              <w:tcPr>
                <w:tcW w:w="1348" w:type="pct"/>
                <w:tcBorders>
                  <w:top w:val="single" w:color="auto" w:sz="4" w:space="0"/>
                  <w:left w:val="single" w:color="auto" w:sz="4" w:space="0"/>
                  <w:bottom w:val="single" w:color="auto" w:sz="4" w:space="0"/>
                  <w:right w:val="single" w:color="auto" w:sz="4" w:space="0"/>
                </w:tcBorders>
              </w:tcPr>
              <w:p w14:paraId="2ADF75EA">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tc>
          </w:sdtContent>
        </w:sdt>
      </w:tr>
      <w:tr w14:paraId="16103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tcPr>
          <w:p w14:paraId="4FDCC757">
            <w:pPr>
              <w:textAlignment w:val="top"/>
              <w:rPr>
                <w:rFonts w:cs="Times New Roman"/>
              </w:rPr>
            </w:pPr>
            <w:r>
              <w:rPr>
                <w:rFonts w:cs="Times New Roman"/>
                <w:color w:val="000000"/>
              </w:rPr>
              <w:t>职工薪酬</w:t>
            </w:r>
          </w:p>
        </w:tc>
        <w:tc>
          <w:tcPr>
            <w:tcW w:w="1439" w:type="pct"/>
            <w:tcBorders>
              <w:top w:val="single" w:color="auto" w:sz="4" w:space="0"/>
              <w:left w:val="single" w:color="auto" w:sz="4" w:space="0"/>
              <w:bottom w:val="single" w:color="auto" w:sz="4" w:space="0"/>
              <w:right w:val="single" w:color="auto" w:sz="4" w:space="0"/>
            </w:tcBorders>
            <w:vAlign w:val="center"/>
          </w:tcPr>
          <w:p w14:paraId="5979277A">
            <w:pPr>
              <w:jc w:val="right"/>
              <w:textAlignment w:val="center"/>
              <w:rPr>
                <w:rFonts w:cs="Times New Roman"/>
              </w:rPr>
            </w:pPr>
            <w:r>
              <w:rPr>
                <w:rFonts w:cs="Times New Roman"/>
                <w:color w:val="000000"/>
              </w:rPr>
              <w:t>58,441,985.57</w:t>
            </w:r>
          </w:p>
        </w:tc>
        <w:tc>
          <w:tcPr>
            <w:tcW w:w="1348" w:type="pct"/>
            <w:tcBorders>
              <w:top w:val="single" w:color="auto" w:sz="4" w:space="0"/>
              <w:left w:val="single" w:color="auto" w:sz="4" w:space="0"/>
              <w:bottom w:val="single" w:color="auto" w:sz="4" w:space="0"/>
              <w:right w:val="single" w:color="auto" w:sz="4" w:space="0"/>
            </w:tcBorders>
            <w:vAlign w:val="center"/>
          </w:tcPr>
          <w:p w14:paraId="6D7BE4BE">
            <w:pPr>
              <w:jc w:val="right"/>
              <w:textAlignment w:val="center"/>
              <w:rPr>
                <w:rFonts w:cs="Times New Roman"/>
              </w:rPr>
            </w:pPr>
            <w:r>
              <w:rPr>
                <w:rFonts w:cs="Times New Roman"/>
                <w:color w:val="000000"/>
              </w:rPr>
              <w:t>80,791,721.19</w:t>
            </w:r>
          </w:p>
        </w:tc>
      </w:tr>
      <w:tr w14:paraId="35802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tcPr>
          <w:p w14:paraId="30E9C2BA">
            <w:pPr>
              <w:textAlignment w:val="top"/>
              <w:rPr>
                <w:rFonts w:cs="Times New Roman"/>
              </w:rPr>
            </w:pPr>
            <w:r>
              <w:rPr>
                <w:rFonts w:cs="Times New Roman"/>
                <w:color w:val="000000"/>
              </w:rPr>
              <w:t>物料消耗</w:t>
            </w:r>
          </w:p>
        </w:tc>
        <w:tc>
          <w:tcPr>
            <w:tcW w:w="1439" w:type="pct"/>
            <w:tcBorders>
              <w:top w:val="single" w:color="auto" w:sz="4" w:space="0"/>
              <w:left w:val="single" w:color="auto" w:sz="4" w:space="0"/>
              <w:bottom w:val="single" w:color="auto" w:sz="4" w:space="0"/>
              <w:right w:val="single" w:color="auto" w:sz="4" w:space="0"/>
            </w:tcBorders>
            <w:vAlign w:val="center"/>
          </w:tcPr>
          <w:p w14:paraId="19943F1D">
            <w:pPr>
              <w:jc w:val="right"/>
              <w:textAlignment w:val="center"/>
              <w:rPr>
                <w:rFonts w:cs="Times New Roman"/>
              </w:rPr>
            </w:pPr>
            <w:r>
              <w:rPr>
                <w:rFonts w:cs="Times New Roman"/>
                <w:color w:val="000000"/>
              </w:rPr>
              <w:t>28,763,444.92</w:t>
            </w:r>
          </w:p>
        </w:tc>
        <w:tc>
          <w:tcPr>
            <w:tcW w:w="1348" w:type="pct"/>
            <w:tcBorders>
              <w:top w:val="single" w:color="auto" w:sz="4" w:space="0"/>
              <w:left w:val="single" w:color="auto" w:sz="4" w:space="0"/>
              <w:bottom w:val="single" w:color="auto" w:sz="4" w:space="0"/>
              <w:right w:val="single" w:color="auto" w:sz="4" w:space="0"/>
            </w:tcBorders>
            <w:vAlign w:val="center"/>
          </w:tcPr>
          <w:p w14:paraId="26868027">
            <w:pPr>
              <w:jc w:val="right"/>
              <w:textAlignment w:val="center"/>
              <w:rPr>
                <w:rFonts w:cs="Times New Roman"/>
              </w:rPr>
            </w:pPr>
            <w:r>
              <w:rPr>
                <w:rFonts w:cs="Times New Roman"/>
                <w:color w:val="000000"/>
              </w:rPr>
              <w:t>40,014,569.04</w:t>
            </w:r>
          </w:p>
        </w:tc>
      </w:tr>
      <w:tr w14:paraId="771E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tcPr>
          <w:p w14:paraId="50DB8049">
            <w:pPr>
              <w:textAlignment w:val="top"/>
              <w:rPr>
                <w:rFonts w:cs="Times New Roman"/>
              </w:rPr>
            </w:pPr>
            <w:r>
              <w:rPr>
                <w:rFonts w:cs="Times New Roman"/>
                <w:color w:val="000000"/>
              </w:rPr>
              <w:t>折旧及摊销费</w:t>
            </w:r>
          </w:p>
        </w:tc>
        <w:tc>
          <w:tcPr>
            <w:tcW w:w="1439" w:type="pct"/>
            <w:tcBorders>
              <w:top w:val="single" w:color="auto" w:sz="4" w:space="0"/>
              <w:left w:val="single" w:color="auto" w:sz="4" w:space="0"/>
              <w:bottom w:val="single" w:color="auto" w:sz="4" w:space="0"/>
              <w:right w:val="single" w:color="auto" w:sz="4" w:space="0"/>
            </w:tcBorders>
            <w:vAlign w:val="center"/>
          </w:tcPr>
          <w:p w14:paraId="7E92893C">
            <w:pPr>
              <w:jc w:val="right"/>
              <w:textAlignment w:val="center"/>
              <w:rPr>
                <w:rFonts w:cs="Times New Roman"/>
              </w:rPr>
            </w:pPr>
            <w:r>
              <w:rPr>
                <w:rFonts w:cs="Times New Roman"/>
                <w:color w:val="000000"/>
              </w:rPr>
              <w:t>7,822,485.11</w:t>
            </w:r>
          </w:p>
        </w:tc>
        <w:tc>
          <w:tcPr>
            <w:tcW w:w="1348" w:type="pct"/>
            <w:tcBorders>
              <w:top w:val="single" w:color="auto" w:sz="4" w:space="0"/>
              <w:left w:val="single" w:color="auto" w:sz="4" w:space="0"/>
              <w:bottom w:val="single" w:color="auto" w:sz="4" w:space="0"/>
              <w:right w:val="single" w:color="auto" w:sz="4" w:space="0"/>
            </w:tcBorders>
            <w:vAlign w:val="center"/>
          </w:tcPr>
          <w:p w14:paraId="70228D37">
            <w:pPr>
              <w:jc w:val="right"/>
              <w:textAlignment w:val="center"/>
              <w:rPr>
                <w:rFonts w:cs="Times New Roman"/>
              </w:rPr>
            </w:pPr>
            <w:r>
              <w:rPr>
                <w:rFonts w:cs="Times New Roman"/>
                <w:color w:val="000000"/>
              </w:rPr>
              <w:t>9,598,766.92</w:t>
            </w:r>
          </w:p>
        </w:tc>
      </w:tr>
      <w:tr w14:paraId="6599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tcPr>
          <w:p w14:paraId="74CF3FA8">
            <w:pPr>
              <w:textAlignment w:val="top"/>
              <w:rPr>
                <w:rFonts w:cs="Times New Roman"/>
              </w:rPr>
            </w:pPr>
            <w:r>
              <w:rPr>
                <w:rFonts w:cs="Times New Roman"/>
                <w:color w:val="000000"/>
              </w:rPr>
              <w:t>差旅费</w:t>
            </w:r>
          </w:p>
        </w:tc>
        <w:tc>
          <w:tcPr>
            <w:tcW w:w="1439" w:type="pct"/>
            <w:tcBorders>
              <w:top w:val="single" w:color="auto" w:sz="4" w:space="0"/>
              <w:left w:val="single" w:color="auto" w:sz="4" w:space="0"/>
              <w:bottom w:val="single" w:color="auto" w:sz="4" w:space="0"/>
              <w:right w:val="single" w:color="auto" w:sz="4" w:space="0"/>
            </w:tcBorders>
            <w:vAlign w:val="center"/>
          </w:tcPr>
          <w:p w14:paraId="73A7DF27">
            <w:pPr>
              <w:jc w:val="right"/>
              <w:textAlignment w:val="center"/>
              <w:rPr>
                <w:rFonts w:cs="Times New Roman"/>
              </w:rPr>
            </w:pPr>
            <w:r>
              <w:rPr>
                <w:rFonts w:cs="Times New Roman"/>
                <w:color w:val="000000"/>
              </w:rPr>
              <w:t>1,953,797.46</w:t>
            </w:r>
          </w:p>
        </w:tc>
        <w:tc>
          <w:tcPr>
            <w:tcW w:w="1348" w:type="pct"/>
            <w:tcBorders>
              <w:top w:val="single" w:color="auto" w:sz="4" w:space="0"/>
              <w:left w:val="single" w:color="auto" w:sz="4" w:space="0"/>
              <w:bottom w:val="single" w:color="auto" w:sz="4" w:space="0"/>
              <w:right w:val="single" w:color="auto" w:sz="4" w:space="0"/>
            </w:tcBorders>
            <w:vAlign w:val="center"/>
          </w:tcPr>
          <w:p w14:paraId="4995306D">
            <w:pPr>
              <w:jc w:val="right"/>
              <w:textAlignment w:val="center"/>
              <w:rPr>
                <w:rFonts w:cs="Times New Roman"/>
              </w:rPr>
            </w:pPr>
            <w:r>
              <w:rPr>
                <w:rFonts w:cs="Times New Roman"/>
                <w:color w:val="000000"/>
              </w:rPr>
              <w:t>2,711,122.78</w:t>
            </w:r>
          </w:p>
        </w:tc>
      </w:tr>
      <w:tr w14:paraId="1C154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tcPr>
          <w:p w14:paraId="1E649323">
            <w:pPr>
              <w:textAlignment w:val="top"/>
              <w:rPr>
                <w:rFonts w:cs="Times New Roman"/>
              </w:rPr>
            </w:pPr>
            <w:r>
              <w:rPr>
                <w:rFonts w:cs="Times New Roman"/>
                <w:color w:val="000000"/>
              </w:rPr>
              <w:t>燃料动力费</w:t>
            </w:r>
          </w:p>
        </w:tc>
        <w:tc>
          <w:tcPr>
            <w:tcW w:w="1439" w:type="pct"/>
            <w:tcBorders>
              <w:top w:val="single" w:color="auto" w:sz="4" w:space="0"/>
              <w:left w:val="single" w:color="auto" w:sz="4" w:space="0"/>
              <w:bottom w:val="single" w:color="auto" w:sz="4" w:space="0"/>
              <w:right w:val="single" w:color="auto" w:sz="4" w:space="0"/>
            </w:tcBorders>
            <w:vAlign w:val="center"/>
          </w:tcPr>
          <w:p w14:paraId="57266605">
            <w:pPr>
              <w:jc w:val="right"/>
              <w:textAlignment w:val="center"/>
              <w:rPr>
                <w:rFonts w:cs="Times New Roman"/>
              </w:rPr>
            </w:pPr>
            <w:r>
              <w:rPr>
                <w:rFonts w:cs="Times New Roman"/>
                <w:color w:val="000000"/>
              </w:rPr>
              <w:t>3,773,522.04</w:t>
            </w:r>
          </w:p>
        </w:tc>
        <w:tc>
          <w:tcPr>
            <w:tcW w:w="1348" w:type="pct"/>
            <w:tcBorders>
              <w:top w:val="single" w:color="auto" w:sz="4" w:space="0"/>
              <w:left w:val="single" w:color="auto" w:sz="4" w:space="0"/>
              <w:bottom w:val="single" w:color="auto" w:sz="4" w:space="0"/>
              <w:right w:val="single" w:color="auto" w:sz="4" w:space="0"/>
            </w:tcBorders>
            <w:vAlign w:val="center"/>
          </w:tcPr>
          <w:p w14:paraId="7DDC6077">
            <w:pPr>
              <w:jc w:val="right"/>
              <w:textAlignment w:val="center"/>
              <w:rPr>
                <w:rFonts w:cs="Times New Roman"/>
              </w:rPr>
            </w:pPr>
            <w:r>
              <w:rPr>
                <w:rFonts w:cs="Times New Roman"/>
                <w:color w:val="000000"/>
              </w:rPr>
              <w:t>3,009,350.08</w:t>
            </w:r>
          </w:p>
        </w:tc>
      </w:tr>
      <w:tr w14:paraId="3992C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tcPr>
          <w:p w14:paraId="6019E7F4">
            <w:pPr>
              <w:textAlignment w:val="top"/>
              <w:rPr>
                <w:rFonts w:cs="Times New Roman"/>
              </w:rPr>
            </w:pPr>
            <w:r>
              <w:rPr>
                <w:rFonts w:cs="Times New Roman"/>
                <w:color w:val="000000"/>
              </w:rPr>
              <w:t>检验检测费</w:t>
            </w:r>
          </w:p>
        </w:tc>
        <w:tc>
          <w:tcPr>
            <w:tcW w:w="1439" w:type="pct"/>
            <w:tcBorders>
              <w:top w:val="single" w:color="auto" w:sz="4" w:space="0"/>
              <w:left w:val="single" w:color="auto" w:sz="4" w:space="0"/>
              <w:bottom w:val="single" w:color="auto" w:sz="4" w:space="0"/>
              <w:right w:val="single" w:color="auto" w:sz="4" w:space="0"/>
            </w:tcBorders>
            <w:vAlign w:val="center"/>
          </w:tcPr>
          <w:p w14:paraId="662C84A9">
            <w:pPr>
              <w:jc w:val="right"/>
              <w:textAlignment w:val="center"/>
              <w:rPr>
                <w:rFonts w:cs="Times New Roman"/>
              </w:rPr>
            </w:pPr>
            <w:r>
              <w:rPr>
                <w:rFonts w:cs="Times New Roman"/>
                <w:color w:val="000000"/>
              </w:rPr>
              <w:t>4,993,687.52</w:t>
            </w:r>
          </w:p>
        </w:tc>
        <w:tc>
          <w:tcPr>
            <w:tcW w:w="1348" w:type="pct"/>
            <w:tcBorders>
              <w:top w:val="single" w:color="auto" w:sz="4" w:space="0"/>
              <w:left w:val="single" w:color="auto" w:sz="4" w:space="0"/>
              <w:bottom w:val="single" w:color="auto" w:sz="4" w:space="0"/>
              <w:right w:val="single" w:color="auto" w:sz="4" w:space="0"/>
            </w:tcBorders>
            <w:vAlign w:val="center"/>
          </w:tcPr>
          <w:p w14:paraId="231A8D52">
            <w:pPr>
              <w:jc w:val="right"/>
              <w:textAlignment w:val="center"/>
              <w:rPr>
                <w:rFonts w:cs="Times New Roman"/>
              </w:rPr>
            </w:pPr>
            <w:r>
              <w:rPr>
                <w:rFonts w:cs="Times New Roman"/>
                <w:color w:val="000000"/>
              </w:rPr>
              <w:t>6,799,075.67</w:t>
            </w:r>
          </w:p>
        </w:tc>
      </w:tr>
      <w:tr w14:paraId="7932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tcPr>
          <w:p w14:paraId="11918805">
            <w:pPr>
              <w:textAlignment w:val="top"/>
              <w:rPr>
                <w:rFonts w:cs="Times New Roman"/>
              </w:rPr>
            </w:pPr>
            <w:r>
              <w:rPr>
                <w:rFonts w:cs="Times New Roman"/>
                <w:color w:val="000000"/>
              </w:rPr>
              <w:t>模具费</w:t>
            </w:r>
          </w:p>
        </w:tc>
        <w:tc>
          <w:tcPr>
            <w:tcW w:w="1439" w:type="pct"/>
            <w:tcBorders>
              <w:top w:val="single" w:color="auto" w:sz="4" w:space="0"/>
              <w:left w:val="single" w:color="auto" w:sz="4" w:space="0"/>
              <w:bottom w:val="single" w:color="auto" w:sz="4" w:space="0"/>
              <w:right w:val="single" w:color="auto" w:sz="4" w:space="0"/>
            </w:tcBorders>
            <w:vAlign w:val="center"/>
          </w:tcPr>
          <w:p w14:paraId="58D007DE">
            <w:pPr>
              <w:jc w:val="right"/>
              <w:textAlignment w:val="center"/>
              <w:rPr>
                <w:rFonts w:cs="Times New Roman"/>
              </w:rPr>
            </w:pPr>
            <w:r>
              <w:rPr>
                <w:rFonts w:cs="Times New Roman"/>
                <w:color w:val="000000"/>
              </w:rPr>
              <w:t>289,574.66</w:t>
            </w:r>
          </w:p>
        </w:tc>
        <w:tc>
          <w:tcPr>
            <w:tcW w:w="1348" w:type="pct"/>
            <w:tcBorders>
              <w:top w:val="single" w:color="auto" w:sz="4" w:space="0"/>
              <w:left w:val="single" w:color="auto" w:sz="4" w:space="0"/>
              <w:bottom w:val="single" w:color="auto" w:sz="4" w:space="0"/>
              <w:right w:val="single" w:color="auto" w:sz="4" w:space="0"/>
            </w:tcBorders>
            <w:vAlign w:val="center"/>
          </w:tcPr>
          <w:p w14:paraId="2F10F3FE">
            <w:pPr>
              <w:jc w:val="right"/>
              <w:textAlignment w:val="center"/>
              <w:rPr>
                <w:rFonts w:cs="Times New Roman"/>
              </w:rPr>
            </w:pPr>
            <w:r>
              <w:rPr>
                <w:rFonts w:cs="Times New Roman"/>
                <w:color w:val="000000"/>
              </w:rPr>
              <w:t>2,242,278.69</w:t>
            </w:r>
          </w:p>
        </w:tc>
      </w:tr>
      <w:tr w14:paraId="0300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tcPr>
          <w:p w14:paraId="09C82E56">
            <w:pPr>
              <w:textAlignment w:val="top"/>
              <w:rPr>
                <w:rFonts w:cs="Times New Roman"/>
              </w:rPr>
            </w:pPr>
            <w:r>
              <w:rPr>
                <w:rFonts w:cs="Times New Roman"/>
                <w:color w:val="000000"/>
              </w:rPr>
              <w:t>样品费</w:t>
            </w:r>
          </w:p>
        </w:tc>
        <w:tc>
          <w:tcPr>
            <w:tcW w:w="1439" w:type="pct"/>
            <w:tcBorders>
              <w:top w:val="single" w:color="auto" w:sz="4" w:space="0"/>
              <w:left w:val="single" w:color="auto" w:sz="4" w:space="0"/>
              <w:bottom w:val="single" w:color="auto" w:sz="4" w:space="0"/>
              <w:right w:val="single" w:color="auto" w:sz="4" w:space="0"/>
            </w:tcBorders>
            <w:vAlign w:val="center"/>
          </w:tcPr>
          <w:p w14:paraId="7FA6BCEF">
            <w:pPr>
              <w:jc w:val="right"/>
              <w:textAlignment w:val="center"/>
              <w:rPr>
                <w:rFonts w:cs="Times New Roman"/>
              </w:rPr>
            </w:pPr>
            <w:r>
              <w:rPr>
                <w:rFonts w:cs="Times New Roman"/>
                <w:color w:val="000000"/>
              </w:rPr>
              <w:t>1,276,742.26</w:t>
            </w:r>
          </w:p>
        </w:tc>
        <w:tc>
          <w:tcPr>
            <w:tcW w:w="1348" w:type="pct"/>
            <w:tcBorders>
              <w:top w:val="single" w:color="auto" w:sz="4" w:space="0"/>
              <w:left w:val="single" w:color="auto" w:sz="4" w:space="0"/>
              <w:bottom w:val="single" w:color="auto" w:sz="4" w:space="0"/>
              <w:right w:val="single" w:color="auto" w:sz="4" w:space="0"/>
            </w:tcBorders>
            <w:vAlign w:val="center"/>
          </w:tcPr>
          <w:p w14:paraId="0766FAA6">
            <w:pPr>
              <w:jc w:val="right"/>
              <w:textAlignment w:val="center"/>
              <w:rPr>
                <w:rFonts w:cs="Times New Roman"/>
              </w:rPr>
            </w:pPr>
            <w:r>
              <w:rPr>
                <w:rFonts w:cs="Times New Roman"/>
                <w:color w:val="000000"/>
              </w:rPr>
              <w:t>2,273,142.71</w:t>
            </w:r>
          </w:p>
        </w:tc>
      </w:tr>
      <w:tr w14:paraId="2B9D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tcPr>
          <w:p w14:paraId="395D6692">
            <w:pPr>
              <w:textAlignment w:val="top"/>
              <w:rPr>
                <w:rFonts w:cs="Times New Roman"/>
              </w:rPr>
            </w:pPr>
            <w:r>
              <w:rPr>
                <w:rFonts w:cs="Times New Roman"/>
                <w:color w:val="000000"/>
              </w:rPr>
              <w:t>委外研发</w:t>
            </w:r>
          </w:p>
        </w:tc>
        <w:tc>
          <w:tcPr>
            <w:tcW w:w="1439" w:type="pct"/>
            <w:tcBorders>
              <w:top w:val="single" w:color="auto" w:sz="4" w:space="0"/>
              <w:left w:val="single" w:color="auto" w:sz="4" w:space="0"/>
              <w:bottom w:val="single" w:color="auto" w:sz="4" w:space="0"/>
              <w:right w:val="single" w:color="auto" w:sz="4" w:space="0"/>
            </w:tcBorders>
            <w:vAlign w:val="center"/>
          </w:tcPr>
          <w:p w14:paraId="5974F284">
            <w:pPr>
              <w:jc w:val="right"/>
              <w:textAlignment w:val="center"/>
              <w:rPr>
                <w:rFonts w:cs="Times New Roman"/>
              </w:rPr>
            </w:pPr>
            <w:r>
              <w:rPr>
                <w:rFonts w:cs="Times New Roman"/>
                <w:color w:val="000000"/>
              </w:rPr>
              <w:t>568,979.41</w:t>
            </w:r>
          </w:p>
        </w:tc>
        <w:tc>
          <w:tcPr>
            <w:tcW w:w="1348" w:type="pct"/>
            <w:tcBorders>
              <w:top w:val="single" w:color="auto" w:sz="4" w:space="0"/>
              <w:left w:val="single" w:color="auto" w:sz="4" w:space="0"/>
              <w:bottom w:val="single" w:color="auto" w:sz="4" w:space="0"/>
              <w:right w:val="single" w:color="auto" w:sz="4" w:space="0"/>
            </w:tcBorders>
            <w:vAlign w:val="center"/>
          </w:tcPr>
          <w:p w14:paraId="34FB1DA9">
            <w:pPr>
              <w:jc w:val="right"/>
              <w:textAlignment w:val="center"/>
              <w:rPr>
                <w:rFonts w:cs="Times New Roman"/>
              </w:rPr>
            </w:pPr>
            <w:r>
              <w:rPr>
                <w:rFonts w:cs="Times New Roman"/>
                <w:color w:val="000000"/>
              </w:rPr>
              <w:t>656,861.15</w:t>
            </w:r>
          </w:p>
        </w:tc>
      </w:tr>
      <w:tr w14:paraId="0D9E7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7A74B3E4">
            <w:pPr>
              <w:textAlignment w:val="center"/>
              <w:rPr>
                <w:rFonts w:cs="Times New Roman"/>
              </w:rPr>
            </w:pPr>
            <w:r>
              <w:rPr>
                <w:rFonts w:cs="Times New Roman"/>
                <w:color w:val="000000"/>
              </w:rPr>
              <w:t>设计及咨询费</w:t>
            </w:r>
          </w:p>
        </w:tc>
        <w:tc>
          <w:tcPr>
            <w:tcW w:w="1439" w:type="pct"/>
            <w:tcBorders>
              <w:top w:val="single" w:color="auto" w:sz="4" w:space="0"/>
              <w:left w:val="single" w:color="auto" w:sz="4" w:space="0"/>
              <w:bottom w:val="single" w:color="auto" w:sz="4" w:space="0"/>
              <w:right w:val="single" w:color="auto" w:sz="4" w:space="0"/>
            </w:tcBorders>
            <w:vAlign w:val="center"/>
          </w:tcPr>
          <w:p w14:paraId="012E6DAF">
            <w:pPr>
              <w:jc w:val="right"/>
              <w:textAlignment w:val="center"/>
              <w:rPr>
                <w:rFonts w:cs="Times New Roman"/>
              </w:rPr>
            </w:pPr>
            <w:r>
              <w:rPr>
                <w:rFonts w:cs="Times New Roman"/>
                <w:color w:val="000000"/>
              </w:rPr>
              <w:t>1,111,552.12</w:t>
            </w:r>
          </w:p>
        </w:tc>
        <w:tc>
          <w:tcPr>
            <w:tcW w:w="1348" w:type="pct"/>
            <w:tcBorders>
              <w:top w:val="single" w:color="auto" w:sz="4" w:space="0"/>
              <w:left w:val="single" w:color="auto" w:sz="4" w:space="0"/>
              <w:bottom w:val="single" w:color="auto" w:sz="4" w:space="0"/>
              <w:right w:val="single" w:color="auto" w:sz="4" w:space="0"/>
            </w:tcBorders>
            <w:vAlign w:val="center"/>
          </w:tcPr>
          <w:p w14:paraId="28A569BA">
            <w:pPr>
              <w:jc w:val="right"/>
              <w:textAlignment w:val="center"/>
              <w:rPr>
                <w:rFonts w:cs="Times New Roman"/>
              </w:rPr>
            </w:pPr>
            <w:r>
              <w:rPr>
                <w:rFonts w:cs="Times New Roman"/>
                <w:color w:val="000000"/>
              </w:rPr>
              <w:t>1,601,823.04</w:t>
            </w:r>
          </w:p>
        </w:tc>
      </w:tr>
      <w:tr w14:paraId="1515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5F160C58">
            <w:pPr>
              <w:textAlignment w:val="center"/>
              <w:rPr>
                <w:rFonts w:cs="Times New Roman"/>
              </w:rPr>
            </w:pPr>
            <w:r>
              <w:rPr>
                <w:rFonts w:cs="Times New Roman"/>
                <w:color w:val="000000"/>
              </w:rPr>
              <w:t>其他费用</w:t>
            </w:r>
          </w:p>
        </w:tc>
        <w:tc>
          <w:tcPr>
            <w:tcW w:w="1439" w:type="pct"/>
            <w:tcBorders>
              <w:top w:val="single" w:color="auto" w:sz="4" w:space="0"/>
              <w:left w:val="single" w:color="auto" w:sz="4" w:space="0"/>
              <w:bottom w:val="single" w:color="auto" w:sz="4" w:space="0"/>
              <w:right w:val="single" w:color="auto" w:sz="4" w:space="0"/>
            </w:tcBorders>
            <w:vAlign w:val="center"/>
          </w:tcPr>
          <w:p w14:paraId="4C4309C6">
            <w:pPr>
              <w:jc w:val="right"/>
              <w:textAlignment w:val="center"/>
              <w:rPr>
                <w:rFonts w:cs="Times New Roman"/>
              </w:rPr>
            </w:pPr>
            <w:r>
              <w:rPr>
                <w:rFonts w:cs="Times New Roman"/>
                <w:color w:val="000000"/>
              </w:rPr>
              <w:t>9,780,130.45</w:t>
            </w:r>
          </w:p>
        </w:tc>
        <w:tc>
          <w:tcPr>
            <w:tcW w:w="1348" w:type="pct"/>
            <w:tcBorders>
              <w:top w:val="single" w:color="auto" w:sz="4" w:space="0"/>
              <w:left w:val="single" w:color="auto" w:sz="4" w:space="0"/>
              <w:bottom w:val="single" w:color="auto" w:sz="4" w:space="0"/>
              <w:right w:val="single" w:color="auto" w:sz="4" w:space="0"/>
            </w:tcBorders>
            <w:vAlign w:val="center"/>
          </w:tcPr>
          <w:p w14:paraId="7528B4B5">
            <w:pPr>
              <w:jc w:val="right"/>
              <w:textAlignment w:val="center"/>
              <w:rPr>
                <w:rFonts w:cs="Times New Roman"/>
              </w:rPr>
            </w:pPr>
            <w:r>
              <w:rPr>
                <w:rFonts w:cs="Times New Roman"/>
                <w:color w:val="000000"/>
              </w:rPr>
              <w:t>8,319,151.16</w:t>
            </w:r>
          </w:p>
        </w:tc>
      </w:tr>
      <w:tr w14:paraId="280B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7D015D57">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439" w:type="pct"/>
            <w:tcBorders>
              <w:top w:val="single" w:color="auto" w:sz="4" w:space="0"/>
              <w:left w:val="single" w:color="auto" w:sz="4" w:space="0"/>
              <w:bottom w:val="single" w:color="auto" w:sz="4" w:space="0"/>
              <w:right w:val="single" w:color="auto" w:sz="4" w:space="0"/>
            </w:tcBorders>
            <w:vAlign w:val="center"/>
          </w:tcPr>
          <w:p w14:paraId="0214D80A">
            <w:pPr>
              <w:jc w:val="right"/>
              <w:textAlignment w:val="center"/>
              <w:rPr>
                <w:rFonts w:cs="Times New Roman"/>
              </w:rPr>
            </w:pPr>
            <w:r>
              <w:rPr>
                <w:rFonts w:cs="Times New Roman"/>
                <w:color w:val="000000"/>
              </w:rPr>
              <w:t>118,775,901.52</w:t>
            </w:r>
          </w:p>
        </w:tc>
        <w:tc>
          <w:tcPr>
            <w:tcW w:w="1348" w:type="pct"/>
            <w:tcBorders>
              <w:top w:val="single" w:color="auto" w:sz="4" w:space="0"/>
              <w:left w:val="single" w:color="auto" w:sz="4" w:space="0"/>
              <w:bottom w:val="single" w:color="auto" w:sz="4" w:space="0"/>
              <w:right w:val="single" w:color="auto" w:sz="4" w:space="0"/>
            </w:tcBorders>
            <w:vAlign w:val="center"/>
          </w:tcPr>
          <w:p w14:paraId="77DED65B">
            <w:pPr>
              <w:jc w:val="right"/>
              <w:textAlignment w:val="center"/>
              <w:rPr>
                <w:rFonts w:cs="Times New Roman"/>
              </w:rPr>
            </w:pPr>
            <w:r>
              <w:rPr>
                <w:rFonts w:cs="Times New Roman"/>
                <w:color w:val="000000"/>
              </w:rPr>
              <w:t>158,017,862.43</w:t>
            </w:r>
          </w:p>
        </w:tc>
      </w:tr>
    </w:tbl>
    <w:p w14:paraId="6D8CACB5">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研发费用其他说明"/>
        <w:tag w:val="_GBC_f09ad1e9748e43059f8db34f9454426c"/>
        <w:id w:val="147461648"/>
        <w:placeholder>
          <w:docPart w:val="GBC22222222222222222222222222222"/>
        </w:placeholder>
      </w:sdtPr>
      <w:sdtEndPr>
        <w:rPr>
          <w:color w:val="000000" w:themeColor="text1"/>
          <w14:textFill>
            <w14:solidFill>
              <w14:schemeClr w14:val="tx1"/>
            </w14:solidFill>
          </w14:textFill>
        </w:rPr>
      </w:sdtEndPr>
      <w:sdtContent>
        <w:p w14:paraId="16FF39C1">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494AC6F5">
      <w:pPr>
        <w:rPr>
          <w:color w:val="000000" w:themeColor="text1"/>
          <w14:textFill>
            <w14:solidFill>
              <w14:schemeClr w14:val="tx1"/>
            </w14:solidFill>
          </w14:textFill>
        </w:rPr>
      </w:pPr>
    </w:p>
    <w:bookmarkEnd w:id="386"/>
    <w:p w14:paraId="19073E76">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财务费用</w:t>
      </w:r>
    </w:p>
    <w:sdt>
      <w:sdtPr>
        <w:rPr>
          <w:color w:val="000000" w:themeColor="text1"/>
          <w14:textFill>
            <w14:solidFill>
              <w14:schemeClr w14:val="tx1"/>
            </w14:solidFill>
          </w14:textFill>
        </w:rPr>
        <w:alias w:val="是否适用：财务费用[双击切换]"/>
        <w:tag w:val="_GBC_699d8bdb2f1f4504a0ea4ccbc8889cfa"/>
        <w:id w:val="147451163"/>
        <w:placeholder>
          <w:docPart w:val="GBC22222222222222222222222222222"/>
        </w:placeholder>
      </w:sdtPr>
      <w:sdtEndPr>
        <w:rPr>
          <w:color w:val="000000" w:themeColor="text1"/>
          <w14:textFill>
            <w14:solidFill>
              <w14:schemeClr w14:val="tx1"/>
            </w14:solidFill>
          </w14:textFill>
        </w:rPr>
      </w:sdtEndPr>
      <w:sdtContent>
        <w:p w14:paraId="736835A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1B7A6EA">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费用"/>
          <w:tag w:val="_GBC_eb9e02dce68144759561a3427fb3099a"/>
          <w:id w:val="1474758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费用"/>
          <w:tag w:val="_GBC_8e992a76854b4bd0a3f5cd49b31a4604"/>
          <w:id w:val="1474587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14:paraId="037F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c57c227174f044c4bfa2c0fda1e37156"/>
            <w:id w:val="147475152"/>
          </w:sdtPr>
          <w:sdtEndPr>
            <w:rPr>
              <w:rFonts w:cs="Times New Roman"/>
            </w:rPr>
          </w:sdtEndPr>
          <w:sdtContent>
            <w:tc>
              <w:tcPr>
                <w:tcW w:w="2213" w:type="pct"/>
                <w:tcBorders>
                  <w:top w:val="single" w:color="auto" w:sz="4" w:space="0"/>
                  <w:left w:val="single" w:color="auto" w:sz="4" w:space="0"/>
                  <w:bottom w:val="single" w:color="auto" w:sz="4" w:space="0"/>
                  <w:right w:val="single" w:color="auto" w:sz="4" w:space="0"/>
                </w:tcBorders>
              </w:tcPr>
              <w:p w14:paraId="05468A2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d7b23aa0bcb6433894875c858270ab7f"/>
            <w:id w:val="147483575"/>
          </w:sdtPr>
          <w:sdtEndPr>
            <w:rPr>
              <w:rFonts w:cs="Times New Roman"/>
            </w:rPr>
          </w:sdtEndPr>
          <w:sdtContent>
            <w:tc>
              <w:tcPr>
                <w:tcW w:w="1439" w:type="pct"/>
                <w:tcBorders>
                  <w:top w:val="single" w:color="auto" w:sz="4" w:space="0"/>
                  <w:left w:val="single" w:color="auto" w:sz="4" w:space="0"/>
                  <w:bottom w:val="single" w:color="auto" w:sz="4" w:space="0"/>
                  <w:right w:val="single" w:color="auto" w:sz="4" w:space="0"/>
                </w:tcBorders>
              </w:tcPr>
              <w:p w14:paraId="688FE90A">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tc>
          </w:sdtContent>
        </w:sdt>
        <w:sdt>
          <w:sdtPr>
            <w:rPr>
              <w:rFonts w:cs="Times New Roman"/>
            </w:rPr>
            <w:tag w:val="_PLD_d79245f93e3d475b953b3e44bb1c6425"/>
            <w:id w:val="147472342"/>
          </w:sdtPr>
          <w:sdtEndPr>
            <w:rPr>
              <w:rFonts w:cs="Times New Roman"/>
            </w:rPr>
          </w:sdtEndPr>
          <w:sdtContent>
            <w:tc>
              <w:tcPr>
                <w:tcW w:w="1348" w:type="pct"/>
                <w:tcBorders>
                  <w:top w:val="single" w:color="auto" w:sz="4" w:space="0"/>
                  <w:left w:val="single" w:color="auto" w:sz="4" w:space="0"/>
                  <w:bottom w:val="single" w:color="auto" w:sz="4" w:space="0"/>
                  <w:right w:val="single" w:color="auto" w:sz="4" w:space="0"/>
                </w:tcBorders>
              </w:tcPr>
              <w:p w14:paraId="63D51F18">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tc>
          </w:sdtContent>
        </w:sdt>
      </w:tr>
      <w:tr w14:paraId="68E1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5604B1A0">
            <w:pPr>
              <w:textAlignment w:val="center"/>
              <w:rPr>
                <w:rFonts w:cs="Times New Roman"/>
              </w:rPr>
            </w:pPr>
            <w:r>
              <w:rPr>
                <w:rFonts w:cs="Times New Roman"/>
                <w:color w:val="000000"/>
                <w:lang w:bidi="ar"/>
              </w:rPr>
              <w:t>利息支出</w:t>
            </w:r>
          </w:p>
        </w:tc>
        <w:tc>
          <w:tcPr>
            <w:tcW w:w="2539" w:type="dxa"/>
            <w:tcBorders>
              <w:top w:val="single" w:color="auto" w:sz="4" w:space="0"/>
              <w:left w:val="single" w:color="auto" w:sz="4" w:space="0"/>
              <w:bottom w:val="single" w:color="auto" w:sz="4" w:space="0"/>
              <w:right w:val="single" w:color="auto" w:sz="4" w:space="0"/>
            </w:tcBorders>
            <w:vAlign w:val="center"/>
          </w:tcPr>
          <w:p w14:paraId="4E8B3432">
            <w:pPr>
              <w:jc w:val="right"/>
              <w:textAlignment w:val="center"/>
              <w:rPr>
                <w:rFonts w:cs="Times New Roman"/>
              </w:rPr>
            </w:pPr>
            <w:r>
              <w:rPr>
                <w:rFonts w:eastAsia="Arial Narrow" w:cs="Times New Roman"/>
                <w:color w:val="000000"/>
                <w:lang w:bidi="ar"/>
              </w:rPr>
              <w:t>42,092,229.97</w:t>
            </w:r>
          </w:p>
        </w:tc>
        <w:tc>
          <w:tcPr>
            <w:tcW w:w="1348" w:type="pct"/>
            <w:tcBorders>
              <w:top w:val="single" w:color="auto" w:sz="4" w:space="0"/>
              <w:left w:val="single" w:color="auto" w:sz="4" w:space="0"/>
              <w:bottom w:val="single" w:color="auto" w:sz="4" w:space="0"/>
              <w:right w:val="single" w:color="auto" w:sz="4" w:space="0"/>
            </w:tcBorders>
            <w:vAlign w:val="center"/>
          </w:tcPr>
          <w:p w14:paraId="43BA54A6">
            <w:pPr>
              <w:jc w:val="right"/>
              <w:textAlignment w:val="center"/>
              <w:rPr>
                <w:rFonts w:cs="Times New Roman"/>
              </w:rPr>
            </w:pPr>
            <w:r>
              <w:rPr>
                <w:rFonts w:cs="Times New Roman"/>
                <w:color w:val="000000"/>
              </w:rPr>
              <w:t>35,397,869.58</w:t>
            </w:r>
          </w:p>
        </w:tc>
      </w:tr>
      <w:tr w14:paraId="0D79F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0DD0EE2E">
            <w:pPr>
              <w:textAlignment w:val="center"/>
              <w:rPr>
                <w:rFonts w:cs="Times New Roman"/>
              </w:rPr>
            </w:pPr>
            <w:r>
              <w:rPr>
                <w:rFonts w:cs="Times New Roman"/>
                <w:color w:val="000000"/>
                <w:lang w:bidi="ar"/>
              </w:rPr>
              <w:t>减：利息收入</w:t>
            </w:r>
          </w:p>
        </w:tc>
        <w:tc>
          <w:tcPr>
            <w:tcW w:w="2539" w:type="dxa"/>
            <w:tcBorders>
              <w:top w:val="single" w:color="auto" w:sz="4" w:space="0"/>
              <w:left w:val="single" w:color="auto" w:sz="4" w:space="0"/>
              <w:bottom w:val="single" w:color="auto" w:sz="4" w:space="0"/>
              <w:right w:val="single" w:color="auto" w:sz="4" w:space="0"/>
            </w:tcBorders>
            <w:vAlign w:val="center"/>
          </w:tcPr>
          <w:p w14:paraId="76521A21">
            <w:pPr>
              <w:jc w:val="right"/>
              <w:textAlignment w:val="center"/>
              <w:rPr>
                <w:rFonts w:cs="Times New Roman"/>
              </w:rPr>
            </w:pPr>
            <w:r>
              <w:rPr>
                <w:rFonts w:eastAsia="Arial Narrow" w:cs="Times New Roman"/>
                <w:color w:val="000000"/>
                <w:lang w:bidi="ar"/>
              </w:rPr>
              <w:t>60,068,341.22</w:t>
            </w:r>
          </w:p>
        </w:tc>
        <w:tc>
          <w:tcPr>
            <w:tcW w:w="1348" w:type="pct"/>
            <w:tcBorders>
              <w:top w:val="single" w:color="auto" w:sz="4" w:space="0"/>
              <w:left w:val="single" w:color="auto" w:sz="4" w:space="0"/>
              <w:bottom w:val="single" w:color="auto" w:sz="4" w:space="0"/>
              <w:right w:val="single" w:color="auto" w:sz="4" w:space="0"/>
            </w:tcBorders>
            <w:vAlign w:val="center"/>
          </w:tcPr>
          <w:p w14:paraId="5FCE15C4">
            <w:pPr>
              <w:jc w:val="right"/>
              <w:textAlignment w:val="center"/>
              <w:rPr>
                <w:rFonts w:cs="Times New Roman"/>
              </w:rPr>
            </w:pPr>
            <w:r>
              <w:rPr>
                <w:rFonts w:cs="Times New Roman"/>
                <w:color w:val="000000"/>
              </w:rPr>
              <w:t>51,034,553.34</w:t>
            </w:r>
          </w:p>
        </w:tc>
      </w:tr>
      <w:tr w14:paraId="56C0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060A4B9C">
            <w:pPr>
              <w:textAlignment w:val="center"/>
              <w:rPr>
                <w:rFonts w:cs="Times New Roman"/>
              </w:rPr>
            </w:pPr>
            <w:r>
              <w:rPr>
                <w:rFonts w:cs="Times New Roman"/>
                <w:color w:val="000000"/>
                <w:lang w:bidi="ar"/>
              </w:rPr>
              <w:t>加：汇兑损益</w:t>
            </w:r>
          </w:p>
        </w:tc>
        <w:tc>
          <w:tcPr>
            <w:tcW w:w="2539" w:type="dxa"/>
            <w:tcBorders>
              <w:top w:val="single" w:color="auto" w:sz="4" w:space="0"/>
              <w:left w:val="single" w:color="auto" w:sz="4" w:space="0"/>
              <w:bottom w:val="single" w:color="auto" w:sz="4" w:space="0"/>
              <w:right w:val="single" w:color="auto" w:sz="4" w:space="0"/>
            </w:tcBorders>
            <w:vAlign w:val="center"/>
          </w:tcPr>
          <w:p w14:paraId="5FE5925F">
            <w:pPr>
              <w:jc w:val="right"/>
              <w:textAlignment w:val="center"/>
              <w:rPr>
                <w:rFonts w:cs="Times New Roman"/>
              </w:rPr>
            </w:pPr>
            <w:r>
              <w:rPr>
                <w:rFonts w:eastAsia="Arial Narrow" w:cs="Times New Roman"/>
                <w:color w:val="000000"/>
                <w:lang w:bidi="ar"/>
              </w:rPr>
              <w:t>2,358,552.40</w:t>
            </w:r>
          </w:p>
        </w:tc>
        <w:tc>
          <w:tcPr>
            <w:tcW w:w="1348" w:type="pct"/>
            <w:tcBorders>
              <w:top w:val="single" w:color="auto" w:sz="4" w:space="0"/>
              <w:left w:val="single" w:color="auto" w:sz="4" w:space="0"/>
              <w:bottom w:val="single" w:color="auto" w:sz="4" w:space="0"/>
              <w:right w:val="single" w:color="auto" w:sz="4" w:space="0"/>
            </w:tcBorders>
            <w:vAlign w:val="center"/>
          </w:tcPr>
          <w:p w14:paraId="0337F9FE">
            <w:pPr>
              <w:jc w:val="right"/>
              <w:textAlignment w:val="center"/>
              <w:rPr>
                <w:rFonts w:cs="Times New Roman"/>
              </w:rPr>
            </w:pPr>
            <w:r>
              <w:rPr>
                <w:rFonts w:cs="Times New Roman"/>
                <w:color w:val="000000"/>
              </w:rPr>
              <w:t>-1,999,175.45</w:t>
            </w:r>
          </w:p>
        </w:tc>
      </w:tr>
      <w:tr w14:paraId="7BC06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24ECBEE9">
            <w:pPr>
              <w:textAlignment w:val="center"/>
              <w:rPr>
                <w:rFonts w:cs="Times New Roman"/>
              </w:rPr>
            </w:pPr>
            <w:r>
              <w:rPr>
                <w:rFonts w:cs="Times New Roman"/>
                <w:color w:val="000000"/>
                <w:lang w:bidi="ar"/>
              </w:rPr>
              <w:t>加：手续费</w:t>
            </w:r>
          </w:p>
        </w:tc>
        <w:tc>
          <w:tcPr>
            <w:tcW w:w="2539" w:type="dxa"/>
            <w:tcBorders>
              <w:top w:val="single" w:color="auto" w:sz="4" w:space="0"/>
              <w:left w:val="single" w:color="auto" w:sz="4" w:space="0"/>
              <w:bottom w:val="single" w:color="auto" w:sz="4" w:space="0"/>
              <w:right w:val="single" w:color="auto" w:sz="4" w:space="0"/>
            </w:tcBorders>
            <w:vAlign w:val="center"/>
          </w:tcPr>
          <w:p w14:paraId="535414A9">
            <w:pPr>
              <w:jc w:val="right"/>
              <w:textAlignment w:val="center"/>
              <w:rPr>
                <w:rFonts w:cs="Times New Roman"/>
              </w:rPr>
            </w:pPr>
            <w:r>
              <w:rPr>
                <w:rFonts w:eastAsia="Arial Narrow" w:cs="Times New Roman"/>
                <w:color w:val="000000"/>
                <w:lang w:bidi="ar"/>
              </w:rPr>
              <w:t>1,436,257.55</w:t>
            </w:r>
          </w:p>
        </w:tc>
        <w:tc>
          <w:tcPr>
            <w:tcW w:w="1348" w:type="pct"/>
            <w:tcBorders>
              <w:top w:val="single" w:color="auto" w:sz="4" w:space="0"/>
              <w:left w:val="single" w:color="auto" w:sz="4" w:space="0"/>
              <w:bottom w:val="single" w:color="auto" w:sz="4" w:space="0"/>
              <w:right w:val="single" w:color="auto" w:sz="4" w:space="0"/>
            </w:tcBorders>
            <w:vAlign w:val="center"/>
          </w:tcPr>
          <w:p w14:paraId="0863FF6E">
            <w:pPr>
              <w:jc w:val="right"/>
              <w:textAlignment w:val="center"/>
              <w:rPr>
                <w:rFonts w:cs="Times New Roman"/>
              </w:rPr>
            </w:pPr>
            <w:r>
              <w:rPr>
                <w:rFonts w:cs="Times New Roman"/>
                <w:color w:val="000000"/>
              </w:rPr>
              <w:t>2,138,357.94</w:t>
            </w:r>
          </w:p>
        </w:tc>
      </w:tr>
      <w:tr w14:paraId="409F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657E0E18">
            <w:pPr>
              <w:textAlignment w:val="center"/>
              <w:rPr>
                <w:rFonts w:cs="Times New Roman"/>
              </w:rPr>
            </w:pPr>
            <w:r>
              <w:rPr>
                <w:rFonts w:cs="Times New Roman"/>
                <w:color w:val="000000"/>
                <w:lang w:bidi="ar"/>
              </w:rPr>
              <w:t>加：其他</w:t>
            </w:r>
          </w:p>
        </w:tc>
        <w:tc>
          <w:tcPr>
            <w:tcW w:w="2539" w:type="dxa"/>
            <w:tcBorders>
              <w:top w:val="single" w:color="auto" w:sz="4" w:space="0"/>
              <w:left w:val="single" w:color="auto" w:sz="4" w:space="0"/>
              <w:bottom w:val="single" w:color="auto" w:sz="4" w:space="0"/>
              <w:right w:val="single" w:color="auto" w:sz="4" w:space="0"/>
            </w:tcBorders>
            <w:vAlign w:val="center"/>
          </w:tcPr>
          <w:p w14:paraId="398D8196">
            <w:pPr>
              <w:jc w:val="right"/>
              <w:textAlignment w:val="center"/>
              <w:rPr>
                <w:rFonts w:cs="Times New Roman"/>
              </w:rPr>
            </w:pPr>
            <w:r>
              <w:rPr>
                <w:rFonts w:eastAsia="Arial Narrow" w:cs="Times New Roman"/>
                <w:color w:val="000000"/>
                <w:lang w:bidi="ar"/>
              </w:rPr>
              <w:t>-7,113.57</w:t>
            </w:r>
          </w:p>
        </w:tc>
        <w:tc>
          <w:tcPr>
            <w:tcW w:w="1348" w:type="pct"/>
            <w:tcBorders>
              <w:top w:val="single" w:color="auto" w:sz="4" w:space="0"/>
              <w:left w:val="single" w:color="auto" w:sz="4" w:space="0"/>
              <w:bottom w:val="single" w:color="auto" w:sz="4" w:space="0"/>
              <w:right w:val="single" w:color="auto" w:sz="4" w:space="0"/>
            </w:tcBorders>
            <w:vAlign w:val="center"/>
          </w:tcPr>
          <w:p w14:paraId="12294BAD">
            <w:pPr>
              <w:jc w:val="right"/>
              <w:textAlignment w:val="center"/>
              <w:rPr>
                <w:rFonts w:cs="Times New Roman"/>
              </w:rPr>
            </w:pPr>
            <w:r>
              <w:rPr>
                <w:rFonts w:cs="Times New Roman"/>
                <w:color w:val="000000"/>
              </w:rPr>
              <w:t>-129,049.90</w:t>
            </w:r>
          </w:p>
        </w:tc>
      </w:tr>
      <w:tr w14:paraId="4CAC4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tcPr>
          <w:p w14:paraId="3336917A">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2539" w:type="dxa"/>
            <w:tcBorders>
              <w:top w:val="single" w:color="auto" w:sz="4" w:space="0"/>
              <w:left w:val="single" w:color="auto" w:sz="4" w:space="0"/>
              <w:bottom w:val="single" w:color="auto" w:sz="4" w:space="0"/>
              <w:right w:val="single" w:color="auto" w:sz="4" w:space="0"/>
            </w:tcBorders>
            <w:vAlign w:val="center"/>
          </w:tcPr>
          <w:p w14:paraId="491B9DEF">
            <w:pPr>
              <w:jc w:val="right"/>
              <w:textAlignment w:val="center"/>
              <w:rPr>
                <w:rFonts w:cs="Times New Roman"/>
              </w:rPr>
            </w:pPr>
            <w:r>
              <w:rPr>
                <w:rFonts w:eastAsia="Arial Narrow" w:cs="Times New Roman"/>
                <w:color w:val="000000"/>
                <w:lang w:bidi="ar"/>
              </w:rPr>
              <w:t>-14,188,414.87</w:t>
            </w:r>
          </w:p>
        </w:tc>
        <w:tc>
          <w:tcPr>
            <w:tcW w:w="1348" w:type="pct"/>
            <w:tcBorders>
              <w:top w:val="single" w:color="auto" w:sz="4" w:space="0"/>
              <w:left w:val="single" w:color="auto" w:sz="4" w:space="0"/>
              <w:bottom w:val="single" w:color="auto" w:sz="4" w:space="0"/>
              <w:right w:val="single" w:color="auto" w:sz="4" w:space="0"/>
            </w:tcBorders>
            <w:vAlign w:val="center"/>
          </w:tcPr>
          <w:p w14:paraId="7B570888">
            <w:pPr>
              <w:jc w:val="right"/>
              <w:textAlignment w:val="center"/>
              <w:rPr>
                <w:rFonts w:cs="Times New Roman"/>
              </w:rPr>
            </w:pPr>
            <w:r>
              <w:rPr>
                <w:rFonts w:cs="Times New Roman"/>
                <w:color w:val="000000"/>
              </w:rPr>
              <w:t>-15,626,551.17</w:t>
            </w:r>
          </w:p>
        </w:tc>
      </w:tr>
    </w:tbl>
    <w:p w14:paraId="4C2F4055">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财务费用的其他说明事项"/>
        <w:tag w:val="_GBC_5bd15645edcc4a51b94ddca48ee9be98"/>
        <w:id w:val="147460689"/>
        <w:placeholder>
          <w:docPart w:val="GBC22222222222222222222222222222"/>
        </w:placeholder>
      </w:sdtPr>
      <w:sdtEndPr>
        <w:rPr>
          <w:color w:val="000000" w:themeColor="text1"/>
          <w14:textFill>
            <w14:solidFill>
              <w14:schemeClr w14:val="tx1"/>
            </w14:solidFill>
          </w14:textFill>
        </w:rPr>
      </w:sdtEndPr>
      <w:sdtContent>
        <w:p w14:paraId="18A973AF">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095097B0">
      <w:pPr>
        <w:rPr>
          <w:color w:val="000000" w:themeColor="text1"/>
          <w14:textFill>
            <w14:solidFill>
              <w14:schemeClr w14:val="tx1"/>
            </w14:solidFill>
          </w14:textFill>
        </w:rPr>
      </w:pPr>
    </w:p>
    <w:p w14:paraId="4EC70EDD">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其他收益</w:t>
      </w:r>
    </w:p>
    <w:sdt>
      <w:sdtPr>
        <w:rPr>
          <w:color w:val="000000" w:themeColor="text1"/>
          <w14:textFill>
            <w14:solidFill>
              <w14:schemeClr w14:val="tx1"/>
            </w14:solidFill>
          </w14:textFill>
        </w:rPr>
        <w:alias w:val="是否适用：财务报表其他收益[双击切换]"/>
        <w:tag w:val="_GBC_86fde94b0d4e4b1f997adc6f063babf7"/>
        <w:id w:val="147479724"/>
        <w:placeholder>
          <w:docPart w:val="GBC22222222222222222222222222222"/>
        </w:placeholder>
      </w:sdtPr>
      <w:sdtEndPr>
        <w:rPr>
          <w:color w:val="000000" w:themeColor="text1"/>
          <w14:textFill>
            <w14:solidFill>
              <w14:schemeClr w14:val="tx1"/>
            </w14:solidFill>
          </w14:textFill>
        </w:rPr>
      </w:sdtEndPr>
      <w:sdtContent>
        <w:p w14:paraId="3EE044E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10DF78C">
      <w:pPr>
        <w:jc w:val="right"/>
        <w:rPr>
          <w:rFonts w:cstheme="minorBidi"/>
          <w:bCs w:val="0"/>
          <w:color w:val="000000" w:themeColor="text1"/>
          <w:szCs w:val="22"/>
          <w14:textFill>
            <w14:solidFill>
              <w14:schemeClr w14:val="tx1"/>
            </w14:solidFill>
          </w14:textFill>
        </w:rPr>
      </w:pPr>
      <w:r>
        <w:rPr>
          <w:rFonts w:cstheme="minorBidi"/>
          <w:color w:val="000000" w:themeColor="text1"/>
          <w:szCs w:val="22"/>
          <w14:textFill>
            <w14:solidFill>
              <w14:schemeClr w14:val="tx1"/>
            </w14:solidFill>
          </w14:textFill>
        </w:rPr>
        <w:t>单位：</w:t>
      </w:r>
      <w:sdt>
        <w:sdtPr>
          <w:rPr>
            <w:rFonts w:cstheme="minorBidi"/>
            <w:bCs w:val="0"/>
            <w:color w:val="000000" w:themeColor="text1"/>
            <w:szCs w:val="22"/>
            <w14:textFill>
              <w14:solidFill>
                <w14:schemeClr w14:val="tx1"/>
              </w14:solidFill>
            </w14:textFill>
          </w:rPr>
          <w:alias w:val="单位：财务报表其他收益明细"/>
          <w:tag w:val="_GBC_12755937dc3b48a489abda6cc5cda8d6"/>
          <w:id w:val="14745121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cstheme="minorBidi"/>
            <w:bCs w:val="0"/>
            <w:color w:val="000000" w:themeColor="text1"/>
            <w:szCs w:val="22"/>
            <w14:textFill>
              <w14:solidFill>
                <w14:schemeClr w14:val="tx1"/>
              </w14:solidFill>
            </w14:textFill>
          </w:rPr>
        </w:sdtEndPr>
        <w:sdtContent>
          <w:r>
            <w:rPr>
              <w:rFonts w:cstheme="minorBidi"/>
              <w:bCs w:val="0"/>
              <w:color w:val="000000" w:themeColor="text1"/>
              <w:szCs w:val="22"/>
              <w14:textFill>
                <w14:solidFill>
                  <w14:schemeClr w14:val="tx1"/>
                </w14:solidFill>
              </w14:textFill>
            </w:rPr>
            <w:t>元</w:t>
          </w:r>
        </w:sdtContent>
      </w:sdt>
      <w:r>
        <w:rPr>
          <w:rFonts w:cstheme="minorBidi"/>
          <w:color w:val="000000" w:themeColor="text1"/>
          <w:szCs w:val="22"/>
          <w14:textFill>
            <w14:solidFill>
              <w14:schemeClr w14:val="tx1"/>
            </w14:solidFill>
          </w14:textFill>
        </w:rPr>
        <w:t xml:space="preserve">  币种：</w:t>
      </w:r>
      <w:sdt>
        <w:sdtPr>
          <w:rPr>
            <w:rFonts w:cstheme="minorBidi"/>
            <w:bCs w:val="0"/>
            <w:color w:val="000000" w:themeColor="text1"/>
            <w:szCs w:val="22"/>
            <w14:textFill>
              <w14:solidFill>
                <w14:schemeClr w14:val="tx1"/>
              </w14:solidFill>
            </w14:textFill>
          </w:rPr>
          <w:alias w:val="币种：财务报表其他收益明细"/>
          <w:tag w:val="_GBC_3daaaf66c73e4201b067378f3d17e13f"/>
          <w:id w:val="1474593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cstheme="minorBidi"/>
            <w:bCs w:val="0"/>
            <w:color w:val="000000" w:themeColor="text1"/>
            <w:szCs w:val="22"/>
            <w14:textFill>
              <w14:solidFill>
                <w14:schemeClr w14:val="tx1"/>
              </w14:solidFill>
            </w14:textFill>
          </w:rPr>
        </w:sdtEndPr>
        <w:sdtContent>
          <w:r>
            <w:rPr>
              <w:rFonts w:cstheme="minorBidi"/>
              <w:bCs w:val="0"/>
              <w:color w:val="000000" w:themeColor="text1"/>
              <w:szCs w:val="22"/>
              <w14:textFill>
                <w14:solidFill>
                  <w14:schemeClr w14:val="tx1"/>
                </w14:solidFill>
              </w14:textFill>
            </w:rPr>
            <w:t>人民币</w:t>
          </w:r>
        </w:sdtContent>
      </w:sdt>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0"/>
        <w:gridCol w:w="2505"/>
        <w:gridCol w:w="2378"/>
      </w:tblGrid>
      <w:tr w14:paraId="3E86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0" w:type="dxa"/>
          </w:tcPr>
          <w:sdt>
            <w:sdtPr>
              <w:rPr>
                <w:rFonts w:cs="Times New Roman"/>
              </w:rPr>
              <w:tag w:val="_PLD_92b33ced889140b7b84894c5f486f4e6"/>
              <w:id w:val="147451443"/>
            </w:sdtPr>
            <w:sdtEndPr>
              <w:rPr>
                <w:rFonts w:cs="Times New Roman"/>
              </w:rPr>
            </w:sdtEndPr>
            <w:sdtContent>
              <w:p w14:paraId="02011805">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按性质分类</w:t>
                </w:r>
              </w:p>
            </w:sdtContent>
          </w:sdt>
        </w:tc>
        <w:tc>
          <w:tcPr>
            <w:tcW w:w="2505" w:type="dxa"/>
          </w:tcPr>
          <w:sdt>
            <w:sdtPr>
              <w:rPr>
                <w:rFonts w:cs="Times New Roman"/>
              </w:rPr>
              <w:tag w:val="_PLD_73b3023fbaed423bbb8ca1ec42a2eaf9"/>
              <w:id w:val="147473329"/>
            </w:sdtPr>
            <w:sdtEndPr>
              <w:rPr>
                <w:rFonts w:cs="Times New Roman"/>
              </w:rPr>
            </w:sdtEndPr>
            <w:sdtContent>
              <w:p w14:paraId="5D755098">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sdtContent>
          </w:sdt>
        </w:tc>
        <w:tc>
          <w:tcPr>
            <w:tcW w:w="2378" w:type="dxa"/>
          </w:tcPr>
          <w:sdt>
            <w:sdtPr>
              <w:rPr>
                <w:rFonts w:cs="Times New Roman"/>
              </w:rPr>
              <w:tag w:val="_PLD_9f39351a333c497da22a0955aff07b4c"/>
              <w:id w:val="147469399"/>
            </w:sdtPr>
            <w:sdtEndPr>
              <w:rPr>
                <w:rFonts w:cs="Times New Roman"/>
              </w:rPr>
            </w:sdtEndPr>
            <w:sdtContent>
              <w:p w14:paraId="63B4CC45">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sdtContent>
          </w:sdt>
        </w:tc>
      </w:tr>
      <w:tr w14:paraId="50FE9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0" w:type="dxa"/>
          </w:tcPr>
          <w:p w14:paraId="7E151C2C">
            <w:pPr>
              <w:widowControl/>
              <w:jc w:val="both"/>
              <w:textAlignment w:val="top"/>
              <w:rPr>
                <w:rFonts w:cs="Times New Roman"/>
              </w:rPr>
            </w:pPr>
            <w:r>
              <w:rPr>
                <w:rFonts w:cs="Times New Roman"/>
                <w:color w:val="000000"/>
                <w:lang w:bidi="ar"/>
              </w:rPr>
              <w:t>政府补助</w:t>
            </w:r>
          </w:p>
        </w:tc>
        <w:tc>
          <w:tcPr>
            <w:tcW w:w="2505" w:type="dxa"/>
            <w:vAlign w:val="center"/>
          </w:tcPr>
          <w:p w14:paraId="47567330">
            <w:pPr>
              <w:widowControl/>
              <w:jc w:val="right"/>
              <w:textAlignment w:val="center"/>
              <w:rPr>
                <w:rFonts w:cs="Times New Roman"/>
              </w:rPr>
            </w:pPr>
            <w:r>
              <w:rPr>
                <w:rFonts w:eastAsia="Arial Narrow" w:cs="Times New Roman"/>
                <w:color w:val="000000"/>
                <w:lang w:bidi="ar"/>
              </w:rPr>
              <w:t>35,215,006.30</w:t>
            </w:r>
          </w:p>
        </w:tc>
        <w:tc>
          <w:tcPr>
            <w:tcW w:w="2378" w:type="dxa"/>
            <w:vAlign w:val="center"/>
          </w:tcPr>
          <w:p w14:paraId="1FB2AD68">
            <w:pPr>
              <w:widowControl/>
              <w:jc w:val="right"/>
              <w:textAlignment w:val="center"/>
              <w:rPr>
                <w:rFonts w:cs="Times New Roman"/>
              </w:rPr>
            </w:pPr>
            <w:r>
              <w:rPr>
                <w:rFonts w:cs="Times New Roman"/>
                <w:color w:val="000000"/>
              </w:rPr>
              <w:t>25,061,924.88</w:t>
            </w:r>
          </w:p>
        </w:tc>
      </w:tr>
      <w:tr w14:paraId="7125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0" w:type="dxa"/>
          </w:tcPr>
          <w:p w14:paraId="0A38E5DF">
            <w:pPr>
              <w:widowControl/>
              <w:jc w:val="both"/>
              <w:textAlignment w:val="top"/>
              <w:rPr>
                <w:rFonts w:cs="Times New Roman"/>
              </w:rPr>
            </w:pPr>
            <w:r>
              <w:rPr>
                <w:rFonts w:cs="Times New Roman"/>
                <w:color w:val="000000"/>
                <w:lang w:bidi="ar"/>
              </w:rPr>
              <w:t>增值税加计抵减</w:t>
            </w:r>
          </w:p>
        </w:tc>
        <w:tc>
          <w:tcPr>
            <w:tcW w:w="2505" w:type="dxa"/>
            <w:vAlign w:val="center"/>
          </w:tcPr>
          <w:p w14:paraId="5333AADE">
            <w:pPr>
              <w:widowControl/>
              <w:jc w:val="right"/>
              <w:textAlignment w:val="center"/>
              <w:rPr>
                <w:rFonts w:cs="Times New Roman"/>
              </w:rPr>
            </w:pPr>
            <w:r>
              <w:rPr>
                <w:rFonts w:eastAsia="Arial Narrow" w:cs="Times New Roman"/>
                <w:color w:val="000000"/>
                <w:lang w:bidi="ar"/>
              </w:rPr>
              <w:t>10,022,529.64</w:t>
            </w:r>
          </w:p>
        </w:tc>
        <w:tc>
          <w:tcPr>
            <w:tcW w:w="2378" w:type="dxa"/>
            <w:vAlign w:val="center"/>
          </w:tcPr>
          <w:p w14:paraId="022989B9">
            <w:pPr>
              <w:widowControl/>
              <w:jc w:val="right"/>
              <w:textAlignment w:val="center"/>
              <w:rPr>
                <w:rFonts w:cs="Times New Roman"/>
              </w:rPr>
            </w:pPr>
            <w:r>
              <w:rPr>
                <w:rFonts w:cs="Times New Roman"/>
                <w:color w:val="000000"/>
              </w:rPr>
              <w:t>12,352,630.69</w:t>
            </w:r>
          </w:p>
        </w:tc>
      </w:tr>
      <w:tr w14:paraId="5B4BD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0" w:type="dxa"/>
          </w:tcPr>
          <w:p w14:paraId="2B9E7DC0">
            <w:pPr>
              <w:widowControl/>
              <w:jc w:val="both"/>
              <w:textAlignment w:val="top"/>
              <w:rPr>
                <w:rFonts w:cs="Times New Roman"/>
              </w:rPr>
            </w:pPr>
            <w:r>
              <w:rPr>
                <w:rFonts w:cs="Times New Roman"/>
                <w:color w:val="000000"/>
                <w:lang w:bidi="ar"/>
              </w:rPr>
              <w:t>其他</w:t>
            </w:r>
          </w:p>
        </w:tc>
        <w:tc>
          <w:tcPr>
            <w:tcW w:w="2505" w:type="dxa"/>
            <w:vAlign w:val="center"/>
          </w:tcPr>
          <w:p w14:paraId="331A1330">
            <w:pPr>
              <w:widowControl/>
              <w:jc w:val="right"/>
              <w:textAlignment w:val="center"/>
              <w:rPr>
                <w:rFonts w:cs="Times New Roman"/>
              </w:rPr>
            </w:pPr>
            <w:r>
              <w:rPr>
                <w:rFonts w:eastAsia="Arial Narrow" w:cs="Times New Roman"/>
                <w:color w:val="000000"/>
                <w:lang w:bidi="ar"/>
              </w:rPr>
              <w:t>303,743.60</w:t>
            </w:r>
          </w:p>
        </w:tc>
        <w:tc>
          <w:tcPr>
            <w:tcW w:w="2378" w:type="dxa"/>
            <w:vAlign w:val="center"/>
          </w:tcPr>
          <w:p w14:paraId="47A281E2">
            <w:pPr>
              <w:widowControl/>
              <w:jc w:val="right"/>
              <w:textAlignment w:val="center"/>
              <w:rPr>
                <w:rFonts w:cs="Times New Roman"/>
              </w:rPr>
            </w:pPr>
            <w:r>
              <w:rPr>
                <w:rFonts w:cs="Times New Roman"/>
                <w:color w:val="000000"/>
              </w:rPr>
              <w:t>682,462.69</w:t>
            </w:r>
          </w:p>
        </w:tc>
      </w:tr>
      <w:tr w14:paraId="7AAC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0" w:type="dxa"/>
          </w:tcPr>
          <w:p w14:paraId="1D860460">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2505" w:type="dxa"/>
            <w:vAlign w:val="center"/>
          </w:tcPr>
          <w:p w14:paraId="4D6878FC">
            <w:pPr>
              <w:widowControl/>
              <w:jc w:val="right"/>
              <w:textAlignment w:val="center"/>
              <w:rPr>
                <w:rFonts w:cs="Times New Roman"/>
              </w:rPr>
            </w:pPr>
            <w:r>
              <w:rPr>
                <w:rFonts w:eastAsia="Arial Narrow" w:cs="Times New Roman"/>
                <w:color w:val="000000"/>
                <w:lang w:bidi="ar"/>
              </w:rPr>
              <w:t>45,541,279.54</w:t>
            </w:r>
          </w:p>
        </w:tc>
        <w:tc>
          <w:tcPr>
            <w:tcW w:w="2378" w:type="dxa"/>
            <w:vAlign w:val="center"/>
          </w:tcPr>
          <w:p w14:paraId="730E8788">
            <w:pPr>
              <w:widowControl/>
              <w:jc w:val="right"/>
              <w:textAlignment w:val="center"/>
              <w:rPr>
                <w:rFonts w:cs="Times New Roman"/>
              </w:rPr>
            </w:pPr>
            <w:r>
              <w:rPr>
                <w:rFonts w:cs="Times New Roman"/>
                <w:color w:val="000000"/>
              </w:rPr>
              <w:t>38,097,018.26</w:t>
            </w:r>
          </w:p>
        </w:tc>
      </w:tr>
    </w:tbl>
    <w:p w14:paraId="2F02DF68">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说明：</w:t>
      </w:r>
    </w:p>
    <w:sdt>
      <w:sdtPr>
        <w:rPr>
          <w:color w:val="000000" w:themeColor="text1"/>
          <w14:textFill>
            <w14:solidFill>
              <w14:schemeClr w14:val="tx1"/>
            </w14:solidFill>
          </w14:textFill>
        </w:rPr>
        <w:alias w:val="财务报表其他收益其他说明"/>
        <w:tag w:val="_GBC_9489a93c45754a9ea78d3a872093a735"/>
        <w:id w:val="147471079"/>
        <w:placeholder>
          <w:docPart w:val="GBC22222222222222222222222222222"/>
        </w:placeholder>
      </w:sdtPr>
      <w:sdtEndPr>
        <w:rPr>
          <w:color w:val="000000" w:themeColor="text1"/>
          <w14:textFill>
            <w14:solidFill>
              <w14:schemeClr w14:val="tx1"/>
            </w14:solidFill>
          </w14:textFill>
        </w:rPr>
      </w:sdtEndPr>
      <w:sdtContent>
        <w:p w14:paraId="7E4D167F">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67E7C938">
      <w:pPr>
        <w:rPr>
          <w:color w:val="000000" w:themeColor="text1"/>
          <w14:textFill>
            <w14:solidFill>
              <w14:schemeClr w14:val="tx1"/>
            </w14:solidFill>
          </w14:textFill>
        </w:rPr>
      </w:pPr>
    </w:p>
    <w:p w14:paraId="59D36C69">
      <w:pPr>
        <w:pStyle w:val="57"/>
        <w:numPr>
          <w:ilvl w:val="0"/>
          <w:numId w:val="54"/>
        </w:numPr>
        <w:rPr>
          <w:color w:val="000000" w:themeColor="text1"/>
          <w:szCs w:val="21"/>
          <w14:textFill>
            <w14:solidFill>
              <w14:schemeClr w14:val="tx1"/>
            </w14:solidFill>
          </w14:textFill>
        </w:rPr>
      </w:pPr>
      <w:bookmarkStart w:id="387" w:name="_Hlk11857276"/>
      <w:r>
        <w:rPr>
          <w:color w:val="000000" w:themeColor="text1"/>
          <w:szCs w:val="21"/>
          <w14:textFill>
            <w14:solidFill>
              <w14:schemeClr w14:val="tx1"/>
            </w14:solidFill>
          </w14:textFill>
        </w:rPr>
        <w:t>投资收益</w:t>
      </w:r>
    </w:p>
    <w:sdt>
      <w:sdtPr>
        <w:rPr>
          <w:color w:val="000000" w:themeColor="text1"/>
          <w14:textFill>
            <w14:solidFill>
              <w14:schemeClr w14:val="tx1"/>
            </w14:solidFill>
          </w14:textFill>
        </w:rPr>
        <w:alias w:val="是否适用：投资收益[双击切换]"/>
        <w:tag w:val="_GBC_39356fd9dd9e4f5497d61d781210b2fe"/>
        <w:id w:val="147461962"/>
        <w:placeholder>
          <w:docPart w:val="GBC22222222222222222222222222222"/>
        </w:placeholder>
      </w:sdtPr>
      <w:sdtEndPr>
        <w:rPr>
          <w:color w:val="000000" w:themeColor="text1"/>
          <w14:textFill>
            <w14:solidFill>
              <w14:schemeClr w14:val="tx1"/>
            </w14:solidFill>
          </w14:textFill>
        </w:rPr>
      </w:sdtEndPr>
      <w:sdtContent>
        <w:p w14:paraId="622AEB1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E6D481B">
      <w:pPr>
        <w:jc w:val="right"/>
        <w:rPr>
          <w:b/>
          <w:color w:val="000000" w:themeColor="text1"/>
          <w14:textFill>
            <w14:solidFill>
              <w14:schemeClr w14:val="tx1"/>
            </w14:solidFill>
          </w14:textFill>
        </w:rPr>
      </w:pPr>
      <w:bookmarkStart w:id="388" w:name="_Hlk10538462"/>
      <w:r>
        <w:rPr>
          <w:color w:val="000000" w:themeColor="text1"/>
          <w14:textFill>
            <w14:solidFill>
              <w14:schemeClr w14:val="tx1"/>
            </w14:solidFill>
          </w14:textFill>
        </w:rPr>
        <w:t>单位</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单位：财务附注：会计报表中的投资收益项目增加"/>
          <w:tag w:val="_GBC_8785b82a02ca4b0db1de3227128775b4"/>
          <w:id w:val="1474763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color w:val="000000" w:themeColor="text1"/>
          <w14:textFill>
            <w14:solidFill>
              <w14:schemeClr w14:val="tx1"/>
            </w14:solidFill>
          </w14:textFill>
        </w:rPr>
        <w:t xml:space="preserve">  币种</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币种：财务附注：会计报表中的投资收益项目增加"/>
          <w:tag w:val="_GBC_c4394dc445a94e9a8a4b83889c79fcb1"/>
          <w:id w:val="1474813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7"/>
        <w:gridCol w:w="2251"/>
        <w:gridCol w:w="2251"/>
      </w:tblGrid>
      <w:tr w14:paraId="6E89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2fef67a5db2c453288257a2dfe03fd6e"/>
            <w:id w:val="147474542"/>
          </w:sdtPr>
          <w:sdtEndPr>
            <w:rPr>
              <w:rFonts w:cs="Times New Roman"/>
            </w:rPr>
          </w:sdtEndPr>
          <w:sdtContent>
            <w:tc>
              <w:tcPr>
                <w:tcW w:w="2512" w:type="pct"/>
                <w:vAlign w:val="center"/>
              </w:tcPr>
              <w:p w14:paraId="5955B766">
                <w:pPr>
                  <w:ind w:left="420" w:hanging="42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3f927d0ff25c47abb0f9b18794554af6"/>
            <w:id w:val="147455249"/>
          </w:sdtPr>
          <w:sdtEndPr>
            <w:rPr>
              <w:rFonts w:cs="Times New Roman"/>
            </w:rPr>
          </w:sdtEndPr>
          <w:sdtContent>
            <w:tc>
              <w:tcPr>
                <w:tcW w:w="1243" w:type="pct"/>
                <w:vAlign w:val="center"/>
              </w:tcPr>
              <w:p w14:paraId="5FBC65A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tc>
          </w:sdtContent>
        </w:sdt>
        <w:sdt>
          <w:sdtPr>
            <w:rPr>
              <w:rFonts w:cs="Times New Roman"/>
            </w:rPr>
            <w:tag w:val="_PLD_a6cbfed1438f48b7947079a5821a9eba"/>
            <w:id w:val="147464656"/>
          </w:sdtPr>
          <w:sdtEndPr>
            <w:rPr>
              <w:rFonts w:cs="Times New Roman"/>
            </w:rPr>
          </w:sdtEndPr>
          <w:sdtContent>
            <w:tc>
              <w:tcPr>
                <w:tcW w:w="1243" w:type="pct"/>
                <w:vAlign w:val="center"/>
              </w:tcPr>
              <w:p w14:paraId="47922DB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tc>
          </w:sdtContent>
        </w:sdt>
      </w:tr>
      <w:tr w14:paraId="3E16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2" w:type="pct"/>
          </w:tcPr>
          <w:p w14:paraId="6BFE0B73">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权益法核算的长期股权投资收益</w:t>
            </w:r>
          </w:p>
        </w:tc>
        <w:tc>
          <w:tcPr>
            <w:tcW w:w="1243" w:type="pct"/>
            <w:vAlign w:val="center"/>
          </w:tcPr>
          <w:p w14:paraId="72CE5F62">
            <w:pPr>
              <w:jc w:val="right"/>
              <w:textAlignment w:val="center"/>
              <w:rPr>
                <w:rFonts w:cs="Times New Roman"/>
              </w:rPr>
            </w:pPr>
            <w:r>
              <w:rPr>
                <w:rFonts w:cs="Times New Roman"/>
                <w:color w:val="000000"/>
              </w:rPr>
              <w:t>-3,274,736.02</w:t>
            </w:r>
          </w:p>
        </w:tc>
        <w:tc>
          <w:tcPr>
            <w:tcW w:w="1243" w:type="pct"/>
            <w:vAlign w:val="center"/>
          </w:tcPr>
          <w:p w14:paraId="2B29E853">
            <w:pPr>
              <w:jc w:val="right"/>
              <w:textAlignment w:val="center"/>
              <w:rPr>
                <w:rFonts w:cs="Times New Roman"/>
              </w:rPr>
            </w:pPr>
            <w:r>
              <w:rPr>
                <w:rFonts w:cs="Times New Roman"/>
                <w:color w:val="000000"/>
              </w:rPr>
              <w:t>-3,975,064.83</w:t>
            </w:r>
          </w:p>
        </w:tc>
      </w:tr>
      <w:tr w14:paraId="7C8B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2" w:type="pct"/>
          </w:tcPr>
          <w:p w14:paraId="6CBB38F6">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处置长期股权投资产生的投资收益</w:t>
            </w:r>
          </w:p>
        </w:tc>
        <w:tc>
          <w:tcPr>
            <w:tcW w:w="1243" w:type="pct"/>
            <w:vAlign w:val="center"/>
          </w:tcPr>
          <w:p w14:paraId="5CEF2BEC">
            <w:pPr>
              <w:jc w:val="right"/>
              <w:textAlignment w:val="center"/>
              <w:rPr>
                <w:rFonts w:cs="Times New Roman"/>
              </w:rPr>
            </w:pPr>
            <w:r>
              <w:rPr>
                <w:rFonts w:cs="Times New Roman"/>
                <w:color w:val="000000"/>
              </w:rPr>
              <w:t>33,587,659.33</w:t>
            </w:r>
          </w:p>
        </w:tc>
        <w:tc>
          <w:tcPr>
            <w:tcW w:w="1243" w:type="pct"/>
            <w:vAlign w:val="center"/>
          </w:tcPr>
          <w:p w14:paraId="0E34E155">
            <w:pPr>
              <w:jc w:val="right"/>
              <w:rPr>
                <w:rFonts w:cs="Times New Roman"/>
              </w:rPr>
            </w:pPr>
          </w:p>
        </w:tc>
      </w:tr>
      <w:tr w14:paraId="082EE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2" w:type="pct"/>
          </w:tcPr>
          <w:p w14:paraId="703A0304">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债务重组收益</w:t>
            </w:r>
          </w:p>
        </w:tc>
        <w:tc>
          <w:tcPr>
            <w:tcW w:w="1243" w:type="pct"/>
            <w:vAlign w:val="center"/>
          </w:tcPr>
          <w:p w14:paraId="53765710">
            <w:pPr>
              <w:jc w:val="right"/>
              <w:rPr>
                <w:rFonts w:cs="Times New Roman"/>
              </w:rPr>
            </w:pPr>
          </w:p>
        </w:tc>
        <w:tc>
          <w:tcPr>
            <w:tcW w:w="1243" w:type="pct"/>
            <w:vAlign w:val="center"/>
          </w:tcPr>
          <w:p w14:paraId="60A05795">
            <w:pPr>
              <w:jc w:val="right"/>
              <w:textAlignment w:val="center"/>
              <w:rPr>
                <w:rFonts w:cs="Times New Roman"/>
              </w:rPr>
            </w:pPr>
            <w:r>
              <w:rPr>
                <w:rFonts w:cs="Times New Roman"/>
                <w:color w:val="000000"/>
              </w:rPr>
              <w:t>388,824.00</w:t>
            </w:r>
          </w:p>
        </w:tc>
      </w:tr>
      <w:tr w14:paraId="4112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2" w:type="pct"/>
            <w:vAlign w:val="center"/>
          </w:tcPr>
          <w:p w14:paraId="504226AE">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243" w:type="pct"/>
            <w:vAlign w:val="center"/>
          </w:tcPr>
          <w:p w14:paraId="258BFC44">
            <w:pPr>
              <w:jc w:val="right"/>
              <w:textAlignment w:val="center"/>
              <w:rPr>
                <w:rFonts w:cs="Times New Roman"/>
              </w:rPr>
            </w:pPr>
            <w:r>
              <w:rPr>
                <w:rFonts w:cs="Times New Roman"/>
                <w:color w:val="000000"/>
              </w:rPr>
              <w:t>30,312,923.31</w:t>
            </w:r>
          </w:p>
        </w:tc>
        <w:tc>
          <w:tcPr>
            <w:tcW w:w="1243" w:type="pct"/>
            <w:vAlign w:val="center"/>
          </w:tcPr>
          <w:p w14:paraId="44122A2F">
            <w:pPr>
              <w:jc w:val="right"/>
              <w:textAlignment w:val="center"/>
              <w:rPr>
                <w:rFonts w:cs="Times New Roman"/>
              </w:rPr>
            </w:pPr>
            <w:r>
              <w:rPr>
                <w:rFonts w:cs="Times New Roman"/>
                <w:color w:val="000000"/>
              </w:rPr>
              <w:t>-3,586,240.83</w:t>
            </w:r>
          </w:p>
        </w:tc>
      </w:tr>
      <w:bookmarkEnd w:id="388"/>
    </w:tbl>
    <w:p w14:paraId="4EA1883D">
      <w:pPr>
        <w:spacing w:before="60" w:after="60"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rFonts w:hint="eastAsia"/>
          <w:color w:val="000000" w:themeColor="text1"/>
          <w14:textFill>
            <w14:solidFill>
              <w14:schemeClr w14:val="tx1"/>
            </w14:solidFill>
          </w14:textFill>
        </w:rPr>
        <w:alias w:val="投资收益说明"/>
        <w:tag w:val="_GBC_911712f239a14e98b4c6c89180ceef27"/>
        <w:id w:val="147477679"/>
        <w:placeholder>
          <w:docPart w:val="GBC22222222222222222222222222222"/>
        </w:placeholder>
      </w:sdtPr>
      <w:sdtEndPr>
        <w:rPr>
          <w:rFonts w:hint="eastAsia"/>
          <w:color w:val="000000" w:themeColor="text1"/>
          <w14:textFill>
            <w14:solidFill>
              <w14:schemeClr w14:val="tx1"/>
            </w14:solidFill>
          </w14:textFill>
        </w:rPr>
      </w:sdtEndPr>
      <w:sdtContent>
        <w:p w14:paraId="442F5DB0">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bookmarkEnd w:id="387"/>
    <w:p w14:paraId="6C6EF814">
      <w:pPr>
        <w:autoSpaceDE w:val="0"/>
        <w:autoSpaceDN w:val="0"/>
        <w:adjustRightInd w:val="0"/>
        <w:rPr>
          <w:color w:val="000000" w:themeColor="text1"/>
          <w14:textFill>
            <w14:solidFill>
              <w14:schemeClr w14:val="tx1"/>
            </w14:solidFill>
          </w14:textFill>
        </w:rPr>
      </w:pPr>
    </w:p>
    <w:p w14:paraId="362AC84A">
      <w:pPr>
        <w:pStyle w:val="57"/>
        <w:numPr>
          <w:ilvl w:val="0"/>
          <w:numId w:val="54"/>
        </w:numPr>
        <w:rPr>
          <w:color w:val="000000" w:themeColor="text1"/>
          <w:szCs w:val="21"/>
          <w14:textFill>
            <w14:solidFill>
              <w14:schemeClr w14:val="tx1"/>
            </w14:solidFill>
          </w14:textFill>
        </w:rPr>
      </w:pPr>
      <w:bookmarkStart w:id="389" w:name="_Hlk10538831"/>
      <w:r>
        <w:rPr>
          <w:color w:val="000000" w:themeColor="text1"/>
          <w:szCs w:val="21"/>
          <w14:textFill>
            <w14:solidFill>
              <w14:schemeClr w14:val="tx1"/>
            </w14:solidFill>
          </w14:textFill>
        </w:rPr>
        <w:t>净敞口套期收益</w:t>
      </w:r>
    </w:p>
    <w:sdt>
      <w:sdtPr>
        <w:rPr>
          <w:color w:val="000000" w:themeColor="text1"/>
          <w14:textFill>
            <w14:solidFill>
              <w14:schemeClr w14:val="tx1"/>
            </w14:solidFill>
          </w14:textFill>
        </w:rPr>
        <w:alias w:val="是否适用：净敞口套期收益[双击切换]"/>
        <w:tag w:val="_GBC_33e106b71ec640cd9126570421557bda"/>
        <w:id w:val="147479952"/>
        <w:placeholder>
          <w:docPart w:val="GBC22222222222222222222222222222"/>
        </w:placeholder>
      </w:sdtPr>
      <w:sdtEndPr>
        <w:rPr>
          <w:color w:val="000000" w:themeColor="text1"/>
          <w14:textFill>
            <w14:solidFill>
              <w14:schemeClr w14:val="tx1"/>
            </w14:solidFill>
          </w14:textFill>
        </w:rPr>
      </w:sdtEndPr>
      <w:sdtContent>
        <w:p w14:paraId="6FA58F22">
          <w:pPr>
            <w:autoSpaceDE w:val="0"/>
            <w:autoSpaceDN w:val="0"/>
            <w:adjustRightInd w:val="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89"/>
    <w:p w14:paraId="3CB75DEA">
      <w:pPr>
        <w:rPr>
          <w:color w:val="000000" w:themeColor="text1"/>
          <w14:textFill>
            <w14:solidFill>
              <w14:schemeClr w14:val="tx1"/>
            </w14:solidFill>
          </w14:textFill>
        </w:rPr>
      </w:pPr>
    </w:p>
    <w:p w14:paraId="4C7B0BAB">
      <w:pPr>
        <w:pStyle w:val="57"/>
        <w:numPr>
          <w:ilvl w:val="0"/>
          <w:numId w:val="54"/>
        </w:numPr>
        <w:rPr>
          <w:color w:val="000000" w:themeColor="text1"/>
          <w:szCs w:val="21"/>
          <w14:textFill>
            <w14:solidFill>
              <w14:schemeClr w14:val="tx1"/>
            </w14:solidFill>
          </w14:textFill>
        </w:rPr>
      </w:pPr>
      <w:bookmarkStart w:id="390" w:name="_Hlk10538896"/>
      <w:r>
        <w:rPr>
          <w:color w:val="000000" w:themeColor="text1"/>
          <w:szCs w:val="21"/>
          <w14:textFill>
            <w14:solidFill>
              <w14:schemeClr w14:val="tx1"/>
            </w14:solidFill>
          </w14:textFill>
        </w:rPr>
        <w:t>公允价值变动收益</w:t>
      </w:r>
    </w:p>
    <w:sdt>
      <w:sdtPr>
        <w:rPr>
          <w:color w:val="000000" w:themeColor="text1"/>
          <w14:textFill>
            <w14:solidFill>
              <w14:schemeClr w14:val="tx1"/>
            </w14:solidFill>
          </w14:textFill>
        </w:rPr>
        <w:alias w:val="是否适用：公允价值变动收益[双击切换]"/>
        <w:tag w:val="_GBC_21669fdeb74c4273a55facece1a56109"/>
        <w:id w:val="147460096"/>
        <w:placeholder>
          <w:docPart w:val="GBC22222222222222222222222222222"/>
        </w:placeholder>
      </w:sdtPr>
      <w:sdtEndPr>
        <w:rPr>
          <w:color w:val="000000" w:themeColor="text1"/>
          <w14:textFill>
            <w14:solidFill>
              <w14:schemeClr w14:val="tx1"/>
            </w14:solidFill>
          </w14:textFill>
        </w:rPr>
      </w:sdtEndPr>
      <w:sdtContent>
        <w:p w14:paraId="58AA061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90"/>
    <w:p w14:paraId="5956EF05">
      <w:pPr>
        <w:rPr>
          <w:color w:val="000000" w:themeColor="text1"/>
          <w14:textFill>
            <w14:solidFill>
              <w14:schemeClr w14:val="tx1"/>
            </w14:solidFill>
          </w14:textFill>
        </w:rPr>
      </w:pPr>
    </w:p>
    <w:p w14:paraId="2FFF32D1">
      <w:pPr>
        <w:pStyle w:val="57"/>
        <w:numPr>
          <w:ilvl w:val="0"/>
          <w:numId w:val="54"/>
        </w:numPr>
        <w:rPr>
          <w:color w:val="000000" w:themeColor="text1"/>
          <w:szCs w:val="21"/>
          <w14:textFill>
            <w14:solidFill>
              <w14:schemeClr w14:val="tx1"/>
            </w14:solidFill>
          </w14:textFill>
        </w:rPr>
      </w:pPr>
      <w:bookmarkStart w:id="391" w:name="_Hlk167969990"/>
      <w:r>
        <w:rPr>
          <w:color w:val="000000" w:themeColor="text1"/>
          <w:szCs w:val="21"/>
          <w14:textFill>
            <w14:solidFill>
              <w14:schemeClr w14:val="tx1"/>
            </w14:solidFill>
          </w14:textFill>
        </w:rPr>
        <w:t>信用减值损失</w:t>
      </w:r>
    </w:p>
    <w:sdt>
      <w:sdtPr>
        <w:rPr>
          <w:color w:val="000000" w:themeColor="text1"/>
          <w14:textFill>
            <w14:solidFill>
              <w14:schemeClr w14:val="tx1"/>
            </w14:solidFill>
          </w14:textFill>
        </w:rPr>
        <w:alias w:val="是否适用：信用减值损失[双击切换]"/>
        <w:tag w:val="_GBC_7f51453d7f2c4601a61d6f9899836b88"/>
        <w:id w:val="147471560"/>
        <w:placeholder>
          <w:docPart w:val="GBC22222222222222222222222222222"/>
        </w:placeholder>
      </w:sdtPr>
      <w:sdtEndPr>
        <w:rPr>
          <w:color w:val="000000" w:themeColor="text1"/>
          <w14:textFill>
            <w14:solidFill>
              <w14:schemeClr w14:val="tx1"/>
            </w14:solidFill>
          </w14:textFill>
        </w:rPr>
      </w:sdtEndPr>
      <w:sdtContent>
        <w:p w14:paraId="2E45451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DCF1A21">
      <w:pPr>
        <w:pStyle w:val="63"/>
        <w:ind w:left="420" w:firstLine="0" w:firstLineChars="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信用减值损失"/>
          <w:tag w:val="_GBC_04574a815f0f459c8817f0fb84a3e2d6"/>
          <w:id w:val="1474662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信用减值损失"/>
          <w:tag w:val="_GBC_5ba737d77bb34cc79c6966984148e6e6"/>
          <w:id w:val="1474617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49"/>
        <w:gridCol w:w="2689"/>
        <w:gridCol w:w="2711"/>
      </w:tblGrid>
      <w:tr w14:paraId="65F7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2cc5ebd0cdc447b691d0c5739979c390"/>
            <w:id w:val="147482873"/>
          </w:sdtPr>
          <w:sdtEndPr>
            <w:rPr>
              <w:rFonts w:cs="Times New Roman"/>
            </w:rPr>
          </w:sdtEndPr>
          <w:sdtContent>
            <w:tc>
              <w:tcPr>
                <w:tcW w:w="2016" w:type="pct"/>
                <w:vAlign w:val="center"/>
              </w:tcPr>
              <w:p w14:paraId="5637CF54">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667ef9498e104cfdabeee4ef172c6ab3"/>
            <w:id w:val="147476012"/>
          </w:sdtPr>
          <w:sdtEndPr>
            <w:rPr>
              <w:rFonts w:cs="Times New Roman"/>
            </w:rPr>
          </w:sdtEndPr>
          <w:sdtContent>
            <w:tc>
              <w:tcPr>
                <w:tcW w:w="1486" w:type="pct"/>
                <w:vAlign w:val="center"/>
              </w:tcPr>
              <w:p w14:paraId="54504A2E">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tc>
          </w:sdtContent>
        </w:sdt>
        <w:sdt>
          <w:sdtPr>
            <w:rPr>
              <w:rFonts w:cs="Times New Roman"/>
            </w:rPr>
            <w:tag w:val="_PLD_8c64052cb7e64d9095f4b7e849e06d53"/>
            <w:id w:val="147466972"/>
          </w:sdtPr>
          <w:sdtEndPr>
            <w:rPr>
              <w:rFonts w:cs="Times New Roman"/>
            </w:rPr>
          </w:sdtEndPr>
          <w:sdtContent>
            <w:tc>
              <w:tcPr>
                <w:tcW w:w="1498" w:type="pct"/>
                <w:vAlign w:val="center"/>
              </w:tcPr>
              <w:p w14:paraId="27E67877">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tc>
          </w:sdtContent>
        </w:sdt>
      </w:tr>
      <w:tr w14:paraId="26D1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vAlign w:val="center"/>
          </w:tcPr>
          <w:p w14:paraId="6E261CD5">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应收账款坏账损失</w:t>
            </w:r>
          </w:p>
        </w:tc>
        <w:tc>
          <w:tcPr>
            <w:tcW w:w="2689" w:type="dxa"/>
            <w:vAlign w:val="center"/>
          </w:tcPr>
          <w:p w14:paraId="4AC68A4D">
            <w:pPr>
              <w:jc w:val="right"/>
              <w:textAlignment w:val="center"/>
              <w:rPr>
                <w:rFonts w:cs="Times New Roman"/>
              </w:rPr>
            </w:pPr>
            <w:r>
              <w:rPr>
                <w:rFonts w:eastAsia="Arial Narrow" w:cs="Times New Roman"/>
                <w:color w:val="000000"/>
                <w:lang w:bidi="ar"/>
              </w:rPr>
              <w:t>2,222,210.34</w:t>
            </w:r>
          </w:p>
        </w:tc>
        <w:tc>
          <w:tcPr>
            <w:tcW w:w="1498" w:type="pct"/>
            <w:vAlign w:val="center"/>
          </w:tcPr>
          <w:p w14:paraId="3CCF39D9">
            <w:pPr>
              <w:jc w:val="right"/>
              <w:textAlignment w:val="center"/>
              <w:rPr>
                <w:rFonts w:cs="Times New Roman"/>
              </w:rPr>
            </w:pPr>
            <w:r>
              <w:rPr>
                <w:rFonts w:cs="Times New Roman"/>
                <w:color w:val="000000"/>
              </w:rPr>
              <w:t>-1,512,819.16</w:t>
            </w:r>
          </w:p>
        </w:tc>
      </w:tr>
      <w:tr w14:paraId="2F0E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vAlign w:val="center"/>
          </w:tcPr>
          <w:p w14:paraId="3559941E">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其他应收款坏账损失</w:t>
            </w:r>
          </w:p>
        </w:tc>
        <w:tc>
          <w:tcPr>
            <w:tcW w:w="2689" w:type="dxa"/>
            <w:vAlign w:val="center"/>
          </w:tcPr>
          <w:p w14:paraId="216575A7">
            <w:pPr>
              <w:jc w:val="right"/>
              <w:textAlignment w:val="center"/>
              <w:rPr>
                <w:rFonts w:cs="Times New Roman"/>
              </w:rPr>
            </w:pPr>
            <w:r>
              <w:rPr>
                <w:rFonts w:eastAsia="Arial Narrow" w:cs="Times New Roman"/>
                <w:color w:val="000000"/>
                <w:lang w:bidi="ar"/>
              </w:rPr>
              <w:t>-19,662,501.00</w:t>
            </w:r>
          </w:p>
        </w:tc>
        <w:tc>
          <w:tcPr>
            <w:tcW w:w="1498" w:type="pct"/>
            <w:vAlign w:val="center"/>
          </w:tcPr>
          <w:p w14:paraId="4983995C">
            <w:pPr>
              <w:jc w:val="right"/>
              <w:textAlignment w:val="center"/>
              <w:rPr>
                <w:rFonts w:cs="Times New Roman"/>
              </w:rPr>
            </w:pPr>
            <w:r>
              <w:rPr>
                <w:rFonts w:cs="Times New Roman"/>
                <w:color w:val="000000"/>
              </w:rPr>
              <w:t>3,419,708.70</w:t>
            </w:r>
          </w:p>
        </w:tc>
      </w:tr>
      <w:tr w14:paraId="60CD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vAlign w:val="center"/>
          </w:tcPr>
          <w:p w14:paraId="2A6E1580">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长期应收款坏账损失</w:t>
            </w:r>
          </w:p>
        </w:tc>
        <w:tc>
          <w:tcPr>
            <w:tcW w:w="2689" w:type="dxa"/>
            <w:vAlign w:val="center"/>
          </w:tcPr>
          <w:p w14:paraId="4FDEBC7D">
            <w:pPr>
              <w:jc w:val="right"/>
              <w:textAlignment w:val="center"/>
              <w:rPr>
                <w:rFonts w:cs="Times New Roman"/>
              </w:rPr>
            </w:pPr>
            <w:r>
              <w:rPr>
                <w:rFonts w:eastAsia="Arial Narrow" w:cs="Times New Roman"/>
                <w:color w:val="000000"/>
                <w:lang w:bidi="ar"/>
              </w:rPr>
              <w:t>-3,284,283.29</w:t>
            </w:r>
          </w:p>
        </w:tc>
        <w:tc>
          <w:tcPr>
            <w:tcW w:w="1498" w:type="pct"/>
            <w:vAlign w:val="center"/>
          </w:tcPr>
          <w:p w14:paraId="3156F5EF">
            <w:pPr>
              <w:jc w:val="right"/>
              <w:textAlignment w:val="center"/>
              <w:rPr>
                <w:rFonts w:cs="Times New Roman"/>
              </w:rPr>
            </w:pPr>
            <w:r>
              <w:rPr>
                <w:rFonts w:cs="Times New Roman"/>
                <w:color w:val="000000"/>
              </w:rPr>
              <w:t>1,339,837.93</w:t>
            </w:r>
          </w:p>
        </w:tc>
      </w:tr>
      <w:tr w14:paraId="1F1CC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vAlign w:val="center"/>
          </w:tcPr>
          <w:p w14:paraId="329078F6">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预付款项坏账损失</w:t>
            </w:r>
          </w:p>
        </w:tc>
        <w:tc>
          <w:tcPr>
            <w:tcW w:w="2689" w:type="dxa"/>
            <w:vAlign w:val="center"/>
          </w:tcPr>
          <w:p w14:paraId="6A97608C">
            <w:pPr>
              <w:jc w:val="right"/>
              <w:rPr>
                <w:rFonts w:cs="Times New Roman"/>
              </w:rPr>
            </w:pPr>
          </w:p>
        </w:tc>
        <w:tc>
          <w:tcPr>
            <w:tcW w:w="1498" w:type="pct"/>
            <w:vAlign w:val="center"/>
          </w:tcPr>
          <w:p w14:paraId="5A41A967">
            <w:pPr>
              <w:jc w:val="right"/>
              <w:textAlignment w:val="center"/>
              <w:rPr>
                <w:rFonts w:cs="Times New Roman"/>
              </w:rPr>
            </w:pPr>
            <w:r>
              <w:rPr>
                <w:rFonts w:cs="Times New Roman"/>
                <w:color w:val="000000"/>
              </w:rPr>
              <w:t>443,100.04</w:t>
            </w:r>
          </w:p>
        </w:tc>
      </w:tr>
      <w:tr w14:paraId="2F36D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vAlign w:val="center"/>
          </w:tcPr>
          <w:p w14:paraId="1ECBD338">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2689" w:type="dxa"/>
            <w:vAlign w:val="center"/>
          </w:tcPr>
          <w:p w14:paraId="66B54724">
            <w:pPr>
              <w:jc w:val="right"/>
              <w:textAlignment w:val="center"/>
              <w:rPr>
                <w:rFonts w:cs="Times New Roman"/>
              </w:rPr>
            </w:pPr>
            <w:r>
              <w:rPr>
                <w:rFonts w:eastAsia="Arial Narrow" w:cs="Times New Roman"/>
                <w:color w:val="000000"/>
                <w:lang w:bidi="ar"/>
              </w:rPr>
              <w:t>-20,724,573.95</w:t>
            </w:r>
          </w:p>
        </w:tc>
        <w:tc>
          <w:tcPr>
            <w:tcW w:w="1498" w:type="pct"/>
            <w:vAlign w:val="center"/>
          </w:tcPr>
          <w:p w14:paraId="223E96DB">
            <w:pPr>
              <w:jc w:val="right"/>
              <w:textAlignment w:val="center"/>
              <w:rPr>
                <w:rFonts w:cs="Times New Roman"/>
              </w:rPr>
            </w:pPr>
            <w:r>
              <w:rPr>
                <w:rFonts w:cs="Times New Roman"/>
                <w:color w:val="000000"/>
              </w:rPr>
              <w:t>3,689,827.51</w:t>
            </w:r>
          </w:p>
        </w:tc>
      </w:tr>
    </w:tbl>
    <w:p w14:paraId="7D972BA1">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说明</w:t>
      </w:r>
      <w:r>
        <w:rPr>
          <w:rFonts w:hint="eastAsia"/>
          <w:color w:val="000000" w:themeColor="text1"/>
          <w14:textFill>
            <w14:solidFill>
              <w14:schemeClr w14:val="tx1"/>
            </w14:solidFill>
          </w14:textFill>
        </w:rPr>
        <w:t>：</w:t>
      </w:r>
    </w:p>
    <w:sdt>
      <w:sdtPr>
        <w:rPr>
          <w:color w:val="000000" w:themeColor="text1"/>
          <w14:textFill>
            <w14:solidFill>
              <w14:schemeClr w14:val="tx1"/>
            </w14:solidFill>
          </w14:textFill>
        </w:rPr>
        <w:alias w:val="信用减值损失其他说明"/>
        <w:tag w:val="_GBC_9228576c4e3741acb19023ad6b79421f"/>
        <w:id w:val="147474117"/>
        <w:placeholder>
          <w:docPart w:val="GBC22222222222222222222222222222"/>
        </w:placeholder>
      </w:sdtPr>
      <w:sdtEndPr>
        <w:rPr>
          <w:color w:val="000000" w:themeColor="text1"/>
          <w14:textFill>
            <w14:solidFill>
              <w14:schemeClr w14:val="tx1"/>
            </w14:solidFill>
          </w14:textFill>
        </w:rPr>
      </w:sdtEndPr>
      <w:sdtContent>
        <w:p w14:paraId="089D75D7">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4E0C526D">
      <w:pPr>
        <w:rPr>
          <w:color w:val="000000" w:themeColor="text1"/>
          <w14:textFill>
            <w14:solidFill>
              <w14:schemeClr w14:val="tx1"/>
            </w14:solidFill>
          </w14:textFill>
        </w:rPr>
      </w:pPr>
    </w:p>
    <w:bookmarkEnd w:id="391"/>
    <w:p w14:paraId="7470E040">
      <w:pPr>
        <w:pStyle w:val="57"/>
        <w:numPr>
          <w:ilvl w:val="0"/>
          <w:numId w:val="54"/>
        </w:numPr>
        <w:rPr>
          <w:color w:val="000000" w:themeColor="text1"/>
          <w:szCs w:val="21"/>
          <w14:textFill>
            <w14:solidFill>
              <w14:schemeClr w14:val="tx1"/>
            </w14:solidFill>
          </w14:textFill>
        </w:rPr>
      </w:pPr>
      <w:bookmarkStart w:id="392" w:name="_Hlk167970079"/>
      <w:r>
        <w:rPr>
          <w:color w:val="000000" w:themeColor="text1"/>
          <w:szCs w:val="21"/>
          <w14:textFill>
            <w14:solidFill>
              <w14:schemeClr w14:val="tx1"/>
            </w14:solidFill>
          </w14:textFill>
        </w:rPr>
        <w:t>资产减值损失</w:t>
      </w:r>
    </w:p>
    <w:sdt>
      <w:sdtPr>
        <w:rPr>
          <w:color w:val="000000" w:themeColor="text1"/>
          <w14:textFill>
            <w14:solidFill>
              <w14:schemeClr w14:val="tx1"/>
            </w14:solidFill>
          </w14:textFill>
        </w:rPr>
        <w:alias w:val="是否适用：资产减值损失[双击切换]"/>
        <w:tag w:val="_GBC_d729834ad00147fc807d3aad7ca8698d"/>
        <w:id w:val="147462318"/>
        <w:placeholder>
          <w:docPart w:val="GBC22222222222222222222222222222"/>
        </w:placeholder>
      </w:sdtPr>
      <w:sdtEndPr>
        <w:rPr>
          <w:color w:val="000000" w:themeColor="text1"/>
          <w14:textFill>
            <w14:solidFill>
              <w14:schemeClr w14:val="tx1"/>
            </w14:solidFill>
          </w14:textFill>
        </w:rPr>
      </w:sdtEndPr>
      <w:sdtContent>
        <w:p w14:paraId="48D3849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D400839">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资产减值损失"/>
          <w:tag w:val="_GBC_5d74a968092c4c99a3fdb43c04a992ef"/>
          <w:id w:val="1474722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资产减值损失"/>
          <w:tag w:val="_GBC_9cac437936ec413c943d5e1475abfd21"/>
          <w:id w:val="1474596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6"/>
        <w:gridCol w:w="2361"/>
        <w:gridCol w:w="2532"/>
      </w:tblGrid>
      <w:tr w14:paraId="0F1F6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3f6f45e6360d44d4b7b42549a3560832"/>
            <w:id w:val="147476715"/>
          </w:sdtPr>
          <w:sdtEndPr>
            <w:rPr>
              <w:rFonts w:cs="Times New Roman"/>
            </w:rPr>
          </w:sdtEndPr>
          <w:sdtContent>
            <w:tc>
              <w:tcPr>
                <w:tcW w:w="2296" w:type="pct"/>
                <w:tcBorders>
                  <w:top w:val="single" w:color="auto" w:sz="4" w:space="0"/>
                  <w:left w:val="single" w:color="auto" w:sz="4" w:space="0"/>
                  <w:bottom w:val="single" w:color="auto" w:sz="4" w:space="0"/>
                  <w:right w:val="single" w:color="auto" w:sz="4" w:space="0"/>
                </w:tcBorders>
                <w:vAlign w:val="center"/>
              </w:tcPr>
              <w:p w14:paraId="69B8C8D1">
                <w:pPr>
                  <w:autoSpaceDE w:val="0"/>
                  <w:autoSpaceDN w:val="0"/>
                  <w:adjustRightIn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3f2aa2c829b6428e99a0c7c8da36e428"/>
            <w:id w:val="147477398"/>
          </w:sdtPr>
          <w:sdtEndPr>
            <w:rPr>
              <w:rFonts w:cs="Times New Roman"/>
            </w:rPr>
          </w:sdtEndPr>
          <w:sdtContent>
            <w:tc>
              <w:tcPr>
                <w:tcW w:w="1304" w:type="pct"/>
                <w:tcBorders>
                  <w:top w:val="single" w:color="auto" w:sz="4" w:space="0"/>
                  <w:left w:val="single" w:color="auto" w:sz="4" w:space="0"/>
                  <w:bottom w:val="single" w:color="auto" w:sz="4" w:space="0"/>
                  <w:right w:val="single" w:color="auto" w:sz="4" w:space="0"/>
                </w:tcBorders>
                <w:vAlign w:val="center"/>
              </w:tcPr>
              <w:p w14:paraId="2AE5BCA5">
                <w:pPr>
                  <w:autoSpaceDE w:val="0"/>
                  <w:autoSpaceDN w:val="0"/>
                  <w:adjustRightIn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tc>
          </w:sdtContent>
        </w:sdt>
        <w:sdt>
          <w:sdtPr>
            <w:rPr>
              <w:rFonts w:cs="Times New Roman"/>
            </w:rPr>
            <w:tag w:val="_PLD_071b09715e3b43be922c6fbde3b45eb6"/>
            <w:id w:val="147464537"/>
          </w:sdtPr>
          <w:sdtEndPr>
            <w:rPr>
              <w:rFonts w:cs="Times New Roman"/>
            </w:rPr>
          </w:sdtEndPr>
          <w:sdtContent>
            <w:tc>
              <w:tcPr>
                <w:tcW w:w="1399" w:type="pct"/>
                <w:tcBorders>
                  <w:top w:val="single" w:color="auto" w:sz="4" w:space="0"/>
                  <w:left w:val="single" w:color="auto" w:sz="4" w:space="0"/>
                  <w:bottom w:val="single" w:color="auto" w:sz="4" w:space="0"/>
                  <w:right w:val="single" w:color="auto" w:sz="4" w:space="0"/>
                </w:tcBorders>
                <w:vAlign w:val="center"/>
              </w:tcPr>
              <w:p w14:paraId="2D211827">
                <w:pPr>
                  <w:autoSpaceDE w:val="0"/>
                  <w:autoSpaceDN w:val="0"/>
                  <w:adjustRightIn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tc>
          </w:sdtContent>
        </w:sdt>
      </w:tr>
      <w:tr w14:paraId="6487E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pct"/>
            <w:tcBorders>
              <w:top w:val="single" w:color="auto" w:sz="4" w:space="0"/>
              <w:left w:val="single" w:color="auto" w:sz="4" w:space="0"/>
              <w:bottom w:val="single" w:color="auto" w:sz="4" w:space="0"/>
              <w:right w:val="single" w:color="auto" w:sz="4" w:space="0"/>
            </w:tcBorders>
          </w:tcPr>
          <w:p w14:paraId="35DF3007">
            <w:pPr>
              <w:autoSpaceDE w:val="0"/>
              <w:autoSpaceDN w:val="0"/>
              <w:adjustRightInd w:val="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一、合同资产减值损失</w:t>
            </w:r>
          </w:p>
        </w:tc>
        <w:tc>
          <w:tcPr>
            <w:tcW w:w="1304" w:type="pct"/>
            <w:tcBorders>
              <w:top w:val="single" w:color="auto" w:sz="4" w:space="0"/>
              <w:left w:val="single" w:color="auto" w:sz="4" w:space="0"/>
              <w:bottom w:val="single" w:color="auto" w:sz="4" w:space="0"/>
              <w:right w:val="single" w:color="auto" w:sz="4" w:space="0"/>
            </w:tcBorders>
            <w:vAlign w:val="center"/>
          </w:tcPr>
          <w:p w14:paraId="16AB3A6C">
            <w:pPr>
              <w:jc w:val="right"/>
              <w:rPr>
                <w:rFonts w:cs="Times New Roman"/>
              </w:rPr>
            </w:pPr>
          </w:p>
        </w:tc>
        <w:tc>
          <w:tcPr>
            <w:tcW w:w="1399" w:type="pct"/>
            <w:tcBorders>
              <w:top w:val="single" w:color="auto" w:sz="4" w:space="0"/>
              <w:left w:val="single" w:color="auto" w:sz="4" w:space="0"/>
              <w:bottom w:val="single" w:color="auto" w:sz="4" w:space="0"/>
              <w:right w:val="single" w:color="auto" w:sz="4" w:space="0"/>
            </w:tcBorders>
            <w:vAlign w:val="center"/>
          </w:tcPr>
          <w:p w14:paraId="3AF60ED2">
            <w:pPr>
              <w:jc w:val="right"/>
              <w:rPr>
                <w:rFonts w:cs="Times New Roman"/>
              </w:rPr>
            </w:pPr>
          </w:p>
        </w:tc>
      </w:tr>
      <w:tr w14:paraId="0D68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96" w:type="pct"/>
            <w:tcBorders>
              <w:top w:val="single" w:color="auto" w:sz="4" w:space="0"/>
              <w:left w:val="single" w:color="auto" w:sz="4" w:space="0"/>
              <w:bottom w:val="single" w:color="auto" w:sz="4" w:space="0"/>
              <w:right w:val="single" w:color="auto" w:sz="4" w:space="0"/>
            </w:tcBorders>
          </w:tcPr>
          <w:p w14:paraId="4200997B">
            <w:pPr>
              <w:autoSpaceDE w:val="0"/>
              <w:autoSpaceDN w:val="0"/>
              <w:adjustRightInd w:val="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二、存货跌价损失及合同履约成本减值损失</w:t>
            </w:r>
          </w:p>
        </w:tc>
        <w:tc>
          <w:tcPr>
            <w:tcW w:w="1304" w:type="pct"/>
            <w:tcBorders>
              <w:top w:val="single" w:color="auto" w:sz="4" w:space="0"/>
              <w:left w:val="single" w:color="auto" w:sz="4" w:space="0"/>
              <w:bottom w:val="single" w:color="auto" w:sz="4" w:space="0"/>
              <w:right w:val="single" w:color="auto" w:sz="4" w:space="0"/>
            </w:tcBorders>
            <w:vAlign w:val="center"/>
          </w:tcPr>
          <w:p w14:paraId="6FE394B0">
            <w:pPr>
              <w:jc w:val="right"/>
              <w:textAlignment w:val="center"/>
              <w:rPr>
                <w:rFonts w:cs="Times New Roman"/>
              </w:rPr>
            </w:pPr>
            <w:r>
              <w:rPr>
                <w:rFonts w:eastAsia="Arial Narrow" w:cs="Times New Roman"/>
                <w:color w:val="000000"/>
                <w:lang w:bidi="ar"/>
              </w:rPr>
              <w:t>-17,510,642.11</w:t>
            </w:r>
          </w:p>
        </w:tc>
        <w:tc>
          <w:tcPr>
            <w:tcW w:w="1399" w:type="pct"/>
            <w:tcBorders>
              <w:top w:val="single" w:color="auto" w:sz="4" w:space="0"/>
              <w:left w:val="single" w:color="auto" w:sz="4" w:space="0"/>
              <w:bottom w:val="single" w:color="auto" w:sz="4" w:space="0"/>
              <w:right w:val="single" w:color="auto" w:sz="4" w:space="0"/>
            </w:tcBorders>
            <w:vAlign w:val="center"/>
          </w:tcPr>
          <w:p w14:paraId="3E29F7DC">
            <w:pPr>
              <w:jc w:val="right"/>
              <w:rPr>
                <w:rFonts w:cs="Times New Roman"/>
              </w:rPr>
            </w:pPr>
          </w:p>
        </w:tc>
      </w:tr>
      <w:tr w14:paraId="29E38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pct"/>
            <w:tcBorders>
              <w:top w:val="single" w:color="auto" w:sz="4" w:space="0"/>
              <w:left w:val="single" w:color="auto" w:sz="4" w:space="0"/>
              <w:bottom w:val="single" w:color="auto" w:sz="4" w:space="0"/>
              <w:right w:val="single" w:color="auto" w:sz="4" w:space="0"/>
            </w:tcBorders>
          </w:tcPr>
          <w:p w14:paraId="17E9B36F">
            <w:pPr>
              <w:autoSpaceDE w:val="0"/>
              <w:autoSpaceDN w:val="0"/>
              <w:adjustRightIn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304" w:type="pct"/>
            <w:tcBorders>
              <w:top w:val="single" w:color="auto" w:sz="4" w:space="0"/>
              <w:left w:val="single" w:color="auto" w:sz="4" w:space="0"/>
              <w:bottom w:val="single" w:color="auto" w:sz="4" w:space="0"/>
              <w:right w:val="single" w:color="auto" w:sz="4" w:space="0"/>
            </w:tcBorders>
            <w:vAlign w:val="center"/>
          </w:tcPr>
          <w:p w14:paraId="4D44AF65">
            <w:pPr>
              <w:jc w:val="right"/>
              <w:textAlignment w:val="center"/>
              <w:rPr>
                <w:rFonts w:cs="Times New Roman"/>
              </w:rPr>
            </w:pPr>
            <w:r>
              <w:rPr>
                <w:rFonts w:eastAsia="Arial Narrow" w:cs="Times New Roman"/>
                <w:color w:val="000000"/>
                <w:lang w:bidi="ar"/>
              </w:rPr>
              <w:t>-17,510,642.11</w:t>
            </w:r>
          </w:p>
        </w:tc>
        <w:tc>
          <w:tcPr>
            <w:tcW w:w="1399" w:type="pct"/>
            <w:tcBorders>
              <w:top w:val="single" w:color="auto" w:sz="4" w:space="0"/>
              <w:left w:val="single" w:color="auto" w:sz="4" w:space="0"/>
              <w:bottom w:val="single" w:color="auto" w:sz="4" w:space="0"/>
              <w:right w:val="single" w:color="auto" w:sz="4" w:space="0"/>
            </w:tcBorders>
            <w:vAlign w:val="center"/>
          </w:tcPr>
          <w:p w14:paraId="782670D1">
            <w:pPr>
              <w:jc w:val="right"/>
              <w:rPr>
                <w:rFonts w:cs="Times New Roman"/>
              </w:rPr>
            </w:pPr>
          </w:p>
        </w:tc>
      </w:tr>
    </w:tbl>
    <w:p w14:paraId="72172F69">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资产减值损失的说明"/>
        <w:tag w:val="_GBC_72181df9e6ac4b4492c9dfa445964871"/>
        <w:id w:val="147477459"/>
        <w:placeholder>
          <w:docPart w:val="GBC22222222222222222222222222222"/>
        </w:placeholder>
      </w:sdtPr>
      <w:sdtEndPr>
        <w:rPr>
          <w:color w:val="000000" w:themeColor="text1"/>
          <w14:textFill>
            <w14:solidFill>
              <w14:schemeClr w14:val="tx1"/>
            </w14:solidFill>
          </w14:textFill>
        </w:rPr>
      </w:sdtEndPr>
      <w:sdtContent>
        <w:p w14:paraId="34FB59B0">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66D7C73E">
      <w:pPr>
        <w:rPr>
          <w:rFonts w:asciiTheme="minorHAnsi" w:hAnsiTheme="minorHAnsi" w:eastAsiaTheme="minorEastAsia"/>
          <w:color w:val="000000" w:themeColor="text1"/>
          <w:szCs w:val="22"/>
          <w14:textFill>
            <w14:solidFill>
              <w14:schemeClr w14:val="tx1"/>
            </w14:solidFill>
          </w14:textFill>
        </w:rPr>
      </w:pPr>
    </w:p>
    <w:bookmarkEnd w:id="392"/>
    <w:p w14:paraId="41B5E4CE">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资产处置收益</w:t>
      </w:r>
    </w:p>
    <w:sdt>
      <w:sdtPr>
        <w:rPr>
          <w:rFonts w:hint="eastAsia"/>
          <w:color w:val="000000" w:themeColor="text1"/>
          <w14:textFill>
            <w14:solidFill>
              <w14:schemeClr w14:val="tx1"/>
            </w14:solidFill>
          </w14:textFill>
        </w:rPr>
        <w:alias w:val="是否适用：资产处置收益[双击切换]"/>
        <w:tag w:val="_GBC_9e584d6f46c648d195946caa434a4619"/>
        <w:id w:val="147476967"/>
        <w:placeholder>
          <w:docPart w:val="GBC22222222222222222222222222222"/>
        </w:placeholder>
      </w:sdtPr>
      <w:sdtEndPr>
        <w:rPr>
          <w:rFonts w:hint="eastAsia"/>
          <w:color w:val="000000" w:themeColor="text1"/>
          <w14:textFill>
            <w14:solidFill>
              <w14:schemeClr w14:val="tx1"/>
            </w14:solidFill>
          </w14:textFill>
        </w:rPr>
      </w:sdtEndPr>
      <w:sdtContent>
        <w:p w14:paraId="22D2A68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93BD37B">
      <w:pPr>
        <w:jc w:val="right"/>
        <w:rPr>
          <w:bCs w:val="0"/>
          <w:color w:val="000000" w:themeColor="text1"/>
          <w14:textFill>
            <w14:solidFill>
              <w14:schemeClr w14:val="tx1"/>
            </w14:solidFill>
          </w14:textFill>
        </w:rPr>
      </w:pPr>
      <w:r>
        <w:rPr>
          <w:color w:val="000000" w:themeColor="text1"/>
          <w14:textFill>
            <w14:solidFill>
              <w14:schemeClr w14:val="tx1"/>
            </w14:solidFill>
          </w14:textFill>
        </w:rPr>
        <w:t>单位：</w:t>
      </w:r>
      <w:sdt>
        <w:sdtPr>
          <w:rPr>
            <w:bCs w:val="0"/>
            <w:color w:val="000000" w:themeColor="text1"/>
            <w14:textFill>
              <w14:solidFill>
                <w14:schemeClr w14:val="tx1"/>
              </w14:solidFill>
            </w14:textFill>
          </w:rPr>
          <w:alias w:val="单位：资产处置收益明细"/>
          <w:tag w:val="_GBC_72dc168499e249b988d6753a6df1ce44"/>
          <w:id w:val="14746334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bCs w:val="0"/>
            <w:color w:val="000000" w:themeColor="text1"/>
            <w14:textFill>
              <w14:solidFill>
                <w14:schemeClr w14:val="tx1"/>
              </w14:solidFill>
            </w14:textFill>
          </w:rPr>
        </w:sdtEndPr>
        <w:sdtContent>
          <w:r>
            <w:rPr>
              <w:bCs w:val="0"/>
              <w:color w:val="000000" w:themeColor="text1"/>
              <w14:textFill>
                <w14:solidFill>
                  <w14:schemeClr w14:val="tx1"/>
                </w14:solidFill>
              </w14:textFill>
            </w:rPr>
            <w:t>元</w:t>
          </w:r>
        </w:sdtContent>
      </w:sdt>
      <w:r>
        <w:rPr>
          <w:color w:val="000000" w:themeColor="text1"/>
          <w14:textFill>
            <w14:solidFill>
              <w14:schemeClr w14:val="tx1"/>
            </w14:solidFill>
          </w14:textFill>
        </w:rPr>
        <w:t xml:space="preserve">  币种：</w:t>
      </w:r>
      <w:sdt>
        <w:sdtPr>
          <w:rPr>
            <w:bCs w:val="0"/>
            <w:color w:val="000000" w:themeColor="text1"/>
            <w14:textFill>
              <w14:solidFill>
                <w14:schemeClr w14:val="tx1"/>
              </w14:solidFill>
            </w14:textFill>
          </w:rPr>
          <w:alias w:val="币种：资产处置收益明细"/>
          <w:tag w:val="_GBC_d68880ec5b074fdc8846b703ead631e2"/>
          <w:id w:val="1474633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bCs w:val="0"/>
            <w:color w:val="000000" w:themeColor="text1"/>
            <w14:textFill>
              <w14:solidFill>
                <w14:schemeClr w14:val="tx1"/>
              </w14:solidFill>
            </w14:textFill>
          </w:rPr>
        </w:sdtEndPr>
        <w:sdtContent>
          <w:r>
            <w:rPr>
              <w:bCs w:val="0"/>
              <w:color w:val="000000" w:themeColor="text1"/>
              <w14:textFill>
                <w14:solidFill>
                  <w14:schemeClr w14:val="tx1"/>
                </w14:solidFill>
              </w14:textFill>
            </w:rPr>
            <w:t>人民币</w:t>
          </w:r>
        </w:sdtContent>
      </w:sdt>
    </w:p>
    <w:tbl>
      <w:tblPr>
        <w:tblStyle w:val="5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8"/>
        <w:gridCol w:w="3027"/>
        <w:gridCol w:w="3020"/>
      </w:tblGrid>
      <w:tr w14:paraId="2328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pct"/>
          </w:tcPr>
          <w:sdt>
            <w:sdtPr>
              <w:rPr>
                <w:rFonts w:cs="Times New Roman"/>
              </w:rPr>
              <w:tag w:val="_PLD_5ae5d7d7d48342e7bc1da8d90a245459"/>
              <w:id w:val="147467791"/>
            </w:sdtPr>
            <w:sdtEndPr>
              <w:rPr>
                <w:rFonts w:cs="Times New Roman"/>
              </w:rPr>
            </w:sdtEndPr>
            <w:sdtContent>
              <w:p w14:paraId="2FA2627B">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sdtContent>
          </w:sdt>
        </w:tc>
        <w:tc>
          <w:tcPr>
            <w:tcW w:w="1673" w:type="pct"/>
          </w:tcPr>
          <w:sdt>
            <w:sdtPr>
              <w:rPr>
                <w:rFonts w:cs="Times New Roman"/>
              </w:rPr>
              <w:tag w:val="_PLD_879cf215b86c45c790218e646c831e7d"/>
              <w:id w:val="147451852"/>
            </w:sdtPr>
            <w:sdtEndPr>
              <w:rPr>
                <w:rFonts w:cs="Times New Roman"/>
              </w:rPr>
            </w:sdtEndPr>
            <w:sdtContent>
              <w:p w14:paraId="7538764B">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sdtContent>
          </w:sdt>
        </w:tc>
        <w:tc>
          <w:tcPr>
            <w:tcW w:w="1669" w:type="pct"/>
          </w:tcPr>
          <w:sdt>
            <w:sdtPr>
              <w:rPr>
                <w:rFonts w:cs="Times New Roman"/>
              </w:rPr>
              <w:tag w:val="_PLD_8860a002ccc44e14bf36aa3e10fb5d70"/>
              <w:id w:val="147458807"/>
            </w:sdtPr>
            <w:sdtEndPr>
              <w:rPr>
                <w:rFonts w:cs="Times New Roman"/>
              </w:rPr>
            </w:sdtEndPr>
            <w:sdtContent>
              <w:p w14:paraId="38CC230E">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sdtContent>
          </w:sdt>
        </w:tc>
      </w:tr>
      <w:tr w14:paraId="18A55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pct"/>
          </w:tcPr>
          <w:p w14:paraId="7C805286">
            <w:pPr>
              <w:widowControl/>
              <w:jc w:val="both"/>
              <w:textAlignment w:val="top"/>
              <w:rPr>
                <w:rFonts w:cs="Times New Roman"/>
              </w:rPr>
            </w:pPr>
            <w:r>
              <w:rPr>
                <w:rFonts w:cs="Times New Roman"/>
                <w:color w:val="000000"/>
                <w:lang w:bidi="ar"/>
              </w:rPr>
              <w:t>固定资产处置利得或损失</w:t>
            </w:r>
          </w:p>
        </w:tc>
        <w:tc>
          <w:tcPr>
            <w:tcW w:w="1673" w:type="pct"/>
            <w:vAlign w:val="center"/>
          </w:tcPr>
          <w:p w14:paraId="3248DAA5">
            <w:pPr>
              <w:widowControl/>
              <w:jc w:val="right"/>
              <w:textAlignment w:val="center"/>
              <w:rPr>
                <w:rFonts w:cs="Times New Roman"/>
              </w:rPr>
            </w:pPr>
            <w:r>
              <w:rPr>
                <w:rFonts w:cs="Times New Roman"/>
                <w:color w:val="000000"/>
              </w:rPr>
              <w:t>1,077,259.35</w:t>
            </w:r>
          </w:p>
        </w:tc>
        <w:tc>
          <w:tcPr>
            <w:tcW w:w="1669" w:type="pct"/>
            <w:vAlign w:val="center"/>
          </w:tcPr>
          <w:p w14:paraId="64163B09">
            <w:pPr>
              <w:widowControl/>
              <w:jc w:val="right"/>
              <w:textAlignment w:val="center"/>
              <w:rPr>
                <w:rFonts w:cs="Times New Roman"/>
              </w:rPr>
            </w:pPr>
            <w:r>
              <w:rPr>
                <w:rFonts w:cs="Times New Roman"/>
                <w:color w:val="000000"/>
              </w:rPr>
              <w:t>78,391.18</w:t>
            </w:r>
          </w:p>
        </w:tc>
      </w:tr>
      <w:tr w14:paraId="0ECA9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pct"/>
          </w:tcPr>
          <w:p w14:paraId="1BAC5017">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673" w:type="pct"/>
            <w:vAlign w:val="center"/>
          </w:tcPr>
          <w:p w14:paraId="54911C7F">
            <w:pPr>
              <w:widowControl/>
              <w:jc w:val="right"/>
              <w:textAlignment w:val="center"/>
              <w:rPr>
                <w:rFonts w:cs="Times New Roman"/>
              </w:rPr>
            </w:pPr>
            <w:r>
              <w:rPr>
                <w:rFonts w:cs="Times New Roman"/>
                <w:color w:val="000000"/>
              </w:rPr>
              <w:t>1,077,259.35</w:t>
            </w:r>
          </w:p>
        </w:tc>
        <w:tc>
          <w:tcPr>
            <w:tcW w:w="1669" w:type="pct"/>
            <w:vAlign w:val="center"/>
          </w:tcPr>
          <w:p w14:paraId="251587C3">
            <w:pPr>
              <w:widowControl/>
              <w:jc w:val="right"/>
              <w:textAlignment w:val="center"/>
              <w:rPr>
                <w:rFonts w:cs="Times New Roman"/>
              </w:rPr>
            </w:pPr>
            <w:r>
              <w:rPr>
                <w:rFonts w:cs="Times New Roman"/>
                <w:color w:val="000000"/>
              </w:rPr>
              <w:t>78,391.18</w:t>
            </w:r>
          </w:p>
        </w:tc>
      </w:tr>
    </w:tbl>
    <w:p w14:paraId="4CEC998F">
      <w:pPr>
        <w:rPr>
          <w:color w:val="000000" w:themeColor="text1"/>
          <w14:textFill>
            <w14:solidFill>
              <w14:schemeClr w14:val="tx1"/>
            </w14:solidFill>
          </w14:textFill>
        </w:rPr>
      </w:pPr>
    </w:p>
    <w:p w14:paraId="30CC5592">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说明：</w:t>
      </w:r>
    </w:p>
    <w:sdt>
      <w:sdtPr>
        <w:rPr>
          <w:rFonts w:hint="eastAsia"/>
          <w:color w:val="000000" w:themeColor="text1"/>
          <w14:textFill>
            <w14:solidFill>
              <w14:schemeClr w14:val="tx1"/>
            </w14:solidFill>
          </w14:textFill>
        </w:rPr>
        <w:alias w:val="是否适用：资产处置收益其他说明[双击切换]"/>
        <w:tag w:val="_GBC_15965d17bc0a4e6788b5c6faf8c51b58"/>
        <w:id w:val="147460256"/>
        <w:placeholder>
          <w:docPart w:val="GBC22222222222222222222222222222"/>
        </w:placeholder>
      </w:sdtPr>
      <w:sdtEndPr>
        <w:rPr>
          <w:rFonts w:hint="eastAsia"/>
          <w:color w:val="000000" w:themeColor="text1"/>
          <w14:textFill>
            <w14:solidFill>
              <w14:schemeClr w14:val="tx1"/>
            </w14:solidFill>
          </w14:textFill>
        </w:rPr>
      </w:sdtEndPr>
      <w:sdtContent>
        <w:p w14:paraId="029B1C2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8DB9C89">
      <w:pPr>
        <w:rPr>
          <w:color w:val="000000" w:themeColor="text1"/>
          <w14:textFill>
            <w14:solidFill>
              <w14:schemeClr w14:val="tx1"/>
            </w14:solidFill>
          </w14:textFill>
        </w:rPr>
      </w:pPr>
    </w:p>
    <w:p w14:paraId="23D1BCB0">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营业外收入</w:t>
      </w:r>
    </w:p>
    <w:sdt>
      <w:sdtPr>
        <w:rPr>
          <w:rFonts w:hint="eastAsia" w:cstheme="minorBidi"/>
          <w:bCs w:val="0"/>
          <w:color w:val="000000" w:themeColor="text1"/>
          <w:szCs w:val="22"/>
          <w14:textFill>
            <w14:solidFill>
              <w14:schemeClr w14:val="tx1"/>
            </w14:solidFill>
          </w14:textFill>
        </w:rPr>
        <w:alias w:val="是否适用：营业外收入情况 [双击切换]"/>
        <w:tag w:val="_GBC_b6e9df1124844122abb2dde58392c605"/>
        <w:id w:val="147476789"/>
        <w:lock w:val="contentLocked"/>
        <w:placeholder>
          <w:docPart w:val="GBC22222222222222222222222222222"/>
        </w:placeholder>
      </w:sdtPr>
      <w:sdtEndPr>
        <w:rPr>
          <w:rFonts w:hint="eastAsia" w:cstheme="minorBidi"/>
          <w:bCs w:val="0"/>
          <w:color w:val="000000" w:themeColor="text1"/>
          <w:szCs w:val="22"/>
          <w14:textFill>
            <w14:solidFill>
              <w14:schemeClr w14:val="tx1"/>
            </w14:solidFill>
          </w14:textFill>
        </w:rPr>
      </w:sdtEndPr>
      <w:sdtContent>
        <w:p w14:paraId="795F4B9E">
          <w:pPr>
            <w:rPr>
              <w:rFonts w:cstheme="minorBidi"/>
              <w:bCs w:val="0"/>
              <w:color w:val="000000" w:themeColor="text1"/>
              <w:szCs w:val="22"/>
              <w14:textFill>
                <w14:solidFill>
                  <w14:schemeClr w14:val="tx1"/>
                </w14:solidFill>
              </w14:textFill>
            </w:rPr>
          </w:pPr>
          <w:r>
            <w:rPr>
              <w:rFonts w:ascii="宋体" w:hAnsi="宋体" w:cstheme="minorBidi"/>
              <w:bCs w:val="0"/>
              <w:color w:val="000000" w:themeColor="text1"/>
              <w:szCs w:val="22"/>
              <w14:textFill>
                <w14:solidFill>
                  <w14:schemeClr w14:val="tx1"/>
                </w14:solidFill>
              </w14:textFill>
            </w:rPr>
            <w:fldChar w:fldCharType="begin"/>
          </w:r>
          <w:r>
            <w:rPr>
              <w:rFonts w:ascii="宋体" w:hAnsi="宋体" w:cstheme="minorBidi"/>
              <w:color w:val="000000" w:themeColor="text1"/>
              <w:szCs w:val="22"/>
              <w14:textFill>
                <w14:solidFill>
                  <w14:schemeClr w14:val="tx1"/>
                </w14:solidFill>
              </w14:textFill>
            </w:rPr>
            <w:instrText xml:space="preserve"> </w:instrText>
          </w:r>
          <w:r>
            <w:rPr>
              <w:rFonts w:hint="eastAsia" w:ascii="宋体" w:hAnsi="宋体" w:cstheme="minorBidi"/>
              <w:color w:val="000000" w:themeColor="text1"/>
              <w:szCs w:val="22"/>
              <w14:textFill>
                <w14:solidFill>
                  <w14:schemeClr w14:val="tx1"/>
                </w14:solidFill>
              </w14:textFill>
            </w:rPr>
            <w:instrText xml:space="preserve">MACROBUTTON  SnrToggleCheckbox √适用</w:instrText>
          </w:r>
          <w:r>
            <w:rPr>
              <w:rFonts w:ascii="宋体" w:hAnsi="宋体" w:cstheme="minorBidi"/>
              <w:color w:val="000000" w:themeColor="text1"/>
              <w:szCs w:val="22"/>
              <w14:textFill>
                <w14:solidFill>
                  <w14:schemeClr w14:val="tx1"/>
                </w14:solidFill>
              </w14:textFill>
            </w:rPr>
            <w:instrText xml:space="preserve"> </w:instrText>
          </w:r>
          <w:r>
            <w:rPr>
              <w:rFonts w:ascii="宋体" w:hAnsi="宋体" w:cstheme="minorBidi"/>
              <w:bCs w:val="0"/>
              <w:color w:val="000000" w:themeColor="text1"/>
              <w:szCs w:val="22"/>
              <w14:textFill>
                <w14:solidFill>
                  <w14:schemeClr w14:val="tx1"/>
                </w14:solidFill>
              </w14:textFill>
            </w:rPr>
            <w:fldChar w:fldCharType="end"/>
          </w:r>
          <w:r>
            <w:rPr>
              <w:rFonts w:ascii="宋体" w:hAnsi="宋体" w:cstheme="minorBidi"/>
              <w:bCs w:val="0"/>
              <w:color w:val="000000" w:themeColor="text1"/>
              <w:szCs w:val="22"/>
              <w14:textFill>
                <w14:solidFill>
                  <w14:schemeClr w14:val="tx1"/>
                </w14:solidFill>
              </w14:textFill>
            </w:rPr>
            <w:fldChar w:fldCharType="begin"/>
          </w:r>
          <w:r>
            <w:rPr>
              <w:rFonts w:ascii="宋体" w:hAnsi="宋体" w:cstheme="minorBidi"/>
              <w:color w:val="000000" w:themeColor="text1"/>
              <w:szCs w:val="22"/>
              <w14:textFill>
                <w14:solidFill>
                  <w14:schemeClr w14:val="tx1"/>
                </w14:solidFill>
              </w14:textFill>
            </w:rPr>
            <w:instrText xml:space="preserve"> MACROBUTTON  SnrToggleCheckbox □不适用 </w:instrText>
          </w:r>
          <w:r>
            <w:rPr>
              <w:rFonts w:ascii="宋体" w:hAnsi="宋体" w:cstheme="minorBidi"/>
              <w:bCs w:val="0"/>
              <w:color w:val="000000" w:themeColor="text1"/>
              <w:szCs w:val="22"/>
              <w14:textFill>
                <w14:solidFill>
                  <w14:schemeClr w14:val="tx1"/>
                </w14:solidFill>
              </w14:textFill>
            </w:rPr>
            <w:fldChar w:fldCharType="end"/>
          </w:r>
        </w:p>
      </w:sdtContent>
    </w:sdt>
    <w:p w14:paraId="5DEFED88">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营业外收入"/>
          <w:tag w:val="_GBC_dd93a692e0c045038f9ddf46f86e7289"/>
          <w:id w:val="1474779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营业外收入"/>
          <w:tag w:val="_GBC_598cac7504eb4ef39ddc19fb969bdd53"/>
          <w:id w:val="1474574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7"/>
        <w:gridCol w:w="2022"/>
        <w:gridCol w:w="2022"/>
        <w:gridCol w:w="2318"/>
      </w:tblGrid>
      <w:tr w14:paraId="2F3E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d649e0d07dd047a497e69591bf3e322c"/>
            <w:id w:val="147476253"/>
          </w:sdtPr>
          <w:sdtEndPr>
            <w:rPr>
              <w:rFonts w:cs="Times New Roman"/>
            </w:rPr>
          </w:sdtEndPr>
          <w:sdtContent>
            <w:tc>
              <w:tcPr>
                <w:tcW w:w="1484" w:type="pct"/>
                <w:tcBorders>
                  <w:top w:val="single" w:color="auto" w:sz="4" w:space="0"/>
                  <w:left w:val="single" w:color="auto" w:sz="4" w:space="0"/>
                  <w:bottom w:val="single" w:color="auto" w:sz="4" w:space="0"/>
                  <w:right w:val="single" w:color="auto" w:sz="4" w:space="0"/>
                </w:tcBorders>
                <w:vAlign w:val="center"/>
              </w:tcPr>
              <w:p w14:paraId="0139B4DA">
                <w:pPr>
                  <w:autoSpaceDE w:val="0"/>
                  <w:autoSpaceDN w:val="0"/>
                  <w:adjustRightIn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eabf358cb2c947a9b4e7bacb394074db"/>
            <w:id w:val="147452346"/>
          </w:sdtPr>
          <w:sdtEndPr>
            <w:rPr>
              <w:rFonts w:cs="Times New Roman"/>
            </w:rPr>
          </w:sdtEndPr>
          <w:sdtContent>
            <w:tc>
              <w:tcPr>
                <w:tcW w:w="1117" w:type="pct"/>
                <w:tcBorders>
                  <w:top w:val="single" w:color="auto" w:sz="4" w:space="0"/>
                  <w:left w:val="single" w:color="auto" w:sz="4" w:space="0"/>
                  <w:bottom w:val="single" w:color="auto" w:sz="4" w:space="0"/>
                  <w:right w:val="single" w:color="auto" w:sz="4" w:space="0"/>
                </w:tcBorders>
                <w:vAlign w:val="center"/>
              </w:tcPr>
              <w:p w14:paraId="18D21FB2">
                <w:pPr>
                  <w:autoSpaceDE w:val="0"/>
                  <w:autoSpaceDN w:val="0"/>
                  <w:adjustRightIn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tc>
          </w:sdtContent>
        </w:sdt>
        <w:sdt>
          <w:sdtPr>
            <w:rPr>
              <w:rFonts w:cs="Times New Roman"/>
            </w:rPr>
            <w:tag w:val="_PLD_0469d808d7334ff0ab3460273b0c8f8f"/>
            <w:id w:val="147460924"/>
          </w:sdtPr>
          <w:sdtEndPr>
            <w:rPr>
              <w:rFonts w:cs="Times New Roman"/>
            </w:rPr>
          </w:sdtEndPr>
          <w:sdtContent>
            <w:tc>
              <w:tcPr>
                <w:tcW w:w="1117" w:type="pct"/>
                <w:tcBorders>
                  <w:top w:val="single" w:color="auto" w:sz="4" w:space="0"/>
                  <w:left w:val="single" w:color="auto" w:sz="4" w:space="0"/>
                  <w:bottom w:val="single" w:color="auto" w:sz="4" w:space="0"/>
                  <w:right w:val="single" w:color="auto" w:sz="4" w:space="0"/>
                </w:tcBorders>
                <w:vAlign w:val="center"/>
              </w:tcPr>
              <w:p w14:paraId="356B1625">
                <w:pPr>
                  <w:autoSpaceDE w:val="0"/>
                  <w:autoSpaceDN w:val="0"/>
                  <w:adjustRightIn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tc>
          </w:sdtContent>
        </w:sdt>
        <w:sdt>
          <w:sdtPr>
            <w:rPr>
              <w:rFonts w:cs="Times New Roman"/>
            </w:rPr>
            <w:tag w:val="_PLD_121bda757dda46918753fabf9329298f"/>
            <w:id w:val="147463977"/>
          </w:sdtPr>
          <w:sdtEndPr>
            <w:rPr>
              <w:rFonts w:cs="Times New Roman"/>
            </w:rPr>
          </w:sdtEndPr>
          <w:sdtContent>
            <w:tc>
              <w:tcPr>
                <w:tcW w:w="1280" w:type="pct"/>
                <w:tcBorders>
                  <w:top w:val="single" w:color="auto" w:sz="4" w:space="0"/>
                  <w:left w:val="single" w:color="auto" w:sz="4" w:space="0"/>
                  <w:bottom w:val="single" w:color="auto" w:sz="4" w:space="0"/>
                  <w:right w:val="single" w:color="auto" w:sz="4" w:space="0"/>
                </w:tcBorders>
                <w:vAlign w:val="center"/>
              </w:tcPr>
              <w:p w14:paraId="5F152F71">
                <w:pPr>
                  <w:autoSpaceDE w:val="0"/>
                  <w:autoSpaceDN w:val="0"/>
                  <w:adjustRightIn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计入当期非经常性损益的金额</w:t>
                </w:r>
              </w:p>
            </w:tc>
          </w:sdtContent>
        </w:sdt>
      </w:tr>
      <w:tr w14:paraId="5D63E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pct"/>
            <w:tcBorders>
              <w:top w:val="single" w:color="auto" w:sz="4" w:space="0"/>
              <w:left w:val="single" w:color="auto" w:sz="4" w:space="0"/>
              <w:bottom w:val="single" w:color="auto" w:sz="4" w:space="0"/>
              <w:right w:val="single" w:color="auto" w:sz="4" w:space="0"/>
            </w:tcBorders>
          </w:tcPr>
          <w:p w14:paraId="50565E90">
            <w:pPr>
              <w:textAlignment w:val="top"/>
              <w:rPr>
                <w:rFonts w:cs="Times New Roman"/>
                <w:color w:val="000000"/>
                <w:lang w:bidi="ar"/>
              </w:rPr>
            </w:pPr>
            <w:r>
              <w:rPr>
                <w:rFonts w:cs="Times New Roman"/>
                <w:color w:val="000000"/>
                <w:lang w:bidi="ar"/>
              </w:rPr>
              <w:t>非流动资产毁损报废利得</w:t>
            </w:r>
          </w:p>
        </w:tc>
        <w:tc>
          <w:tcPr>
            <w:tcW w:w="1117" w:type="pct"/>
            <w:tcBorders>
              <w:top w:val="single" w:color="auto" w:sz="4" w:space="0"/>
              <w:left w:val="single" w:color="auto" w:sz="4" w:space="0"/>
              <w:bottom w:val="single" w:color="auto" w:sz="4" w:space="0"/>
              <w:right w:val="single" w:color="auto" w:sz="4" w:space="0"/>
            </w:tcBorders>
            <w:vAlign w:val="center"/>
          </w:tcPr>
          <w:p w14:paraId="64210825">
            <w:pPr>
              <w:jc w:val="right"/>
              <w:textAlignment w:val="center"/>
              <w:rPr>
                <w:rFonts w:cs="Times New Roman"/>
                <w:color w:val="000000"/>
              </w:rPr>
            </w:pPr>
            <w:r>
              <w:rPr>
                <w:rFonts w:eastAsia="Arial Narrow" w:cs="Times New Roman"/>
                <w:color w:val="000000"/>
                <w:lang w:bidi="ar"/>
              </w:rPr>
              <w:t>117,437.66</w:t>
            </w:r>
          </w:p>
        </w:tc>
        <w:tc>
          <w:tcPr>
            <w:tcW w:w="1117" w:type="pct"/>
            <w:tcBorders>
              <w:top w:val="single" w:color="auto" w:sz="4" w:space="0"/>
              <w:left w:val="single" w:color="auto" w:sz="4" w:space="0"/>
              <w:bottom w:val="single" w:color="auto" w:sz="4" w:space="0"/>
              <w:right w:val="single" w:color="auto" w:sz="4" w:space="0"/>
            </w:tcBorders>
            <w:vAlign w:val="center"/>
          </w:tcPr>
          <w:p w14:paraId="4B085CD3">
            <w:pPr>
              <w:jc w:val="right"/>
              <w:textAlignment w:val="center"/>
              <w:rPr>
                <w:rFonts w:cs="Times New Roman"/>
                <w:color w:val="000000"/>
              </w:rPr>
            </w:pPr>
            <w:r>
              <w:rPr>
                <w:rFonts w:eastAsia="Arial Narrow" w:cs="Times New Roman"/>
                <w:color w:val="000000"/>
                <w:lang w:bidi="ar"/>
              </w:rPr>
              <w:t>100,276.79</w:t>
            </w:r>
          </w:p>
        </w:tc>
        <w:tc>
          <w:tcPr>
            <w:tcW w:w="1280" w:type="pct"/>
            <w:tcBorders>
              <w:top w:val="single" w:color="auto" w:sz="4" w:space="0"/>
              <w:left w:val="single" w:color="auto" w:sz="4" w:space="0"/>
              <w:bottom w:val="single" w:color="auto" w:sz="4" w:space="0"/>
              <w:right w:val="single" w:color="auto" w:sz="4" w:space="0"/>
            </w:tcBorders>
            <w:vAlign w:val="center"/>
          </w:tcPr>
          <w:p w14:paraId="570343BA">
            <w:pPr>
              <w:jc w:val="right"/>
              <w:textAlignment w:val="center"/>
              <w:rPr>
                <w:rFonts w:cs="Times New Roman"/>
                <w:color w:val="000000"/>
              </w:rPr>
            </w:pPr>
            <w:r>
              <w:rPr>
                <w:rFonts w:eastAsia="Arial Narrow" w:cs="Times New Roman"/>
                <w:color w:val="000000"/>
                <w:lang w:bidi="ar"/>
              </w:rPr>
              <w:t>117,437.66</w:t>
            </w:r>
          </w:p>
        </w:tc>
      </w:tr>
      <w:tr w14:paraId="5B25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pct"/>
            <w:tcBorders>
              <w:top w:val="single" w:color="auto" w:sz="4" w:space="0"/>
              <w:left w:val="single" w:color="auto" w:sz="4" w:space="0"/>
              <w:bottom w:val="single" w:color="auto" w:sz="4" w:space="0"/>
              <w:right w:val="single" w:color="auto" w:sz="4" w:space="0"/>
            </w:tcBorders>
          </w:tcPr>
          <w:p w14:paraId="703465E2">
            <w:pPr>
              <w:textAlignment w:val="top"/>
              <w:rPr>
                <w:rFonts w:cs="Times New Roman"/>
                <w:color w:val="000000" w:themeColor="text1"/>
                <w14:textFill>
                  <w14:solidFill>
                    <w14:schemeClr w14:val="tx1"/>
                  </w14:solidFill>
                </w14:textFill>
              </w:rPr>
            </w:pPr>
            <w:r>
              <w:rPr>
                <w:rFonts w:cs="Times New Roman"/>
                <w:color w:val="000000"/>
                <w:lang w:bidi="ar"/>
              </w:rPr>
              <w:t>违约赔偿收入</w:t>
            </w:r>
          </w:p>
        </w:tc>
        <w:tc>
          <w:tcPr>
            <w:tcW w:w="1117" w:type="pct"/>
            <w:tcBorders>
              <w:top w:val="single" w:color="auto" w:sz="4" w:space="0"/>
              <w:left w:val="single" w:color="auto" w:sz="4" w:space="0"/>
              <w:bottom w:val="single" w:color="auto" w:sz="4" w:space="0"/>
              <w:right w:val="single" w:color="auto" w:sz="4" w:space="0"/>
            </w:tcBorders>
            <w:vAlign w:val="center"/>
          </w:tcPr>
          <w:p w14:paraId="0FF3D637">
            <w:pPr>
              <w:jc w:val="right"/>
              <w:textAlignment w:val="center"/>
              <w:rPr>
                <w:rFonts w:cs="Times New Roman"/>
              </w:rPr>
            </w:pPr>
            <w:r>
              <w:rPr>
                <w:rFonts w:cs="Times New Roman"/>
                <w:color w:val="000000"/>
              </w:rPr>
              <w:t>2,000,911.01</w:t>
            </w:r>
          </w:p>
        </w:tc>
        <w:tc>
          <w:tcPr>
            <w:tcW w:w="1117" w:type="pct"/>
            <w:tcBorders>
              <w:top w:val="single" w:color="auto" w:sz="4" w:space="0"/>
              <w:left w:val="single" w:color="auto" w:sz="4" w:space="0"/>
              <w:bottom w:val="single" w:color="auto" w:sz="4" w:space="0"/>
              <w:right w:val="single" w:color="auto" w:sz="4" w:space="0"/>
            </w:tcBorders>
            <w:vAlign w:val="center"/>
          </w:tcPr>
          <w:p w14:paraId="29269DE8">
            <w:pPr>
              <w:jc w:val="right"/>
              <w:textAlignment w:val="center"/>
              <w:rPr>
                <w:rFonts w:cs="Times New Roman"/>
              </w:rPr>
            </w:pPr>
            <w:r>
              <w:rPr>
                <w:rFonts w:cs="Times New Roman"/>
                <w:color w:val="000000"/>
              </w:rPr>
              <w:t>317,168.43</w:t>
            </w:r>
          </w:p>
        </w:tc>
        <w:tc>
          <w:tcPr>
            <w:tcW w:w="1280" w:type="pct"/>
            <w:tcBorders>
              <w:top w:val="single" w:color="auto" w:sz="4" w:space="0"/>
              <w:left w:val="single" w:color="auto" w:sz="4" w:space="0"/>
              <w:bottom w:val="single" w:color="auto" w:sz="4" w:space="0"/>
              <w:right w:val="single" w:color="auto" w:sz="4" w:space="0"/>
            </w:tcBorders>
            <w:vAlign w:val="center"/>
          </w:tcPr>
          <w:p w14:paraId="2EC62557">
            <w:pPr>
              <w:jc w:val="right"/>
              <w:textAlignment w:val="center"/>
              <w:rPr>
                <w:rFonts w:cs="Times New Roman"/>
              </w:rPr>
            </w:pPr>
            <w:r>
              <w:rPr>
                <w:rFonts w:cs="Times New Roman"/>
                <w:color w:val="000000"/>
              </w:rPr>
              <w:t>2,000,911.01</w:t>
            </w:r>
          </w:p>
        </w:tc>
      </w:tr>
      <w:tr w14:paraId="65B00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pct"/>
            <w:tcBorders>
              <w:top w:val="single" w:color="auto" w:sz="4" w:space="0"/>
              <w:left w:val="single" w:color="auto" w:sz="4" w:space="0"/>
              <w:bottom w:val="single" w:color="auto" w:sz="4" w:space="0"/>
              <w:right w:val="single" w:color="auto" w:sz="4" w:space="0"/>
            </w:tcBorders>
          </w:tcPr>
          <w:p w14:paraId="6647CE8E">
            <w:pPr>
              <w:textAlignment w:val="top"/>
              <w:rPr>
                <w:rFonts w:cs="Times New Roman"/>
                <w:color w:val="000000" w:themeColor="text1"/>
                <w14:textFill>
                  <w14:solidFill>
                    <w14:schemeClr w14:val="tx1"/>
                  </w14:solidFill>
                </w14:textFill>
              </w:rPr>
            </w:pPr>
            <w:r>
              <w:rPr>
                <w:rFonts w:cs="Times New Roman"/>
                <w:color w:val="000000"/>
                <w:lang w:bidi="ar"/>
              </w:rPr>
              <w:t>罚没、罚款收入</w:t>
            </w:r>
          </w:p>
        </w:tc>
        <w:tc>
          <w:tcPr>
            <w:tcW w:w="1117" w:type="pct"/>
            <w:tcBorders>
              <w:top w:val="single" w:color="auto" w:sz="4" w:space="0"/>
              <w:left w:val="single" w:color="auto" w:sz="4" w:space="0"/>
              <w:bottom w:val="single" w:color="auto" w:sz="4" w:space="0"/>
              <w:right w:val="single" w:color="auto" w:sz="4" w:space="0"/>
            </w:tcBorders>
            <w:vAlign w:val="center"/>
          </w:tcPr>
          <w:p w14:paraId="672C1622">
            <w:pPr>
              <w:jc w:val="right"/>
              <w:textAlignment w:val="center"/>
              <w:rPr>
                <w:rFonts w:cs="Times New Roman"/>
              </w:rPr>
            </w:pPr>
            <w:r>
              <w:rPr>
                <w:rFonts w:cs="Times New Roman"/>
                <w:color w:val="000000"/>
              </w:rPr>
              <w:t>785,295.60</w:t>
            </w:r>
          </w:p>
        </w:tc>
        <w:tc>
          <w:tcPr>
            <w:tcW w:w="1117" w:type="pct"/>
            <w:tcBorders>
              <w:top w:val="single" w:color="auto" w:sz="4" w:space="0"/>
              <w:left w:val="single" w:color="auto" w:sz="4" w:space="0"/>
              <w:bottom w:val="single" w:color="auto" w:sz="4" w:space="0"/>
              <w:right w:val="single" w:color="auto" w:sz="4" w:space="0"/>
            </w:tcBorders>
            <w:vAlign w:val="center"/>
          </w:tcPr>
          <w:p w14:paraId="03F976CD">
            <w:pPr>
              <w:jc w:val="right"/>
              <w:textAlignment w:val="center"/>
              <w:rPr>
                <w:rFonts w:cs="Times New Roman"/>
              </w:rPr>
            </w:pPr>
            <w:r>
              <w:rPr>
                <w:rFonts w:cs="Times New Roman"/>
                <w:color w:val="000000"/>
              </w:rPr>
              <w:t>948,306.74</w:t>
            </w:r>
          </w:p>
        </w:tc>
        <w:tc>
          <w:tcPr>
            <w:tcW w:w="1280" w:type="pct"/>
            <w:tcBorders>
              <w:top w:val="single" w:color="auto" w:sz="4" w:space="0"/>
              <w:left w:val="single" w:color="auto" w:sz="4" w:space="0"/>
              <w:bottom w:val="single" w:color="auto" w:sz="4" w:space="0"/>
              <w:right w:val="single" w:color="auto" w:sz="4" w:space="0"/>
            </w:tcBorders>
            <w:vAlign w:val="center"/>
          </w:tcPr>
          <w:p w14:paraId="31294B2F">
            <w:pPr>
              <w:jc w:val="right"/>
              <w:textAlignment w:val="center"/>
              <w:rPr>
                <w:rFonts w:cs="Times New Roman"/>
              </w:rPr>
            </w:pPr>
            <w:r>
              <w:rPr>
                <w:rFonts w:cs="Times New Roman"/>
                <w:color w:val="000000"/>
              </w:rPr>
              <w:t>785,295.60</w:t>
            </w:r>
          </w:p>
        </w:tc>
      </w:tr>
      <w:tr w14:paraId="701C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pct"/>
            <w:tcBorders>
              <w:top w:val="single" w:color="auto" w:sz="4" w:space="0"/>
              <w:left w:val="single" w:color="auto" w:sz="4" w:space="0"/>
              <w:bottom w:val="single" w:color="auto" w:sz="4" w:space="0"/>
              <w:right w:val="single" w:color="auto" w:sz="4" w:space="0"/>
            </w:tcBorders>
          </w:tcPr>
          <w:p w14:paraId="53C1BCCC">
            <w:pPr>
              <w:textAlignment w:val="top"/>
              <w:rPr>
                <w:rFonts w:cs="Times New Roman"/>
                <w:color w:val="000000" w:themeColor="text1"/>
                <w14:textFill>
                  <w14:solidFill>
                    <w14:schemeClr w14:val="tx1"/>
                  </w14:solidFill>
                </w14:textFill>
              </w:rPr>
            </w:pPr>
            <w:r>
              <w:rPr>
                <w:rFonts w:cs="Times New Roman"/>
                <w:color w:val="000000"/>
                <w:lang w:bidi="ar"/>
              </w:rPr>
              <w:t>无法支付的应付款项</w:t>
            </w:r>
          </w:p>
        </w:tc>
        <w:tc>
          <w:tcPr>
            <w:tcW w:w="1117" w:type="pct"/>
            <w:tcBorders>
              <w:top w:val="single" w:color="auto" w:sz="4" w:space="0"/>
              <w:left w:val="single" w:color="auto" w:sz="4" w:space="0"/>
              <w:bottom w:val="single" w:color="auto" w:sz="4" w:space="0"/>
              <w:right w:val="single" w:color="auto" w:sz="4" w:space="0"/>
            </w:tcBorders>
            <w:vAlign w:val="center"/>
          </w:tcPr>
          <w:p w14:paraId="5EE7A8B7">
            <w:pPr>
              <w:jc w:val="right"/>
              <w:textAlignment w:val="center"/>
              <w:rPr>
                <w:rFonts w:cs="Times New Roman"/>
              </w:rPr>
            </w:pPr>
            <w:r>
              <w:rPr>
                <w:rFonts w:cs="Times New Roman"/>
                <w:color w:val="000000"/>
              </w:rPr>
              <w:t>53,400.00</w:t>
            </w:r>
          </w:p>
        </w:tc>
        <w:tc>
          <w:tcPr>
            <w:tcW w:w="1117" w:type="pct"/>
            <w:tcBorders>
              <w:top w:val="single" w:color="auto" w:sz="4" w:space="0"/>
              <w:left w:val="single" w:color="auto" w:sz="4" w:space="0"/>
              <w:bottom w:val="single" w:color="auto" w:sz="4" w:space="0"/>
              <w:right w:val="single" w:color="auto" w:sz="4" w:space="0"/>
            </w:tcBorders>
            <w:vAlign w:val="center"/>
          </w:tcPr>
          <w:p w14:paraId="0B491FBA">
            <w:pPr>
              <w:jc w:val="right"/>
              <w:rPr>
                <w:rFonts w:cs="Times New Roman"/>
              </w:rPr>
            </w:pPr>
          </w:p>
        </w:tc>
        <w:tc>
          <w:tcPr>
            <w:tcW w:w="1280" w:type="pct"/>
            <w:tcBorders>
              <w:top w:val="single" w:color="auto" w:sz="4" w:space="0"/>
              <w:left w:val="single" w:color="auto" w:sz="4" w:space="0"/>
              <w:bottom w:val="single" w:color="auto" w:sz="4" w:space="0"/>
              <w:right w:val="single" w:color="auto" w:sz="4" w:space="0"/>
            </w:tcBorders>
            <w:vAlign w:val="center"/>
          </w:tcPr>
          <w:p w14:paraId="70C24CEE">
            <w:pPr>
              <w:jc w:val="right"/>
              <w:textAlignment w:val="center"/>
              <w:rPr>
                <w:rFonts w:cs="Times New Roman"/>
              </w:rPr>
            </w:pPr>
            <w:r>
              <w:rPr>
                <w:rFonts w:cs="Times New Roman"/>
                <w:color w:val="000000"/>
              </w:rPr>
              <w:t>53,400.00</w:t>
            </w:r>
          </w:p>
        </w:tc>
      </w:tr>
      <w:tr w14:paraId="4A62D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pct"/>
            <w:tcBorders>
              <w:top w:val="single" w:color="auto" w:sz="4" w:space="0"/>
              <w:left w:val="single" w:color="auto" w:sz="4" w:space="0"/>
              <w:bottom w:val="single" w:color="auto" w:sz="4" w:space="0"/>
              <w:right w:val="single" w:color="auto" w:sz="4" w:space="0"/>
            </w:tcBorders>
          </w:tcPr>
          <w:p w14:paraId="1AB17334">
            <w:pPr>
              <w:textAlignment w:val="top"/>
              <w:rPr>
                <w:rFonts w:cs="Times New Roman"/>
                <w:bCs w:val="0"/>
                <w:color w:val="000000" w:themeColor="text1"/>
                <w14:textFill>
                  <w14:solidFill>
                    <w14:schemeClr w14:val="tx1"/>
                  </w14:solidFill>
                </w14:textFill>
              </w:rPr>
            </w:pPr>
            <w:r>
              <w:rPr>
                <w:rFonts w:cs="Times New Roman"/>
                <w:color w:val="000000"/>
                <w:lang w:bidi="ar"/>
              </w:rPr>
              <w:t>其他</w:t>
            </w:r>
          </w:p>
        </w:tc>
        <w:tc>
          <w:tcPr>
            <w:tcW w:w="1117" w:type="pct"/>
            <w:tcBorders>
              <w:top w:val="single" w:color="auto" w:sz="4" w:space="0"/>
              <w:left w:val="single" w:color="auto" w:sz="4" w:space="0"/>
              <w:bottom w:val="single" w:color="auto" w:sz="4" w:space="0"/>
              <w:right w:val="single" w:color="auto" w:sz="4" w:space="0"/>
            </w:tcBorders>
            <w:vAlign w:val="center"/>
          </w:tcPr>
          <w:p w14:paraId="544E6EFB">
            <w:pPr>
              <w:jc w:val="right"/>
              <w:textAlignment w:val="center"/>
              <w:rPr>
                <w:rFonts w:cs="Times New Roman"/>
              </w:rPr>
            </w:pPr>
            <w:r>
              <w:rPr>
                <w:rFonts w:cs="Times New Roman"/>
                <w:color w:val="000000"/>
              </w:rPr>
              <w:t>10,023,851.05</w:t>
            </w:r>
          </w:p>
        </w:tc>
        <w:tc>
          <w:tcPr>
            <w:tcW w:w="1117" w:type="pct"/>
            <w:tcBorders>
              <w:top w:val="single" w:color="auto" w:sz="4" w:space="0"/>
              <w:left w:val="single" w:color="auto" w:sz="4" w:space="0"/>
              <w:bottom w:val="single" w:color="auto" w:sz="4" w:space="0"/>
              <w:right w:val="single" w:color="auto" w:sz="4" w:space="0"/>
            </w:tcBorders>
            <w:vAlign w:val="center"/>
          </w:tcPr>
          <w:p w14:paraId="20568CB8">
            <w:pPr>
              <w:jc w:val="right"/>
              <w:textAlignment w:val="center"/>
              <w:rPr>
                <w:rFonts w:cs="Times New Roman"/>
              </w:rPr>
            </w:pPr>
            <w:r>
              <w:rPr>
                <w:rFonts w:cs="Times New Roman"/>
                <w:color w:val="000000"/>
              </w:rPr>
              <w:t>579,089.09</w:t>
            </w:r>
          </w:p>
        </w:tc>
        <w:tc>
          <w:tcPr>
            <w:tcW w:w="1280" w:type="pct"/>
            <w:tcBorders>
              <w:top w:val="single" w:color="auto" w:sz="4" w:space="0"/>
              <w:left w:val="single" w:color="auto" w:sz="4" w:space="0"/>
              <w:bottom w:val="single" w:color="auto" w:sz="4" w:space="0"/>
              <w:right w:val="single" w:color="auto" w:sz="4" w:space="0"/>
            </w:tcBorders>
            <w:vAlign w:val="center"/>
          </w:tcPr>
          <w:p w14:paraId="11446B7C">
            <w:pPr>
              <w:jc w:val="right"/>
              <w:textAlignment w:val="center"/>
              <w:rPr>
                <w:rFonts w:cs="Times New Roman"/>
              </w:rPr>
            </w:pPr>
            <w:r>
              <w:rPr>
                <w:rFonts w:cs="Times New Roman"/>
                <w:color w:val="000000"/>
              </w:rPr>
              <w:t>10,023,851.05</w:t>
            </w:r>
          </w:p>
        </w:tc>
      </w:tr>
      <w:tr w14:paraId="0834D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pct"/>
            <w:tcBorders>
              <w:top w:val="single" w:color="auto" w:sz="4" w:space="0"/>
              <w:left w:val="single" w:color="auto" w:sz="4" w:space="0"/>
              <w:bottom w:val="single" w:color="auto" w:sz="4" w:space="0"/>
              <w:right w:val="single" w:color="auto" w:sz="4" w:space="0"/>
            </w:tcBorders>
            <w:vAlign w:val="center"/>
          </w:tcPr>
          <w:p w14:paraId="35B525E0">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117" w:type="pct"/>
            <w:tcBorders>
              <w:top w:val="single" w:color="auto" w:sz="4" w:space="0"/>
              <w:left w:val="single" w:color="auto" w:sz="4" w:space="0"/>
              <w:bottom w:val="single" w:color="auto" w:sz="4" w:space="0"/>
              <w:right w:val="single" w:color="auto" w:sz="4" w:space="0"/>
            </w:tcBorders>
            <w:vAlign w:val="center"/>
          </w:tcPr>
          <w:p w14:paraId="76524397">
            <w:pPr>
              <w:jc w:val="right"/>
              <w:textAlignment w:val="center"/>
              <w:rPr>
                <w:rFonts w:cs="Times New Roman"/>
              </w:rPr>
            </w:pPr>
            <w:r>
              <w:rPr>
                <w:rFonts w:cs="Times New Roman"/>
                <w:color w:val="000000"/>
              </w:rPr>
              <w:t>12,980,895.32</w:t>
            </w:r>
          </w:p>
        </w:tc>
        <w:tc>
          <w:tcPr>
            <w:tcW w:w="1117" w:type="pct"/>
            <w:tcBorders>
              <w:top w:val="single" w:color="auto" w:sz="4" w:space="0"/>
              <w:left w:val="single" w:color="auto" w:sz="4" w:space="0"/>
              <w:bottom w:val="single" w:color="auto" w:sz="4" w:space="0"/>
              <w:right w:val="single" w:color="auto" w:sz="4" w:space="0"/>
            </w:tcBorders>
            <w:vAlign w:val="center"/>
          </w:tcPr>
          <w:p w14:paraId="65757627">
            <w:pPr>
              <w:jc w:val="right"/>
              <w:textAlignment w:val="center"/>
              <w:rPr>
                <w:rFonts w:cs="Times New Roman"/>
              </w:rPr>
            </w:pPr>
            <w:r>
              <w:rPr>
                <w:rFonts w:cs="Times New Roman"/>
                <w:color w:val="000000"/>
              </w:rPr>
              <w:t>1,944,841.05</w:t>
            </w:r>
          </w:p>
        </w:tc>
        <w:tc>
          <w:tcPr>
            <w:tcW w:w="1280" w:type="pct"/>
            <w:tcBorders>
              <w:top w:val="single" w:color="auto" w:sz="4" w:space="0"/>
              <w:left w:val="single" w:color="auto" w:sz="4" w:space="0"/>
              <w:bottom w:val="single" w:color="auto" w:sz="4" w:space="0"/>
              <w:right w:val="single" w:color="auto" w:sz="4" w:space="0"/>
            </w:tcBorders>
            <w:vAlign w:val="center"/>
          </w:tcPr>
          <w:p w14:paraId="48088FDB">
            <w:pPr>
              <w:jc w:val="right"/>
              <w:textAlignment w:val="center"/>
              <w:rPr>
                <w:rFonts w:cs="Times New Roman"/>
              </w:rPr>
            </w:pPr>
            <w:r>
              <w:rPr>
                <w:rFonts w:cs="Times New Roman"/>
                <w:color w:val="000000"/>
              </w:rPr>
              <w:t>12,980,895.32</w:t>
            </w:r>
          </w:p>
        </w:tc>
      </w:tr>
    </w:tbl>
    <w:p w14:paraId="46D226BE">
      <w:pPr>
        <w:rPr>
          <w:color w:val="000000" w:themeColor="text1"/>
          <w14:textFill>
            <w14:solidFill>
              <w14:schemeClr w14:val="tx1"/>
            </w14:solidFill>
          </w14:textFill>
        </w:rPr>
      </w:pPr>
    </w:p>
    <w:p w14:paraId="2A92CF27">
      <w:pPr>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营业外收入说明[双击切换]"/>
        <w:tag w:val="_GBC_9bd4fc9f0fcc4e85bee85b3ce60c8b2c"/>
        <w:id w:val="147483407"/>
        <w:placeholder>
          <w:docPart w:val="GBC22222222222222222222222222222"/>
        </w:placeholder>
      </w:sdtPr>
      <w:sdtEndPr>
        <w:rPr>
          <w:color w:val="000000" w:themeColor="text1"/>
          <w14:textFill>
            <w14:solidFill>
              <w14:schemeClr w14:val="tx1"/>
            </w14:solidFill>
          </w14:textFill>
        </w:rPr>
      </w:sdtEndPr>
      <w:sdtContent>
        <w:p w14:paraId="4BDB5CB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054E8B2">
      <w:pPr>
        <w:rPr>
          <w:color w:val="000000" w:themeColor="text1"/>
          <w14:textFill>
            <w14:solidFill>
              <w14:schemeClr w14:val="tx1"/>
            </w14:solidFill>
          </w14:textFill>
        </w:rPr>
      </w:pPr>
    </w:p>
    <w:p w14:paraId="624AD27F">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营业外支出</w:t>
      </w:r>
    </w:p>
    <w:sdt>
      <w:sdtPr>
        <w:rPr>
          <w:color w:val="000000" w:themeColor="text1"/>
          <w14:textFill>
            <w14:solidFill>
              <w14:schemeClr w14:val="tx1"/>
            </w14:solidFill>
          </w14:textFill>
        </w:rPr>
        <w:alias w:val="是否适用：营业外支出[双击切换]"/>
        <w:tag w:val="_GBC_6d4b8ac674ce425b8c798e92aa1fe455"/>
        <w:id w:val="147457319"/>
        <w:placeholder>
          <w:docPart w:val="GBC22222222222222222222222222222"/>
        </w:placeholder>
      </w:sdtPr>
      <w:sdtEndPr>
        <w:rPr>
          <w:color w:val="000000" w:themeColor="text1"/>
          <w14:textFill>
            <w14:solidFill>
              <w14:schemeClr w14:val="tx1"/>
            </w14:solidFill>
          </w14:textFill>
        </w:rPr>
      </w:sdtEndPr>
      <w:sdtContent>
        <w:p w14:paraId="2D71077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D871895">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营业外支出"/>
          <w:tag w:val="_GBC_f8678a9a1bbf4b0697744c5d21146839"/>
          <w:id w:val="1474619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营业外支出"/>
          <w:tag w:val="_GBC_61e3e82ad5404a9987623525ac03d95e"/>
          <w:id w:val="1474529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7"/>
        <w:gridCol w:w="2022"/>
        <w:gridCol w:w="2022"/>
        <w:gridCol w:w="2318"/>
      </w:tblGrid>
      <w:tr w14:paraId="5FEF8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6abf292cb0a7463788e39d1bdabb85fc"/>
            <w:id w:val="147475267"/>
          </w:sdtPr>
          <w:sdtEndPr>
            <w:rPr>
              <w:rFonts w:cs="Times New Roman"/>
            </w:rPr>
          </w:sdtEndPr>
          <w:sdtContent>
            <w:tc>
              <w:tcPr>
                <w:tcW w:w="1484" w:type="pct"/>
                <w:tcBorders>
                  <w:top w:val="single" w:color="auto" w:sz="4" w:space="0"/>
                  <w:left w:val="single" w:color="auto" w:sz="4" w:space="0"/>
                  <w:bottom w:val="single" w:color="auto" w:sz="4" w:space="0"/>
                  <w:right w:val="single" w:color="auto" w:sz="4" w:space="0"/>
                </w:tcBorders>
                <w:vAlign w:val="center"/>
              </w:tcPr>
              <w:p w14:paraId="30B1EC39">
                <w:pPr>
                  <w:autoSpaceDE w:val="0"/>
                  <w:autoSpaceDN w:val="0"/>
                  <w:adjustRightIn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36a30142728e41bb9c215b73cfe3204c"/>
            <w:id w:val="147474767"/>
          </w:sdtPr>
          <w:sdtEndPr>
            <w:rPr>
              <w:rFonts w:cs="Times New Roman"/>
            </w:rPr>
          </w:sdtEndPr>
          <w:sdtContent>
            <w:tc>
              <w:tcPr>
                <w:tcW w:w="1117" w:type="pct"/>
                <w:tcBorders>
                  <w:top w:val="single" w:color="auto" w:sz="4" w:space="0"/>
                  <w:left w:val="single" w:color="auto" w:sz="4" w:space="0"/>
                  <w:bottom w:val="single" w:color="auto" w:sz="4" w:space="0"/>
                  <w:right w:val="single" w:color="auto" w:sz="4" w:space="0"/>
                </w:tcBorders>
                <w:vAlign w:val="center"/>
              </w:tcPr>
              <w:p w14:paraId="182E2C1E">
                <w:pPr>
                  <w:autoSpaceDE w:val="0"/>
                  <w:autoSpaceDN w:val="0"/>
                  <w:adjustRightIn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tc>
          </w:sdtContent>
        </w:sdt>
        <w:sdt>
          <w:sdtPr>
            <w:rPr>
              <w:rFonts w:cs="Times New Roman"/>
            </w:rPr>
            <w:tag w:val="_PLD_16b0936bf8024bdf99cf883b1827419f"/>
            <w:id w:val="147462671"/>
          </w:sdtPr>
          <w:sdtEndPr>
            <w:rPr>
              <w:rFonts w:cs="Times New Roman"/>
            </w:rPr>
          </w:sdtEndPr>
          <w:sdtContent>
            <w:tc>
              <w:tcPr>
                <w:tcW w:w="1117" w:type="pct"/>
                <w:tcBorders>
                  <w:top w:val="single" w:color="auto" w:sz="4" w:space="0"/>
                  <w:left w:val="single" w:color="auto" w:sz="4" w:space="0"/>
                  <w:bottom w:val="single" w:color="auto" w:sz="4" w:space="0"/>
                  <w:right w:val="single" w:color="auto" w:sz="4" w:space="0"/>
                </w:tcBorders>
                <w:vAlign w:val="center"/>
              </w:tcPr>
              <w:p w14:paraId="6160D898">
                <w:pPr>
                  <w:autoSpaceDE w:val="0"/>
                  <w:autoSpaceDN w:val="0"/>
                  <w:adjustRightIn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tc>
          </w:sdtContent>
        </w:sdt>
        <w:sdt>
          <w:sdtPr>
            <w:rPr>
              <w:rFonts w:cs="Times New Roman"/>
            </w:rPr>
            <w:tag w:val="_PLD_92014506c2824f6fbe79731f91aa61bc"/>
            <w:id w:val="147456886"/>
          </w:sdtPr>
          <w:sdtEndPr>
            <w:rPr>
              <w:rFonts w:cs="Times New Roman"/>
            </w:rPr>
          </w:sdtEndPr>
          <w:sdtContent>
            <w:tc>
              <w:tcPr>
                <w:tcW w:w="1280" w:type="pct"/>
                <w:tcBorders>
                  <w:top w:val="single" w:color="auto" w:sz="4" w:space="0"/>
                  <w:left w:val="single" w:color="auto" w:sz="4" w:space="0"/>
                  <w:bottom w:val="single" w:color="auto" w:sz="4" w:space="0"/>
                  <w:right w:val="single" w:color="auto" w:sz="4" w:space="0"/>
                </w:tcBorders>
                <w:vAlign w:val="center"/>
              </w:tcPr>
              <w:p w14:paraId="06FA33A8">
                <w:pPr>
                  <w:autoSpaceDE w:val="0"/>
                  <w:autoSpaceDN w:val="0"/>
                  <w:adjustRightIn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计入当期非经常性损益的金额</w:t>
                </w:r>
              </w:p>
            </w:tc>
          </w:sdtContent>
        </w:sdt>
      </w:tr>
      <w:tr w14:paraId="7104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pct"/>
            <w:tcBorders>
              <w:top w:val="single" w:color="auto" w:sz="4" w:space="0"/>
              <w:left w:val="single" w:color="auto" w:sz="4" w:space="0"/>
              <w:bottom w:val="single" w:color="auto" w:sz="4" w:space="0"/>
              <w:right w:val="single" w:color="auto" w:sz="4" w:space="0"/>
            </w:tcBorders>
          </w:tcPr>
          <w:p w14:paraId="72583E21">
            <w:pPr>
              <w:textAlignment w:val="top"/>
              <w:rPr>
                <w:rFonts w:cs="Times New Roman"/>
                <w:color w:val="000000" w:themeColor="text1"/>
                <w14:textFill>
                  <w14:solidFill>
                    <w14:schemeClr w14:val="tx1"/>
                  </w14:solidFill>
                </w14:textFill>
              </w:rPr>
            </w:pPr>
            <w:r>
              <w:rPr>
                <w:rFonts w:cs="Times New Roman"/>
                <w:color w:val="000000"/>
                <w:lang w:bidi="ar"/>
              </w:rPr>
              <w:t>固定资产报废损失</w:t>
            </w:r>
          </w:p>
        </w:tc>
        <w:tc>
          <w:tcPr>
            <w:tcW w:w="1117" w:type="pct"/>
            <w:tcBorders>
              <w:top w:val="single" w:color="auto" w:sz="4" w:space="0"/>
              <w:left w:val="single" w:color="auto" w:sz="4" w:space="0"/>
              <w:bottom w:val="single" w:color="auto" w:sz="4" w:space="0"/>
              <w:right w:val="single" w:color="auto" w:sz="4" w:space="0"/>
            </w:tcBorders>
            <w:vAlign w:val="center"/>
          </w:tcPr>
          <w:p w14:paraId="7E072A6B">
            <w:pPr>
              <w:jc w:val="right"/>
              <w:textAlignment w:val="center"/>
              <w:rPr>
                <w:rFonts w:cs="Times New Roman"/>
              </w:rPr>
            </w:pPr>
            <w:r>
              <w:rPr>
                <w:rFonts w:eastAsia="Arial Narrow" w:cs="Times New Roman"/>
                <w:color w:val="000000"/>
                <w:lang w:bidi="ar"/>
              </w:rPr>
              <w:t>154,692.83</w:t>
            </w:r>
          </w:p>
        </w:tc>
        <w:tc>
          <w:tcPr>
            <w:tcW w:w="1117" w:type="pct"/>
            <w:tcBorders>
              <w:top w:val="single" w:color="auto" w:sz="4" w:space="0"/>
              <w:left w:val="single" w:color="auto" w:sz="4" w:space="0"/>
              <w:bottom w:val="single" w:color="auto" w:sz="4" w:space="0"/>
              <w:right w:val="single" w:color="auto" w:sz="4" w:space="0"/>
            </w:tcBorders>
            <w:vAlign w:val="center"/>
          </w:tcPr>
          <w:p w14:paraId="1A970288">
            <w:pPr>
              <w:jc w:val="right"/>
              <w:textAlignment w:val="center"/>
              <w:rPr>
                <w:rFonts w:cs="Times New Roman"/>
              </w:rPr>
            </w:pPr>
            <w:r>
              <w:rPr>
                <w:rFonts w:eastAsia="Arial Narrow" w:cs="Times New Roman"/>
                <w:color w:val="000000"/>
                <w:lang w:bidi="ar"/>
              </w:rPr>
              <w:t>267,883.10</w:t>
            </w:r>
          </w:p>
        </w:tc>
        <w:tc>
          <w:tcPr>
            <w:tcW w:w="1280" w:type="pct"/>
            <w:tcBorders>
              <w:top w:val="single" w:color="auto" w:sz="4" w:space="0"/>
              <w:left w:val="single" w:color="auto" w:sz="4" w:space="0"/>
              <w:bottom w:val="single" w:color="auto" w:sz="4" w:space="0"/>
              <w:right w:val="single" w:color="auto" w:sz="4" w:space="0"/>
            </w:tcBorders>
            <w:vAlign w:val="center"/>
          </w:tcPr>
          <w:p w14:paraId="6CD8DFAE">
            <w:pPr>
              <w:jc w:val="right"/>
              <w:textAlignment w:val="center"/>
              <w:rPr>
                <w:rFonts w:cs="Times New Roman"/>
              </w:rPr>
            </w:pPr>
            <w:r>
              <w:rPr>
                <w:rFonts w:eastAsia="Arial Narrow" w:cs="Times New Roman"/>
                <w:color w:val="000000"/>
                <w:lang w:bidi="ar"/>
              </w:rPr>
              <w:t>154,692.83</w:t>
            </w:r>
          </w:p>
        </w:tc>
      </w:tr>
      <w:tr w14:paraId="3017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pct"/>
            <w:tcBorders>
              <w:top w:val="single" w:color="auto" w:sz="4" w:space="0"/>
              <w:left w:val="single" w:color="auto" w:sz="4" w:space="0"/>
              <w:bottom w:val="single" w:color="auto" w:sz="4" w:space="0"/>
              <w:right w:val="single" w:color="auto" w:sz="4" w:space="0"/>
            </w:tcBorders>
          </w:tcPr>
          <w:p w14:paraId="555E69FF">
            <w:pPr>
              <w:textAlignment w:val="top"/>
              <w:rPr>
                <w:rFonts w:cs="Times New Roman"/>
              </w:rPr>
            </w:pPr>
            <w:r>
              <w:rPr>
                <w:rFonts w:cs="Times New Roman"/>
                <w:color w:val="000000"/>
                <w:lang w:bidi="ar"/>
              </w:rPr>
              <w:t>赔偿金、违约金及罚款支出</w:t>
            </w:r>
          </w:p>
        </w:tc>
        <w:tc>
          <w:tcPr>
            <w:tcW w:w="1117" w:type="pct"/>
            <w:tcBorders>
              <w:top w:val="single" w:color="auto" w:sz="4" w:space="0"/>
              <w:left w:val="single" w:color="auto" w:sz="4" w:space="0"/>
              <w:bottom w:val="single" w:color="auto" w:sz="4" w:space="0"/>
              <w:right w:val="single" w:color="auto" w:sz="4" w:space="0"/>
            </w:tcBorders>
            <w:vAlign w:val="center"/>
          </w:tcPr>
          <w:p w14:paraId="4921CFC2">
            <w:pPr>
              <w:jc w:val="right"/>
              <w:textAlignment w:val="center"/>
              <w:rPr>
                <w:rFonts w:cs="Times New Roman"/>
              </w:rPr>
            </w:pPr>
            <w:r>
              <w:rPr>
                <w:rFonts w:cs="Times New Roman"/>
                <w:color w:val="000000"/>
              </w:rPr>
              <w:t>9,398,452.79</w:t>
            </w:r>
          </w:p>
        </w:tc>
        <w:tc>
          <w:tcPr>
            <w:tcW w:w="1117" w:type="pct"/>
            <w:tcBorders>
              <w:top w:val="single" w:color="auto" w:sz="4" w:space="0"/>
              <w:left w:val="single" w:color="auto" w:sz="4" w:space="0"/>
              <w:bottom w:val="single" w:color="auto" w:sz="4" w:space="0"/>
              <w:right w:val="single" w:color="auto" w:sz="4" w:space="0"/>
            </w:tcBorders>
            <w:vAlign w:val="center"/>
          </w:tcPr>
          <w:p w14:paraId="3394C808">
            <w:pPr>
              <w:jc w:val="right"/>
              <w:textAlignment w:val="center"/>
              <w:rPr>
                <w:rFonts w:cs="Times New Roman"/>
              </w:rPr>
            </w:pPr>
            <w:r>
              <w:rPr>
                <w:rFonts w:cs="Times New Roman"/>
                <w:color w:val="000000"/>
              </w:rPr>
              <w:t>63,688,210.23</w:t>
            </w:r>
          </w:p>
        </w:tc>
        <w:tc>
          <w:tcPr>
            <w:tcW w:w="1280" w:type="pct"/>
            <w:tcBorders>
              <w:top w:val="single" w:color="auto" w:sz="4" w:space="0"/>
              <w:left w:val="single" w:color="auto" w:sz="4" w:space="0"/>
              <w:bottom w:val="single" w:color="auto" w:sz="4" w:space="0"/>
              <w:right w:val="single" w:color="auto" w:sz="4" w:space="0"/>
            </w:tcBorders>
            <w:vAlign w:val="center"/>
          </w:tcPr>
          <w:p w14:paraId="235E84DD">
            <w:pPr>
              <w:jc w:val="right"/>
              <w:textAlignment w:val="center"/>
              <w:rPr>
                <w:rFonts w:cs="Times New Roman"/>
              </w:rPr>
            </w:pPr>
            <w:r>
              <w:rPr>
                <w:rFonts w:cs="Times New Roman"/>
                <w:color w:val="000000"/>
              </w:rPr>
              <w:t>9,398,452.79</w:t>
            </w:r>
          </w:p>
        </w:tc>
      </w:tr>
      <w:tr w14:paraId="61ACE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pct"/>
            <w:tcBorders>
              <w:top w:val="single" w:color="auto" w:sz="4" w:space="0"/>
              <w:left w:val="single" w:color="auto" w:sz="4" w:space="0"/>
              <w:bottom w:val="single" w:color="auto" w:sz="4" w:space="0"/>
              <w:right w:val="single" w:color="auto" w:sz="4" w:space="0"/>
            </w:tcBorders>
          </w:tcPr>
          <w:p w14:paraId="1908BA81">
            <w:pPr>
              <w:textAlignment w:val="top"/>
              <w:rPr>
                <w:rFonts w:cs="Times New Roman"/>
              </w:rPr>
            </w:pPr>
            <w:r>
              <w:rPr>
                <w:rFonts w:cs="Times New Roman"/>
                <w:color w:val="000000"/>
                <w:lang w:bidi="ar"/>
              </w:rPr>
              <w:t>其他</w:t>
            </w:r>
          </w:p>
        </w:tc>
        <w:tc>
          <w:tcPr>
            <w:tcW w:w="1117" w:type="pct"/>
            <w:tcBorders>
              <w:top w:val="single" w:color="auto" w:sz="4" w:space="0"/>
              <w:left w:val="single" w:color="auto" w:sz="4" w:space="0"/>
              <w:bottom w:val="single" w:color="auto" w:sz="4" w:space="0"/>
              <w:right w:val="single" w:color="auto" w:sz="4" w:space="0"/>
            </w:tcBorders>
            <w:vAlign w:val="center"/>
          </w:tcPr>
          <w:p w14:paraId="51E5DD31">
            <w:pPr>
              <w:jc w:val="right"/>
              <w:textAlignment w:val="center"/>
              <w:rPr>
                <w:rFonts w:cs="Times New Roman"/>
              </w:rPr>
            </w:pPr>
            <w:r>
              <w:rPr>
                <w:rFonts w:cs="Times New Roman"/>
                <w:color w:val="000000"/>
              </w:rPr>
              <w:t>263,820.75</w:t>
            </w:r>
          </w:p>
        </w:tc>
        <w:tc>
          <w:tcPr>
            <w:tcW w:w="1117" w:type="pct"/>
            <w:tcBorders>
              <w:top w:val="single" w:color="auto" w:sz="4" w:space="0"/>
              <w:left w:val="single" w:color="auto" w:sz="4" w:space="0"/>
              <w:bottom w:val="single" w:color="auto" w:sz="4" w:space="0"/>
              <w:right w:val="single" w:color="auto" w:sz="4" w:space="0"/>
            </w:tcBorders>
            <w:vAlign w:val="center"/>
          </w:tcPr>
          <w:p w14:paraId="04EEC4CA">
            <w:pPr>
              <w:jc w:val="right"/>
              <w:textAlignment w:val="center"/>
              <w:rPr>
                <w:rFonts w:cs="Times New Roman"/>
              </w:rPr>
            </w:pPr>
            <w:r>
              <w:rPr>
                <w:rFonts w:cs="Times New Roman"/>
                <w:color w:val="000000"/>
              </w:rPr>
              <w:t>47,406.84</w:t>
            </w:r>
          </w:p>
        </w:tc>
        <w:tc>
          <w:tcPr>
            <w:tcW w:w="1280" w:type="pct"/>
            <w:tcBorders>
              <w:top w:val="single" w:color="auto" w:sz="4" w:space="0"/>
              <w:left w:val="single" w:color="auto" w:sz="4" w:space="0"/>
              <w:bottom w:val="single" w:color="auto" w:sz="4" w:space="0"/>
              <w:right w:val="single" w:color="auto" w:sz="4" w:space="0"/>
            </w:tcBorders>
            <w:vAlign w:val="center"/>
          </w:tcPr>
          <w:p w14:paraId="12FD4716">
            <w:pPr>
              <w:jc w:val="right"/>
              <w:textAlignment w:val="center"/>
              <w:rPr>
                <w:rFonts w:cs="Times New Roman"/>
              </w:rPr>
            </w:pPr>
            <w:r>
              <w:rPr>
                <w:rFonts w:cs="Times New Roman"/>
                <w:color w:val="000000"/>
              </w:rPr>
              <w:t>263,820.75</w:t>
            </w:r>
          </w:p>
        </w:tc>
      </w:tr>
      <w:tr w14:paraId="116D1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pct"/>
            <w:tcBorders>
              <w:top w:val="single" w:color="auto" w:sz="4" w:space="0"/>
              <w:left w:val="single" w:color="auto" w:sz="4" w:space="0"/>
              <w:bottom w:val="single" w:color="auto" w:sz="4" w:space="0"/>
              <w:right w:val="single" w:color="auto" w:sz="4" w:space="0"/>
            </w:tcBorders>
          </w:tcPr>
          <w:p w14:paraId="1987B21A">
            <w:pPr>
              <w:ind w:right="6"/>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117" w:type="pct"/>
            <w:tcBorders>
              <w:top w:val="single" w:color="auto" w:sz="4" w:space="0"/>
              <w:left w:val="single" w:color="auto" w:sz="4" w:space="0"/>
              <w:bottom w:val="single" w:color="auto" w:sz="4" w:space="0"/>
              <w:right w:val="single" w:color="auto" w:sz="4" w:space="0"/>
            </w:tcBorders>
            <w:vAlign w:val="center"/>
          </w:tcPr>
          <w:p w14:paraId="332A3E0E">
            <w:pPr>
              <w:jc w:val="right"/>
              <w:textAlignment w:val="center"/>
              <w:rPr>
                <w:rFonts w:cs="Times New Roman"/>
              </w:rPr>
            </w:pPr>
            <w:r>
              <w:rPr>
                <w:rFonts w:cs="Times New Roman"/>
                <w:color w:val="000000"/>
              </w:rPr>
              <w:t>9,816,966.37</w:t>
            </w:r>
          </w:p>
        </w:tc>
        <w:tc>
          <w:tcPr>
            <w:tcW w:w="1117" w:type="pct"/>
            <w:tcBorders>
              <w:top w:val="single" w:color="auto" w:sz="4" w:space="0"/>
              <w:left w:val="single" w:color="auto" w:sz="4" w:space="0"/>
              <w:bottom w:val="single" w:color="auto" w:sz="4" w:space="0"/>
              <w:right w:val="single" w:color="auto" w:sz="4" w:space="0"/>
            </w:tcBorders>
            <w:vAlign w:val="center"/>
          </w:tcPr>
          <w:p w14:paraId="00AE5B54">
            <w:pPr>
              <w:jc w:val="right"/>
              <w:textAlignment w:val="center"/>
              <w:rPr>
                <w:rFonts w:cs="Times New Roman"/>
              </w:rPr>
            </w:pPr>
            <w:r>
              <w:rPr>
                <w:rFonts w:cs="Times New Roman"/>
                <w:color w:val="000000"/>
              </w:rPr>
              <w:t>64,003,500.17</w:t>
            </w:r>
          </w:p>
        </w:tc>
        <w:tc>
          <w:tcPr>
            <w:tcW w:w="1280" w:type="pct"/>
            <w:tcBorders>
              <w:top w:val="single" w:color="auto" w:sz="4" w:space="0"/>
              <w:left w:val="single" w:color="auto" w:sz="4" w:space="0"/>
              <w:bottom w:val="single" w:color="auto" w:sz="4" w:space="0"/>
              <w:right w:val="single" w:color="auto" w:sz="4" w:space="0"/>
            </w:tcBorders>
            <w:vAlign w:val="center"/>
          </w:tcPr>
          <w:p w14:paraId="6CC24F18">
            <w:pPr>
              <w:jc w:val="right"/>
              <w:textAlignment w:val="center"/>
              <w:rPr>
                <w:rFonts w:cs="Times New Roman"/>
              </w:rPr>
            </w:pPr>
            <w:r>
              <w:rPr>
                <w:rFonts w:cs="Times New Roman"/>
                <w:color w:val="000000"/>
              </w:rPr>
              <w:t>9,816,966.37</w:t>
            </w:r>
          </w:p>
        </w:tc>
      </w:tr>
    </w:tbl>
    <w:p w14:paraId="0DC66EF7">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rFonts w:hint="eastAsia"/>
          <w:color w:val="000000" w:themeColor="text1"/>
          <w14:textFill>
            <w14:solidFill>
              <w14:schemeClr w14:val="tx1"/>
            </w14:solidFill>
          </w14:textFill>
        </w:rPr>
        <w:alias w:val="营业外支出说明"/>
        <w:tag w:val="_GBC_948d4d2c5cfc43b999d968de3476bc75"/>
        <w:id w:val="147472946"/>
        <w:placeholder>
          <w:docPart w:val="GBC22222222222222222222222222222"/>
        </w:placeholder>
      </w:sdtPr>
      <w:sdtEndPr>
        <w:rPr>
          <w:rFonts w:hint="eastAsia"/>
          <w:color w:val="000000" w:themeColor="text1"/>
          <w14:textFill>
            <w14:solidFill>
              <w14:schemeClr w14:val="tx1"/>
            </w14:solidFill>
          </w14:textFill>
        </w:rPr>
      </w:sdtEndPr>
      <w:sdtContent>
        <w:p w14:paraId="23D0500D">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32F61541">
      <w:pPr>
        <w:rPr>
          <w:color w:val="000000" w:themeColor="text1"/>
          <w14:textFill>
            <w14:solidFill>
              <w14:schemeClr w14:val="tx1"/>
            </w14:solidFill>
          </w14:textFill>
        </w:rPr>
      </w:pPr>
    </w:p>
    <w:p w14:paraId="720BA418">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所得税费用</w:t>
      </w:r>
    </w:p>
    <w:p w14:paraId="38B350BB">
      <w:pPr>
        <w:pStyle w:val="58"/>
        <w:numPr>
          <w:ilvl w:val="0"/>
          <w:numId w:val="89"/>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所得税费用表</w:t>
      </w:r>
    </w:p>
    <w:sdt>
      <w:sdtPr>
        <w:rPr>
          <w:color w:val="000000" w:themeColor="text1"/>
          <w14:textFill>
            <w14:solidFill>
              <w14:schemeClr w14:val="tx1"/>
            </w14:solidFill>
          </w14:textFill>
        </w:rPr>
        <w:alias w:val="是否适用：所得税费用表[双击切换]"/>
        <w:tag w:val="_GBC_61ff35087b014685a6e03347957ab922"/>
        <w:id w:val="147455867"/>
        <w:placeholder>
          <w:docPart w:val="GBC22222222222222222222222222222"/>
        </w:placeholder>
      </w:sdtPr>
      <w:sdtEndPr>
        <w:rPr>
          <w:color w:val="000000" w:themeColor="text1"/>
          <w14:textFill>
            <w14:solidFill>
              <w14:schemeClr w14:val="tx1"/>
            </w14:solidFill>
          </w14:textFill>
        </w:rPr>
      </w:sdtEndPr>
      <w:sdtContent>
        <w:p w14:paraId="207436A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BE62D89">
      <w:pPr>
        <w:wordWrap w:val="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所得税费用"/>
          <w:tag w:val="_GBC_18ed8ed511fe4791a90ee25fc956bd2b"/>
          <w:id w:val="1474715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所得税费用"/>
          <w:tag w:val="_GBC_ecc6df02f1744ff084d6c0d30045219a"/>
          <w:id w:val="1474563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3157"/>
        <w:gridCol w:w="2877"/>
        <w:gridCol w:w="2861"/>
      </w:tblGrid>
      <w:tr w14:paraId="1B93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trHeight w:val="87" w:hRule="atLeast"/>
        </w:trPr>
        <w:sdt>
          <w:sdtPr>
            <w:rPr>
              <w:rFonts w:cs="Times New Roman"/>
            </w:rPr>
            <w:tag w:val="_PLD_951f380ec376457cb80126c7d6018f65"/>
            <w:id w:val="147480073"/>
          </w:sdtPr>
          <w:sdtEndPr>
            <w:rPr>
              <w:rFonts w:cs="Times New Roman"/>
            </w:rPr>
          </w:sdtEndPr>
          <w:sdtContent>
            <w:tc>
              <w:tcPr>
                <w:tcW w:w="1774" w:type="pct"/>
                <w:vAlign w:val="center"/>
              </w:tcPr>
              <w:p w14:paraId="526BAC24">
                <w:pPr>
                  <w:ind w:right="6"/>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1e59791ce9d340b7b60e63b833f13708"/>
            <w:id w:val="147453700"/>
          </w:sdtPr>
          <w:sdtEndPr>
            <w:rPr>
              <w:rFonts w:cs="Times New Roman"/>
            </w:rPr>
          </w:sdtEndPr>
          <w:sdtContent>
            <w:tc>
              <w:tcPr>
                <w:tcW w:w="1617" w:type="pct"/>
                <w:vAlign w:val="center"/>
              </w:tcPr>
              <w:p w14:paraId="00287DC4">
                <w:pPr>
                  <w:ind w:right="6"/>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tc>
          </w:sdtContent>
        </w:sdt>
        <w:sdt>
          <w:sdtPr>
            <w:rPr>
              <w:rFonts w:cs="Times New Roman"/>
            </w:rPr>
            <w:tag w:val="_PLD_23c0825dcbc74481a17a7811dee40e02"/>
            <w:id w:val="147478386"/>
          </w:sdtPr>
          <w:sdtEndPr>
            <w:rPr>
              <w:rFonts w:cs="Times New Roman"/>
            </w:rPr>
          </w:sdtEndPr>
          <w:sdtContent>
            <w:tc>
              <w:tcPr>
                <w:tcW w:w="1608" w:type="pct"/>
                <w:vAlign w:val="center"/>
              </w:tcPr>
              <w:p w14:paraId="718F96CD">
                <w:pPr>
                  <w:ind w:right="6"/>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tc>
          </w:sdtContent>
        </w:sdt>
      </w:tr>
      <w:tr w14:paraId="6A98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1774" w:type="pct"/>
          </w:tcPr>
          <w:p w14:paraId="39E6F90B">
            <w:pPr>
              <w:ind w:right="6"/>
              <w:rPr>
                <w:rFonts w:cs="Times New Roman"/>
                <w:b/>
                <w:bCs w:val="0"/>
                <w:color w:val="000000" w:themeColor="text1"/>
                <w14:textFill>
                  <w14:solidFill>
                    <w14:schemeClr w14:val="tx1"/>
                  </w14:solidFill>
                </w14:textFill>
              </w:rPr>
            </w:pPr>
            <w:r>
              <w:rPr>
                <w:rFonts w:cs="Times New Roman"/>
                <w:color w:val="000000" w:themeColor="text1"/>
                <w14:textFill>
                  <w14:solidFill>
                    <w14:schemeClr w14:val="tx1"/>
                  </w14:solidFill>
                </w14:textFill>
              </w:rPr>
              <w:t>当期所得税费用</w:t>
            </w:r>
          </w:p>
        </w:tc>
        <w:tc>
          <w:tcPr>
            <w:tcW w:w="1617" w:type="pct"/>
            <w:vAlign w:val="center"/>
          </w:tcPr>
          <w:p w14:paraId="2FE6437B">
            <w:pPr>
              <w:jc w:val="right"/>
              <w:textAlignment w:val="center"/>
              <w:rPr>
                <w:rFonts w:cs="Times New Roman"/>
              </w:rPr>
            </w:pPr>
            <w:r>
              <w:rPr>
                <w:rFonts w:cs="Times New Roman"/>
                <w:color w:val="000000"/>
              </w:rPr>
              <w:t>18,277,866.78</w:t>
            </w:r>
          </w:p>
        </w:tc>
        <w:tc>
          <w:tcPr>
            <w:tcW w:w="1608" w:type="pct"/>
            <w:vAlign w:val="center"/>
          </w:tcPr>
          <w:p w14:paraId="2B4CFA9E">
            <w:pPr>
              <w:jc w:val="right"/>
              <w:textAlignment w:val="center"/>
              <w:rPr>
                <w:rFonts w:cs="Times New Roman"/>
              </w:rPr>
            </w:pPr>
            <w:r>
              <w:rPr>
                <w:rFonts w:cs="Times New Roman"/>
                <w:color w:val="000000"/>
              </w:rPr>
              <w:t>41,786,034.94</w:t>
            </w:r>
          </w:p>
        </w:tc>
      </w:tr>
      <w:tr w14:paraId="30FD0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1774" w:type="pct"/>
          </w:tcPr>
          <w:p w14:paraId="5718C736">
            <w:pPr>
              <w:ind w:right="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递延所得税费用</w:t>
            </w:r>
          </w:p>
        </w:tc>
        <w:tc>
          <w:tcPr>
            <w:tcW w:w="1617" w:type="pct"/>
            <w:vAlign w:val="center"/>
          </w:tcPr>
          <w:p w14:paraId="2E754743">
            <w:pPr>
              <w:jc w:val="right"/>
              <w:textAlignment w:val="center"/>
              <w:rPr>
                <w:rFonts w:cs="Times New Roman"/>
              </w:rPr>
            </w:pPr>
            <w:r>
              <w:rPr>
                <w:rFonts w:cs="Times New Roman"/>
                <w:color w:val="000000"/>
              </w:rPr>
              <w:t>5,572,946.13</w:t>
            </w:r>
          </w:p>
        </w:tc>
        <w:tc>
          <w:tcPr>
            <w:tcW w:w="1608" w:type="pct"/>
            <w:vAlign w:val="center"/>
          </w:tcPr>
          <w:p w14:paraId="670CFA6A">
            <w:pPr>
              <w:jc w:val="right"/>
              <w:textAlignment w:val="center"/>
              <w:rPr>
                <w:rFonts w:cs="Times New Roman"/>
              </w:rPr>
            </w:pPr>
            <w:r>
              <w:rPr>
                <w:rFonts w:cs="Times New Roman"/>
                <w:color w:val="000000"/>
              </w:rPr>
              <w:t>2,661,812.03</w:t>
            </w:r>
          </w:p>
        </w:tc>
      </w:tr>
      <w:tr w14:paraId="54590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1774" w:type="pct"/>
          </w:tcPr>
          <w:p w14:paraId="2A096573">
            <w:pPr>
              <w:ind w:right="6"/>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617" w:type="pct"/>
            <w:vAlign w:val="center"/>
          </w:tcPr>
          <w:p w14:paraId="2FB7BB61">
            <w:pPr>
              <w:jc w:val="right"/>
              <w:textAlignment w:val="center"/>
              <w:rPr>
                <w:rFonts w:cs="Times New Roman"/>
              </w:rPr>
            </w:pPr>
            <w:r>
              <w:rPr>
                <w:rFonts w:cs="Times New Roman"/>
                <w:color w:val="000000"/>
              </w:rPr>
              <w:t>23,850,812.91</w:t>
            </w:r>
          </w:p>
        </w:tc>
        <w:tc>
          <w:tcPr>
            <w:tcW w:w="1608" w:type="pct"/>
            <w:vAlign w:val="center"/>
          </w:tcPr>
          <w:p w14:paraId="17839231">
            <w:pPr>
              <w:jc w:val="right"/>
              <w:textAlignment w:val="center"/>
              <w:rPr>
                <w:rFonts w:cs="Times New Roman"/>
              </w:rPr>
            </w:pPr>
            <w:r>
              <w:rPr>
                <w:rFonts w:cs="Times New Roman"/>
                <w:color w:val="000000"/>
              </w:rPr>
              <w:t>44,447,846.97</w:t>
            </w:r>
          </w:p>
        </w:tc>
      </w:tr>
    </w:tbl>
    <w:p w14:paraId="55FC547E">
      <w:pPr>
        <w:rPr>
          <w:color w:val="000000" w:themeColor="text1"/>
          <w14:textFill>
            <w14:solidFill>
              <w14:schemeClr w14:val="tx1"/>
            </w14:solidFill>
          </w14:textFill>
        </w:rPr>
      </w:pPr>
    </w:p>
    <w:p w14:paraId="40502E35">
      <w:pPr>
        <w:pStyle w:val="58"/>
        <w:numPr>
          <w:ilvl w:val="0"/>
          <w:numId w:val="89"/>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会计利润与所得税费用调整过程</w:t>
      </w:r>
    </w:p>
    <w:sdt>
      <w:sdtPr>
        <w:rPr>
          <w:color w:val="000000" w:themeColor="text1"/>
          <w14:textFill>
            <w14:solidFill>
              <w14:schemeClr w14:val="tx1"/>
            </w14:solidFill>
          </w14:textFill>
        </w:rPr>
        <w:alias w:val="是否适用：会计利润与所得税费用调整过程[双击切换]"/>
        <w:tag w:val="_GBC_92a49ce6320645cc9101c809f426c9db"/>
        <w:id w:val="147475995"/>
        <w:placeholder>
          <w:docPart w:val="GBC22222222222222222222222222222"/>
        </w:placeholder>
      </w:sdtPr>
      <w:sdtEndPr>
        <w:rPr>
          <w:color w:val="000000" w:themeColor="text1"/>
          <w14:textFill>
            <w14:solidFill>
              <w14:schemeClr w14:val="tx1"/>
            </w14:solidFill>
          </w14:textFill>
        </w:rPr>
      </w:sdtEndPr>
      <w:sdtContent>
        <w:p w14:paraId="32664ED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AD0BEFA">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会计利润与所得税费用调整过程"/>
          <w:tag w:val="_GBC_8b3d0d6296b944dcbc6077158d5eb7ca"/>
          <w:id w:val="1474611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会计利润与所得税费用调整过程"/>
          <w:tag w:val="_GBC_f07b399def8f4b49bdebcbb56994fb61"/>
          <w:id w:val="1474679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6676"/>
        <w:gridCol w:w="2214"/>
      </w:tblGrid>
      <w:tr w14:paraId="4826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sdt>
          <w:sdtPr>
            <w:rPr>
              <w:rFonts w:cs="Times New Roman"/>
            </w:rPr>
            <w:tag w:val="_PLD_762c770e68ab4734ab4b1455db567f92"/>
            <w:id w:val="147462449"/>
          </w:sdtPr>
          <w:sdtEndPr>
            <w:rPr>
              <w:rFonts w:cs="Times New Roman"/>
            </w:rPr>
          </w:sdtEndPr>
          <w:sdtContent>
            <w:tc>
              <w:tcPr>
                <w:tcW w:w="3755" w:type="pct"/>
              </w:tcPr>
              <w:p w14:paraId="64997D99">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dbffde77b3344828a64e53b9962d0e3a"/>
            <w:id w:val="147483074"/>
          </w:sdtPr>
          <w:sdtEndPr>
            <w:rPr>
              <w:rFonts w:cs="Times New Roman"/>
            </w:rPr>
          </w:sdtEndPr>
          <w:sdtContent>
            <w:tc>
              <w:tcPr>
                <w:tcW w:w="1245" w:type="pct"/>
              </w:tcPr>
              <w:p w14:paraId="310FFE22">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tc>
          </w:sdtContent>
        </w:sdt>
      </w:tr>
      <w:tr w14:paraId="5B66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3755" w:type="pct"/>
          </w:tcPr>
          <w:p w14:paraId="62B0B0CD">
            <w:pPr>
              <w:ind w:right="6"/>
              <w:rPr>
                <w:rFonts w:cs="Times New Roman"/>
                <w:b/>
                <w:bCs w:val="0"/>
                <w:color w:val="000000" w:themeColor="text1"/>
                <w14:textFill>
                  <w14:solidFill>
                    <w14:schemeClr w14:val="tx1"/>
                  </w14:solidFill>
                </w14:textFill>
              </w:rPr>
            </w:pPr>
            <w:r>
              <w:rPr>
                <w:rFonts w:cs="Times New Roman"/>
                <w:color w:val="000000" w:themeColor="text1"/>
                <w14:textFill>
                  <w14:solidFill>
                    <w14:schemeClr w14:val="tx1"/>
                  </w14:solidFill>
                </w14:textFill>
              </w:rPr>
              <w:t>利润总额</w:t>
            </w:r>
          </w:p>
        </w:tc>
        <w:tc>
          <w:tcPr>
            <w:tcW w:w="2214" w:type="dxa"/>
            <w:vAlign w:val="center"/>
          </w:tcPr>
          <w:p w14:paraId="629A8B65">
            <w:pPr>
              <w:jc w:val="right"/>
              <w:textAlignment w:val="center"/>
              <w:rPr>
                <w:rFonts w:cs="Times New Roman"/>
              </w:rPr>
            </w:pPr>
            <w:r>
              <w:rPr>
                <w:rFonts w:eastAsia="Arial Narrow" w:cs="Times New Roman"/>
                <w:color w:val="000000"/>
                <w:lang w:bidi="ar"/>
              </w:rPr>
              <w:t>-55,817,783.71</w:t>
            </w:r>
          </w:p>
        </w:tc>
      </w:tr>
      <w:tr w14:paraId="5024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3755" w:type="pct"/>
          </w:tcPr>
          <w:p w14:paraId="7BFAC6FA">
            <w:pPr>
              <w:ind w:right="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按法定/适用税率计算的所得税费用</w:t>
            </w:r>
          </w:p>
        </w:tc>
        <w:tc>
          <w:tcPr>
            <w:tcW w:w="2214" w:type="dxa"/>
            <w:vAlign w:val="center"/>
          </w:tcPr>
          <w:p w14:paraId="62921544">
            <w:pPr>
              <w:jc w:val="right"/>
              <w:textAlignment w:val="center"/>
              <w:rPr>
                <w:rFonts w:cs="Times New Roman"/>
              </w:rPr>
            </w:pPr>
            <w:r>
              <w:rPr>
                <w:rFonts w:eastAsia="Arial Narrow" w:cs="Times New Roman"/>
                <w:color w:val="000000"/>
                <w:lang w:bidi="ar"/>
              </w:rPr>
              <w:t>-13,954,445.93</w:t>
            </w:r>
          </w:p>
        </w:tc>
      </w:tr>
      <w:tr w14:paraId="615D6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trHeight w:val="139" w:hRule="atLeast"/>
        </w:trPr>
        <w:tc>
          <w:tcPr>
            <w:tcW w:w="3755" w:type="pct"/>
          </w:tcPr>
          <w:p w14:paraId="2C3B6FDB">
            <w:pPr>
              <w:ind w:right="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子公司适用不同税率的影响</w:t>
            </w:r>
          </w:p>
        </w:tc>
        <w:tc>
          <w:tcPr>
            <w:tcW w:w="2214" w:type="dxa"/>
            <w:vAlign w:val="center"/>
          </w:tcPr>
          <w:p w14:paraId="2B080B05">
            <w:pPr>
              <w:jc w:val="right"/>
              <w:textAlignment w:val="center"/>
              <w:rPr>
                <w:rFonts w:cs="Times New Roman"/>
              </w:rPr>
            </w:pPr>
            <w:r>
              <w:rPr>
                <w:rFonts w:eastAsia="Arial Narrow" w:cs="Times New Roman"/>
                <w:color w:val="000000"/>
                <w:lang w:bidi="ar"/>
              </w:rPr>
              <w:t>-2,846,929.72</w:t>
            </w:r>
          </w:p>
        </w:tc>
      </w:tr>
      <w:tr w14:paraId="71643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3755" w:type="pct"/>
          </w:tcPr>
          <w:p w14:paraId="3EEE7A4E">
            <w:pPr>
              <w:ind w:right="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调整以前期间所得税的影响</w:t>
            </w:r>
          </w:p>
        </w:tc>
        <w:tc>
          <w:tcPr>
            <w:tcW w:w="2214" w:type="dxa"/>
            <w:vAlign w:val="center"/>
          </w:tcPr>
          <w:p w14:paraId="661B260A">
            <w:pPr>
              <w:jc w:val="right"/>
              <w:textAlignment w:val="center"/>
              <w:rPr>
                <w:rFonts w:cs="Times New Roman"/>
              </w:rPr>
            </w:pPr>
            <w:r>
              <w:rPr>
                <w:rFonts w:eastAsia="Arial Narrow" w:cs="Times New Roman"/>
                <w:color w:val="000000"/>
                <w:lang w:bidi="ar"/>
              </w:rPr>
              <w:t>409,054.36</w:t>
            </w:r>
          </w:p>
        </w:tc>
      </w:tr>
      <w:tr w14:paraId="55228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3755" w:type="pct"/>
          </w:tcPr>
          <w:p w14:paraId="3DEEBC36">
            <w:pPr>
              <w:ind w:right="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非应税收入的影响</w:t>
            </w:r>
          </w:p>
        </w:tc>
        <w:tc>
          <w:tcPr>
            <w:tcW w:w="2214" w:type="dxa"/>
            <w:vAlign w:val="center"/>
          </w:tcPr>
          <w:p w14:paraId="1E542D43">
            <w:pPr>
              <w:jc w:val="right"/>
              <w:textAlignment w:val="center"/>
              <w:rPr>
                <w:rFonts w:cs="Times New Roman"/>
              </w:rPr>
            </w:pPr>
            <w:r>
              <w:rPr>
                <w:rFonts w:eastAsia="Arial Narrow" w:cs="Times New Roman"/>
                <w:color w:val="000000"/>
                <w:lang w:bidi="ar"/>
              </w:rPr>
              <w:t>-333,669.47</w:t>
            </w:r>
          </w:p>
        </w:tc>
      </w:tr>
      <w:tr w14:paraId="5B5D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3755" w:type="pct"/>
          </w:tcPr>
          <w:p w14:paraId="15212AC3">
            <w:pPr>
              <w:ind w:right="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不可抵扣的成本、费用和损失的影响</w:t>
            </w:r>
          </w:p>
        </w:tc>
        <w:tc>
          <w:tcPr>
            <w:tcW w:w="2214" w:type="dxa"/>
            <w:vAlign w:val="center"/>
          </w:tcPr>
          <w:p w14:paraId="0CDCEBF5">
            <w:pPr>
              <w:jc w:val="right"/>
              <w:textAlignment w:val="center"/>
              <w:rPr>
                <w:rFonts w:cs="Times New Roman"/>
              </w:rPr>
            </w:pPr>
            <w:r>
              <w:rPr>
                <w:rFonts w:eastAsia="Arial Narrow" w:cs="Times New Roman"/>
                <w:color w:val="000000"/>
                <w:lang w:bidi="ar"/>
              </w:rPr>
              <w:t>350,561.55</w:t>
            </w:r>
          </w:p>
        </w:tc>
      </w:tr>
      <w:tr w14:paraId="2F44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3755" w:type="pct"/>
          </w:tcPr>
          <w:p w14:paraId="3B938C0F">
            <w:pPr>
              <w:ind w:right="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使用前期未确认递延所得税资产的可抵扣亏损的影响</w:t>
            </w:r>
          </w:p>
        </w:tc>
        <w:tc>
          <w:tcPr>
            <w:tcW w:w="2214" w:type="dxa"/>
            <w:vAlign w:val="center"/>
          </w:tcPr>
          <w:p w14:paraId="6D39850D">
            <w:pPr>
              <w:jc w:val="right"/>
              <w:rPr>
                <w:rFonts w:cs="Times New Roman"/>
              </w:rPr>
            </w:pPr>
          </w:p>
        </w:tc>
      </w:tr>
      <w:tr w14:paraId="2903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3755" w:type="pct"/>
          </w:tcPr>
          <w:p w14:paraId="412869F7">
            <w:pPr>
              <w:ind w:right="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本期未确认递延所得税资产的可抵扣暂时性差异或可抵扣亏损的影响</w:t>
            </w:r>
          </w:p>
        </w:tc>
        <w:tc>
          <w:tcPr>
            <w:tcW w:w="2214" w:type="dxa"/>
            <w:vAlign w:val="center"/>
          </w:tcPr>
          <w:p w14:paraId="4C3AE836">
            <w:pPr>
              <w:jc w:val="right"/>
              <w:textAlignment w:val="center"/>
              <w:rPr>
                <w:rFonts w:cs="Times New Roman"/>
              </w:rPr>
            </w:pPr>
            <w:r>
              <w:rPr>
                <w:rFonts w:eastAsia="Arial Narrow" w:cs="Times New Roman"/>
                <w:color w:val="000000"/>
                <w:lang w:bidi="ar"/>
              </w:rPr>
              <w:t>40,596,592.18</w:t>
            </w:r>
          </w:p>
        </w:tc>
      </w:tr>
      <w:tr w14:paraId="1FEFF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3755" w:type="pct"/>
            <w:vAlign w:val="center"/>
          </w:tcPr>
          <w:p w14:paraId="3FE25B03">
            <w:pPr>
              <w:pStyle w:val="55"/>
              <w:rPr>
                <w:rFonts w:cs="Times New Roman"/>
              </w:rPr>
            </w:pPr>
            <w:r>
              <w:rPr>
                <w:rFonts w:cs="Times New Roman"/>
              </w:rPr>
              <w:t>研发费用加计扣除</w:t>
            </w:r>
          </w:p>
        </w:tc>
        <w:tc>
          <w:tcPr>
            <w:tcW w:w="2214" w:type="dxa"/>
            <w:vAlign w:val="center"/>
          </w:tcPr>
          <w:p w14:paraId="007848CF">
            <w:pPr>
              <w:jc w:val="right"/>
              <w:textAlignment w:val="center"/>
              <w:rPr>
                <w:rFonts w:cs="Times New Roman"/>
              </w:rPr>
            </w:pPr>
            <w:r>
              <w:rPr>
                <w:rFonts w:eastAsia="Arial Narrow" w:cs="Times New Roman"/>
                <w:color w:val="000000"/>
                <w:lang w:bidi="ar"/>
              </w:rPr>
              <w:t>-370,350.06</w:t>
            </w:r>
          </w:p>
        </w:tc>
      </w:tr>
      <w:tr w14:paraId="1448D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3755" w:type="pct"/>
          </w:tcPr>
          <w:p w14:paraId="76C4D908">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所得税费用</w:t>
            </w:r>
          </w:p>
        </w:tc>
        <w:tc>
          <w:tcPr>
            <w:tcW w:w="2214" w:type="dxa"/>
            <w:vAlign w:val="center"/>
          </w:tcPr>
          <w:p w14:paraId="5D922702">
            <w:pPr>
              <w:jc w:val="right"/>
              <w:textAlignment w:val="center"/>
              <w:rPr>
                <w:rFonts w:cs="Times New Roman"/>
              </w:rPr>
            </w:pPr>
            <w:r>
              <w:rPr>
                <w:rFonts w:eastAsia="Arial Narrow" w:cs="Times New Roman"/>
                <w:color w:val="000000"/>
                <w:lang w:bidi="ar"/>
              </w:rPr>
              <w:t>23,850,812.91</w:t>
            </w:r>
          </w:p>
        </w:tc>
      </w:tr>
    </w:tbl>
    <w:p w14:paraId="65AD54B1">
      <w:pPr>
        <w:rPr>
          <w:color w:val="000000" w:themeColor="text1"/>
          <w14:textFill>
            <w14:solidFill>
              <w14:schemeClr w14:val="tx1"/>
            </w14:solidFill>
          </w14:textFill>
        </w:rPr>
      </w:pPr>
    </w:p>
    <w:p w14:paraId="4A976DC0">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所得税费用的说明[双击切换]"/>
        <w:tag w:val="_GBC_0363d79a647b4d96aa5d7b72c93b1e45"/>
        <w:id w:val="147475256"/>
        <w:placeholder>
          <w:docPart w:val="GBC22222222222222222222222222222"/>
        </w:placeholder>
      </w:sdtPr>
      <w:sdtEndPr>
        <w:rPr>
          <w:color w:val="000000" w:themeColor="text1"/>
          <w14:textFill>
            <w14:solidFill>
              <w14:schemeClr w14:val="tx1"/>
            </w14:solidFill>
          </w14:textFill>
        </w:rPr>
      </w:sdtEndPr>
      <w:sdtContent>
        <w:p w14:paraId="61E0DCB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5FB4B55">
      <w:pPr>
        <w:rPr>
          <w:b/>
          <w:color w:val="000000" w:themeColor="text1"/>
          <w14:textFill>
            <w14:solidFill>
              <w14:schemeClr w14:val="tx1"/>
            </w14:solidFill>
          </w14:textFill>
        </w:rPr>
      </w:pPr>
    </w:p>
    <w:p w14:paraId="557301EB">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其他综合收益</w:t>
      </w:r>
    </w:p>
    <w:sdt>
      <w:sdtPr>
        <w:rPr>
          <w:color w:val="000000" w:themeColor="text1"/>
          <w14:textFill>
            <w14:solidFill>
              <w14:schemeClr w14:val="tx1"/>
            </w14:solidFill>
          </w14:textFill>
        </w:rPr>
        <w:alias w:val="是否适用：其他综合收益[双击切换]"/>
        <w:tag w:val="_GBC_bef6c47936994e5e94c77d5dd812be30"/>
        <w:id w:val="147481835"/>
        <w:placeholder>
          <w:docPart w:val="GBC22222222222222222222222222222"/>
        </w:placeholder>
      </w:sdtPr>
      <w:sdtEndPr>
        <w:rPr>
          <w:color w:val="000000" w:themeColor="text1"/>
          <w14:textFill>
            <w14:solidFill>
              <w14:schemeClr w14:val="tx1"/>
            </w14:solidFill>
          </w14:textFill>
        </w:rPr>
      </w:sdtEndPr>
      <w:sdtContent>
        <w:p w14:paraId="058A1D6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A61FFA5">
      <w:pPr>
        <w:rPr>
          <w:color w:val="000000" w:themeColor="text1"/>
          <w14:textFill>
            <w14:solidFill>
              <w14:schemeClr w14:val="tx1"/>
            </w14:solidFill>
          </w14:textFill>
        </w:rPr>
      </w:pPr>
      <w:sdt>
        <w:sdtPr>
          <w:rPr>
            <w:rFonts w:hint="eastAsia"/>
            <w:color w:val="000000" w:themeColor="text1"/>
            <w14:textFill>
              <w14:solidFill>
                <w14:schemeClr w14:val="tx1"/>
              </w14:solidFill>
            </w14:textFill>
          </w:rPr>
          <w:alias w:val="其他综合收益详见附注"/>
          <w:tag w:val="_GBC_6f59ae7e2b78472ea4fa736cbb8f062d"/>
          <w:id w:val="147453663"/>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详见附注七、57</w:t>
          </w:r>
        </w:sdtContent>
      </w:sdt>
    </w:p>
    <w:p w14:paraId="4686D647">
      <w:pPr>
        <w:rPr>
          <w:color w:val="000000" w:themeColor="text1"/>
          <w14:textFill>
            <w14:solidFill>
              <w14:schemeClr w14:val="tx1"/>
            </w14:solidFill>
          </w14:textFill>
        </w:rPr>
      </w:pPr>
    </w:p>
    <w:p w14:paraId="1558CCAC">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现金流量表项目</w:t>
      </w:r>
    </w:p>
    <w:p w14:paraId="208FE6D4">
      <w:pPr>
        <w:pStyle w:val="58"/>
        <w:numPr>
          <w:ilvl w:val="0"/>
          <w:numId w:val="90"/>
        </w:numPr>
        <w:rPr>
          <w:color w:val="000000" w:themeColor="text1"/>
          <w14:textFill>
            <w14:solidFill>
              <w14:schemeClr w14:val="tx1"/>
            </w14:solidFill>
          </w14:textFill>
        </w:rPr>
      </w:pPr>
      <w:r>
        <w:rPr>
          <w:rFonts w:hint="eastAsia"/>
          <w:color w:val="000000" w:themeColor="text1"/>
          <w14:textFill>
            <w14:solidFill>
              <w14:schemeClr w14:val="tx1"/>
            </w14:solidFill>
          </w14:textFill>
        </w:rPr>
        <w:t>与经营活动有关的现金</w:t>
      </w:r>
    </w:p>
    <w:p w14:paraId="1F2D9A11">
      <w:pPr>
        <w:rPr>
          <w:color w:val="000000" w:themeColor="text1"/>
          <w14:textFill>
            <w14:solidFill>
              <w14:schemeClr w14:val="tx1"/>
            </w14:solidFill>
          </w14:textFill>
        </w:rPr>
      </w:pPr>
      <w:r>
        <w:rPr>
          <w:rFonts w:hint="eastAsia"/>
          <w:color w:val="000000" w:themeColor="text1"/>
          <w14:textFill>
            <w14:solidFill>
              <w14:schemeClr w14:val="tx1"/>
            </w14:solidFill>
          </w14:textFill>
        </w:rPr>
        <w:t>收到的其他与经营活动有关的现金</w:t>
      </w:r>
    </w:p>
    <w:sdt>
      <w:sdtPr>
        <w:rPr>
          <w:color w:val="000000" w:themeColor="text1"/>
          <w14:textFill>
            <w14:solidFill>
              <w14:schemeClr w14:val="tx1"/>
            </w14:solidFill>
          </w14:textFill>
        </w:rPr>
        <w:alias w:val="是否适用：收到的其他与经营活动有关的现金[双击切换]"/>
        <w:tag w:val="_GBC_c5c1fd7856fd40f88e814da378eb1220"/>
        <w:id w:val="147466735"/>
        <w:placeholder>
          <w:docPart w:val="GBC22222222222222222222222222222"/>
        </w:placeholder>
      </w:sdtPr>
      <w:sdtEndPr>
        <w:rPr>
          <w:color w:val="000000" w:themeColor="text1"/>
          <w14:textFill>
            <w14:solidFill>
              <w14:schemeClr w14:val="tx1"/>
            </w14:solidFill>
          </w14:textFill>
        </w:rPr>
      </w:sdtEndPr>
      <w:sdtContent>
        <w:p w14:paraId="6191584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C33E964">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收到的其他与经营活动有关的现金"/>
          <w:tag w:val="_GBC_5ccae82b68484e708f12fda90762616a"/>
          <w:id w:val="1474777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收到的其他与经营活动有关的现金"/>
          <w:tag w:val="_GBC_fab1e143b1314991a3aebb857ed68a09"/>
          <w:id w:val="1474721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347"/>
        <w:gridCol w:w="2778"/>
        <w:gridCol w:w="2768"/>
      </w:tblGrid>
      <w:tr w14:paraId="60C8C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cs="Times New Roman"/>
            </w:rPr>
            <w:tag w:val="_PLD_37a08d49f8e14506929ae8c9544c259e"/>
            <w:id w:val="147472649"/>
          </w:sdtPr>
          <w:sdtEndPr>
            <w:rPr>
              <w:rFonts w:cs="Times New Roman"/>
            </w:rPr>
          </w:sdtEndPr>
          <w:sdtContent>
            <w:tc>
              <w:tcPr>
                <w:tcW w:w="1882" w:type="pct"/>
              </w:tcPr>
              <w:p w14:paraId="4434C812">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f6cb8d17057e4de79000a7b7c263b07e"/>
            <w:id w:val="147469653"/>
          </w:sdtPr>
          <w:sdtEndPr>
            <w:rPr>
              <w:rFonts w:cs="Times New Roman"/>
            </w:rPr>
          </w:sdtEndPr>
          <w:sdtContent>
            <w:tc>
              <w:tcPr>
                <w:tcW w:w="1562" w:type="pct"/>
              </w:tcPr>
              <w:p w14:paraId="1D970F56">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tc>
          </w:sdtContent>
        </w:sdt>
        <w:sdt>
          <w:sdtPr>
            <w:rPr>
              <w:rFonts w:cs="Times New Roman"/>
            </w:rPr>
            <w:tag w:val="_PLD_28d6db3ec51c43eb8751b53e93c8f270"/>
            <w:id w:val="147453851"/>
          </w:sdtPr>
          <w:sdtEndPr>
            <w:rPr>
              <w:rFonts w:cs="Times New Roman"/>
            </w:rPr>
          </w:sdtEndPr>
          <w:sdtContent>
            <w:tc>
              <w:tcPr>
                <w:tcW w:w="1556" w:type="pct"/>
              </w:tcPr>
              <w:p w14:paraId="5DAF3508">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tc>
          </w:sdtContent>
        </w:sdt>
      </w:tr>
      <w:tr w14:paraId="2301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11C85B60">
            <w:pPr>
              <w:textAlignment w:val="top"/>
              <w:rPr>
                <w:rFonts w:cs="Times New Roman"/>
              </w:rPr>
            </w:pPr>
            <w:r>
              <w:rPr>
                <w:rFonts w:cs="Times New Roman"/>
                <w:color w:val="000000"/>
                <w:lang w:bidi="ar"/>
              </w:rPr>
              <w:t>政府补助</w:t>
            </w:r>
          </w:p>
        </w:tc>
        <w:tc>
          <w:tcPr>
            <w:tcW w:w="2756" w:type="dxa"/>
            <w:vAlign w:val="center"/>
          </w:tcPr>
          <w:p w14:paraId="7DFFA617">
            <w:pPr>
              <w:jc w:val="right"/>
              <w:textAlignment w:val="center"/>
              <w:rPr>
                <w:rFonts w:cs="Times New Roman"/>
              </w:rPr>
            </w:pPr>
            <w:r>
              <w:rPr>
                <w:rFonts w:eastAsia="Arial Narrow" w:cs="Times New Roman"/>
                <w:color w:val="000000"/>
                <w:lang w:bidi="ar"/>
              </w:rPr>
              <w:t>32,065,295.62</w:t>
            </w:r>
          </w:p>
        </w:tc>
        <w:tc>
          <w:tcPr>
            <w:tcW w:w="1556" w:type="pct"/>
            <w:vAlign w:val="center"/>
          </w:tcPr>
          <w:p w14:paraId="2C6BE2AB">
            <w:pPr>
              <w:jc w:val="right"/>
              <w:textAlignment w:val="center"/>
              <w:rPr>
                <w:rFonts w:cs="Times New Roman"/>
              </w:rPr>
            </w:pPr>
            <w:r>
              <w:rPr>
                <w:rFonts w:cs="Times New Roman"/>
                <w:color w:val="000000"/>
              </w:rPr>
              <w:t>15,297,790.02</w:t>
            </w:r>
          </w:p>
        </w:tc>
      </w:tr>
      <w:tr w14:paraId="6B80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35CB3C31">
            <w:pPr>
              <w:textAlignment w:val="top"/>
              <w:rPr>
                <w:rFonts w:cs="Times New Roman"/>
              </w:rPr>
            </w:pPr>
            <w:r>
              <w:rPr>
                <w:rFonts w:cs="Times New Roman"/>
                <w:color w:val="000000"/>
                <w:lang w:bidi="ar"/>
              </w:rPr>
              <w:t>利息收入</w:t>
            </w:r>
          </w:p>
        </w:tc>
        <w:tc>
          <w:tcPr>
            <w:tcW w:w="2756" w:type="dxa"/>
            <w:vAlign w:val="center"/>
          </w:tcPr>
          <w:p w14:paraId="21A41B3F">
            <w:pPr>
              <w:jc w:val="right"/>
              <w:textAlignment w:val="center"/>
              <w:rPr>
                <w:rFonts w:cs="Times New Roman"/>
              </w:rPr>
            </w:pPr>
            <w:r>
              <w:rPr>
                <w:rFonts w:eastAsia="Arial Narrow" w:cs="Times New Roman"/>
                <w:color w:val="000000"/>
                <w:lang w:bidi="ar"/>
              </w:rPr>
              <w:t>58,390,056.27</w:t>
            </w:r>
          </w:p>
        </w:tc>
        <w:tc>
          <w:tcPr>
            <w:tcW w:w="1556" w:type="pct"/>
            <w:vAlign w:val="center"/>
          </w:tcPr>
          <w:p w14:paraId="7CAEDE84">
            <w:pPr>
              <w:jc w:val="right"/>
              <w:textAlignment w:val="center"/>
              <w:rPr>
                <w:rFonts w:cs="Times New Roman"/>
              </w:rPr>
            </w:pPr>
            <w:r>
              <w:rPr>
                <w:rFonts w:cs="Times New Roman"/>
                <w:color w:val="000000"/>
              </w:rPr>
              <w:t>50,186,188.33</w:t>
            </w:r>
          </w:p>
        </w:tc>
      </w:tr>
      <w:tr w14:paraId="42610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5BA6EFCF">
            <w:pPr>
              <w:textAlignment w:val="top"/>
              <w:rPr>
                <w:rFonts w:cs="Times New Roman"/>
              </w:rPr>
            </w:pPr>
            <w:r>
              <w:rPr>
                <w:rFonts w:cs="Times New Roman"/>
                <w:color w:val="000000"/>
                <w:lang w:bidi="ar"/>
              </w:rPr>
              <w:t>收退回的保证金</w:t>
            </w:r>
          </w:p>
        </w:tc>
        <w:tc>
          <w:tcPr>
            <w:tcW w:w="2756" w:type="dxa"/>
            <w:vAlign w:val="center"/>
          </w:tcPr>
          <w:p w14:paraId="5245A596">
            <w:pPr>
              <w:jc w:val="right"/>
              <w:textAlignment w:val="center"/>
              <w:rPr>
                <w:rFonts w:cs="Times New Roman"/>
              </w:rPr>
            </w:pPr>
            <w:r>
              <w:rPr>
                <w:rFonts w:eastAsia="Arial Narrow" w:cs="Times New Roman"/>
                <w:color w:val="000000"/>
                <w:lang w:bidi="ar"/>
              </w:rPr>
              <w:t>122,737,462.23</w:t>
            </w:r>
          </w:p>
        </w:tc>
        <w:tc>
          <w:tcPr>
            <w:tcW w:w="1556" w:type="pct"/>
            <w:vAlign w:val="center"/>
          </w:tcPr>
          <w:p w14:paraId="791AA0F4">
            <w:pPr>
              <w:jc w:val="right"/>
              <w:textAlignment w:val="center"/>
              <w:rPr>
                <w:rFonts w:cs="Times New Roman"/>
              </w:rPr>
            </w:pPr>
            <w:r>
              <w:rPr>
                <w:rFonts w:cs="Times New Roman"/>
                <w:color w:val="000000"/>
              </w:rPr>
              <w:t>120,375,766.30</w:t>
            </w:r>
          </w:p>
        </w:tc>
      </w:tr>
      <w:tr w14:paraId="5D325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1D8B1D16">
            <w:pPr>
              <w:textAlignment w:val="top"/>
              <w:rPr>
                <w:rFonts w:cs="Times New Roman"/>
              </w:rPr>
            </w:pPr>
            <w:r>
              <w:rPr>
                <w:rFonts w:cs="Times New Roman"/>
                <w:color w:val="000000"/>
                <w:lang w:bidi="ar"/>
              </w:rPr>
              <w:t>代收社保返还款</w:t>
            </w:r>
          </w:p>
        </w:tc>
        <w:tc>
          <w:tcPr>
            <w:tcW w:w="2756" w:type="dxa"/>
            <w:vAlign w:val="center"/>
          </w:tcPr>
          <w:p w14:paraId="7727FB0F">
            <w:pPr>
              <w:jc w:val="right"/>
              <w:textAlignment w:val="center"/>
              <w:rPr>
                <w:rFonts w:cs="Times New Roman"/>
              </w:rPr>
            </w:pPr>
            <w:r>
              <w:rPr>
                <w:rFonts w:eastAsia="Arial Narrow" w:cs="Times New Roman"/>
                <w:color w:val="000000"/>
                <w:lang w:bidi="ar"/>
              </w:rPr>
              <w:t>4,014,217.20</w:t>
            </w:r>
          </w:p>
        </w:tc>
        <w:tc>
          <w:tcPr>
            <w:tcW w:w="1556" w:type="pct"/>
            <w:vAlign w:val="center"/>
          </w:tcPr>
          <w:p w14:paraId="26A8652D">
            <w:pPr>
              <w:jc w:val="right"/>
              <w:textAlignment w:val="center"/>
              <w:rPr>
                <w:rFonts w:cs="Times New Roman"/>
              </w:rPr>
            </w:pPr>
            <w:r>
              <w:rPr>
                <w:rFonts w:cs="Times New Roman"/>
                <w:color w:val="000000"/>
              </w:rPr>
              <w:t>1,913,724.76</w:t>
            </w:r>
          </w:p>
        </w:tc>
      </w:tr>
      <w:tr w14:paraId="7D4A1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7D332A67">
            <w:pPr>
              <w:textAlignment w:val="top"/>
              <w:rPr>
                <w:rFonts w:cs="Times New Roman"/>
              </w:rPr>
            </w:pPr>
            <w:r>
              <w:rPr>
                <w:rFonts w:cs="Times New Roman"/>
                <w:color w:val="000000"/>
                <w:lang w:bidi="ar"/>
              </w:rPr>
              <w:t>代收水电费用等</w:t>
            </w:r>
          </w:p>
        </w:tc>
        <w:tc>
          <w:tcPr>
            <w:tcW w:w="2756" w:type="dxa"/>
            <w:vAlign w:val="center"/>
          </w:tcPr>
          <w:p w14:paraId="70A0BA45">
            <w:pPr>
              <w:jc w:val="right"/>
              <w:textAlignment w:val="center"/>
              <w:rPr>
                <w:rFonts w:cs="Times New Roman"/>
              </w:rPr>
            </w:pPr>
            <w:r>
              <w:rPr>
                <w:rFonts w:eastAsia="Arial Narrow" w:cs="Times New Roman"/>
                <w:color w:val="000000"/>
                <w:lang w:bidi="ar"/>
              </w:rPr>
              <w:t>6,853,136.57</w:t>
            </w:r>
          </w:p>
        </w:tc>
        <w:tc>
          <w:tcPr>
            <w:tcW w:w="1556" w:type="pct"/>
            <w:vAlign w:val="center"/>
          </w:tcPr>
          <w:p w14:paraId="0B4DDD0A">
            <w:pPr>
              <w:jc w:val="right"/>
              <w:textAlignment w:val="center"/>
              <w:rPr>
                <w:rFonts w:cs="Times New Roman"/>
              </w:rPr>
            </w:pPr>
            <w:r>
              <w:rPr>
                <w:rFonts w:cs="Times New Roman"/>
                <w:color w:val="000000"/>
              </w:rPr>
              <w:t>6,243,534.68</w:t>
            </w:r>
          </w:p>
        </w:tc>
      </w:tr>
      <w:tr w14:paraId="36B5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05651C4B">
            <w:pPr>
              <w:textAlignment w:val="top"/>
              <w:rPr>
                <w:rFonts w:cs="Times New Roman"/>
              </w:rPr>
            </w:pPr>
            <w:r>
              <w:rPr>
                <w:rFonts w:cs="Times New Roman"/>
                <w:color w:val="000000"/>
                <w:lang w:bidi="ar"/>
              </w:rPr>
              <w:t>租金收入</w:t>
            </w:r>
          </w:p>
        </w:tc>
        <w:tc>
          <w:tcPr>
            <w:tcW w:w="2756" w:type="dxa"/>
            <w:vAlign w:val="center"/>
          </w:tcPr>
          <w:p w14:paraId="1F609A32">
            <w:pPr>
              <w:jc w:val="right"/>
              <w:textAlignment w:val="center"/>
              <w:rPr>
                <w:rFonts w:cs="Times New Roman"/>
              </w:rPr>
            </w:pPr>
            <w:r>
              <w:rPr>
                <w:rFonts w:eastAsia="Arial Narrow" w:cs="Times New Roman"/>
                <w:color w:val="000000"/>
                <w:lang w:bidi="ar"/>
              </w:rPr>
              <w:t>34,065,872.59</w:t>
            </w:r>
          </w:p>
        </w:tc>
        <w:tc>
          <w:tcPr>
            <w:tcW w:w="1556" w:type="pct"/>
            <w:vAlign w:val="center"/>
          </w:tcPr>
          <w:p w14:paraId="326ACD19">
            <w:pPr>
              <w:jc w:val="right"/>
              <w:textAlignment w:val="center"/>
              <w:rPr>
                <w:rFonts w:cs="Times New Roman"/>
              </w:rPr>
            </w:pPr>
            <w:r>
              <w:rPr>
                <w:rFonts w:cs="Times New Roman"/>
                <w:color w:val="000000"/>
              </w:rPr>
              <w:t>23,675,563.60</w:t>
            </w:r>
          </w:p>
        </w:tc>
      </w:tr>
      <w:tr w14:paraId="0A5E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7B1AB2AB">
            <w:pPr>
              <w:textAlignment w:val="top"/>
              <w:rPr>
                <w:rFonts w:cs="Times New Roman"/>
              </w:rPr>
            </w:pPr>
            <w:r>
              <w:rPr>
                <w:rFonts w:cs="Times New Roman"/>
                <w:color w:val="000000"/>
                <w:lang w:bidi="ar"/>
              </w:rPr>
              <w:t>零星收入</w:t>
            </w:r>
          </w:p>
        </w:tc>
        <w:tc>
          <w:tcPr>
            <w:tcW w:w="2756" w:type="dxa"/>
            <w:vAlign w:val="center"/>
          </w:tcPr>
          <w:p w14:paraId="3A7EBA71">
            <w:pPr>
              <w:jc w:val="right"/>
              <w:textAlignment w:val="center"/>
              <w:rPr>
                <w:rFonts w:cs="Times New Roman"/>
              </w:rPr>
            </w:pPr>
            <w:r>
              <w:rPr>
                <w:rFonts w:eastAsia="Arial Narrow" w:cs="Times New Roman"/>
                <w:color w:val="000000"/>
                <w:lang w:bidi="ar"/>
              </w:rPr>
              <w:t>6,439,378.22</w:t>
            </w:r>
          </w:p>
        </w:tc>
        <w:tc>
          <w:tcPr>
            <w:tcW w:w="1556" w:type="pct"/>
            <w:vAlign w:val="center"/>
          </w:tcPr>
          <w:p w14:paraId="4B061BA9">
            <w:pPr>
              <w:jc w:val="right"/>
              <w:textAlignment w:val="center"/>
              <w:rPr>
                <w:rFonts w:cs="Times New Roman"/>
              </w:rPr>
            </w:pPr>
            <w:r>
              <w:rPr>
                <w:rFonts w:cs="Times New Roman"/>
                <w:color w:val="000000"/>
              </w:rPr>
              <w:t>7,297,170.90</w:t>
            </w:r>
          </w:p>
        </w:tc>
      </w:tr>
      <w:tr w14:paraId="3C97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25F76759">
            <w:pPr>
              <w:textAlignment w:val="top"/>
              <w:rPr>
                <w:rFonts w:cs="Times New Roman"/>
              </w:rPr>
            </w:pPr>
            <w:r>
              <w:rPr>
                <w:rFonts w:cs="Times New Roman"/>
                <w:color w:val="000000"/>
                <w:lang w:bidi="ar"/>
              </w:rPr>
              <w:t>往来款</w:t>
            </w:r>
          </w:p>
        </w:tc>
        <w:tc>
          <w:tcPr>
            <w:tcW w:w="2756" w:type="dxa"/>
            <w:vAlign w:val="center"/>
          </w:tcPr>
          <w:p w14:paraId="54554002">
            <w:pPr>
              <w:jc w:val="right"/>
              <w:textAlignment w:val="center"/>
              <w:rPr>
                <w:rFonts w:cs="Times New Roman"/>
              </w:rPr>
            </w:pPr>
            <w:r>
              <w:rPr>
                <w:rFonts w:eastAsia="Arial Narrow" w:cs="Times New Roman"/>
                <w:color w:val="000000"/>
                <w:lang w:bidi="ar"/>
              </w:rPr>
              <w:t>105,704,634.71</w:t>
            </w:r>
          </w:p>
        </w:tc>
        <w:tc>
          <w:tcPr>
            <w:tcW w:w="1556" w:type="pct"/>
            <w:vAlign w:val="center"/>
          </w:tcPr>
          <w:p w14:paraId="51D693AC">
            <w:pPr>
              <w:jc w:val="right"/>
              <w:textAlignment w:val="center"/>
              <w:rPr>
                <w:rFonts w:cs="Times New Roman"/>
              </w:rPr>
            </w:pPr>
            <w:r>
              <w:rPr>
                <w:rFonts w:cs="Times New Roman"/>
                <w:color w:val="000000"/>
              </w:rPr>
              <w:t>56,947,007.94</w:t>
            </w:r>
          </w:p>
        </w:tc>
      </w:tr>
      <w:tr w14:paraId="1E655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581AE0E3">
            <w:pPr>
              <w:textAlignment w:val="top"/>
              <w:rPr>
                <w:rFonts w:cs="Times New Roman"/>
              </w:rPr>
            </w:pPr>
            <w:r>
              <w:rPr>
                <w:rFonts w:cs="Times New Roman"/>
                <w:color w:val="000000"/>
                <w:lang w:bidi="ar"/>
              </w:rPr>
              <w:t>其他</w:t>
            </w:r>
          </w:p>
        </w:tc>
        <w:tc>
          <w:tcPr>
            <w:tcW w:w="2756" w:type="dxa"/>
            <w:vAlign w:val="center"/>
          </w:tcPr>
          <w:p w14:paraId="4E8DC0C5">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29,376,455.36</w:t>
            </w:r>
          </w:p>
        </w:tc>
        <w:tc>
          <w:tcPr>
            <w:tcW w:w="1556" w:type="pct"/>
            <w:vAlign w:val="center"/>
          </w:tcPr>
          <w:p w14:paraId="00335F14">
            <w:pPr>
              <w:jc w:val="right"/>
              <w:textAlignment w:val="center"/>
              <w:rPr>
                <w:rFonts w:cs="Times New Roman"/>
                <w:color w:val="000000" w:themeColor="text1"/>
                <w14:textFill>
                  <w14:solidFill>
                    <w14:schemeClr w14:val="tx1"/>
                  </w14:solidFill>
                </w14:textFill>
              </w:rPr>
            </w:pPr>
            <w:r>
              <w:rPr>
                <w:rFonts w:cs="Times New Roman"/>
                <w:color w:val="000000"/>
              </w:rPr>
              <w:t>38,834,045.64</w:t>
            </w:r>
          </w:p>
        </w:tc>
      </w:tr>
      <w:tr w14:paraId="2190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62995A25">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2756" w:type="dxa"/>
            <w:vAlign w:val="center"/>
          </w:tcPr>
          <w:p w14:paraId="3D7B636E">
            <w:pPr>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399,646,508.77</w:t>
            </w:r>
          </w:p>
        </w:tc>
        <w:tc>
          <w:tcPr>
            <w:tcW w:w="1556" w:type="pct"/>
            <w:vAlign w:val="center"/>
          </w:tcPr>
          <w:p w14:paraId="0D85CE40">
            <w:pPr>
              <w:jc w:val="right"/>
              <w:textAlignment w:val="center"/>
              <w:rPr>
                <w:rFonts w:cs="Times New Roman"/>
                <w:color w:val="000000" w:themeColor="text1"/>
                <w14:textFill>
                  <w14:solidFill>
                    <w14:schemeClr w14:val="tx1"/>
                  </w14:solidFill>
                </w14:textFill>
              </w:rPr>
            </w:pPr>
            <w:r>
              <w:rPr>
                <w:rFonts w:cs="Times New Roman"/>
                <w:color w:val="000000"/>
              </w:rPr>
              <w:t>320,770,792.17</w:t>
            </w:r>
          </w:p>
        </w:tc>
      </w:tr>
    </w:tbl>
    <w:p w14:paraId="2897F7ED">
      <w:pPr>
        <w:snapToGrid w:val="0"/>
        <w:spacing w:before="60" w:after="60"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收到的其他与经营活动有关的现金说明：</w:t>
      </w:r>
    </w:p>
    <w:sdt>
      <w:sdtPr>
        <w:rPr>
          <w:color w:val="000000" w:themeColor="text1"/>
          <w14:textFill>
            <w14:solidFill>
              <w14:schemeClr w14:val="tx1"/>
            </w14:solidFill>
          </w14:textFill>
        </w:rPr>
        <w:alias w:val="收到的其他与经营活动有关的现金说明"/>
        <w:tag w:val="_GBC_1204b17e37bf4cc187a1ffb6f9463f05"/>
        <w:id w:val="147482903"/>
        <w:placeholder>
          <w:docPart w:val="GBC22222222222222222222222222222"/>
        </w:placeholder>
      </w:sdtPr>
      <w:sdtEndPr>
        <w:rPr>
          <w:color w:val="000000" w:themeColor="text1"/>
          <w14:textFill>
            <w14:solidFill>
              <w14:schemeClr w14:val="tx1"/>
            </w14:solidFill>
          </w14:textFill>
        </w:rPr>
      </w:sdtEndPr>
      <w:sdtContent>
        <w:p w14:paraId="7C89F52F">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4EEDCCB5">
      <w:pPr>
        <w:rPr>
          <w:color w:val="000000" w:themeColor="text1"/>
          <w14:textFill>
            <w14:solidFill>
              <w14:schemeClr w14:val="tx1"/>
            </w14:solidFill>
          </w14:textFill>
        </w:rPr>
      </w:pPr>
    </w:p>
    <w:p w14:paraId="5810A388">
      <w:pPr>
        <w:rPr>
          <w:color w:val="000000" w:themeColor="text1"/>
          <w14:textFill>
            <w14:solidFill>
              <w14:schemeClr w14:val="tx1"/>
            </w14:solidFill>
          </w14:textFill>
        </w:rPr>
      </w:pPr>
      <w:r>
        <w:rPr>
          <w:rFonts w:hint="eastAsia"/>
          <w:color w:val="000000" w:themeColor="text1"/>
          <w14:textFill>
            <w14:solidFill>
              <w14:schemeClr w14:val="tx1"/>
            </w14:solidFill>
          </w14:textFill>
        </w:rPr>
        <w:t>支付的其他与经营活动有关的现金</w:t>
      </w:r>
    </w:p>
    <w:sdt>
      <w:sdtPr>
        <w:rPr>
          <w:color w:val="000000" w:themeColor="text1"/>
          <w14:textFill>
            <w14:solidFill>
              <w14:schemeClr w14:val="tx1"/>
            </w14:solidFill>
          </w14:textFill>
        </w:rPr>
        <w:alias w:val="是否适用：支付的其他与经营活动有关的现金[双击切换]"/>
        <w:tag w:val="_GBC_73331002c48743d9a4438c6eb4a07c95"/>
        <w:id w:val="147483210"/>
        <w:placeholder>
          <w:docPart w:val="GBC22222222222222222222222222222"/>
        </w:placeholder>
      </w:sdtPr>
      <w:sdtEndPr>
        <w:rPr>
          <w:color w:val="000000" w:themeColor="text1"/>
          <w14:textFill>
            <w14:solidFill>
              <w14:schemeClr w14:val="tx1"/>
            </w14:solidFill>
          </w14:textFill>
        </w:rPr>
      </w:sdtEndPr>
      <w:sdtContent>
        <w:p w14:paraId="5A52C68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9AF2A86">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支付的其他与经营活动有关的现金"/>
          <w:tag w:val="_GBC_8252d4ac9be64f04b08b1dc08e270310"/>
          <w:id w:val="1474667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支付的其他与经营活动有关的现金"/>
          <w:tag w:val="_GBC_37de812db19b41c8a01d10d8b0365268"/>
          <w:id w:val="1474731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347"/>
        <w:gridCol w:w="2759"/>
        <w:gridCol w:w="2787"/>
      </w:tblGrid>
      <w:tr w14:paraId="02CE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cs="Times New Roman"/>
            </w:rPr>
            <w:tag w:val="_PLD_164da6d2b96e42688b06fe557d996ac2"/>
            <w:id w:val="147455053"/>
          </w:sdtPr>
          <w:sdtEndPr>
            <w:rPr>
              <w:rFonts w:cs="Times New Roman"/>
            </w:rPr>
          </w:sdtEndPr>
          <w:sdtContent>
            <w:tc>
              <w:tcPr>
                <w:tcW w:w="1882" w:type="pct"/>
              </w:tcPr>
              <w:p w14:paraId="10DEDD52">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69d21b5f023448adbd8c69a7e96e585d"/>
            <w:id w:val="147462020"/>
          </w:sdtPr>
          <w:sdtEndPr>
            <w:rPr>
              <w:rFonts w:cs="Times New Roman"/>
            </w:rPr>
          </w:sdtEndPr>
          <w:sdtContent>
            <w:tc>
              <w:tcPr>
                <w:tcW w:w="1551" w:type="pct"/>
              </w:tcPr>
              <w:p w14:paraId="7CFE4974">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tc>
          </w:sdtContent>
        </w:sdt>
        <w:sdt>
          <w:sdtPr>
            <w:rPr>
              <w:rFonts w:cs="Times New Roman"/>
            </w:rPr>
            <w:tag w:val="_PLD_fccf4811cdbb443297a0ce875715525f"/>
            <w:id w:val="147478686"/>
          </w:sdtPr>
          <w:sdtEndPr>
            <w:rPr>
              <w:rFonts w:cs="Times New Roman"/>
            </w:rPr>
          </w:sdtEndPr>
          <w:sdtContent>
            <w:tc>
              <w:tcPr>
                <w:tcW w:w="1567" w:type="pct"/>
              </w:tcPr>
              <w:p w14:paraId="6FCA285A">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tc>
          </w:sdtContent>
        </w:sdt>
      </w:tr>
      <w:tr w14:paraId="00005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0B919173">
            <w:pPr>
              <w:textAlignment w:val="top"/>
              <w:rPr>
                <w:rFonts w:cs="Times New Roman"/>
              </w:rPr>
            </w:pPr>
            <w:r>
              <w:rPr>
                <w:rFonts w:cs="Times New Roman"/>
                <w:color w:val="000000"/>
                <w:lang w:bidi="ar"/>
              </w:rPr>
              <w:t>往来款</w:t>
            </w:r>
          </w:p>
        </w:tc>
        <w:tc>
          <w:tcPr>
            <w:tcW w:w="1551" w:type="pct"/>
            <w:vAlign w:val="center"/>
          </w:tcPr>
          <w:p w14:paraId="675BBC88">
            <w:pPr>
              <w:jc w:val="right"/>
              <w:textAlignment w:val="center"/>
              <w:rPr>
                <w:rFonts w:cs="Times New Roman"/>
              </w:rPr>
            </w:pPr>
            <w:r>
              <w:rPr>
                <w:rFonts w:cs="Times New Roman"/>
                <w:color w:val="000000"/>
              </w:rPr>
              <w:t>156,273,022.24</w:t>
            </w:r>
          </w:p>
        </w:tc>
        <w:tc>
          <w:tcPr>
            <w:tcW w:w="1567" w:type="pct"/>
            <w:vAlign w:val="center"/>
          </w:tcPr>
          <w:p w14:paraId="4394D115">
            <w:pPr>
              <w:jc w:val="right"/>
              <w:textAlignment w:val="center"/>
              <w:rPr>
                <w:rFonts w:cs="Times New Roman"/>
              </w:rPr>
            </w:pPr>
            <w:r>
              <w:rPr>
                <w:rFonts w:cs="Times New Roman"/>
                <w:color w:val="000000"/>
              </w:rPr>
              <w:t>118,329,766.64</w:t>
            </w:r>
          </w:p>
        </w:tc>
      </w:tr>
      <w:tr w14:paraId="531D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782C9FC5">
            <w:pPr>
              <w:textAlignment w:val="top"/>
              <w:rPr>
                <w:rFonts w:cs="Times New Roman"/>
              </w:rPr>
            </w:pPr>
            <w:r>
              <w:rPr>
                <w:rFonts w:cs="Times New Roman"/>
                <w:color w:val="000000"/>
                <w:lang w:bidi="ar"/>
              </w:rPr>
              <w:t>支付保证金</w:t>
            </w:r>
          </w:p>
        </w:tc>
        <w:tc>
          <w:tcPr>
            <w:tcW w:w="1551" w:type="pct"/>
            <w:vAlign w:val="center"/>
          </w:tcPr>
          <w:p w14:paraId="632AE70C">
            <w:pPr>
              <w:jc w:val="right"/>
              <w:textAlignment w:val="center"/>
              <w:rPr>
                <w:rFonts w:cs="Times New Roman"/>
              </w:rPr>
            </w:pPr>
            <w:r>
              <w:rPr>
                <w:rFonts w:cs="Times New Roman"/>
                <w:color w:val="000000"/>
              </w:rPr>
              <w:t>136,804,564.85</w:t>
            </w:r>
          </w:p>
        </w:tc>
        <w:tc>
          <w:tcPr>
            <w:tcW w:w="1567" w:type="pct"/>
            <w:vAlign w:val="center"/>
          </w:tcPr>
          <w:p w14:paraId="57E8B3C1">
            <w:pPr>
              <w:jc w:val="right"/>
              <w:textAlignment w:val="center"/>
              <w:rPr>
                <w:rFonts w:cs="Times New Roman"/>
              </w:rPr>
            </w:pPr>
            <w:r>
              <w:rPr>
                <w:rFonts w:cs="Times New Roman"/>
                <w:color w:val="000000"/>
              </w:rPr>
              <w:t>117,455,481.34</w:t>
            </w:r>
          </w:p>
        </w:tc>
      </w:tr>
      <w:tr w14:paraId="4C4F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2E94EE89">
            <w:pPr>
              <w:textAlignment w:val="top"/>
              <w:rPr>
                <w:rFonts w:cs="Times New Roman"/>
              </w:rPr>
            </w:pPr>
            <w:r>
              <w:rPr>
                <w:rFonts w:cs="Times New Roman"/>
                <w:color w:val="000000"/>
                <w:lang w:bidi="ar"/>
              </w:rPr>
              <w:t>期间费用</w:t>
            </w:r>
          </w:p>
        </w:tc>
        <w:tc>
          <w:tcPr>
            <w:tcW w:w="1551" w:type="pct"/>
            <w:vAlign w:val="center"/>
          </w:tcPr>
          <w:p w14:paraId="6F06EF5B">
            <w:pPr>
              <w:jc w:val="right"/>
              <w:textAlignment w:val="center"/>
              <w:rPr>
                <w:rFonts w:cs="Times New Roman"/>
              </w:rPr>
            </w:pPr>
            <w:r>
              <w:rPr>
                <w:rFonts w:cs="Times New Roman"/>
                <w:color w:val="000000"/>
              </w:rPr>
              <w:t>175,255,364.82</w:t>
            </w:r>
          </w:p>
        </w:tc>
        <w:tc>
          <w:tcPr>
            <w:tcW w:w="1567" w:type="pct"/>
            <w:vAlign w:val="center"/>
          </w:tcPr>
          <w:p w14:paraId="2594E227">
            <w:pPr>
              <w:jc w:val="right"/>
              <w:textAlignment w:val="center"/>
              <w:rPr>
                <w:rFonts w:cs="Times New Roman"/>
              </w:rPr>
            </w:pPr>
            <w:r>
              <w:rPr>
                <w:rFonts w:cs="Times New Roman"/>
                <w:color w:val="000000"/>
              </w:rPr>
              <w:t>196,911,390.36</w:t>
            </w:r>
          </w:p>
        </w:tc>
      </w:tr>
      <w:tr w14:paraId="0B1A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01515BEF">
            <w:pPr>
              <w:textAlignment w:val="top"/>
              <w:rPr>
                <w:rFonts w:cs="Times New Roman"/>
              </w:rPr>
            </w:pPr>
            <w:r>
              <w:rPr>
                <w:rFonts w:cs="Times New Roman"/>
                <w:color w:val="000000"/>
                <w:lang w:bidi="ar"/>
              </w:rPr>
              <w:t>备用金结算</w:t>
            </w:r>
          </w:p>
        </w:tc>
        <w:tc>
          <w:tcPr>
            <w:tcW w:w="1551" w:type="pct"/>
            <w:vAlign w:val="center"/>
          </w:tcPr>
          <w:p w14:paraId="289C50A9">
            <w:pPr>
              <w:jc w:val="right"/>
              <w:textAlignment w:val="center"/>
              <w:rPr>
                <w:rFonts w:cs="Times New Roman"/>
              </w:rPr>
            </w:pPr>
            <w:r>
              <w:rPr>
                <w:rFonts w:cs="Times New Roman"/>
                <w:color w:val="000000"/>
              </w:rPr>
              <w:t>8,954,750.80</w:t>
            </w:r>
          </w:p>
        </w:tc>
        <w:tc>
          <w:tcPr>
            <w:tcW w:w="1567" w:type="pct"/>
            <w:vAlign w:val="center"/>
          </w:tcPr>
          <w:p w14:paraId="2B394CD5">
            <w:pPr>
              <w:jc w:val="right"/>
              <w:textAlignment w:val="center"/>
              <w:rPr>
                <w:rFonts w:cs="Times New Roman"/>
              </w:rPr>
            </w:pPr>
            <w:r>
              <w:rPr>
                <w:rFonts w:cs="Times New Roman"/>
                <w:color w:val="000000"/>
              </w:rPr>
              <w:t>14,501,358.66</w:t>
            </w:r>
          </w:p>
        </w:tc>
      </w:tr>
      <w:tr w14:paraId="47E6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1E1FD242">
            <w:pPr>
              <w:textAlignment w:val="top"/>
              <w:rPr>
                <w:rFonts w:cs="Times New Roman"/>
              </w:rPr>
            </w:pPr>
            <w:r>
              <w:rPr>
                <w:rFonts w:cs="Times New Roman"/>
                <w:color w:val="000000"/>
                <w:lang w:bidi="ar"/>
              </w:rPr>
              <w:t>代收代付款</w:t>
            </w:r>
          </w:p>
        </w:tc>
        <w:tc>
          <w:tcPr>
            <w:tcW w:w="1551" w:type="pct"/>
            <w:vAlign w:val="center"/>
          </w:tcPr>
          <w:p w14:paraId="17D793B3">
            <w:pPr>
              <w:jc w:val="right"/>
              <w:textAlignment w:val="center"/>
              <w:rPr>
                <w:rFonts w:cs="Times New Roman"/>
              </w:rPr>
            </w:pPr>
            <w:r>
              <w:rPr>
                <w:rFonts w:cs="Times New Roman"/>
                <w:color w:val="000000"/>
              </w:rPr>
              <w:t>18,034,368.81</w:t>
            </w:r>
          </w:p>
        </w:tc>
        <w:tc>
          <w:tcPr>
            <w:tcW w:w="1567" w:type="pct"/>
            <w:vAlign w:val="center"/>
          </w:tcPr>
          <w:p w14:paraId="69807487">
            <w:pPr>
              <w:jc w:val="right"/>
              <w:textAlignment w:val="center"/>
              <w:rPr>
                <w:rFonts w:cs="Times New Roman"/>
              </w:rPr>
            </w:pPr>
            <w:r>
              <w:rPr>
                <w:rFonts w:cs="Times New Roman"/>
                <w:color w:val="000000"/>
              </w:rPr>
              <w:t>28,690,959.58</w:t>
            </w:r>
          </w:p>
        </w:tc>
      </w:tr>
      <w:tr w14:paraId="6CBD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347FE7FD">
            <w:pPr>
              <w:textAlignment w:val="top"/>
              <w:rPr>
                <w:rFonts w:cs="Times New Roman"/>
              </w:rPr>
            </w:pPr>
            <w:r>
              <w:rPr>
                <w:rFonts w:cs="Times New Roman"/>
                <w:color w:val="000000"/>
                <w:lang w:bidi="ar"/>
              </w:rPr>
              <w:t>其他</w:t>
            </w:r>
          </w:p>
        </w:tc>
        <w:tc>
          <w:tcPr>
            <w:tcW w:w="1551" w:type="pct"/>
            <w:vAlign w:val="center"/>
          </w:tcPr>
          <w:p w14:paraId="7482DE40">
            <w:pPr>
              <w:jc w:val="right"/>
              <w:textAlignment w:val="center"/>
              <w:rPr>
                <w:rFonts w:cs="Times New Roman"/>
              </w:rPr>
            </w:pPr>
            <w:r>
              <w:rPr>
                <w:rFonts w:cs="Times New Roman"/>
                <w:color w:val="000000"/>
              </w:rPr>
              <w:t>37,389,921.41</w:t>
            </w:r>
          </w:p>
        </w:tc>
        <w:tc>
          <w:tcPr>
            <w:tcW w:w="1567" w:type="pct"/>
            <w:vAlign w:val="center"/>
          </w:tcPr>
          <w:p w14:paraId="05289C40">
            <w:pPr>
              <w:jc w:val="right"/>
              <w:textAlignment w:val="center"/>
              <w:rPr>
                <w:rFonts w:cs="Times New Roman"/>
              </w:rPr>
            </w:pPr>
            <w:r>
              <w:rPr>
                <w:rFonts w:cs="Times New Roman"/>
                <w:color w:val="000000"/>
              </w:rPr>
              <w:t>29,888,783.55</w:t>
            </w:r>
          </w:p>
        </w:tc>
      </w:tr>
      <w:tr w14:paraId="149F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6EE05946">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551" w:type="pct"/>
            <w:vAlign w:val="center"/>
          </w:tcPr>
          <w:p w14:paraId="364CF649">
            <w:pPr>
              <w:jc w:val="right"/>
              <w:textAlignment w:val="center"/>
              <w:rPr>
                <w:rFonts w:cs="Times New Roman"/>
              </w:rPr>
            </w:pPr>
            <w:r>
              <w:rPr>
                <w:rFonts w:cs="Times New Roman"/>
                <w:color w:val="000000"/>
              </w:rPr>
              <w:t>532,711,992.93</w:t>
            </w:r>
          </w:p>
        </w:tc>
        <w:tc>
          <w:tcPr>
            <w:tcW w:w="1567" w:type="pct"/>
            <w:vAlign w:val="center"/>
          </w:tcPr>
          <w:p w14:paraId="30873231">
            <w:pPr>
              <w:jc w:val="right"/>
              <w:textAlignment w:val="center"/>
              <w:rPr>
                <w:rFonts w:cs="Times New Roman"/>
              </w:rPr>
            </w:pPr>
            <w:r>
              <w:rPr>
                <w:rFonts w:cs="Times New Roman"/>
                <w:color w:val="000000"/>
              </w:rPr>
              <w:t>505,777,740.13</w:t>
            </w:r>
          </w:p>
        </w:tc>
      </w:tr>
    </w:tbl>
    <w:p w14:paraId="58FA8EC3">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支付的其他与经营活动有关的现金说明：</w:t>
      </w:r>
    </w:p>
    <w:sdt>
      <w:sdtPr>
        <w:rPr>
          <w:rFonts w:hint="eastAsia"/>
          <w:color w:val="000000" w:themeColor="text1"/>
          <w14:textFill>
            <w14:solidFill>
              <w14:schemeClr w14:val="tx1"/>
            </w14:solidFill>
          </w14:textFill>
        </w:rPr>
        <w:alias w:val="支付的其他与经营活动有关的现金说明"/>
        <w:tag w:val="_GBC_632dc3caefd547b5b57f9340a021af22"/>
        <w:id w:val="147481824"/>
        <w:placeholder>
          <w:docPart w:val="GBC22222222222222222222222222222"/>
        </w:placeholder>
      </w:sdtPr>
      <w:sdtEndPr>
        <w:rPr>
          <w:rFonts w:hint="eastAsia"/>
          <w:color w:val="000000" w:themeColor="text1"/>
          <w14:textFill>
            <w14:solidFill>
              <w14:schemeClr w14:val="tx1"/>
            </w14:solidFill>
          </w14:textFill>
        </w:rPr>
      </w:sdtEndPr>
      <w:sdtContent>
        <w:p w14:paraId="011BE49B">
          <w:pPr>
            <w:ind w:right="5"/>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1D5BF634">
      <w:pPr>
        <w:ind w:right="5"/>
        <w:rPr>
          <w:color w:val="000000" w:themeColor="text1"/>
          <w14:textFill>
            <w14:solidFill>
              <w14:schemeClr w14:val="tx1"/>
            </w14:solidFill>
          </w14:textFill>
        </w:rPr>
      </w:pPr>
    </w:p>
    <w:p w14:paraId="67B67E04">
      <w:pPr>
        <w:pStyle w:val="58"/>
        <w:numPr>
          <w:ilvl w:val="0"/>
          <w:numId w:val="90"/>
        </w:numPr>
        <w:rPr>
          <w:color w:val="000000" w:themeColor="text1"/>
          <w14:textFill>
            <w14:solidFill>
              <w14:schemeClr w14:val="tx1"/>
            </w14:solidFill>
          </w14:textFill>
        </w:rPr>
      </w:pPr>
      <w:bookmarkStart w:id="393" w:name="_Hlk167970426"/>
      <w:r>
        <w:rPr>
          <w:rFonts w:hint="eastAsia"/>
          <w:color w:val="000000" w:themeColor="text1"/>
          <w14:textFill>
            <w14:solidFill>
              <w14:schemeClr w14:val="tx1"/>
            </w14:solidFill>
          </w14:textFill>
        </w:rPr>
        <w:t>与投资活动有关的现金</w:t>
      </w:r>
    </w:p>
    <w:p w14:paraId="2B35F86F">
      <w:pPr>
        <w:rPr>
          <w:color w:val="000000" w:themeColor="text1"/>
          <w14:textFill>
            <w14:solidFill>
              <w14:schemeClr w14:val="tx1"/>
            </w14:solidFill>
          </w14:textFill>
        </w:rPr>
      </w:pPr>
      <w:r>
        <w:rPr>
          <w:rFonts w:hint="eastAsia"/>
          <w:color w:val="000000" w:themeColor="text1"/>
          <w14:textFill>
            <w14:solidFill>
              <w14:schemeClr w14:val="tx1"/>
            </w14:solidFill>
          </w14:textFill>
        </w:rPr>
        <w:t>收到的重要的投资活动有关的现金</w:t>
      </w:r>
    </w:p>
    <w:sdt>
      <w:sdtPr>
        <w:rPr>
          <w:color w:val="000000" w:themeColor="text1"/>
          <w14:textFill>
            <w14:solidFill>
              <w14:schemeClr w14:val="tx1"/>
            </w14:solidFill>
          </w14:textFill>
        </w:rPr>
        <w:alias w:val="是否适用：收到的重要的投资活动有关的现金[双击切换]"/>
        <w:tag w:val="_GBC_f56d2779677b47b3ba2b7e5e0b1d3d89"/>
        <w:id w:val="147454455"/>
        <w:placeholder>
          <w:docPart w:val="GBC22222222222222222222222222222"/>
        </w:placeholder>
      </w:sdtPr>
      <w:sdtEndPr>
        <w:rPr>
          <w:color w:val="000000" w:themeColor="text1"/>
          <w14:textFill>
            <w14:solidFill>
              <w14:schemeClr w14:val="tx1"/>
            </w14:solidFill>
          </w14:textFill>
        </w:rPr>
      </w:sdtEndPr>
      <w:sdtContent>
        <w:p w14:paraId="7D4AE6D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7C7E9E1">
      <w:pPr>
        <w:rPr>
          <w:color w:val="000000" w:themeColor="text1"/>
          <w14:textFill>
            <w14:solidFill>
              <w14:schemeClr w14:val="tx1"/>
            </w14:solidFill>
          </w14:textFill>
        </w:rPr>
      </w:pPr>
    </w:p>
    <w:p w14:paraId="02AD6719">
      <w:pPr>
        <w:rPr>
          <w:color w:val="000000" w:themeColor="text1"/>
          <w14:textFill>
            <w14:solidFill>
              <w14:schemeClr w14:val="tx1"/>
            </w14:solidFill>
          </w14:textFill>
        </w:rPr>
      </w:pPr>
      <w:r>
        <w:rPr>
          <w:rFonts w:hint="eastAsia"/>
          <w:color w:val="000000" w:themeColor="text1"/>
          <w14:textFill>
            <w14:solidFill>
              <w14:schemeClr w14:val="tx1"/>
            </w14:solidFill>
          </w14:textFill>
        </w:rPr>
        <w:t>支付的重要的投资活动有关的现金</w:t>
      </w:r>
    </w:p>
    <w:sdt>
      <w:sdtPr>
        <w:rPr>
          <w:color w:val="000000" w:themeColor="text1"/>
          <w14:textFill>
            <w14:solidFill>
              <w14:schemeClr w14:val="tx1"/>
            </w14:solidFill>
          </w14:textFill>
        </w:rPr>
        <w:alias w:val="是否适用：支付的重要的投资活动有关的现金[双击切换]"/>
        <w:tag w:val="_GBC_e489b143c5a245a9bd1fb9c8c46d7528"/>
        <w:id w:val="147477354"/>
        <w:placeholder>
          <w:docPart w:val="GBC22222222222222222222222222222"/>
        </w:placeholder>
      </w:sdtPr>
      <w:sdtEndPr>
        <w:rPr>
          <w:color w:val="000000" w:themeColor="text1"/>
          <w14:textFill>
            <w14:solidFill>
              <w14:schemeClr w14:val="tx1"/>
            </w14:solidFill>
          </w14:textFill>
        </w:rPr>
      </w:sdtEndPr>
      <w:sdtContent>
        <w:p w14:paraId="7D98232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1307B4E">
      <w:pPr>
        <w:rPr>
          <w:color w:val="000000" w:themeColor="text1"/>
          <w14:textFill>
            <w14:solidFill>
              <w14:schemeClr w14:val="tx1"/>
            </w14:solidFill>
          </w14:textFill>
        </w:rPr>
      </w:pPr>
    </w:p>
    <w:p w14:paraId="48BD42B2">
      <w:pPr>
        <w:rPr>
          <w:rFonts w:hint="eastAsia"/>
          <w:color w:val="000000" w:themeColor="text1"/>
          <w14:textFill>
            <w14:solidFill>
              <w14:schemeClr w14:val="tx1"/>
            </w14:solidFill>
          </w14:textFill>
        </w:rPr>
      </w:pPr>
    </w:p>
    <w:bookmarkEnd w:id="393"/>
    <w:p w14:paraId="43C3FFD0">
      <w:pPr>
        <w:rPr>
          <w:color w:val="000000" w:themeColor="text1"/>
          <w14:textFill>
            <w14:solidFill>
              <w14:schemeClr w14:val="tx1"/>
            </w14:solidFill>
          </w14:textFill>
        </w:rPr>
      </w:pPr>
      <w:r>
        <w:rPr>
          <w:rFonts w:hint="eastAsia"/>
          <w:color w:val="000000" w:themeColor="text1"/>
          <w14:textFill>
            <w14:solidFill>
              <w14:schemeClr w14:val="tx1"/>
            </w14:solidFill>
          </w14:textFill>
        </w:rPr>
        <w:t>收到的其他与投资活动有关的现金</w:t>
      </w:r>
    </w:p>
    <w:sdt>
      <w:sdtPr>
        <w:rPr>
          <w:color w:val="000000" w:themeColor="text1"/>
          <w14:textFill>
            <w14:solidFill>
              <w14:schemeClr w14:val="tx1"/>
            </w14:solidFill>
          </w14:textFill>
        </w:rPr>
        <w:alias w:val="是否适用：收到的其他与投资活动有关的现金[双击切换]"/>
        <w:tag w:val="_GBC_ae3b1cf9e3aa408a8867e76d71769712"/>
        <w:id w:val="147483130"/>
        <w:placeholder>
          <w:docPart w:val="GBC22222222222222222222222222222"/>
        </w:placeholder>
      </w:sdtPr>
      <w:sdtEndPr>
        <w:rPr>
          <w:color w:val="000000" w:themeColor="text1"/>
          <w14:textFill>
            <w14:solidFill>
              <w14:schemeClr w14:val="tx1"/>
            </w14:solidFill>
          </w14:textFill>
        </w:rPr>
      </w:sdtEndPr>
      <w:sdtContent>
        <w:p w14:paraId="382475A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3664C34">
      <w:pPr>
        <w:jc w:val="right"/>
        <w:rPr>
          <w:color w:val="000000" w:themeColor="text1"/>
          <w14:textFill>
            <w14:solidFill>
              <w14:schemeClr w14:val="tx1"/>
            </w14:solidFill>
          </w14:textFill>
        </w:rPr>
      </w:pPr>
    </w:p>
    <w:p w14:paraId="12ADDEE1">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收到的其他与投资活动有关的现金"/>
          <w:tag w:val="_GBC_864c08420ed74aa18dcf838d10153475"/>
          <w:id w:val="1474699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收到的其他与投资活动有关的现金"/>
          <w:tag w:val="_GBC_557bfe9cc4b045ff8684fc828911efc1"/>
          <w:id w:val="1474535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346"/>
        <w:gridCol w:w="2862"/>
        <w:gridCol w:w="2685"/>
      </w:tblGrid>
      <w:tr w14:paraId="64417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cs="Times New Roman"/>
            </w:rPr>
            <w:tag w:val="_PLD_fe329b3300fe449c869fda5c957ed9e6"/>
            <w:id w:val="147457464"/>
          </w:sdtPr>
          <w:sdtEndPr>
            <w:rPr>
              <w:rFonts w:cs="Times New Roman"/>
            </w:rPr>
          </w:sdtEndPr>
          <w:sdtContent>
            <w:tc>
              <w:tcPr>
                <w:tcW w:w="1881" w:type="pct"/>
              </w:tcPr>
              <w:p w14:paraId="4EBF2C2E">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e828a524680d4faeb14e148b152d9982"/>
            <w:id w:val="147483533"/>
          </w:sdtPr>
          <w:sdtEndPr>
            <w:rPr>
              <w:rFonts w:cs="Times New Roman"/>
            </w:rPr>
          </w:sdtEndPr>
          <w:sdtContent>
            <w:tc>
              <w:tcPr>
                <w:tcW w:w="1609" w:type="pct"/>
              </w:tcPr>
              <w:p w14:paraId="283A85F1">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tc>
          </w:sdtContent>
        </w:sdt>
        <w:sdt>
          <w:sdtPr>
            <w:rPr>
              <w:rFonts w:cs="Times New Roman"/>
            </w:rPr>
            <w:tag w:val="_PLD_a8eb20dbb1b143d399d3bde1f6e00fa3"/>
            <w:id w:val="147470578"/>
          </w:sdtPr>
          <w:sdtEndPr>
            <w:rPr>
              <w:rFonts w:cs="Times New Roman"/>
            </w:rPr>
          </w:sdtEndPr>
          <w:sdtContent>
            <w:tc>
              <w:tcPr>
                <w:tcW w:w="1509" w:type="pct"/>
              </w:tcPr>
              <w:p w14:paraId="23CFFA28">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tc>
          </w:sdtContent>
        </w:sdt>
      </w:tr>
      <w:tr w14:paraId="5F8A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1" w:type="pct"/>
          </w:tcPr>
          <w:p w14:paraId="4173175F">
            <w:pPr>
              <w:textAlignment w:val="top"/>
              <w:rPr>
                <w:rFonts w:cs="Times New Roman"/>
              </w:rPr>
            </w:pPr>
            <w:r>
              <w:rPr>
                <w:rFonts w:cs="Times New Roman"/>
                <w:color w:val="000000"/>
                <w:lang w:bidi="ar"/>
              </w:rPr>
              <w:t>其他</w:t>
            </w:r>
          </w:p>
        </w:tc>
        <w:tc>
          <w:tcPr>
            <w:tcW w:w="1609" w:type="pct"/>
            <w:vAlign w:val="center"/>
          </w:tcPr>
          <w:p w14:paraId="6038B2D6">
            <w:pPr>
              <w:jc w:val="right"/>
              <w:rPr>
                <w:rFonts w:cs="Times New Roman"/>
              </w:rPr>
            </w:pPr>
          </w:p>
        </w:tc>
        <w:tc>
          <w:tcPr>
            <w:tcW w:w="1509" w:type="pct"/>
            <w:vAlign w:val="center"/>
          </w:tcPr>
          <w:p w14:paraId="402938C4">
            <w:pPr>
              <w:jc w:val="right"/>
              <w:textAlignment w:val="center"/>
              <w:rPr>
                <w:rFonts w:cs="Times New Roman"/>
              </w:rPr>
            </w:pPr>
            <w:r>
              <w:rPr>
                <w:rFonts w:eastAsia="Arial Narrow" w:cs="Times New Roman"/>
                <w:color w:val="000000"/>
                <w:lang w:bidi="ar"/>
              </w:rPr>
              <w:t>1,723,594.68</w:t>
            </w:r>
          </w:p>
        </w:tc>
      </w:tr>
      <w:tr w14:paraId="26B16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1" w:type="pct"/>
          </w:tcPr>
          <w:p w14:paraId="45892644">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2862" w:type="dxa"/>
            <w:vAlign w:val="center"/>
          </w:tcPr>
          <w:p w14:paraId="67344FBB">
            <w:pPr>
              <w:jc w:val="right"/>
              <w:rPr>
                <w:rFonts w:cs="Times New Roman"/>
              </w:rPr>
            </w:pPr>
          </w:p>
        </w:tc>
        <w:tc>
          <w:tcPr>
            <w:tcW w:w="2685" w:type="dxa"/>
            <w:vAlign w:val="center"/>
          </w:tcPr>
          <w:p w14:paraId="1DAACF22">
            <w:pPr>
              <w:jc w:val="right"/>
              <w:textAlignment w:val="center"/>
              <w:rPr>
                <w:rFonts w:cs="Times New Roman"/>
              </w:rPr>
            </w:pPr>
            <w:r>
              <w:rPr>
                <w:rFonts w:eastAsia="Arial Narrow" w:cs="Times New Roman"/>
                <w:color w:val="000000"/>
                <w:lang w:bidi="ar"/>
              </w:rPr>
              <w:t>1,723,594.68</w:t>
            </w:r>
          </w:p>
        </w:tc>
      </w:tr>
    </w:tbl>
    <w:p w14:paraId="10EFCEFF">
      <w:pPr>
        <w:snapToGrid w:val="0"/>
        <w:spacing w:before="60" w:after="60"/>
        <w:rPr>
          <w:color w:val="000000" w:themeColor="text1"/>
          <w14:textFill>
            <w14:solidFill>
              <w14:schemeClr w14:val="tx1"/>
            </w14:solidFill>
          </w14:textFill>
        </w:rPr>
      </w:pPr>
    </w:p>
    <w:p w14:paraId="22909C9A">
      <w:pPr>
        <w:snapToGrid w:val="0"/>
        <w:spacing w:before="60" w:after="60"/>
        <w:rPr>
          <w:color w:val="000000" w:themeColor="text1"/>
          <w14:textFill>
            <w14:solidFill>
              <w14:schemeClr w14:val="tx1"/>
            </w14:solidFill>
          </w14:textFill>
        </w:rPr>
      </w:pPr>
    </w:p>
    <w:p w14:paraId="25D2A3E4">
      <w:pPr>
        <w:snapToGrid w:val="0"/>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收到的其他与投资活动有关的现金说明：</w:t>
      </w:r>
    </w:p>
    <w:sdt>
      <w:sdtPr>
        <w:rPr>
          <w:color w:val="000000" w:themeColor="text1"/>
          <w14:textFill>
            <w14:solidFill>
              <w14:schemeClr w14:val="tx1"/>
            </w14:solidFill>
          </w14:textFill>
        </w:rPr>
        <w:alias w:val="收到的其他与投资活动有关的现金说明"/>
        <w:tag w:val="_GBC_10ad2bcf624d4c49924f65fcffdeebbc"/>
        <w:id w:val="147482282"/>
        <w:placeholder>
          <w:docPart w:val="GBC22222222222222222222222222222"/>
        </w:placeholder>
      </w:sdtPr>
      <w:sdtEndPr>
        <w:rPr>
          <w:color w:val="000000" w:themeColor="text1"/>
          <w14:textFill>
            <w14:solidFill>
              <w14:schemeClr w14:val="tx1"/>
            </w14:solidFill>
          </w14:textFill>
        </w:rPr>
      </w:sdtEndPr>
      <w:sdtContent>
        <w:p w14:paraId="3AC6DFFB">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26DD0637">
      <w:pPr>
        <w:rPr>
          <w:color w:val="000000" w:themeColor="text1"/>
          <w14:textFill>
            <w14:solidFill>
              <w14:schemeClr w14:val="tx1"/>
            </w14:solidFill>
          </w14:textFill>
        </w:rPr>
      </w:pPr>
    </w:p>
    <w:p w14:paraId="50DF3CD0">
      <w:pPr>
        <w:rPr>
          <w:color w:val="000000" w:themeColor="text1"/>
          <w14:textFill>
            <w14:solidFill>
              <w14:schemeClr w14:val="tx1"/>
            </w14:solidFill>
          </w14:textFill>
        </w:rPr>
      </w:pPr>
      <w:r>
        <w:rPr>
          <w:rFonts w:hint="eastAsia"/>
          <w:color w:val="000000" w:themeColor="text1"/>
          <w14:textFill>
            <w14:solidFill>
              <w14:schemeClr w14:val="tx1"/>
            </w14:solidFill>
          </w14:textFill>
        </w:rPr>
        <w:t>支付的其他与投资活动有关的现金</w:t>
      </w:r>
    </w:p>
    <w:sdt>
      <w:sdtPr>
        <w:rPr>
          <w:color w:val="000000" w:themeColor="text1"/>
          <w14:textFill>
            <w14:solidFill>
              <w14:schemeClr w14:val="tx1"/>
            </w14:solidFill>
          </w14:textFill>
        </w:rPr>
        <w:alias w:val="是否适用：支付的其他与投资活动有关的现金[双击切换]"/>
        <w:tag w:val="_GBC_8862c0a38548482cb3b55a82757e3e33"/>
        <w:id w:val="147465247"/>
        <w:placeholder>
          <w:docPart w:val="GBC22222222222222222222222222222"/>
        </w:placeholder>
      </w:sdtPr>
      <w:sdtEndPr>
        <w:rPr>
          <w:color w:val="000000" w:themeColor="text1"/>
          <w14:textFill>
            <w14:solidFill>
              <w14:schemeClr w14:val="tx1"/>
            </w14:solidFill>
          </w14:textFill>
        </w:rPr>
      </w:sdtEndPr>
      <w:sdtContent>
        <w:p w14:paraId="35B6F10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1567C68">
      <w:pPr>
        <w:rPr>
          <w:color w:val="000000" w:themeColor="text1"/>
          <w14:textFill>
            <w14:solidFill>
              <w14:schemeClr w14:val="tx1"/>
            </w14:solidFill>
          </w14:textFill>
        </w:rPr>
      </w:pPr>
    </w:p>
    <w:p w14:paraId="6D30C6EF">
      <w:pPr>
        <w:pStyle w:val="58"/>
        <w:numPr>
          <w:ilvl w:val="0"/>
          <w:numId w:val="90"/>
        </w:numPr>
        <w:rPr>
          <w:color w:val="000000" w:themeColor="text1"/>
          <w14:textFill>
            <w14:solidFill>
              <w14:schemeClr w14:val="tx1"/>
            </w14:solidFill>
          </w14:textFill>
        </w:rPr>
      </w:pPr>
      <w:r>
        <w:rPr>
          <w:rFonts w:hint="eastAsia"/>
          <w:color w:val="000000" w:themeColor="text1"/>
          <w14:textFill>
            <w14:solidFill>
              <w14:schemeClr w14:val="tx1"/>
            </w14:solidFill>
          </w14:textFill>
        </w:rPr>
        <w:t>与筹资活动有关的现金</w:t>
      </w:r>
    </w:p>
    <w:p w14:paraId="1473C32C">
      <w:pPr>
        <w:rPr>
          <w:color w:val="000000" w:themeColor="text1"/>
          <w14:textFill>
            <w14:solidFill>
              <w14:schemeClr w14:val="tx1"/>
            </w14:solidFill>
          </w14:textFill>
        </w:rPr>
      </w:pPr>
      <w:r>
        <w:rPr>
          <w:rFonts w:hint="eastAsia"/>
          <w:color w:val="000000" w:themeColor="text1"/>
          <w14:textFill>
            <w14:solidFill>
              <w14:schemeClr w14:val="tx1"/>
            </w14:solidFill>
          </w14:textFill>
        </w:rPr>
        <w:t>收到的其他与筹资活动有关的现金</w:t>
      </w:r>
    </w:p>
    <w:sdt>
      <w:sdtPr>
        <w:rPr>
          <w:color w:val="000000" w:themeColor="text1"/>
          <w14:textFill>
            <w14:solidFill>
              <w14:schemeClr w14:val="tx1"/>
            </w14:solidFill>
          </w14:textFill>
        </w:rPr>
        <w:alias w:val="是否适用：收到的其他与筹资活动有关的现金[双击切换]"/>
        <w:tag w:val="_GBC_6e82da4b55134cf6aacd6132e71f2c27"/>
        <w:id w:val="147472116"/>
        <w:placeholder>
          <w:docPart w:val="GBC22222222222222222222222222222"/>
        </w:placeholder>
      </w:sdtPr>
      <w:sdtEndPr>
        <w:rPr>
          <w:color w:val="000000" w:themeColor="text1"/>
          <w14:textFill>
            <w14:solidFill>
              <w14:schemeClr w14:val="tx1"/>
            </w14:solidFill>
          </w14:textFill>
        </w:rPr>
      </w:sdtEndPr>
      <w:sdtContent>
        <w:p w14:paraId="1B4F256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1321F1D">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收到的其他与筹资活动有关的现金"/>
          <w:tag w:val="_GBC_54c629439974499c9df52a114b0272b9"/>
          <w:id w:val="14747477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收到的其他与筹资活动有关的现金"/>
          <w:tag w:val="_GBC_0d3b28d58a83411db264b55c970f7fc6"/>
          <w:id w:val="1474676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346"/>
        <w:gridCol w:w="2865"/>
        <w:gridCol w:w="2682"/>
      </w:tblGrid>
      <w:tr w14:paraId="34EF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cs="Times New Roman"/>
            </w:rPr>
            <w:tag w:val="_PLD_45e71f75634d40e399bff943b12676a7"/>
            <w:id w:val="147480822"/>
          </w:sdtPr>
          <w:sdtEndPr>
            <w:rPr>
              <w:rFonts w:cs="Times New Roman"/>
            </w:rPr>
          </w:sdtEndPr>
          <w:sdtContent>
            <w:tc>
              <w:tcPr>
                <w:tcW w:w="1881" w:type="pct"/>
              </w:tcPr>
              <w:p w14:paraId="33DBF449">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f7b1d7d1151a486eb8533f96d22cda73"/>
            <w:id w:val="147481311"/>
          </w:sdtPr>
          <w:sdtEndPr>
            <w:rPr>
              <w:rFonts w:cs="Times New Roman"/>
            </w:rPr>
          </w:sdtEndPr>
          <w:sdtContent>
            <w:tc>
              <w:tcPr>
                <w:tcW w:w="1611" w:type="pct"/>
              </w:tcPr>
              <w:p w14:paraId="523EA762">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tc>
          </w:sdtContent>
        </w:sdt>
        <w:sdt>
          <w:sdtPr>
            <w:rPr>
              <w:rFonts w:cs="Times New Roman"/>
            </w:rPr>
            <w:tag w:val="_PLD_fcd73629839441d485ad661b0568d6af"/>
            <w:id w:val="147461177"/>
          </w:sdtPr>
          <w:sdtEndPr>
            <w:rPr>
              <w:rFonts w:cs="Times New Roman"/>
            </w:rPr>
          </w:sdtEndPr>
          <w:sdtContent>
            <w:tc>
              <w:tcPr>
                <w:tcW w:w="1508" w:type="pct"/>
              </w:tcPr>
              <w:p w14:paraId="7C1B5879">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tc>
          </w:sdtContent>
        </w:sdt>
      </w:tr>
      <w:tr w14:paraId="573EF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1" w:type="pct"/>
          </w:tcPr>
          <w:p w14:paraId="2568EDE3">
            <w:pPr>
              <w:textAlignment w:val="top"/>
              <w:rPr>
                <w:rFonts w:cs="Times New Roman"/>
              </w:rPr>
            </w:pPr>
            <w:r>
              <w:rPr>
                <w:rFonts w:cs="Times New Roman"/>
                <w:color w:val="000000"/>
                <w:lang w:bidi="ar"/>
              </w:rPr>
              <w:t>信用证、票据保证金等</w:t>
            </w:r>
          </w:p>
        </w:tc>
        <w:tc>
          <w:tcPr>
            <w:tcW w:w="1611" w:type="pct"/>
            <w:vAlign w:val="center"/>
          </w:tcPr>
          <w:p w14:paraId="4C6B179E">
            <w:pPr>
              <w:jc w:val="right"/>
              <w:textAlignment w:val="center"/>
              <w:rPr>
                <w:rFonts w:cs="Times New Roman"/>
              </w:rPr>
            </w:pPr>
            <w:r>
              <w:rPr>
                <w:rFonts w:cs="Times New Roman"/>
                <w:color w:val="000000"/>
              </w:rPr>
              <w:t>11,204,249.08</w:t>
            </w:r>
          </w:p>
        </w:tc>
        <w:tc>
          <w:tcPr>
            <w:tcW w:w="1508" w:type="pct"/>
            <w:vAlign w:val="center"/>
          </w:tcPr>
          <w:p w14:paraId="63ADD539">
            <w:pPr>
              <w:jc w:val="right"/>
              <w:textAlignment w:val="center"/>
              <w:rPr>
                <w:rFonts w:cs="Times New Roman"/>
              </w:rPr>
            </w:pPr>
            <w:r>
              <w:rPr>
                <w:rFonts w:cs="Times New Roman"/>
                <w:color w:val="000000"/>
              </w:rPr>
              <w:t>11,109,769.81</w:t>
            </w:r>
          </w:p>
        </w:tc>
      </w:tr>
      <w:tr w14:paraId="7CEC5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1" w:type="pct"/>
          </w:tcPr>
          <w:p w14:paraId="1659CC27">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611" w:type="pct"/>
            <w:vAlign w:val="center"/>
          </w:tcPr>
          <w:p w14:paraId="193FA7A1">
            <w:pPr>
              <w:jc w:val="right"/>
              <w:textAlignment w:val="center"/>
              <w:rPr>
                <w:rFonts w:cs="Times New Roman"/>
              </w:rPr>
            </w:pPr>
            <w:r>
              <w:rPr>
                <w:rFonts w:cs="Times New Roman"/>
                <w:color w:val="000000"/>
              </w:rPr>
              <w:t>11,204,249.08</w:t>
            </w:r>
          </w:p>
        </w:tc>
        <w:tc>
          <w:tcPr>
            <w:tcW w:w="1508" w:type="pct"/>
            <w:vAlign w:val="center"/>
          </w:tcPr>
          <w:p w14:paraId="0B8562D9">
            <w:pPr>
              <w:jc w:val="right"/>
              <w:textAlignment w:val="center"/>
              <w:rPr>
                <w:rFonts w:cs="Times New Roman"/>
              </w:rPr>
            </w:pPr>
            <w:r>
              <w:rPr>
                <w:rFonts w:cs="Times New Roman"/>
                <w:color w:val="000000"/>
              </w:rPr>
              <w:t>11,109,769.81</w:t>
            </w:r>
          </w:p>
        </w:tc>
      </w:tr>
    </w:tbl>
    <w:p w14:paraId="15E15173">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收到的其他与筹资活动有关的现金说明：</w:t>
      </w:r>
    </w:p>
    <w:sdt>
      <w:sdtPr>
        <w:rPr>
          <w:rFonts w:hint="eastAsia"/>
          <w:color w:val="000000" w:themeColor="text1"/>
          <w14:textFill>
            <w14:solidFill>
              <w14:schemeClr w14:val="tx1"/>
            </w14:solidFill>
          </w14:textFill>
        </w:rPr>
        <w:alias w:val="收到的其他与筹资活动有关的现金说明"/>
        <w:tag w:val="_GBC_cf160106b6d34224a1fbd183426812af"/>
        <w:id w:val="147454973"/>
        <w:placeholder>
          <w:docPart w:val="GBC22222222222222222222222222222"/>
        </w:placeholder>
      </w:sdtPr>
      <w:sdtEndPr>
        <w:rPr>
          <w:rFonts w:hint="eastAsia"/>
          <w:color w:val="000000" w:themeColor="text1"/>
          <w:szCs w:val="22"/>
          <w14:textFill>
            <w14:solidFill>
              <w14:schemeClr w14:val="tx1"/>
            </w14:solidFill>
          </w14:textFill>
        </w:rPr>
      </w:sdtEndPr>
      <w:sdtContent>
        <w:p w14:paraId="50F02430">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62DF553B">
      <w:pPr>
        <w:rPr>
          <w:color w:val="000000" w:themeColor="text1"/>
          <w14:textFill>
            <w14:solidFill>
              <w14:schemeClr w14:val="tx1"/>
            </w14:solidFill>
          </w14:textFill>
        </w:rPr>
      </w:pPr>
    </w:p>
    <w:p w14:paraId="7C218833">
      <w:pPr>
        <w:rPr>
          <w:color w:val="000000" w:themeColor="text1"/>
          <w14:textFill>
            <w14:solidFill>
              <w14:schemeClr w14:val="tx1"/>
            </w14:solidFill>
          </w14:textFill>
        </w:rPr>
      </w:pPr>
      <w:r>
        <w:rPr>
          <w:rFonts w:hint="eastAsia"/>
          <w:color w:val="000000" w:themeColor="text1"/>
          <w14:textFill>
            <w14:solidFill>
              <w14:schemeClr w14:val="tx1"/>
            </w14:solidFill>
          </w14:textFill>
        </w:rPr>
        <w:t>支付的其他与筹资活动有关的现金</w:t>
      </w:r>
    </w:p>
    <w:sdt>
      <w:sdtPr>
        <w:rPr>
          <w:color w:val="000000" w:themeColor="text1"/>
          <w14:textFill>
            <w14:solidFill>
              <w14:schemeClr w14:val="tx1"/>
            </w14:solidFill>
          </w14:textFill>
        </w:rPr>
        <w:alias w:val="是否适用：支付的其他与筹资活动有关的现金[双击切换]"/>
        <w:tag w:val="_GBC_cf7fd4869f8d4d98a07243e22bf22793"/>
        <w:id w:val="147457362"/>
        <w:placeholder>
          <w:docPart w:val="GBC22222222222222222222222222222"/>
        </w:placeholder>
      </w:sdtPr>
      <w:sdtEndPr>
        <w:rPr>
          <w:color w:val="000000" w:themeColor="text1"/>
          <w14:textFill>
            <w14:solidFill>
              <w14:schemeClr w14:val="tx1"/>
            </w14:solidFill>
          </w14:textFill>
        </w:rPr>
      </w:sdtEndPr>
      <w:sdtContent>
        <w:p w14:paraId="59D110D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A340C5B">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支付的其他与筹资活动有关的现金"/>
          <w:tag w:val="_GBC_323ca3d874214911880818d387e0c63b"/>
          <w:id w:val="1474545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支付的其他与筹资活动有关的现金"/>
          <w:tag w:val="_GBC_d6726952256941209f32bac8fffa568d"/>
          <w:id w:val="1474643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348"/>
        <w:gridCol w:w="2863"/>
        <w:gridCol w:w="2682"/>
      </w:tblGrid>
      <w:tr w14:paraId="35AF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cs="Times New Roman"/>
            </w:rPr>
            <w:tag w:val="_PLD_2b9da6111f3f4cacb3afcfc0de00e1e9"/>
            <w:id w:val="147454997"/>
          </w:sdtPr>
          <w:sdtEndPr>
            <w:rPr>
              <w:rFonts w:cs="Times New Roman"/>
            </w:rPr>
          </w:sdtEndPr>
          <w:sdtContent>
            <w:tc>
              <w:tcPr>
                <w:tcW w:w="1882" w:type="pct"/>
              </w:tcPr>
              <w:p w14:paraId="127210BD">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b6791a7f5c234d80be8964d8fb7b3ce6"/>
            <w:id w:val="147465889"/>
          </w:sdtPr>
          <w:sdtEndPr>
            <w:rPr>
              <w:rFonts w:cs="Times New Roman"/>
            </w:rPr>
          </w:sdtEndPr>
          <w:sdtContent>
            <w:tc>
              <w:tcPr>
                <w:tcW w:w="1609" w:type="pct"/>
              </w:tcPr>
              <w:p w14:paraId="49825DAE">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tc>
          </w:sdtContent>
        </w:sdt>
        <w:sdt>
          <w:sdtPr>
            <w:rPr>
              <w:rFonts w:cs="Times New Roman"/>
            </w:rPr>
            <w:tag w:val="_PLD_b4a33da4012d47bd8013a6c570bcad87"/>
            <w:id w:val="147471129"/>
          </w:sdtPr>
          <w:sdtEndPr>
            <w:rPr>
              <w:rFonts w:cs="Times New Roman"/>
            </w:rPr>
          </w:sdtEndPr>
          <w:sdtContent>
            <w:tc>
              <w:tcPr>
                <w:tcW w:w="1507" w:type="pct"/>
              </w:tcPr>
              <w:p w14:paraId="726F239C">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tc>
          </w:sdtContent>
        </w:sdt>
      </w:tr>
      <w:tr w14:paraId="485D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32502118">
            <w:pPr>
              <w:textAlignment w:val="top"/>
              <w:rPr>
                <w:rFonts w:cs="Times New Roman"/>
              </w:rPr>
            </w:pPr>
            <w:r>
              <w:rPr>
                <w:rFonts w:cs="Times New Roman"/>
                <w:color w:val="000000"/>
                <w:lang w:bidi="ar"/>
              </w:rPr>
              <w:t>信用证、票据保证金等</w:t>
            </w:r>
          </w:p>
        </w:tc>
        <w:tc>
          <w:tcPr>
            <w:tcW w:w="1609" w:type="pct"/>
            <w:vAlign w:val="center"/>
          </w:tcPr>
          <w:p w14:paraId="06337DA4">
            <w:pPr>
              <w:jc w:val="right"/>
              <w:textAlignment w:val="center"/>
              <w:rPr>
                <w:rFonts w:cs="Times New Roman"/>
              </w:rPr>
            </w:pPr>
            <w:r>
              <w:rPr>
                <w:rFonts w:cs="Times New Roman"/>
                <w:color w:val="000000"/>
              </w:rPr>
              <w:t>11,755,633.44</w:t>
            </w:r>
          </w:p>
        </w:tc>
        <w:tc>
          <w:tcPr>
            <w:tcW w:w="1507" w:type="pct"/>
            <w:vAlign w:val="center"/>
          </w:tcPr>
          <w:p w14:paraId="45706341">
            <w:pPr>
              <w:jc w:val="right"/>
              <w:textAlignment w:val="center"/>
              <w:rPr>
                <w:rFonts w:cs="Times New Roman"/>
              </w:rPr>
            </w:pPr>
            <w:r>
              <w:rPr>
                <w:rFonts w:cs="Times New Roman"/>
                <w:color w:val="000000"/>
              </w:rPr>
              <w:t>12,423,617.86</w:t>
            </w:r>
          </w:p>
        </w:tc>
      </w:tr>
      <w:tr w14:paraId="3D211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4AD06931">
            <w:pPr>
              <w:textAlignment w:val="top"/>
              <w:rPr>
                <w:rFonts w:cs="Times New Roman"/>
              </w:rPr>
            </w:pPr>
            <w:r>
              <w:rPr>
                <w:rFonts w:cs="Times New Roman"/>
                <w:color w:val="000000"/>
                <w:lang w:bidi="ar"/>
              </w:rPr>
              <w:t>租赁支出</w:t>
            </w:r>
          </w:p>
        </w:tc>
        <w:tc>
          <w:tcPr>
            <w:tcW w:w="1609" w:type="pct"/>
            <w:vAlign w:val="center"/>
          </w:tcPr>
          <w:p w14:paraId="7AD0369A">
            <w:pPr>
              <w:jc w:val="right"/>
              <w:textAlignment w:val="center"/>
              <w:rPr>
                <w:rFonts w:cs="Times New Roman"/>
              </w:rPr>
            </w:pPr>
            <w:r>
              <w:rPr>
                <w:rFonts w:cs="Times New Roman"/>
                <w:color w:val="000000"/>
              </w:rPr>
              <w:t>1,350,000.00</w:t>
            </w:r>
          </w:p>
        </w:tc>
        <w:tc>
          <w:tcPr>
            <w:tcW w:w="1507" w:type="pct"/>
            <w:vAlign w:val="center"/>
          </w:tcPr>
          <w:p w14:paraId="2DC09D99">
            <w:pPr>
              <w:jc w:val="right"/>
              <w:textAlignment w:val="center"/>
              <w:rPr>
                <w:rFonts w:cs="Times New Roman"/>
              </w:rPr>
            </w:pPr>
            <w:r>
              <w:rPr>
                <w:rFonts w:cs="Times New Roman"/>
                <w:color w:val="000000"/>
              </w:rPr>
              <w:t>1,930,000.00</w:t>
            </w:r>
          </w:p>
        </w:tc>
      </w:tr>
      <w:tr w14:paraId="3094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78E60DED">
            <w:pPr>
              <w:textAlignment w:val="top"/>
              <w:rPr>
                <w:rFonts w:cs="Times New Roman"/>
              </w:rPr>
            </w:pPr>
            <w:r>
              <w:rPr>
                <w:rFonts w:cs="Times New Roman"/>
                <w:color w:val="000000"/>
                <w:lang w:bidi="ar"/>
              </w:rPr>
              <w:t>借款利息</w:t>
            </w:r>
          </w:p>
        </w:tc>
        <w:tc>
          <w:tcPr>
            <w:tcW w:w="1609" w:type="pct"/>
            <w:vAlign w:val="center"/>
          </w:tcPr>
          <w:p w14:paraId="18FA8BF9">
            <w:pPr>
              <w:jc w:val="right"/>
              <w:rPr>
                <w:rFonts w:cs="Times New Roman"/>
              </w:rPr>
            </w:pPr>
          </w:p>
        </w:tc>
        <w:tc>
          <w:tcPr>
            <w:tcW w:w="1507" w:type="pct"/>
            <w:vAlign w:val="center"/>
          </w:tcPr>
          <w:p w14:paraId="03A1E16B">
            <w:pPr>
              <w:jc w:val="right"/>
              <w:textAlignment w:val="center"/>
              <w:rPr>
                <w:rFonts w:cs="Times New Roman"/>
              </w:rPr>
            </w:pPr>
            <w:r>
              <w:rPr>
                <w:rFonts w:cs="Times New Roman"/>
                <w:color w:val="000000"/>
              </w:rPr>
              <w:t>214,666.66</w:t>
            </w:r>
          </w:p>
        </w:tc>
      </w:tr>
      <w:tr w14:paraId="7F28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1316D032">
            <w:pPr>
              <w:textAlignment w:val="top"/>
              <w:rPr>
                <w:rFonts w:cs="Times New Roman"/>
              </w:rPr>
            </w:pPr>
            <w:r>
              <w:rPr>
                <w:rFonts w:cs="Times New Roman"/>
                <w:color w:val="000000"/>
                <w:lang w:bidi="ar"/>
              </w:rPr>
              <w:t>回购股份将用于注销并减少公司注册资本</w:t>
            </w:r>
          </w:p>
        </w:tc>
        <w:tc>
          <w:tcPr>
            <w:tcW w:w="1609" w:type="pct"/>
            <w:vAlign w:val="center"/>
          </w:tcPr>
          <w:p w14:paraId="219F50D6">
            <w:pPr>
              <w:jc w:val="right"/>
              <w:textAlignment w:val="center"/>
              <w:rPr>
                <w:rFonts w:cs="Times New Roman"/>
              </w:rPr>
            </w:pPr>
            <w:r>
              <w:rPr>
                <w:rFonts w:cs="Times New Roman"/>
                <w:color w:val="000000"/>
              </w:rPr>
              <w:t>39,938,040.72</w:t>
            </w:r>
          </w:p>
        </w:tc>
        <w:tc>
          <w:tcPr>
            <w:tcW w:w="1507" w:type="pct"/>
            <w:vAlign w:val="center"/>
          </w:tcPr>
          <w:p w14:paraId="52E6ED97">
            <w:pPr>
              <w:jc w:val="right"/>
              <w:rPr>
                <w:rFonts w:cs="Times New Roman"/>
              </w:rPr>
            </w:pPr>
          </w:p>
        </w:tc>
      </w:tr>
      <w:tr w14:paraId="5FBD8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075D9CBB">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609" w:type="pct"/>
            <w:vAlign w:val="center"/>
          </w:tcPr>
          <w:p w14:paraId="5A37809D">
            <w:pPr>
              <w:jc w:val="right"/>
              <w:textAlignment w:val="center"/>
              <w:rPr>
                <w:rFonts w:cs="Times New Roman"/>
              </w:rPr>
            </w:pPr>
            <w:r>
              <w:rPr>
                <w:rFonts w:cs="Times New Roman"/>
                <w:color w:val="000000"/>
              </w:rPr>
              <w:t>53,043,674.16</w:t>
            </w:r>
          </w:p>
        </w:tc>
        <w:tc>
          <w:tcPr>
            <w:tcW w:w="1507" w:type="pct"/>
            <w:vAlign w:val="center"/>
          </w:tcPr>
          <w:p w14:paraId="1904069D">
            <w:pPr>
              <w:jc w:val="right"/>
              <w:textAlignment w:val="center"/>
              <w:rPr>
                <w:rFonts w:cs="Times New Roman"/>
              </w:rPr>
            </w:pPr>
            <w:r>
              <w:rPr>
                <w:rFonts w:cs="Times New Roman"/>
                <w:color w:val="000000"/>
              </w:rPr>
              <w:t>14,568,284.52</w:t>
            </w:r>
          </w:p>
        </w:tc>
      </w:tr>
    </w:tbl>
    <w:p w14:paraId="7AF6AC36">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支付的其他与筹资活动有关的现金说明：</w:t>
      </w:r>
    </w:p>
    <w:sdt>
      <w:sdtPr>
        <w:rPr>
          <w:rFonts w:hint="eastAsia"/>
          <w:color w:val="000000" w:themeColor="text1"/>
          <w14:textFill>
            <w14:solidFill>
              <w14:schemeClr w14:val="tx1"/>
            </w14:solidFill>
          </w14:textFill>
        </w:rPr>
        <w:alias w:val="支付的其他与筹资活动有关的现金说明"/>
        <w:tag w:val="_GBC_7240a9be12a64ca5b011a2561db068a1"/>
        <w:id w:val="147463277"/>
        <w:placeholder>
          <w:docPart w:val="GBC22222222222222222222222222222"/>
        </w:placeholder>
      </w:sdtPr>
      <w:sdtEndPr>
        <w:rPr>
          <w:rFonts w:hint="eastAsia"/>
          <w:color w:val="000000" w:themeColor="text1"/>
          <w14:textFill>
            <w14:solidFill>
              <w14:schemeClr w14:val="tx1"/>
            </w14:solidFill>
          </w14:textFill>
        </w:rPr>
      </w:sdtEndPr>
      <w:sdtContent>
        <w:p w14:paraId="34876F5D">
          <w:pPr>
            <w:ind w:right="5"/>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413385B8">
      <w:pPr>
        <w:ind w:right="5"/>
        <w:rPr>
          <w:rFonts w:cstheme="minorBidi"/>
          <w:color w:val="000000" w:themeColor="text1"/>
          <w:kern w:val="2"/>
          <w:szCs w:val="22"/>
          <w14:textFill>
            <w14:solidFill>
              <w14:schemeClr w14:val="tx1"/>
            </w14:solidFill>
          </w14:textFill>
        </w:rPr>
        <w:sectPr>
          <w:pgSz w:w="11906" w:h="16838"/>
          <w:pgMar w:top="1525" w:right="1276" w:bottom="1440" w:left="1797" w:header="856" w:footer="992" w:gutter="0"/>
          <w:cols w:space="425" w:num="1"/>
          <w:docGrid w:linePitch="312" w:charSpace="0"/>
        </w:sectPr>
      </w:pPr>
    </w:p>
    <w:p w14:paraId="7FD5947C">
      <w:pPr>
        <w:ind w:right="5"/>
        <w:rPr>
          <w:rFonts w:cstheme="minorBidi"/>
          <w:color w:val="000000" w:themeColor="text1"/>
          <w:kern w:val="2"/>
          <w:szCs w:val="22"/>
          <w14:textFill>
            <w14:solidFill>
              <w14:schemeClr w14:val="tx1"/>
            </w14:solidFill>
          </w14:textFill>
        </w:rPr>
      </w:pPr>
    </w:p>
    <w:p w14:paraId="7745A5F0">
      <w:pPr>
        <w:ind w:right="5"/>
        <w:rPr>
          <w:color w:val="000000" w:themeColor="text1"/>
          <w14:textFill>
            <w14:solidFill>
              <w14:schemeClr w14:val="tx1"/>
            </w14:solidFill>
          </w14:textFill>
        </w:rPr>
      </w:pPr>
      <w:bookmarkStart w:id="394" w:name="_Hlk167970634"/>
      <w:r>
        <w:rPr>
          <w:rFonts w:hint="eastAsia"/>
          <w:color w:val="000000" w:themeColor="text1"/>
          <w14:textFill>
            <w14:solidFill>
              <w14:schemeClr w14:val="tx1"/>
            </w14:solidFill>
          </w14:textFill>
        </w:rPr>
        <w:t>筹资活动产生的各项负债变动情况</w:t>
      </w:r>
    </w:p>
    <w:sdt>
      <w:sdtPr>
        <w:rPr>
          <w:color w:val="000000" w:themeColor="text1"/>
          <w14:textFill>
            <w14:solidFill>
              <w14:schemeClr w14:val="tx1"/>
            </w14:solidFill>
          </w14:textFill>
        </w:rPr>
        <w:alias w:val="是否适用：筹资活动产生的各项负债变动情况[双击切换]"/>
        <w:tag w:val="_GBC_48125ca45f014b0db6560676c7f940e6"/>
        <w:id w:val="147475209"/>
        <w:placeholder>
          <w:docPart w:val="GBC22222222222222222222222222222"/>
        </w:placeholder>
      </w:sdtPr>
      <w:sdtEndPr>
        <w:rPr>
          <w:color w:val="000000" w:themeColor="text1"/>
          <w14:textFill>
            <w14:solidFill>
              <w14:schemeClr w14:val="tx1"/>
            </w14:solidFill>
          </w14:textFill>
        </w:rPr>
      </w:sdtEndPr>
      <w:sdtContent>
        <w:p w14:paraId="1A4C2FB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081B303">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筹资活动产生的各项负债变动情况"/>
          <w:tag w:val="_GBC_b2115f4b0ede479da8748ac4d1759102"/>
          <w:id w:val="14745471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筹资活动产生的各项负债变动情况"/>
          <w:tag w:val="_GBC_4afc8b10e1f7417d98697a1f635a7718"/>
          <w:id w:val="1474685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862"/>
        <w:gridCol w:w="1879"/>
        <w:gridCol w:w="1772"/>
        <w:gridCol w:w="1588"/>
        <w:gridCol w:w="1679"/>
        <w:gridCol w:w="1622"/>
        <w:gridCol w:w="1697"/>
      </w:tblGrid>
      <w:tr w14:paraId="1B4A6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35" w:hRule="atLeast"/>
        </w:trPr>
        <w:sdt>
          <w:sdtPr>
            <w:rPr>
              <w:rFonts w:cs="Times New Roman"/>
            </w:rPr>
            <w:tag w:val="_PLD_5a6b6a267e0e40e3bc26d2b61cac8198"/>
            <w:id w:val="147461746"/>
          </w:sdtPr>
          <w:sdtEndPr>
            <w:rPr>
              <w:rFonts w:cs="Times New Roman"/>
            </w:rPr>
          </w:sdtEndPr>
          <w:sdtContent>
            <w:tc>
              <w:tcPr>
                <w:tcW w:w="1369" w:type="pct"/>
                <w:vMerge w:val="restart"/>
                <w:vAlign w:val="center"/>
              </w:tcPr>
              <w:p w14:paraId="0D27237A">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36925a1427f44fc9ad2d6b19462366bd"/>
            <w:id w:val="147460868"/>
          </w:sdtPr>
          <w:sdtEndPr>
            <w:rPr>
              <w:rFonts w:cs="Times New Roman"/>
            </w:rPr>
          </w:sdtEndPr>
          <w:sdtContent>
            <w:tc>
              <w:tcPr>
                <w:tcW w:w="666" w:type="pct"/>
                <w:vMerge w:val="restart"/>
                <w:vAlign w:val="center"/>
              </w:tcPr>
              <w:p w14:paraId="19E0EAFD">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sdt>
          <w:sdtPr>
            <w:rPr>
              <w:rFonts w:cs="Times New Roman"/>
            </w:rPr>
            <w:tag w:val="_PLD_176eed8443cb4d22bd65c7b5b358dc6c"/>
            <w:id w:val="147481855"/>
          </w:sdtPr>
          <w:sdtEndPr>
            <w:rPr>
              <w:rFonts w:cs="Times New Roman"/>
            </w:rPr>
          </w:sdtEndPr>
          <w:sdtContent>
            <w:tc>
              <w:tcPr>
                <w:tcW w:w="1191" w:type="pct"/>
                <w:gridSpan w:val="2"/>
                <w:vAlign w:val="center"/>
              </w:tcPr>
              <w:p w14:paraId="5CBFF0B6">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本期增加</w:t>
                </w:r>
              </w:p>
            </w:tc>
          </w:sdtContent>
        </w:sdt>
        <w:sdt>
          <w:sdtPr>
            <w:rPr>
              <w:rFonts w:cs="Times New Roman"/>
            </w:rPr>
            <w:tag w:val="_PLD_cac06696e80c47f5b5568a75d3febe74"/>
            <w:id w:val="147451146"/>
          </w:sdtPr>
          <w:sdtEndPr>
            <w:rPr>
              <w:rFonts w:cs="Times New Roman"/>
            </w:rPr>
          </w:sdtEndPr>
          <w:sdtContent>
            <w:tc>
              <w:tcPr>
                <w:tcW w:w="1170" w:type="pct"/>
                <w:gridSpan w:val="2"/>
                <w:vAlign w:val="center"/>
              </w:tcPr>
              <w:p w14:paraId="4F24020C">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本期减少</w:t>
                </w:r>
              </w:p>
            </w:tc>
          </w:sdtContent>
        </w:sdt>
        <w:sdt>
          <w:sdtPr>
            <w:rPr>
              <w:rFonts w:cs="Times New Roman"/>
            </w:rPr>
            <w:tag w:val="_PLD_e21e0332db6f456baa78cdaed3e13bfb"/>
            <w:id w:val="147463114"/>
          </w:sdtPr>
          <w:sdtEndPr>
            <w:rPr>
              <w:rFonts w:cs="Times New Roman"/>
            </w:rPr>
          </w:sdtEndPr>
          <w:sdtContent>
            <w:tc>
              <w:tcPr>
                <w:tcW w:w="601" w:type="pct"/>
                <w:vMerge w:val="restart"/>
                <w:vAlign w:val="center"/>
              </w:tcPr>
              <w:p w14:paraId="712C181D">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tr>
      <w:tr w14:paraId="2701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35" w:hRule="atLeast"/>
        </w:trPr>
        <w:tc>
          <w:tcPr>
            <w:tcW w:w="1369" w:type="pct"/>
            <w:vMerge w:val="continue"/>
          </w:tcPr>
          <w:p w14:paraId="2347E0B6">
            <w:pPr>
              <w:autoSpaceDE w:val="0"/>
              <w:autoSpaceDN w:val="0"/>
              <w:adjustRightInd w:val="0"/>
              <w:snapToGrid w:val="0"/>
              <w:jc w:val="center"/>
              <w:rPr>
                <w:rFonts w:cs="Times New Roman"/>
                <w:color w:val="000000" w:themeColor="text1"/>
                <w14:textFill>
                  <w14:solidFill>
                    <w14:schemeClr w14:val="tx1"/>
                  </w14:solidFill>
                </w14:textFill>
              </w:rPr>
            </w:pPr>
          </w:p>
        </w:tc>
        <w:tc>
          <w:tcPr>
            <w:tcW w:w="666" w:type="pct"/>
            <w:vMerge w:val="continue"/>
          </w:tcPr>
          <w:p w14:paraId="5708BB2E">
            <w:pPr>
              <w:autoSpaceDE w:val="0"/>
              <w:autoSpaceDN w:val="0"/>
              <w:adjustRightInd w:val="0"/>
              <w:snapToGrid w:val="0"/>
              <w:jc w:val="center"/>
              <w:rPr>
                <w:rFonts w:cs="Times New Roman"/>
                <w:color w:val="000000" w:themeColor="text1"/>
                <w14:textFill>
                  <w14:solidFill>
                    <w14:schemeClr w14:val="tx1"/>
                  </w14:solidFill>
                </w14:textFill>
              </w:rPr>
            </w:pPr>
          </w:p>
        </w:tc>
        <w:sdt>
          <w:sdtPr>
            <w:rPr>
              <w:rFonts w:cs="Times New Roman"/>
            </w:rPr>
            <w:tag w:val="_PLD_91886e77e3aa45f593f23a58a4371259"/>
            <w:id w:val="147470452"/>
          </w:sdtPr>
          <w:sdtEndPr>
            <w:rPr>
              <w:rFonts w:cs="Times New Roman"/>
            </w:rPr>
          </w:sdtEndPr>
          <w:sdtContent>
            <w:tc>
              <w:tcPr>
                <w:tcW w:w="628" w:type="pct"/>
              </w:tcPr>
              <w:p w14:paraId="2783A4BF">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现金变动</w:t>
                </w:r>
              </w:p>
            </w:tc>
          </w:sdtContent>
        </w:sdt>
        <w:sdt>
          <w:sdtPr>
            <w:rPr>
              <w:rFonts w:cs="Times New Roman"/>
            </w:rPr>
            <w:tag w:val="_PLD_bb55d31edc784a1a9201d9cfc35cfb0a"/>
            <w:id w:val="147468041"/>
          </w:sdtPr>
          <w:sdtEndPr>
            <w:rPr>
              <w:rFonts w:cs="Times New Roman"/>
            </w:rPr>
          </w:sdtEndPr>
          <w:sdtContent>
            <w:tc>
              <w:tcPr>
                <w:tcW w:w="563" w:type="pct"/>
              </w:tcPr>
              <w:p w14:paraId="4E5E7BF4">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非现金变动</w:t>
                </w:r>
              </w:p>
            </w:tc>
          </w:sdtContent>
        </w:sdt>
        <w:sdt>
          <w:sdtPr>
            <w:rPr>
              <w:rFonts w:cs="Times New Roman"/>
            </w:rPr>
            <w:tag w:val="_PLD_54bb1edd4a3647d0b36572ae06e87dcc"/>
            <w:id w:val="147476383"/>
          </w:sdtPr>
          <w:sdtEndPr>
            <w:rPr>
              <w:rFonts w:cs="Times New Roman"/>
            </w:rPr>
          </w:sdtEndPr>
          <w:sdtContent>
            <w:tc>
              <w:tcPr>
                <w:tcW w:w="595" w:type="pct"/>
              </w:tcPr>
              <w:p w14:paraId="01F4BCC6">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现金变动</w:t>
                </w:r>
              </w:p>
            </w:tc>
          </w:sdtContent>
        </w:sdt>
        <w:sdt>
          <w:sdtPr>
            <w:rPr>
              <w:rFonts w:cs="Times New Roman"/>
            </w:rPr>
            <w:tag w:val="_PLD_d089b8baa83c4cc6b03f3dd0078bbdbc"/>
            <w:id w:val="147481260"/>
          </w:sdtPr>
          <w:sdtEndPr>
            <w:rPr>
              <w:rFonts w:cs="Times New Roman"/>
            </w:rPr>
          </w:sdtEndPr>
          <w:sdtContent>
            <w:tc>
              <w:tcPr>
                <w:tcW w:w="575" w:type="pct"/>
              </w:tcPr>
              <w:p w14:paraId="023C8D0C">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非现金变动</w:t>
                </w:r>
              </w:p>
            </w:tc>
          </w:sdtContent>
        </w:sdt>
        <w:tc>
          <w:tcPr>
            <w:tcW w:w="601" w:type="pct"/>
            <w:vMerge w:val="continue"/>
          </w:tcPr>
          <w:p w14:paraId="00F8DCCB">
            <w:pPr>
              <w:autoSpaceDE w:val="0"/>
              <w:autoSpaceDN w:val="0"/>
              <w:adjustRightInd w:val="0"/>
              <w:snapToGrid w:val="0"/>
              <w:jc w:val="center"/>
              <w:rPr>
                <w:rFonts w:cs="Times New Roman"/>
                <w:color w:val="000000" w:themeColor="text1"/>
                <w14:textFill>
                  <w14:solidFill>
                    <w14:schemeClr w14:val="tx1"/>
                  </w14:solidFill>
                </w14:textFill>
              </w:rPr>
            </w:pPr>
          </w:p>
        </w:tc>
      </w:tr>
      <w:tr w14:paraId="4FF3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369" w:type="pct"/>
          </w:tcPr>
          <w:p w14:paraId="0C42971A">
            <w:pPr>
              <w:textAlignment w:val="top"/>
              <w:rPr>
                <w:rFonts w:cs="Times New Roman"/>
              </w:rPr>
            </w:pPr>
            <w:r>
              <w:rPr>
                <w:rFonts w:cs="Times New Roman"/>
                <w:color w:val="000000"/>
                <w:lang w:bidi="ar"/>
              </w:rPr>
              <w:t>短期借款</w:t>
            </w:r>
          </w:p>
        </w:tc>
        <w:tc>
          <w:tcPr>
            <w:tcW w:w="666" w:type="pct"/>
            <w:vAlign w:val="center"/>
          </w:tcPr>
          <w:p w14:paraId="40EEFF8A">
            <w:pPr>
              <w:jc w:val="right"/>
              <w:textAlignment w:val="center"/>
              <w:rPr>
                <w:rFonts w:cs="Times New Roman"/>
              </w:rPr>
            </w:pPr>
            <w:r>
              <w:rPr>
                <w:rFonts w:eastAsia="Arial Narrow" w:cs="Times New Roman"/>
                <w:color w:val="000000"/>
                <w:lang w:bidi="ar"/>
              </w:rPr>
              <w:t>440,186,330.50</w:t>
            </w:r>
          </w:p>
        </w:tc>
        <w:tc>
          <w:tcPr>
            <w:tcW w:w="628" w:type="pct"/>
            <w:vAlign w:val="center"/>
          </w:tcPr>
          <w:p w14:paraId="1EC74FC2">
            <w:pPr>
              <w:jc w:val="right"/>
              <w:textAlignment w:val="center"/>
              <w:rPr>
                <w:rFonts w:cs="Times New Roman"/>
              </w:rPr>
            </w:pPr>
            <w:r>
              <w:rPr>
                <w:rFonts w:eastAsia="Arial Narrow" w:cs="Times New Roman"/>
                <w:color w:val="000000"/>
                <w:lang w:bidi="ar"/>
              </w:rPr>
              <w:t>132,330,803.38</w:t>
            </w:r>
          </w:p>
        </w:tc>
        <w:tc>
          <w:tcPr>
            <w:tcW w:w="563" w:type="pct"/>
            <w:vAlign w:val="center"/>
          </w:tcPr>
          <w:p w14:paraId="13F2A2AA">
            <w:pPr>
              <w:jc w:val="right"/>
              <w:textAlignment w:val="center"/>
              <w:rPr>
                <w:rFonts w:cs="Times New Roman"/>
              </w:rPr>
            </w:pPr>
            <w:r>
              <w:rPr>
                <w:rFonts w:eastAsia="Arial Narrow" w:cs="Times New Roman"/>
                <w:color w:val="000000"/>
                <w:lang w:bidi="ar"/>
              </w:rPr>
              <w:t>189,490.02</w:t>
            </w:r>
          </w:p>
        </w:tc>
        <w:tc>
          <w:tcPr>
            <w:tcW w:w="595" w:type="pct"/>
            <w:vAlign w:val="center"/>
          </w:tcPr>
          <w:p w14:paraId="7BB40CAD">
            <w:pPr>
              <w:jc w:val="right"/>
              <w:textAlignment w:val="center"/>
              <w:rPr>
                <w:rFonts w:cs="Times New Roman"/>
              </w:rPr>
            </w:pPr>
            <w:r>
              <w:rPr>
                <w:rFonts w:eastAsia="Arial Narrow" w:cs="Times New Roman"/>
                <w:color w:val="000000"/>
                <w:lang w:bidi="ar"/>
              </w:rPr>
              <w:t>283,000,000.00</w:t>
            </w:r>
          </w:p>
        </w:tc>
        <w:tc>
          <w:tcPr>
            <w:tcW w:w="575" w:type="pct"/>
            <w:vAlign w:val="center"/>
          </w:tcPr>
          <w:p w14:paraId="2C04CD64">
            <w:pPr>
              <w:jc w:val="right"/>
              <w:textAlignment w:val="center"/>
              <w:rPr>
                <w:rFonts w:cs="Times New Roman"/>
              </w:rPr>
            </w:pPr>
            <w:r>
              <w:rPr>
                <w:rFonts w:eastAsia="Arial Narrow" w:cs="Times New Roman"/>
                <w:color w:val="000000"/>
                <w:lang w:bidi="ar"/>
              </w:rPr>
              <w:t>186,330.50</w:t>
            </w:r>
          </w:p>
        </w:tc>
        <w:tc>
          <w:tcPr>
            <w:tcW w:w="601" w:type="pct"/>
            <w:vAlign w:val="center"/>
          </w:tcPr>
          <w:p w14:paraId="488DEEB7">
            <w:pPr>
              <w:jc w:val="right"/>
              <w:textAlignment w:val="center"/>
              <w:rPr>
                <w:rFonts w:cs="Times New Roman"/>
              </w:rPr>
            </w:pPr>
            <w:r>
              <w:rPr>
                <w:rFonts w:eastAsia="Arial Narrow" w:cs="Times New Roman"/>
                <w:color w:val="000000"/>
                <w:lang w:bidi="ar"/>
              </w:rPr>
              <w:t>289,520,293.40</w:t>
            </w:r>
          </w:p>
        </w:tc>
      </w:tr>
      <w:tr w14:paraId="7482F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369" w:type="pct"/>
          </w:tcPr>
          <w:p w14:paraId="643D6D44">
            <w:pPr>
              <w:textAlignment w:val="top"/>
              <w:rPr>
                <w:rFonts w:cs="Times New Roman"/>
              </w:rPr>
            </w:pPr>
            <w:r>
              <w:rPr>
                <w:rFonts w:cs="Times New Roman"/>
                <w:color w:val="000000"/>
                <w:lang w:bidi="ar"/>
              </w:rPr>
              <w:t>长期借款（含一年内到期的长期借款）</w:t>
            </w:r>
          </w:p>
        </w:tc>
        <w:tc>
          <w:tcPr>
            <w:tcW w:w="666" w:type="pct"/>
            <w:vAlign w:val="center"/>
          </w:tcPr>
          <w:p w14:paraId="30494AAE">
            <w:pPr>
              <w:jc w:val="right"/>
              <w:textAlignment w:val="center"/>
              <w:rPr>
                <w:rFonts w:cs="Times New Roman"/>
              </w:rPr>
            </w:pPr>
            <w:r>
              <w:rPr>
                <w:rFonts w:eastAsia="Arial Narrow" w:cs="Times New Roman"/>
                <w:color w:val="000000"/>
                <w:lang w:bidi="ar"/>
              </w:rPr>
              <w:t>530,220,901.40</w:t>
            </w:r>
          </w:p>
        </w:tc>
        <w:tc>
          <w:tcPr>
            <w:tcW w:w="628" w:type="pct"/>
            <w:vAlign w:val="center"/>
          </w:tcPr>
          <w:p w14:paraId="69920BFB">
            <w:pPr>
              <w:jc w:val="right"/>
              <w:textAlignment w:val="center"/>
              <w:rPr>
                <w:rFonts w:cs="Times New Roman"/>
              </w:rPr>
            </w:pPr>
            <w:r>
              <w:rPr>
                <w:rFonts w:eastAsia="Arial Narrow" w:cs="Times New Roman"/>
                <w:color w:val="000000"/>
                <w:lang w:bidi="ar"/>
              </w:rPr>
              <w:t>2,024,600,000.00</w:t>
            </w:r>
          </w:p>
        </w:tc>
        <w:tc>
          <w:tcPr>
            <w:tcW w:w="563" w:type="pct"/>
            <w:vAlign w:val="center"/>
          </w:tcPr>
          <w:p w14:paraId="1437CD2A">
            <w:pPr>
              <w:jc w:val="right"/>
              <w:textAlignment w:val="center"/>
              <w:rPr>
                <w:rFonts w:cs="Times New Roman"/>
              </w:rPr>
            </w:pPr>
            <w:r>
              <w:rPr>
                <w:rFonts w:eastAsia="Arial Narrow" w:cs="Times New Roman"/>
                <w:color w:val="000000"/>
                <w:lang w:bidi="ar"/>
              </w:rPr>
              <w:t>1,551,273.10</w:t>
            </w:r>
          </w:p>
        </w:tc>
        <w:tc>
          <w:tcPr>
            <w:tcW w:w="595" w:type="pct"/>
            <w:vAlign w:val="center"/>
          </w:tcPr>
          <w:p w14:paraId="5781C189">
            <w:pPr>
              <w:jc w:val="right"/>
              <w:textAlignment w:val="center"/>
              <w:rPr>
                <w:rFonts w:cs="Times New Roman"/>
              </w:rPr>
            </w:pPr>
            <w:r>
              <w:rPr>
                <w:rFonts w:eastAsia="Arial Narrow" w:cs="Times New Roman"/>
                <w:color w:val="000000"/>
                <w:lang w:bidi="ar"/>
              </w:rPr>
              <w:t>26,550,000.00</w:t>
            </w:r>
          </w:p>
        </w:tc>
        <w:tc>
          <w:tcPr>
            <w:tcW w:w="575" w:type="pct"/>
            <w:vAlign w:val="center"/>
          </w:tcPr>
          <w:p w14:paraId="0B97C584">
            <w:pPr>
              <w:jc w:val="right"/>
              <w:textAlignment w:val="center"/>
              <w:rPr>
                <w:rFonts w:cs="Times New Roman"/>
              </w:rPr>
            </w:pPr>
            <w:r>
              <w:rPr>
                <w:rFonts w:eastAsia="Arial Narrow" w:cs="Times New Roman"/>
                <w:color w:val="000000"/>
                <w:lang w:bidi="ar"/>
              </w:rPr>
              <w:t>345,901.40</w:t>
            </w:r>
          </w:p>
        </w:tc>
        <w:tc>
          <w:tcPr>
            <w:tcW w:w="601" w:type="pct"/>
            <w:vAlign w:val="center"/>
          </w:tcPr>
          <w:p w14:paraId="532FB89F">
            <w:pPr>
              <w:jc w:val="right"/>
              <w:textAlignment w:val="center"/>
              <w:rPr>
                <w:rFonts w:cs="Times New Roman"/>
              </w:rPr>
            </w:pPr>
            <w:r>
              <w:rPr>
                <w:rFonts w:eastAsia="Arial Narrow" w:cs="Times New Roman"/>
                <w:color w:val="000000"/>
                <w:lang w:bidi="ar"/>
              </w:rPr>
              <w:t>2,529,476,273.10</w:t>
            </w:r>
          </w:p>
        </w:tc>
      </w:tr>
      <w:tr w14:paraId="72AA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369" w:type="pct"/>
          </w:tcPr>
          <w:p w14:paraId="5263610B">
            <w:pPr>
              <w:textAlignment w:val="top"/>
              <w:rPr>
                <w:rFonts w:cs="Times New Roman"/>
              </w:rPr>
            </w:pPr>
            <w:r>
              <w:rPr>
                <w:rFonts w:cs="Times New Roman"/>
                <w:color w:val="000000"/>
                <w:lang w:bidi="ar"/>
              </w:rPr>
              <w:t>应付债券（含一年内到期的应付债券）</w:t>
            </w:r>
          </w:p>
        </w:tc>
        <w:tc>
          <w:tcPr>
            <w:tcW w:w="666" w:type="pct"/>
            <w:vAlign w:val="center"/>
          </w:tcPr>
          <w:p w14:paraId="32D7984E">
            <w:pPr>
              <w:jc w:val="right"/>
              <w:textAlignment w:val="center"/>
              <w:rPr>
                <w:rFonts w:cs="Times New Roman"/>
              </w:rPr>
            </w:pPr>
            <w:r>
              <w:rPr>
                <w:rFonts w:eastAsia="Arial Narrow" w:cs="Times New Roman"/>
                <w:color w:val="000000"/>
                <w:lang w:bidi="ar"/>
              </w:rPr>
              <w:t>528,836,236.09</w:t>
            </w:r>
          </w:p>
        </w:tc>
        <w:tc>
          <w:tcPr>
            <w:tcW w:w="628" w:type="pct"/>
            <w:vAlign w:val="center"/>
          </w:tcPr>
          <w:p w14:paraId="4B6A9482">
            <w:pPr>
              <w:jc w:val="right"/>
              <w:rPr>
                <w:rFonts w:cs="Times New Roman"/>
              </w:rPr>
            </w:pPr>
          </w:p>
        </w:tc>
        <w:tc>
          <w:tcPr>
            <w:tcW w:w="563" w:type="pct"/>
            <w:vAlign w:val="center"/>
          </w:tcPr>
          <w:p w14:paraId="43B07A05">
            <w:pPr>
              <w:jc w:val="right"/>
              <w:textAlignment w:val="center"/>
              <w:rPr>
                <w:rFonts w:cs="Times New Roman"/>
              </w:rPr>
            </w:pPr>
            <w:r>
              <w:rPr>
                <w:rFonts w:eastAsia="Arial Narrow" w:cs="Times New Roman"/>
                <w:color w:val="000000"/>
                <w:lang w:bidi="ar"/>
              </w:rPr>
              <w:t>7,848,410.95</w:t>
            </w:r>
          </w:p>
        </w:tc>
        <w:tc>
          <w:tcPr>
            <w:tcW w:w="595" w:type="pct"/>
            <w:vAlign w:val="center"/>
          </w:tcPr>
          <w:p w14:paraId="047CF3EC">
            <w:pPr>
              <w:jc w:val="right"/>
              <w:textAlignment w:val="center"/>
              <w:rPr>
                <w:rFonts w:cs="Times New Roman"/>
              </w:rPr>
            </w:pPr>
            <w:r>
              <w:rPr>
                <w:rFonts w:eastAsia="Arial Narrow" w:cs="Times New Roman"/>
                <w:color w:val="000000"/>
                <w:lang w:bidi="ar"/>
              </w:rPr>
              <w:t>35,870,000.00</w:t>
            </w:r>
          </w:p>
        </w:tc>
        <w:tc>
          <w:tcPr>
            <w:tcW w:w="575" w:type="pct"/>
            <w:vAlign w:val="center"/>
          </w:tcPr>
          <w:p w14:paraId="27CB9253">
            <w:pPr>
              <w:jc w:val="right"/>
              <w:textAlignment w:val="center"/>
              <w:rPr>
                <w:rFonts w:cs="Times New Roman"/>
              </w:rPr>
            </w:pPr>
            <w:r>
              <w:rPr>
                <w:rFonts w:eastAsia="Arial Narrow" w:cs="Times New Roman"/>
                <w:color w:val="000000"/>
                <w:lang w:bidi="ar"/>
              </w:rPr>
              <w:t>-85,761.07</w:t>
            </w:r>
          </w:p>
        </w:tc>
        <w:tc>
          <w:tcPr>
            <w:tcW w:w="601" w:type="pct"/>
            <w:vAlign w:val="center"/>
          </w:tcPr>
          <w:p w14:paraId="3B8E1014">
            <w:pPr>
              <w:jc w:val="right"/>
              <w:textAlignment w:val="center"/>
              <w:rPr>
                <w:rFonts w:cs="Times New Roman"/>
              </w:rPr>
            </w:pPr>
            <w:r>
              <w:rPr>
                <w:rFonts w:eastAsia="Arial Narrow" w:cs="Times New Roman"/>
                <w:color w:val="000000"/>
                <w:lang w:bidi="ar"/>
              </w:rPr>
              <w:t>500,900,408.11</w:t>
            </w:r>
          </w:p>
        </w:tc>
      </w:tr>
      <w:tr w14:paraId="5F25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369" w:type="pct"/>
          </w:tcPr>
          <w:p w14:paraId="7774E4DF">
            <w:pPr>
              <w:textAlignment w:val="top"/>
              <w:rPr>
                <w:rFonts w:cs="Times New Roman"/>
              </w:rPr>
            </w:pPr>
            <w:r>
              <w:rPr>
                <w:rFonts w:cs="Times New Roman"/>
                <w:color w:val="000000"/>
                <w:lang w:bidi="ar"/>
              </w:rPr>
              <w:t>关联方借款</w:t>
            </w:r>
          </w:p>
        </w:tc>
        <w:tc>
          <w:tcPr>
            <w:tcW w:w="666" w:type="pct"/>
            <w:vAlign w:val="center"/>
          </w:tcPr>
          <w:p w14:paraId="12C21D36">
            <w:pPr>
              <w:jc w:val="right"/>
              <w:textAlignment w:val="center"/>
              <w:rPr>
                <w:rFonts w:cs="Times New Roman"/>
              </w:rPr>
            </w:pPr>
            <w:r>
              <w:rPr>
                <w:rFonts w:eastAsia="Arial Narrow" w:cs="Times New Roman"/>
                <w:color w:val="000000"/>
                <w:lang w:bidi="ar"/>
              </w:rPr>
              <w:t>269,791,875.89</w:t>
            </w:r>
          </w:p>
        </w:tc>
        <w:tc>
          <w:tcPr>
            <w:tcW w:w="628" w:type="pct"/>
            <w:vAlign w:val="center"/>
          </w:tcPr>
          <w:p w14:paraId="672C0F69">
            <w:pPr>
              <w:jc w:val="right"/>
              <w:textAlignment w:val="center"/>
              <w:rPr>
                <w:rFonts w:cs="Times New Roman"/>
              </w:rPr>
            </w:pPr>
            <w:r>
              <w:rPr>
                <w:rFonts w:eastAsia="Arial Narrow" w:cs="Times New Roman"/>
                <w:color w:val="000000"/>
                <w:lang w:bidi="ar"/>
              </w:rPr>
              <w:t>41,710,000.00</w:t>
            </w:r>
          </w:p>
        </w:tc>
        <w:tc>
          <w:tcPr>
            <w:tcW w:w="563" w:type="pct"/>
            <w:vAlign w:val="center"/>
          </w:tcPr>
          <w:p w14:paraId="00340C09">
            <w:pPr>
              <w:jc w:val="right"/>
              <w:textAlignment w:val="center"/>
              <w:rPr>
                <w:rFonts w:cs="Times New Roman"/>
              </w:rPr>
            </w:pPr>
            <w:r>
              <w:rPr>
                <w:rFonts w:eastAsia="Arial Narrow" w:cs="Times New Roman"/>
                <w:color w:val="000000"/>
                <w:lang w:bidi="ar"/>
              </w:rPr>
              <w:t>85,500.00</w:t>
            </w:r>
          </w:p>
        </w:tc>
        <w:tc>
          <w:tcPr>
            <w:tcW w:w="595" w:type="pct"/>
            <w:vAlign w:val="center"/>
          </w:tcPr>
          <w:p w14:paraId="6A8B2668">
            <w:pPr>
              <w:jc w:val="right"/>
              <w:textAlignment w:val="center"/>
              <w:rPr>
                <w:rFonts w:cs="Times New Roman"/>
              </w:rPr>
            </w:pPr>
            <w:r>
              <w:rPr>
                <w:rFonts w:eastAsia="Arial Narrow" w:cs="Times New Roman"/>
                <w:color w:val="000000"/>
                <w:lang w:bidi="ar"/>
              </w:rPr>
              <w:t>36,500,000.00</w:t>
            </w:r>
          </w:p>
        </w:tc>
        <w:tc>
          <w:tcPr>
            <w:tcW w:w="575" w:type="pct"/>
            <w:vAlign w:val="center"/>
          </w:tcPr>
          <w:p w14:paraId="1446AEB0">
            <w:pPr>
              <w:jc w:val="right"/>
              <w:textAlignment w:val="center"/>
              <w:rPr>
                <w:rFonts w:cs="Times New Roman"/>
              </w:rPr>
            </w:pPr>
            <w:r>
              <w:rPr>
                <w:rFonts w:eastAsia="Arial Narrow" w:cs="Times New Roman"/>
                <w:color w:val="000000"/>
                <w:lang w:bidi="ar"/>
              </w:rPr>
              <w:t>134,230.55</w:t>
            </w:r>
          </w:p>
        </w:tc>
        <w:tc>
          <w:tcPr>
            <w:tcW w:w="601" w:type="pct"/>
            <w:vAlign w:val="center"/>
          </w:tcPr>
          <w:p w14:paraId="0605309E">
            <w:pPr>
              <w:jc w:val="right"/>
              <w:textAlignment w:val="center"/>
              <w:rPr>
                <w:rFonts w:cs="Times New Roman"/>
              </w:rPr>
            </w:pPr>
            <w:r>
              <w:rPr>
                <w:rFonts w:eastAsia="Arial Narrow" w:cs="Times New Roman"/>
                <w:color w:val="000000"/>
                <w:lang w:bidi="ar"/>
              </w:rPr>
              <w:t>274,953,145.34</w:t>
            </w:r>
          </w:p>
        </w:tc>
      </w:tr>
      <w:tr w14:paraId="53D3C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369" w:type="pct"/>
          </w:tcPr>
          <w:p w14:paraId="300C6891">
            <w:pPr>
              <w:textAlignment w:val="top"/>
              <w:rPr>
                <w:rFonts w:cs="Times New Roman"/>
              </w:rPr>
            </w:pPr>
            <w:r>
              <w:rPr>
                <w:rFonts w:cs="Times New Roman"/>
                <w:color w:val="000000"/>
                <w:lang w:bidi="ar"/>
              </w:rPr>
              <w:t>租赁负债（含一年内到期的租赁负债）</w:t>
            </w:r>
          </w:p>
        </w:tc>
        <w:tc>
          <w:tcPr>
            <w:tcW w:w="666" w:type="pct"/>
            <w:vAlign w:val="center"/>
          </w:tcPr>
          <w:p w14:paraId="284C2FB0">
            <w:pPr>
              <w:jc w:val="right"/>
              <w:textAlignment w:val="center"/>
              <w:rPr>
                <w:rFonts w:cs="Times New Roman"/>
              </w:rPr>
            </w:pPr>
            <w:r>
              <w:rPr>
                <w:rFonts w:eastAsia="Arial Narrow" w:cs="Times New Roman"/>
                <w:color w:val="000000"/>
                <w:lang w:bidi="ar"/>
              </w:rPr>
              <w:t>11,142,974.73</w:t>
            </w:r>
          </w:p>
        </w:tc>
        <w:tc>
          <w:tcPr>
            <w:tcW w:w="628" w:type="pct"/>
            <w:vAlign w:val="center"/>
          </w:tcPr>
          <w:p w14:paraId="63C3ABE1">
            <w:pPr>
              <w:jc w:val="right"/>
              <w:rPr>
                <w:rFonts w:cs="Times New Roman"/>
              </w:rPr>
            </w:pPr>
          </w:p>
        </w:tc>
        <w:tc>
          <w:tcPr>
            <w:tcW w:w="563" w:type="pct"/>
            <w:vAlign w:val="center"/>
          </w:tcPr>
          <w:p w14:paraId="2DF06AA1">
            <w:pPr>
              <w:jc w:val="right"/>
              <w:textAlignment w:val="center"/>
              <w:rPr>
                <w:rFonts w:cs="Times New Roman"/>
              </w:rPr>
            </w:pPr>
            <w:r>
              <w:rPr>
                <w:rFonts w:eastAsia="Arial Narrow" w:cs="Times New Roman"/>
                <w:color w:val="000000"/>
                <w:lang w:bidi="ar"/>
              </w:rPr>
              <w:t>337,288.59</w:t>
            </w:r>
          </w:p>
        </w:tc>
        <w:tc>
          <w:tcPr>
            <w:tcW w:w="595" w:type="pct"/>
            <w:vAlign w:val="center"/>
          </w:tcPr>
          <w:p w14:paraId="501CE97F">
            <w:pPr>
              <w:jc w:val="right"/>
              <w:textAlignment w:val="center"/>
              <w:rPr>
                <w:rFonts w:cs="Times New Roman"/>
              </w:rPr>
            </w:pPr>
            <w:r>
              <w:rPr>
                <w:rFonts w:eastAsia="Arial Narrow" w:cs="Times New Roman"/>
                <w:color w:val="000000"/>
                <w:lang w:bidi="ar"/>
              </w:rPr>
              <w:t>1,350,000.00</w:t>
            </w:r>
          </w:p>
        </w:tc>
        <w:tc>
          <w:tcPr>
            <w:tcW w:w="575" w:type="pct"/>
            <w:vAlign w:val="center"/>
          </w:tcPr>
          <w:p w14:paraId="2D441F7F">
            <w:pPr>
              <w:jc w:val="right"/>
              <w:rPr>
                <w:rFonts w:cs="Times New Roman"/>
              </w:rPr>
            </w:pPr>
          </w:p>
        </w:tc>
        <w:tc>
          <w:tcPr>
            <w:tcW w:w="601" w:type="pct"/>
            <w:vAlign w:val="center"/>
          </w:tcPr>
          <w:p w14:paraId="05909036">
            <w:pPr>
              <w:jc w:val="right"/>
              <w:textAlignment w:val="center"/>
              <w:rPr>
                <w:rFonts w:cs="Times New Roman"/>
              </w:rPr>
            </w:pPr>
            <w:r>
              <w:rPr>
                <w:rFonts w:eastAsia="Arial Narrow" w:cs="Times New Roman"/>
                <w:color w:val="000000"/>
                <w:lang w:bidi="ar"/>
              </w:rPr>
              <w:t>10,130,263.32</w:t>
            </w:r>
          </w:p>
        </w:tc>
      </w:tr>
      <w:tr w14:paraId="0965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369" w:type="pct"/>
          </w:tcPr>
          <w:p w14:paraId="51AC2D95">
            <w:pPr>
              <w:textAlignment w:val="top"/>
              <w:rPr>
                <w:rFonts w:cs="Times New Roman"/>
              </w:rPr>
            </w:pPr>
            <w:r>
              <w:rPr>
                <w:rFonts w:cs="Times New Roman"/>
                <w:color w:val="000000"/>
                <w:lang w:bidi="ar"/>
              </w:rPr>
              <w:t>应付利息</w:t>
            </w:r>
          </w:p>
        </w:tc>
        <w:tc>
          <w:tcPr>
            <w:tcW w:w="666" w:type="pct"/>
            <w:vAlign w:val="center"/>
          </w:tcPr>
          <w:p w14:paraId="140CE088">
            <w:pPr>
              <w:jc w:val="right"/>
              <w:rPr>
                <w:rFonts w:cs="Times New Roman"/>
              </w:rPr>
            </w:pPr>
          </w:p>
        </w:tc>
        <w:tc>
          <w:tcPr>
            <w:tcW w:w="628" w:type="pct"/>
            <w:vAlign w:val="center"/>
          </w:tcPr>
          <w:p w14:paraId="1E14E0DF">
            <w:pPr>
              <w:jc w:val="right"/>
              <w:rPr>
                <w:rFonts w:cs="Times New Roman"/>
              </w:rPr>
            </w:pPr>
          </w:p>
        </w:tc>
        <w:tc>
          <w:tcPr>
            <w:tcW w:w="563" w:type="pct"/>
            <w:vAlign w:val="center"/>
          </w:tcPr>
          <w:p w14:paraId="2E4A9792">
            <w:pPr>
              <w:jc w:val="right"/>
              <w:textAlignment w:val="center"/>
              <w:rPr>
                <w:rFonts w:cs="Times New Roman"/>
              </w:rPr>
            </w:pPr>
            <w:r>
              <w:rPr>
                <w:rFonts w:eastAsia="Arial Narrow" w:cs="Times New Roman"/>
                <w:color w:val="000000"/>
                <w:lang w:bidi="ar"/>
              </w:rPr>
              <w:t>32,358,510.39</w:t>
            </w:r>
          </w:p>
        </w:tc>
        <w:tc>
          <w:tcPr>
            <w:tcW w:w="595" w:type="pct"/>
            <w:vAlign w:val="center"/>
          </w:tcPr>
          <w:p w14:paraId="19F443FC">
            <w:pPr>
              <w:jc w:val="right"/>
              <w:textAlignment w:val="center"/>
              <w:rPr>
                <w:rFonts w:cs="Times New Roman"/>
              </w:rPr>
            </w:pPr>
            <w:r>
              <w:rPr>
                <w:rFonts w:eastAsia="Arial Narrow" w:cs="Times New Roman"/>
                <w:color w:val="000000"/>
                <w:lang w:bidi="ar"/>
              </w:rPr>
              <w:t>32,358,510.39</w:t>
            </w:r>
          </w:p>
        </w:tc>
        <w:tc>
          <w:tcPr>
            <w:tcW w:w="575" w:type="pct"/>
            <w:vAlign w:val="center"/>
          </w:tcPr>
          <w:p w14:paraId="55466B76">
            <w:pPr>
              <w:jc w:val="right"/>
              <w:rPr>
                <w:rFonts w:cs="Times New Roman"/>
              </w:rPr>
            </w:pPr>
          </w:p>
        </w:tc>
        <w:tc>
          <w:tcPr>
            <w:tcW w:w="601" w:type="pct"/>
            <w:vAlign w:val="center"/>
          </w:tcPr>
          <w:p w14:paraId="2AA565C5">
            <w:pPr>
              <w:jc w:val="right"/>
              <w:rPr>
                <w:rFonts w:cs="Times New Roman"/>
              </w:rPr>
            </w:pPr>
          </w:p>
        </w:tc>
      </w:tr>
      <w:tr w14:paraId="1953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369" w:type="pct"/>
          </w:tcPr>
          <w:p w14:paraId="6316F30D">
            <w:pPr>
              <w:autoSpaceDE w:val="0"/>
              <w:autoSpaceDN w:val="0"/>
              <w:adjustRightInd w:val="0"/>
              <w:snapToGri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666" w:type="pct"/>
            <w:vAlign w:val="center"/>
          </w:tcPr>
          <w:p w14:paraId="1E0AF98F">
            <w:pPr>
              <w:jc w:val="right"/>
              <w:textAlignment w:val="center"/>
              <w:rPr>
                <w:rFonts w:cs="Times New Roman"/>
              </w:rPr>
            </w:pPr>
            <w:r>
              <w:rPr>
                <w:rFonts w:eastAsia="Arial Narrow" w:cs="Times New Roman"/>
                <w:color w:val="000000"/>
                <w:lang w:bidi="ar"/>
              </w:rPr>
              <w:t>1,780,178,318.61</w:t>
            </w:r>
          </w:p>
        </w:tc>
        <w:tc>
          <w:tcPr>
            <w:tcW w:w="628" w:type="pct"/>
            <w:vAlign w:val="center"/>
          </w:tcPr>
          <w:p w14:paraId="255AE547">
            <w:pPr>
              <w:jc w:val="right"/>
              <w:textAlignment w:val="center"/>
              <w:rPr>
                <w:rFonts w:cs="Times New Roman"/>
              </w:rPr>
            </w:pPr>
            <w:r>
              <w:rPr>
                <w:rFonts w:eastAsia="Arial Narrow" w:cs="Times New Roman"/>
                <w:color w:val="000000"/>
                <w:lang w:bidi="ar"/>
              </w:rPr>
              <w:t>2,198,640,803.38</w:t>
            </w:r>
          </w:p>
        </w:tc>
        <w:tc>
          <w:tcPr>
            <w:tcW w:w="563" w:type="pct"/>
            <w:vAlign w:val="center"/>
          </w:tcPr>
          <w:p w14:paraId="56741C7D">
            <w:pPr>
              <w:jc w:val="right"/>
              <w:textAlignment w:val="center"/>
              <w:rPr>
                <w:rFonts w:cs="Times New Roman"/>
              </w:rPr>
            </w:pPr>
            <w:r>
              <w:rPr>
                <w:rFonts w:eastAsia="Arial Narrow" w:cs="Times New Roman"/>
                <w:color w:val="000000"/>
                <w:lang w:bidi="ar"/>
              </w:rPr>
              <w:t>42,370,473.05</w:t>
            </w:r>
          </w:p>
        </w:tc>
        <w:tc>
          <w:tcPr>
            <w:tcW w:w="595" w:type="pct"/>
            <w:vAlign w:val="center"/>
          </w:tcPr>
          <w:p w14:paraId="7ABDF303">
            <w:pPr>
              <w:jc w:val="right"/>
              <w:textAlignment w:val="center"/>
              <w:rPr>
                <w:rFonts w:cs="Times New Roman"/>
              </w:rPr>
            </w:pPr>
            <w:r>
              <w:rPr>
                <w:rFonts w:eastAsia="Arial Narrow" w:cs="Times New Roman"/>
                <w:color w:val="000000"/>
                <w:lang w:bidi="ar"/>
              </w:rPr>
              <w:t>415,628,510.39</w:t>
            </w:r>
          </w:p>
        </w:tc>
        <w:tc>
          <w:tcPr>
            <w:tcW w:w="575" w:type="pct"/>
            <w:vAlign w:val="center"/>
          </w:tcPr>
          <w:p w14:paraId="6089502D">
            <w:pPr>
              <w:jc w:val="right"/>
              <w:textAlignment w:val="center"/>
              <w:rPr>
                <w:rFonts w:cs="Times New Roman"/>
              </w:rPr>
            </w:pPr>
            <w:r>
              <w:rPr>
                <w:rFonts w:eastAsia="Arial Narrow" w:cs="Times New Roman"/>
                <w:color w:val="000000"/>
                <w:lang w:bidi="ar"/>
              </w:rPr>
              <w:t>580,701.38</w:t>
            </w:r>
          </w:p>
        </w:tc>
        <w:tc>
          <w:tcPr>
            <w:tcW w:w="601" w:type="pct"/>
            <w:vAlign w:val="center"/>
          </w:tcPr>
          <w:p w14:paraId="61C98167">
            <w:pPr>
              <w:jc w:val="right"/>
              <w:textAlignment w:val="center"/>
              <w:rPr>
                <w:rFonts w:cs="Times New Roman"/>
              </w:rPr>
            </w:pPr>
            <w:r>
              <w:rPr>
                <w:rFonts w:eastAsia="Arial Narrow" w:cs="Times New Roman"/>
                <w:color w:val="000000"/>
                <w:lang w:bidi="ar"/>
              </w:rPr>
              <w:t>3,604,980,383.27</w:t>
            </w:r>
          </w:p>
        </w:tc>
      </w:tr>
    </w:tbl>
    <w:p w14:paraId="6FAACCE4">
      <w:pPr>
        <w:rPr>
          <w:color w:val="000000" w:themeColor="text1"/>
          <w14:textFill>
            <w14:solidFill>
              <w14:schemeClr w14:val="tx1"/>
            </w14:solidFill>
          </w14:textFill>
        </w:rPr>
      </w:pPr>
    </w:p>
    <w:p w14:paraId="30F1E77F">
      <w:pPr>
        <w:pStyle w:val="58"/>
        <w:numPr>
          <w:ilvl w:val="0"/>
          <w:numId w:val="90"/>
        </w:numPr>
        <w:rPr>
          <w:color w:val="000000" w:themeColor="text1"/>
          <w14:textFill>
            <w14:solidFill>
              <w14:schemeClr w14:val="tx1"/>
            </w14:solidFill>
          </w14:textFill>
        </w:rPr>
      </w:pPr>
      <w:r>
        <w:rPr>
          <w:rFonts w:hint="eastAsia"/>
          <w:color w:val="000000" w:themeColor="text1"/>
          <w14:textFill>
            <w14:solidFill>
              <w14:schemeClr w14:val="tx1"/>
            </w14:solidFill>
          </w14:textFill>
        </w:rPr>
        <w:t>以净额列报现金流量的说明</w:t>
      </w:r>
    </w:p>
    <w:sdt>
      <w:sdtPr>
        <w:rPr>
          <w:color w:val="000000" w:themeColor="text1"/>
          <w14:textFill>
            <w14:solidFill>
              <w14:schemeClr w14:val="tx1"/>
            </w14:solidFill>
          </w14:textFill>
        </w:rPr>
        <w:alias w:val="是否适用：以净额列报现金流量的说明[双击切换]"/>
        <w:tag w:val="_GBC_7e5edd2dccad4675a4426511c2fa01e0"/>
        <w:id w:val="147457452"/>
        <w:placeholder>
          <w:docPart w:val="GBC22222222222222222222222222222"/>
        </w:placeholder>
      </w:sdtPr>
      <w:sdtEndPr>
        <w:rPr>
          <w:color w:val="000000" w:themeColor="text1"/>
          <w14:textFill>
            <w14:solidFill>
              <w14:schemeClr w14:val="tx1"/>
            </w14:solidFill>
          </w14:textFill>
        </w:rPr>
      </w:sdtEndPr>
      <w:sdtContent>
        <w:p w14:paraId="761B30CE">
          <w:pPr>
            <w:ind w:right="5"/>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99591CE">
      <w:pPr>
        <w:ind w:right="5"/>
        <w:rPr>
          <w:color w:val="000000" w:themeColor="text1"/>
          <w14:textFill>
            <w14:solidFill>
              <w14:schemeClr w14:val="tx1"/>
            </w14:solidFill>
          </w14:textFill>
        </w:rPr>
      </w:pPr>
    </w:p>
    <w:p w14:paraId="475BA013">
      <w:pPr>
        <w:pStyle w:val="58"/>
        <w:numPr>
          <w:ilvl w:val="0"/>
          <w:numId w:val="90"/>
        </w:numPr>
        <w:rPr>
          <w:color w:val="000000" w:themeColor="text1"/>
          <w14:textFill>
            <w14:solidFill>
              <w14:schemeClr w14:val="tx1"/>
            </w14:solidFill>
          </w14:textFill>
        </w:rPr>
      </w:pPr>
      <w:r>
        <w:rPr>
          <w:rFonts w:hint="eastAsia"/>
          <w:color w:val="000000" w:themeColor="text1"/>
          <w14:textFill>
            <w14:solidFill>
              <w14:schemeClr w14:val="tx1"/>
            </w14:solidFill>
          </w14:textFill>
        </w:rPr>
        <w:t>不涉及当期现金收支、但影响企业财务状况或在未来可能影响企业现金流量的重大活动及财务影响</w:t>
      </w:r>
    </w:p>
    <w:sdt>
      <w:sdtPr>
        <w:rPr>
          <w:color w:val="000000" w:themeColor="text1"/>
          <w14:textFill>
            <w14:solidFill>
              <w14:schemeClr w14:val="tx1"/>
            </w14:solidFill>
          </w14:textFill>
        </w:rPr>
        <w:alias w:val="是否适用：不涉及当期现金收支、但影响企业财务状况或在未来可能影响企业现金流量的重大活动及财务影响[双击切换]"/>
        <w:tag w:val="_GBC_07ea2264f8804cb2922afb33860595fb"/>
        <w:id w:val="147462276"/>
        <w:placeholder>
          <w:docPart w:val="GBC22222222222222222222222222222"/>
        </w:placeholder>
      </w:sdtPr>
      <w:sdtEndPr>
        <w:rPr>
          <w:color w:val="000000" w:themeColor="text1"/>
          <w14:textFill>
            <w14:solidFill>
              <w14:schemeClr w14:val="tx1"/>
            </w14:solidFill>
          </w14:textFill>
        </w:rPr>
      </w:sdtEndPr>
      <w:sdtContent>
        <w:p w14:paraId="0D8C64FF">
          <w:pPr>
            <w:ind w:right="5"/>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FA0F91E">
      <w:pPr>
        <w:ind w:right="5"/>
        <w:rPr>
          <w:rFonts w:ascii="Calibri" w:hAnsi="Calibri" w:cs="Times New Roman"/>
          <w:color w:val="000000" w:themeColor="text1"/>
          <w:kern w:val="2"/>
          <w:szCs w:val="22"/>
          <w14:textFill>
            <w14:solidFill>
              <w14:schemeClr w14:val="tx1"/>
            </w14:solidFill>
          </w14:textFill>
        </w:rPr>
        <w:sectPr>
          <w:pgSz w:w="16838" w:h="11906" w:orient="landscape"/>
          <w:pgMar w:top="1797" w:right="1525" w:bottom="1276" w:left="1440" w:header="856" w:footer="992" w:gutter="0"/>
          <w:cols w:space="425" w:num="1"/>
          <w:docGrid w:linePitch="312" w:charSpace="0"/>
        </w:sectPr>
      </w:pPr>
    </w:p>
    <w:p w14:paraId="3702F8EF">
      <w:pPr>
        <w:ind w:right="5"/>
        <w:rPr>
          <w:rFonts w:ascii="Calibri" w:hAnsi="Calibri" w:cs="Times New Roman"/>
          <w:color w:val="000000" w:themeColor="text1"/>
          <w:kern w:val="2"/>
          <w:szCs w:val="22"/>
          <w14:textFill>
            <w14:solidFill>
              <w14:schemeClr w14:val="tx1"/>
            </w14:solidFill>
          </w14:textFill>
        </w:rPr>
      </w:pPr>
    </w:p>
    <w:bookmarkEnd w:id="394"/>
    <w:p w14:paraId="64AE1339">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现金流量表补充资料</w:t>
      </w:r>
    </w:p>
    <w:p w14:paraId="0B9F01D5">
      <w:pPr>
        <w:pStyle w:val="58"/>
        <w:numPr>
          <w:ilvl w:val="0"/>
          <w:numId w:val="91"/>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现金流量表补充资料</w:t>
      </w:r>
    </w:p>
    <w:sdt>
      <w:sdtPr>
        <w:rPr>
          <w:color w:val="000000" w:themeColor="text1"/>
          <w14:textFill>
            <w14:solidFill>
              <w14:schemeClr w14:val="tx1"/>
            </w14:solidFill>
          </w14:textFill>
        </w:rPr>
        <w:alias w:val="是否适用：现金流量表补充资料[双击切换]"/>
        <w:tag w:val="_GBC_3ee8e178479245ea907bff86e4dcd54a"/>
        <w:id w:val="147481894"/>
        <w:placeholder>
          <w:docPart w:val="GBC22222222222222222222222222222"/>
        </w:placeholder>
      </w:sdtPr>
      <w:sdtEndPr>
        <w:rPr>
          <w:color w:val="000000" w:themeColor="text1"/>
          <w14:textFill>
            <w14:solidFill>
              <w14:schemeClr w14:val="tx1"/>
            </w14:solidFill>
          </w14:textFill>
        </w:rPr>
      </w:sdtEndPr>
      <w:sdtContent>
        <w:p w14:paraId="0459C56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7DC5BCF">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现金流量表补充资料"/>
          <w:tag w:val="_GBC_ba7cd13a54fa44929e0fd4c276876d0e"/>
          <w:id w:val="1474701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现金流量表补充资料"/>
          <w:tag w:val="_GBC_715164ef2f2b4f258a0908b254229361"/>
          <w:id w:val="1474796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3"/>
        <w:gridCol w:w="1906"/>
        <w:gridCol w:w="2150"/>
      </w:tblGrid>
      <w:tr w14:paraId="50E9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a6ea455751354381bc869d5865ef3d8f"/>
            <w:id w:val="147459102"/>
          </w:sdtPr>
          <w:sdtEndPr>
            <w:rPr>
              <w:rFonts w:cs="Times New Roman"/>
            </w:rPr>
          </w:sdtEndPr>
          <w:sdtContent>
            <w:tc>
              <w:tcPr>
                <w:tcW w:w="2759" w:type="pct"/>
                <w:vAlign w:val="center"/>
              </w:tcPr>
              <w:p w14:paraId="143E559C">
                <w:pPr>
                  <w:jc w:val="center"/>
                  <w:rPr>
                    <w:rFonts w:cs="Times New Roman"/>
                    <w:bCs w:val="0"/>
                    <w:color w:val="000000" w:themeColor="text1"/>
                    <w14:textFill>
                      <w14:solidFill>
                        <w14:schemeClr w14:val="tx1"/>
                      </w14:solidFill>
                    </w14:textFill>
                  </w:rPr>
                </w:pPr>
                <w:r>
                  <w:rPr>
                    <w:rFonts w:cs="Times New Roman"/>
                    <w:color w:val="000000" w:themeColor="text1"/>
                    <w14:textFill>
                      <w14:solidFill>
                        <w14:schemeClr w14:val="tx1"/>
                      </w14:solidFill>
                    </w14:textFill>
                  </w:rPr>
                  <w:t>补充资料</w:t>
                </w:r>
              </w:p>
            </w:tc>
          </w:sdtContent>
        </w:sdt>
        <w:sdt>
          <w:sdtPr>
            <w:rPr>
              <w:rFonts w:cs="Times New Roman"/>
            </w:rPr>
            <w:tag w:val="_PLD_0687e3743a4e4e2db7b08855f23641e8"/>
            <w:id w:val="147469817"/>
          </w:sdtPr>
          <w:sdtEndPr>
            <w:rPr>
              <w:rFonts w:cs="Times New Roman"/>
            </w:rPr>
          </w:sdtEndPr>
          <w:sdtContent>
            <w:tc>
              <w:tcPr>
                <w:tcW w:w="1053" w:type="pct"/>
                <w:vAlign w:val="center"/>
              </w:tcPr>
              <w:p w14:paraId="4CE3985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本期金额</w:t>
                </w:r>
              </w:p>
            </w:tc>
          </w:sdtContent>
        </w:sdt>
        <w:sdt>
          <w:sdtPr>
            <w:rPr>
              <w:rFonts w:cs="Times New Roman"/>
            </w:rPr>
            <w:tag w:val="_PLD_f90342638d124edea40aa264bbe65e8e"/>
            <w:id w:val="147468559"/>
          </w:sdtPr>
          <w:sdtEndPr>
            <w:rPr>
              <w:rFonts w:cs="Times New Roman"/>
            </w:rPr>
          </w:sdtEndPr>
          <w:sdtContent>
            <w:tc>
              <w:tcPr>
                <w:tcW w:w="1186" w:type="pct"/>
                <w:vAlign w:val="center"/>
              </w:tcPr>
              <w:p w14:paraId="28E3F30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上期金额</w:t>
                </w:r>
              </w:p>
            </w:tc>
          </w:sdtContent>
        </w:sdt>
      </w:tr>
      <w:tr w14:paraId="5AAAF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0a799a1250f946df9181881c4b1f3829"/>
            <w:id w:val="147466088"/>
          </w:sdtPr>
          <w:sdtEndPr>
            <w:rPr>
              <w:rFonts w:cs="Times New Roman"/>
            </w:rPr>
          </w:sdtEndPr>
          <w:sdtContent>
            <w:tc>
              <w:tcPr>
                <w:tcW w:w="5000" w:type="pct"/>
                <w:gridSpan w:val="3"/>
              </w:tcPr>
              <w:p w14:paraId="1F899E09">
                <w:pPr>
                  <w:jc w:val="both"/>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1．将净利润调节为经营活动现金流量：</w:t>
                </w:r>
              </w:p>
            </w:tc>
          </w:sdtContent>
        </w:sdt>
      </w:tr>
      <w:tr w14:paraId="6C642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pct"/>
          </w:tcPr>
          <w:p w14:paraId="6171EAE4">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净利润</w:t>
            </w:r>
          </w:p>
        </w:tc>
        <w:tc>
          <w:tcPr>
            <w:tcW w:w="1053" w:type="pct"/>
            <w:vAlign w:val="center"/>
          </w:tcPr>
          <w:p w14:paraId="41C59AAA">
            <w:pPr>
              <w:jc w:val="right"/>
              <w:textAlignment w:val="center"/>
              <w:rPr>
                <w:rFonts w:cs="Times New Roman"/>
                <w:highlight w:val="cyan"/>
              </w:rPr>
            </w:pPr>
            <w:r>
              <w:rPr>
                <w:rFonts w:eastAsia="Arial Narrow" w:cs="Times New Roman"/>
                <w:color w:val="000000"/>
                <w:lang w:bidi="ar"/>
              </w:rPr>
              <w:t>-79,668,596.62</w:t>
            </w:r>
          </w:p>
        </w:tc>
        <w:tc>
          <w:tcPr>
            <w:tcW w:w="1186" w:type="pct"/>
            <w:vAlign w:val="center"/>
          </w:tcPr>
          <w:p w14:paraId="6C330C27">
            <w:pPr>
              <w:jc w:val="right"/>
              <w:textAlignment w:val="center"/>
              <w:rPr>
                <w:rFonts w:cs="Times New Roman"/>
              </w:rPr>
            </w:pPr>
            <w:r>
              <w:rPr>
                <w:rFonts w:cs="Times New Roman"/>
                <w:color w:val="000000"/>
              </w:rPr>
              <w:t>-52,385,831.67</w:t>
            </w:r>
          </w:p>
        </w:tc>
      </w:tr>
      <w:tr w14:paraId="7D59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pct"/>
          </w:tcPr>
          <w:p w14:paraId="4A0A37B8">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加：资产减值准备</w:t>
            </w:r>
          </w:p>
        </w:tc>
        <w:tc>
          <w:tcPr>
            <w:tcW w:w="1053" w:type="pct"/>
            <w:vAlign w:val="center"/>
          </w:tcPr>
          <w:p w14:paraId="62E88F91">
            <w:pPr>
              <w:jc w:val="right"/>
              <w:textAlignment w:val="center"/>
              <w:rPr>
                <w:rFonts w:cs="Times New Roman"/>
                <w:highlight w:val="cyan"/>
              </w:rPr>
            </w:pPr>
            <w:r>
              <w:rPr>
                <w:rFonts w:eastAsia="Arial Narrow" w:cs="Times New Roman"/>
                <w:color w:val="000000"/>
                <w:lang w:bidi="ar"/>
              </w:rPr>
              <w:t>17,510,642.11</w:t>
            </w:r>
          </w:p>
        </w:tc>
        <w:tc>
          <w:tcPr>
            <w:tcW w:w="1186" w:type="pct"/>
            <w:vAlign w:val="center"/>
          </w:tcPr>
          <w:p w14:paraId="6B743D8C">
            <w:pPr>
              <w:jc w:val="right"/>
              <w:rPr>
                <w:rFonts w:cs="Times New Roman"/>
              </w:rPr>
            </w:pPr>
          </w:p>
        </w:tc>
      </w:tr>
      <w:tr w14:paraId="0E3C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pct"/>
          </w:tcPr>
          <w:p w14:paraId="3BCE18D6">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信用减值损失</w:t>
            </w:r>
          </w:p>
        </w:tc>
        <w:tc>
          <w:tcPr>
            <w:tcW w:w="1053" w:type="pct"/>
            <w:vAlign w:val="center"/>
          </w:tcPr>
          <w:p w14:paraId="7866305C">
            <w:pPr>
              <w:jc w:val="right"/>
              <w:textAlignment w:val="center"/>
              <w:rPr>
                <w:rFonts w:cs="Times New Roman"/>
                <w:highlight w:val="cyan"/>
              </w:rPr>
            </w:pPr>
            <w:r>
              <w:rPr>
                <w:rFonts w:eastAsia="Arial Narrow" w:cs="Times New Roman"/>
                <w:color w:val="000000"/>
                <w:lang w:bidi="ar"/>
              </w:rPr>
              <w:t>20,724,573.95</w:t>
            </w:r>
          </w:p>
        </w:tc>
        <w:tc>
          <w:tcPr>
            <w:tcW w:w="1186" w:type="pct"/>
            <w:vAlign w:val="center"/>
          </w:tcPr>
          <w:p w14:paraId="35F930ED">
            <w:pPr>
              <w:jc w:val="right"/>
              <w:textAlignment w:val="center"/>
              <w:rPr>
                <w:rFonts w:cs="Times New Roman"/>
              </w:rPr>
            </w:pPr>
            <w:r>
              <w:rPr>
                <w:rFonts w:cs="Times New Roman"/>
                <w:color w:val="000000"/>
              </w:rPr>
              <w:t>-3,689,827.51</w:t>
            </w:r>
          </w:p>
        </w:tc>
      </w:tr>
      <w:tr w14:paraId="2DCC0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pct"/>
          </w:tcPr>
          <w:p w14:paraId="29D8F434">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固定资产折旧、油气资产折耗、生产性生物资产折旧</w:t>
            </w:r>
          </w:p>
        </w:tc>
        <w:tc>
          <w:tcPr>
            <w:tcW w:w="1053" w:type="pct"/>
            <w:vAlign w:val="center"/>
          </w:tcPr>
          <w:p w14:paraId="286C7A3E">
            <w:pPr>
              <w:jc w:val="right"/>
              <w:textAlignment w:val="center"/>
              <w:rPr>
                <w:rFonts w:cs="Times New Roman"/>
                <w:highlight w:val="cyan"/>
              </w:rPr>
            </w:pPr>
            <w:r>
              <w:rPr>
                <w:rFonts w:eastAsia="Arial Narrow" w:cs="Times New Roman"/>
                <w:color w:val="000000"/>
                <w:lang w:bidi="ar"/>
              </w:rPr>
              <w:t>158,572,282.91</w:t>
            </w:r>
          </w:p>
        </w:tc>
        <w:tc>
          <w:tcPr>
            <w:tcW w:w="1186" w:type="pct"/>
            <w:vAlign w:val="center"/>
          </w:tcPr>
          <w:p w14:paraId="4DDA7491">
            <w:pPr>
              <w:jc w:val="right"/>
              <w:textAlignment w:val="center"/>
              <w:rPr>
                <w:rFonts w:cs="Times New Roman"/>
              </w:rPr>
            </w:pPr>
            <w:r>
              <w:rPr>
                <w:rFonts w:cs="Times New Roman"/>
                <w:color w:val="000000"/>
              </w:rPr>
              <w:t>153,023,473.99</w:t>
            </w:r>
          </w:p>
        </w:tc>
      </w:tr>
      <w:tr w14:paraId="085E2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pct"/>
          </w:tcPr>
          <w:p w14:paraId="0BD32049">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使用权资产摊销</w:t>
            </w:r>
          </w:p>
        </w:tc>
        <w:tc>
          <w:tcPr>
            <w:tcW w:w="1053" w:type="pct"/>
            <w:vAlign w:val="center"/>
          </w:tcPr>
          <w:p w14:paraId="28C73C76">
            <w:pPr>
              <w:jc w:val="right"/>
              <w:textAlignment w:val="center"/>
              <w:rPr>
                <w:rFonts w:cs="Times New Roman"/>
                <w:highlight w:val="cyan"/>
              </w:rPr>
            </w:pPr>
            <w:r>
              <w:rPr>
                <w:rFonts w:eastAsia="Arial Narrow" w:cs="Times New Roman"/>
                <w:color w:val="000000"/>
                <w:lang w:bidi="ar"/>
              </w:rPr>
              <w:t>709,745.55</w:t>
            </w:r>
          </w:p>
        </w:tc>
        <w:tc>
          <w:tcPr>
            <w:tcW w:w="1186" w:type="pct"/>
            <w:vAlign w:val="center"/>
          </w:tcPr>
          <w:p w14:paraId="7285993D">
            <w:pPr>
              <w:jc w:val="right"/>
              <w:textAlignment w:val="center"/>
              <w:rPr>
                <w:rFonts w:cs="Times New Roman"/>
              </w:rPr>
            </w:pPr>
            <w:r>
              <w:rPr>
                <w:rFonts w:cs="Times New Roman"/>
                <w:color w:val="000000"/>
              </w:rPr>
              <w:t>3,632,609.10</w:t>
            </w:r>
          </w:p>
        </w:tc>
      </w:tr>
      <w:tr w14:paraId="1361A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pct"/>
          </w:tcPr>
          <w:p w14:paraId="64DFCB95">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无形资产摊销</w:t>
            </w:r>
          </w:p>
        </w:tc>
        <w:tc>
          <w:tcPr>
            <w:tcW w:w="1053" w:type="pct"/>
            <w:vAlign w:val="center"/>
          </w:tcPr>
          <w:p w14:paraId="7865CC51">
            <w:pPr>
              <w:jc w:val="right"/>
              <w:textAlignment w:val="center"/>
              <w:rPr>
                <w:rFonts w:cs="Times New Roman"/>
                <w:highlight w:val="cyan"/>
              </w:rPr>
            </w:pPr>
            <w:r>
              <w:rPr>
                <w:rFonts w:eastAsia="Arial Narrow" w:cs="Times New Roman"/>
                <w:color w:val="000000"/>
                <w:lang w:bidi="ar"/>
              </w:rPr>
              <w:t>21,259,240.02</w:t>
            </w:r>
          </w:p>
        </w:tc>
        <w:tc>
          <w:tcPr>
            <w:tcW w:w="1186" w:type="pct"/>
            <w:vAlign w:val="center"/>
          </w:tcPr>
          <w:p w14:paraId="7EBD9D93">
            <w:pPr>
              <w:jc w:val="right"/>
              <w:textAlignment w:val="center"/>
              <w:rPr>
                <w:rFonts w:cs="Times New Roman"/>
              </w:rPr>
            </w:pPr>
            <w:r>
              <w:rPr>
                <w:rFonts w:cs="Times New Roman"/>
                <w:color w:val="000000"/>
              </w:rPr>
              <w:t>29,108,454.02</w:t>
            </w:r>
          </w:p>
        </w:tc>
      </w:tr>
      <w:tr w14:paraId="2422E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pct"/>
          </w:tcPr>
          <w:p w14:paraId="54B20A40">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长期待摊费用摊销</w:t>
            </w:r>
          </w:p>
        </w:tc>
        <w:tc>
          <w:tcPr>
            <w:tcW w:w="1053" w:type="pct"/>
            <w:vAlign w:val="center"/>
          </w:tcPr>
          <w:p w14:paraId="44B4BE64">
            <w:pPr>
              <w:jc w:val="right"/>
              <w:textAlignment w:val="center"/>
              <w:rPr>
                <w:rFonts w:cs="Times New Roman"/>
                <w:highlight w:val="cyan"/>
              </w:rPr>
            </w:pPr>
            <w:r>
              <w:rPr>
                <w:rFonts w:eastAsia="Arial Narrow" w:cs="Times New Roman"/>
                <w:color w:val="000000"/>
                <w:lang w:bidi="ar"/>
              </w:rPr>
              <w:t>5,348,592.25</w:t>
            </w:r>
          </w:p>
        </w:tc>
        <w:tc>
          <w:tcPr>
            <w:tcW w:w="1186" w:type="pct"/>
            <w:vAlign w:val="center"/>
          </w:tcPr>
          <w:p w14:paraId="4507B05C">
            <w:pPr>
              <w:jc w:val="right"/>
              <w:textAlignment w:val="center"/>
              <w:rPr>
                <w:rFonts w:cs="Times New Roman"/>
              </w:rPr>
            </w:pPr>
            <w:r>
              <w:rPr>
                <w:rFonts w:cs="Times New Roman"/>
                <w:color w:val="000000"/>
              </w:rPr>
              <w:t>4,085,216.70</w:t>
            </w:r>
          </w:p>
        </w:tc>
      </w:tr>
      <w:tr w14:paraId="157FF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pct"/>
          </w:tcPr>
          <w:p w14:paraId="16C663DC">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处置固定资产、无形资产和其他长期资产的损失（收益以“－”号填列）</w:t>
            </w:r>
          </w:p>
        </w:tc>
        <w:tc>
          <w:tcPr>
            <w:tcW w:w="1053" w:type="pct"/>
            <w:vAlign w:val="center"/>
          </w:tcPr>
          <w:p w14:paraId="0D7C2F5B">
            <w:pPr>
              <w:jc w:val="right"/>
              <w:textAlignment w:val="center"/>
              <w:rPr>
                <w:rFonts w:cs="Times New Roman"/>
                <w:highlight w:val="cyan"/>
              </w:rPr>
            </w:pPr>
            <w:r>
              <w:rPr>
                <w:rFonts w:eastAsia="Arial Narrow" w:cs="Times New Roman"/>
                <w:color w:val="000000"/>
                <w:lang w:bidi="ar"/>
              </w:rPr>
              <w:t>-1,077,259.35</w:t>
            </w:r>
          </w:p>
        </w:tc>
        <w:tc>
          <w:tcPr>
            <w:tcW w:w="1186" w:type="pct"/>
            <w:vAlign w:val="center"/>
          </w:tcPr>
          <w:p w14:paraId="0C322B6A">
            <w:pPr>
              <w:jc w:val="right"/>
              <w:textAlignment w:val="center"/>
              <w:rPr>
                <w:rFonts w:cs="Times New Roman"/>
              </w:rPr>
            </w:pPr>
            <w:r>
              <w:rPr>
                <w:rFonts w:cs="Times New Roman"/>
                <w:color w:val="000000"/>
              </w:rPr>
              <w:t>-78,391.18</w:t>
            </w:r>
          </w:p>
        </w:tc>
      </w:tr>
      <w:tr w14:paraId="1FC2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pct"/>
          </w:tcPr>
          <w:p w14:paraId="1937D951">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固定资产报废损失（收益以“－”号填列）</w:t>
            </w:r>
          </w:p>
        </w:tc>
        <w:tc>
          <w:tcPr>
            <w:tcW w:w="1053" w:type="pct"/>
            <w:vAlign w:val="center"/>
          </w:tcPr>
          <w:p w14:paraId="74A33903">
            <w:pPr>
              <w:jc w:val="right"/>
              <w:rPr>
                <w:rFonts w:cs="Times New Roman"/>
                <w:highlight w:val="cyan"/>
              </w:rPr>
            </w:pPr>
          </w:p>
        </w:tc>
        <w:tc>
          <w:tcPr>
            <w:tcW w:w="1186" w:type="pct"/>
            <w:vAlign w:val="center"/>
          </w:tcPr>
          <w:p w14:paraId="4A38856F">
            <w:pPr>
              <w:jc w:val="right"/>
              <w:textAlignment w:val="center"/>
              <w:rPr>
                <w:rFonts w:cs="Times New Roman"/>
              </w:rPr>
            </w:pPr>
            <w:r>
              <w:rPr>
                <w:rFonts w:cs="Times New Roman"/>
                <w:color w:val="000000"/>
              </w:rPr>
              <w:t>167,606.31</w:t>
            </w:r>
          </w:p>
        </w:tc>
      </w:tr>
      <w:tr w14:paraId="4076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pct"/>
          </w:tcPr>
          <w:p w14:paraId="3C5D2818">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财务费用（收益以“－”号填列）</w:t>
            </w:r>
          </w:p>
        </w:tc>
        <w:tc>
          <w:tcPr>
            <w:tcW w:w="1053" w:type="pct"/>
            <w:vAlign w:val="center"/>
          </w:tcPr>
          <w:p w14:paraId="25A5FC66">
            <w:pPr>
              <w:jc w:val="right"/>
              <w:textAlignment w:val="center"/>
              <w:rPr>
                <w:rFonts w:cs="Times New Roman"/>
                <w:highlight w:val="cyan"/>
              </w:rPr>
            </w:pPr>
            <w:r>
              <w:rPr>
                <w:rFonts w:eastAsia="Arial Narrow" w:cs="Times New Roman"/>
                <w:color w:val="000000"/>
                <w:lang w:bidi="ar"/>
              </w:rPr>
              <w:t>44,450,782.37</w:t>
            </w:r>
          </w:p>
        </w:tc>
        <w:tc>
          <w:tcPr>
            <w:tcW w:w="1186" w:type="pct"/>
            <w:vAlign w:val="center"/>
          </w:tcPr>
          <w:p w14:paraId="5318B9F9">
            <w:pPr>
              <w:jc w:val="right"/>
              <w:textAlignment w:val="center"/>
              <w:rPr>
                <w:rFonts w:cs="Times New Roman"/>
              </w:rPr>
            </w:pPr>
            <w:r>
              <w:rPr>
                <w:rFonts w:cs="Times New Roman"/>
                <w:color w:val="000000"/>
              </w:rPr>
              <w:t>33,398,694.13</w:t>
            </w:r>
          </w:p>
        </w:tc>
      </w:tr>
      <w:tr w14:paraId="0FB9D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pct"/>
          </w:tcPr>
          <w:p w14:paraId="71496D51">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投资损失（收益以“－”号填列）</w:t>
            </w:r>
          </w:p>
        </w:tc>
        <w:tc>
          <w:tcPr>
            <w:tcW w:w="1053" w:type="pct"/>
            <w:vAlign w:val="center"/>
          </w:tcPr>
          <w:p w14:paraId="0BC5917F">
            <w:pPr>
              <w:jc w:val="right"/>
              <w:textAlignment w:val="center"/>
              <w:rPr>
                <w:rFonts w:cs="Times New Roman"/>
                <w:highlight w:val="cyan"/>
              </w:rPr>
            </w:pPr>
            <w:r>
              <w:rPr>
                <w:rFonts w:eastAsia="Arial Narrow" w:cs="Times New Roman"/>
                <w:color w:val="000000"/>
                <w:lang w:bidi="ar"/>
              </w:rPr>
              <w:t>-30,312,923.31</w:t>
            </w:r>
          </w:p>
        </w:tc>
        <w:tc>
          <w:tcPr>
            <w:tcW w:w="1186" w:type="pct"/>
            <w:vAlign w:val="center"/>
          </w:tcPr>
          <w:p w14:paraId="350B07C8">
            <w:pPr>
              <w:jc w:val="right"/>
              <w:textAlignment w:val="center"/>
              <w:rPr>
                <w:rFonts w:cs="Times New Roman"/>
              </w:rPr>
            </w:pPr>
            <w:r>
              <w:rPr>
                <w:rFonts w:cs="Times New Roman"/>
                <w:color w:val="000000"/>
              </w:rPr>
              <w:t>3,586,240.83</w:t>
            </w:r>
          </w:p>
        </w:tc>
      </w:tr>
      <w:tr w14:paraId="0E3B4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pct"/>
          </w:tcPr>
          <w:p w14:paraId="28B106C8">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递延所得税资产减少（增加以“－”号填列）</w:t>
            </w:r>
          </w:p>
        </w:tc>
        <w:tc>
          <w:tcPr>
            <w:tcW w:w="1053" w:type="pct"/>
            <w:vAlign w:val="center"/>
          </w:tcPr>
          <w:p w14:paraId="6F80B635">
            <w:pPr>
              <w:jc w:val="right"/>
              <w:textAlignment w:val="center"/>
              <w:rPr>
                <w:rFonts w:cs="Times New Roman"/>
                <w:highlight w:val="cyan"/>
              </w:rPr>
            </w:pPr>
            <w:r>
              <w:rPr>
                <w:rFonts w:eastAsia="Arial Narrow" w:cs="Times New Roman"/>
                <w:color w:val="000000"/>
                <w:lang w:bidi="ar"/>
              </w:rPr>
              <w:t>6,493,284.97</w:t>
            </w:r>
          </w:p>
        </w:tc>
        <w:tc>
          <w:tcPr>
            <w:tcW w:w="1186" w:type="pct"/>
            <w:vAlign w:val="center"/>
          </w:tcPr>
          <w:p w14:paraId="0B12E7A6">
            <w:pPr>
              <w:jc w:val="right"/>
              <w:textAlignment w:val="center"/>
              <w:rPr>
                <w:rFonts w:cs="Times New Roman"/>
              </w:rPr>
            </w:pPr>
            <w:r>
              <w:rPr>
                <w:rFonts w:cs="Times New Roman"/>
                <w:color w:val="000000"/>
              </w:rPr>
              <w:t>3,200,948.67</w:t>
            </w:r>
          </w:p>
        </w:tc>
      </w:tr>
      <w:tr w14:paraId="6764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pct"/>
          </w:tcPr>
          <w:p w14:paraId="0755DAF9">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递延所得税负债增加（减少以“－”号填列）</w:t>
            </w:r>
          </w:p>
        </w:tc>
        <w:tc>
          <w:tcPr>
            <w:tcW w:w="1053" w:type="pct"/>
            <w:vAlign w:val="center"/>
          </w:tcPr>
          <w:p w14:paraId="1ECB0AB2">
            <w:pPr>
              <w:jc w:val="right"/>
              <w:textAlignment w:val="center"/>
              <w:rPr>
                <w:rFonts w:cs="Times New Roman"/>
                <w:highlight w:val="cyan"/>
              </w:rPr>
            </w:pPr>
            <w:r>
              <w:rPr>
                <w:rFonts w:eastAsia="Arial Narrow" w:cs="Times New Roman"/>
                <w:color w:val="000000"/>
                <w:lang w:bidi="ar"/>
              </w:rPr>
              <w:t>-106,461.85</w:t>
            </w:r>
          </w:p>
        </w:tc>
        <w:tc>
          <w:tcPr>
            <w:tcW w:w="1186" w:type="pct"/>
            <w:vAlign w:val="center"/>
          </w:tcPr>
          <w:p w14:paraId="6676CA5D">
            <w:pPr>
              <w:jc w:val="right"/>
              <w:textAlignment w:val="center"/>
              <w:rPr>
                <w:rFonts w:cs="Times New Roman"/>
              </w:rPr>
            </w:pPr>
            <w:r>
              <w:rPr>
                <w:rFonts w:cs="Times New Roman"/>
                <w:color w:val="000000"/>
              </w:rPr>
              <w:t>-544,891.37</w:t>
            </w:r>
          </w:p>
        </w:tc>
      </w:tr>
      <w:tr w14:paraId="1BD7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pct"/>
          </w:tcPr>
          <w:p w14:paraId="3AF518A8">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存货的减少（增加以“－”号填列）</w:t>
            </w:r>
          </w:p>
        </w:tc>
        <w:tc>
          <w:tcPr>
            <w:tcW w:w="1053" w:type="pct"/>
            <w:vAlign w:val="center"/>
          </w:tcPr>
          <w:p w14:paraId="084F1E53">
            <w:pPr>
              <w:jc w:val="right"/>
              <w:textAlignment w:val="center"/>
              <w:rPr>
                <w:rFonts w:cs="Times New Roman"/>
                <w:highlight w:val="cyan"/>
              </w:rPr>
            </w:pPr>
            <w:r>
              <w:rPr>
                <w:rFonts w:eastAsia="Arial Narrow" w:cs="Times New Roman"/>
                <w:color w:val="000000"/>
                <w:lang w:bidi="ar"/>
              </w:rPr>
              <w:t>356,992,613.04</w:t>
            </w:r>
          </w:p>
        </w:tc>
        <w:tc>
          <w:tcPr>
            <w:tcW w:w="1186" w:type="pct"/>
            <w:vAlign w:val="center"/>
          </w:tcPr>
          <w:p w14:paraId="4125E8FD">
            <w:pPr>
              <w:jc w:val="right"/>
              <w:textAlignment w:val="center"/>
              <w:rPr>
                <w:rFonts w:cs="Times New Roman"/>
              </w:rPr>
            </w:pPr>
            <w:r>
              <w:rPr>
                <w:rFonts w:cs="Times New Roman"/>
                <w:color w:val="000000"/>
              </w:rPr>
              <w:t>257,544,150.89</w:t>
            </w:r>
          </w:p>
        </w:tc>
      </w:tr>
      <w:tr w14:paraId="4C2D1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pct"/>
          </w:tcPr>
          <w:p w14:paraId="3B0E8D07">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经营性应收项目的减少（增加以“－”号填列）</w:t>
            </w:r>
          </w:p>
        </w:tc>
        <w:tc>
          <w:tcPr>
            <w:tcW w:w="1053" w:type="pct"/>
            <w:vAlign w:val="center"/>
          </w:tcPr>
          <w:p w14:paraId="57226BA7">
            <w:pPr>
              <w:jc w:val="right"/>
              <w:textAlignment w:val="center"/>
              <w:rPr>
                <w:rFonts w:cs="Times New Roman"/>
                <w:highlight w:val="cyan"/>
              </w:rPr>
            </w:pPr>
            <w:r>
              <w:rPr>
                <w:rFonts w:eastAsia="Arial Narrow" w:cs="Times New Roman"/>
                <w:color w:val="000000"/>
                <w:lang w:bidi="ar"/>
              </w:rPr>
              <w:t>-106,306,693.39</w:t>
            </w:r>
          </w:p>
        </w:tc>
        <w:tc>
          <w:tcPr>
            <w:tcW w:w="1186" w:type="pct"/>
            <w:vAlign w:val="center"/>
          </w:tcPr>
          <w:p w14:paraId="253E9544">
            <w:pPr>
              <w:jc w:val="right"/>
              <w:textAlignment w:val="center"/>
              <w:rPr>
                <w:rFonts w:cs="Times New Roman"/>
              </w:rPr>
            </w:pPr>
            <w:r>
              <w:rPr>
                <w:rFonts w:cs="Times New Roman"/>
                <w:color w:val="000000"/>
              </w:rPr>
              <w:t>-1,467,940,637.79</w:t>
            </w:r>
          </w:p>
        </w:tc>
      </w:tr>
      <w:tr w14:paraId="2E19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pct"/>
          </w:tcPr>
          <w:p w14:paraId="25A72874">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经营性应付项目的增加（减少以“－”号填列）</w:t>
            </w:r>
          </w:p>
        </w:tc>
        <w:tc>
          <w:tcPr>
            <w:tcW w:w="1053" w:type="pct"/>
            <w:vAlign w:val="center"/>
          </w:tcPr>
          <w:p w14:paraId="1CC94953">
            <w:pPr>
              <w:jc w:val="right"/>
              <w:textAlignment w:val="center"/>
              <w:rPr>
                <w:rFonts w:cs="Times New Roman"/>
                <w:highlight w:val="cyan"/>
              </w:rPr>
            </w:pPr>
            <w:r>
              <w:rPr>
                <w:rFonts w:eastAsia="Arial Narrow" w:cs="Times New Roman"/>
                <w:color w:val="000000"/>
                <w:lang w:bidi="ar"/>
              </w:rPr>
              <w:t>-1,311,301,887.81</w:t>
            </w:r>
          </w:p>
        </w:tc>
        <w:tc>
          <w:tcPr>
            <w:tcW w:w="1186" w:type="pct"/>
            <w:vAlign w:val="center"/>
          </w:tcPr>
          <w:p w14:paraId="04CB97D3">
            <w:pPr>
              <w:jc w:val="right"/>
              <w:textAlignment w:val="center"/>
              <w:rPr>
                <w:rFonts w:cs="Times New Roman"/>
              </w:rPr>
            </w:pPr>
            <w:r>
              <w:rPr>
                <w:rFonts w:cs="Times New Roman"/>
                <w:color w:val="000000"/>
              </w:rPr>
              <w:t>-581,464,571.89</w:t>
            </w:r>
          </w:p>
        </w:tc>
      </w:tr>
      <w:tr w14:paraId="36B2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pct"/>
          </w:tcPr>
          <w:p w14:paraId="68CA7217">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w:t>
            </w:r>
          </w:p>
        </w:tc>
        <w:tc>
          <w:tcPr>
            <w:tcW w:w="1053" w:type="pct"/>
            <w:vAlign w:val="center"/>
          </w:tcPr>
          <w:p w14:paraId="03C95006">
            <w:pPr>
              <w:jc w:val="right"/>
              <w:rPr>
                <w:rFonts w:cs="Times New Roman"/>
                <w:highlight w:val="cyan"/>
              </w:rPr>
            </w:pPr>
          </w:p>
        </w:tc>
        <w:tc>
          <w:tcPr>
            <w:tcW w:w="1186" w:type="pct"/>
            <w:vAlign w:val="center"/>
          </w:tcPr>
          <w:p w14:paraId="51126613">
            <w:pPr>
              <w:jc w:val="right"/>
              <w:rPr>
                <w:rFonts w:cs="Times New Roman"/>
              </w:rPr>
            </w:pPr>
          </w:p>
        </w:tc>
      </w:tr>
      <w:tr w14:paraId="20AC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pct"/>
          </w:tcPr>
          <w:p w14:paraId="163C29B0">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经营活动产生的现金流量净额</w:t>
            </w:r>
          </w:p>
        </w:tc>
        <w:tc>
          <w:tcPr>
            <w:tcW w:w="1053" w:type="pct"/>
            <w:vAlign w:val="center"/>
          </w:tcPr>
          <w:p w14:paraId="2B1588AE">
            <w:pPr>
              <w:jc w:val="right"/>
              <w:textAlignment w:val="center"/>
              <w:rPr>
                <w:rFonts w:cs="Times New Roman"/>
                <w:highlight w:val="cyan"/>
              </w:rPr>
            </w:pPr>
            <w:r>
              <w:rPr>
                <w:rFonts w:eastAsia="Arial Narrow" w:cs="Times New Roman"/>
                <w:color w:val="000000"/>
                <w:lang w:bidi="ar"/>
              </w:rPr>
              <w:t>-896,712,065.16</w:t>
            </w:r>
          </w:p>
        </w:tc>
        <w:tc>
          <w:tcPr>
            <w:tcW w:w="1186" w:type="pct"/>
            <w:vAlign w:val="center"/>
          </w:tcPr>
          <w:p w14:paraId="13EB8CE3">
            <w:pPr>
              <w:jc w:val="right"/>
              <w:textAlignment w:val="center"/>
              <w:rPr>
                <w:rFonts w:cs="Times New Roman"/>
              </w:rPr>
            </w:pPr>
            <w:r>
              <w:rPr>
                <w:rFonts w:cs="Times New Roman"/>
                <w:color w:val="000000"/>
              </w:rPr>
              <w:t>-1,618,356,756.77</w:t>
            </w:r>
          </w:p>
        </w:tc>
      </w:tr>
      <w:tr w14:paraId="72AD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db693429a97d44a2848da029ca6a724c"/>
            <w:id w:val="147478750"/>
          </w:sdtPr>
          <w:sdtEndPr>
            <w:rPr>
              <w:rFonts w:cs="Times New Roman"/>
            </w:rPr>
          </w:sdtEndPr>
          <w:sdtContent>
            <w:tc>
              <w:tcPr>
                <w:tcW w:w="5000" w:type="pct"/>
                <w:gridSpan w:val="3"/>
              </w:tcPr>
              <w:p w14:paraId="25E1D42C">
                <w:pPr>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2．不涉及现金收支的重大投资和筹资活动：</w:t>
                </w:r>
              </w:p>
            </w:tc>
          </w:sdtContent>
        </w:sdt>
      </w:tr>
      <w:tr w14:paraId="4BC8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1294459fe7ee46638b8d4b78b8d8c436"/>
            <w:id w:val="147481869"/>
          </w:sdtPr>
          <w:sdtEndPr>
            <w:rPr>
              <w:rFonts w:cs="Times New Roman"/>
            </w:rPr>
          </w:sdtEndPr>
          <w:sdtContent>
            <w:tc>
              <w:tcPr>
                <w:tcW w:w="5000" w:type="pct"/>
                <w:gridSpan w:val="3"/>
              </w:tcPr>
              <w:p w14:paraId="6A890CC6">
                <w:pPr>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3．现金及现金等价物净变动情况：</w:t>
                </w:r>
              </w:p>
            </w:tc>
          </w:sdtContent>
        </w:sdt>
      </w:tr>
      <w:tr w14:paraId="6306A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pct"/>
          </w:tcPr>
          <w:p w14:paraId="69CFF534">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现金的期末余额</w:t>
            </w:r>
          </w:p>
        </w:tc>
        <w:tc>
          <w:tcPr>
            <w:tcW w:w="1053" w:type="pct"/>
            <w:vAlign w:val="center"/>
          </w:tcPr>
          <w:p w14:paraId="2AE7F362">
            <w:pPr>
              <w:jc w:val="right"/>
              <w:textAlignment w:val="center"/>
              <w:rPr>
                <w:rFonts w:cs="Times New Roman"/>
              </w:rPr>
            </w:pPr>
            <w:r>
              <w:rPr>
                <w:rFonts w:eastAsia="Arial Narrow" w:cs="Times New Roman"/>
                <w:color w:val="000000"/>
                <w:lang w:bidi="ar"/>
              </w:rPr>
              <w:t>5,843,170,997.80</w:t>
            </w:r>
          </w:p>
        </w:tc>
        <w:tc>
          <w:tcPr>
            <w:tcW w:w="1186" w:type="pct"/>
            <w:vAlign w:val="center"/>
          </w:tcPr>
          <w:p w14:paraId="49E5AE17">
            <w:pPr>
              <w:jc w:val="right"/>
              <w:textAlignment w:val="center"/>
              <w:rPr>
                <w:rFonts w:cs="Times New Roman"/>
              </w:rPr>
            </w:pPr>
            <w:r>
              <w:rPr>
                <w:rFonts w:cs="Times New Roman"/>
                <w:color w:val="000000"/>
              </w:rPr>
              <w:t>4,056,315,669.33</w:t>
            </w:r>
          </w:p>
        </w:tc>
      </w:tr>
      <w:tr w14:paraId="48A1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pct"/>
          </w:tcPr>
          <w:p w14:paraId="69C60242">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减：现金的期初余额</w:t>
            </w:r>
          </w:p>
        </w:tc>
        <w:tc>
          <w:tcPr>
            <w:tcW w:w="1053" w:type="pct"/>
            <w:vAlign w:val="center"/>
          </w:tcPr>
          <w:p w14:paraId="744F93B2">
            <w:pPr>
              <w:jc w:val="right"/>
              <w:textAlignment w:val="center"/>
              <w:rPr>
                <w:rFonts w:cs="Times New Roman"/>
                <w:bCs w:val="0"/>
              </w:rPr>
            </w:pPr>
            <w:r>
              <w:rPr>
                <w:rFonts w:eastAsia="Arial Narrow" w:cs="Times New Roman"/>
                <w:color w:val="000000"/>
                <w:lang w:bidi="ar"/>
              </w:rPr>
              <w:t>5,365,543,602.37</w:t>
            </w:r>
          </w:p>
        </w:tc>
        <w:tc>
          <w:tcPr>
            <w:tcW w:w="1186" w:type="pct"/>
            <w:vAlign w:val="center"/>
          </w:tcPr>
          <w:p w14:paraId="30F4F5A8">
            <w:pPr>
              <w:jc w:val="right"/>
              <w:textAlignment w:val="center"/>
              <w:rPr>
                <w:rFonts w:cs="Times New Roman"/>
                <w:bCs w:val="0"/>
              </w:rPr>
            </w:pPr>
            <w:r>
              <w:rPr>
                <w:rFonts w:cs="Times New Roman"/>
                <w:color w:val="000000"/>
              </w:rPr>
              <w:t>6,495,626,671.63</w:t>
            </w:r>
          </w:p>
        </w:tc>
      </w:tr>
      <w:tr w14:paraId="52507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pct"/>
          </w:tcPr>
          <w:p w14:paraId="1B1C7F3D">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加：现金等价物的期末余额</w:t>
            </w:r>
          </w:p>
        </w:tc>
        <w:tc>
          <w:tcPr>
            <w:tcW w:w="1053" w:type="pct"/>
            <w:vAlign w:val="center"/>
          </w:tcPr>
          <w:p w14:paraId="0EB63FE2">
            <w:pPr>
              <w:jc w:val="right"/>
              <w:rPr>
                <w:rFonts w:cs="Times New Roman"/>
              </w:rPr>
            </w:pPr>
          </w:p>
        </w:tc>
        <w:tc>
          <w:tcPr>
            <w:tcW w:w="1186" w:type="pct"/>
            <w:vAlign w:val="center"/>
          </w:tcPr>
          <w:p w14:paraId="30DCA3D0">
            <w:pPr>
              <w:jc w:val="right"/>
              <w:rPr>
                <w:rFonts w:cs="Times New Roman"/>
              </w:rPr>
            </w:pPr>
          </w:p>
        </w:tc>
      </w:tr>
      <w:tr w14:paraId="2F1F7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pct"/>
          </w:tcPr>
          <w:p w14:paraId="533772CE">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减：现金等价物的期初余额</w:t>
            </w:r>
          </w:p>
        </w:tc>
        <w:tc>
          <w:tcPr>
            <w:tcW w:w="1053" w:type="pct"/>
            <w:vAlign w:val="center"/>
          </w:tcPr>
          <w:p w14:paraId="18E92B72">
            <w:pPr>
              <w:jc w:val="right"/>
              <w:rPr>
                <w:rFonts w:cs="Times New Roman"/>
                <w:bCs w:val="0"/>
              </w:rPr>
            </w:pPr>
          </w:p>
        </w:tc>
        <w:tc>
          <w:tcPr>
            <w:tcW w:w="1186" w:type="pct"/>
            <w:vAlign w:val="center"/>
          </w:tcPr>
          <w:p w14:paraId="7E74EF56">
            <w:pPr>
              <w:jc w:val="right"/>
              <w:rPr>
                <w:rFonts w:cs="Times New Roman"/>
                <w:bCs w:val="0"/>
              </w:rPr>
            </w:pPr>
          </w:p>
        </w:tc>
      </w:tr>
      <w:tr w14:paraId="20C0E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9" w:type="pct"/>
          </w:tcPr>
          <w:p w14:paraId="0280AEA7">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现金及现金等价物净增加额</w:t>
            </w:r>
          </w:p>
        </w:tc>
        <w:tc>
          <w:tcPr>
            <w:tcW w:w="1053" w:type="pct"/>
            <w:vAlign w:val="center"/>
          </w:tcPr>
          <w:p w14:paraId="54A1CE1B">
            <w:pPr>
              <w:jc w:val="right"/>
              <w:textAlignment w:val="center"/>
              <w:rPr>
                <w:rFonts w:cs="Times New Roman"/>
              </w:rPr>
            </w:pPr>
            <w:r>
              <w:rPr>
                <w:rFonts w:eastAsia="Arial Narrow" w:cs="Times New Roman"/>
                <w:color w:val="000000"/>
                <w:lang w:bidi="ar"/>
              </w:rPr>
              <w:t>477,627,395.43</w:t>
            </w:r>
          </w:p>
        </w:tc>
        <w:tc>
          <w:tcPr>
            <w:tcW w:w="1186" w:type="pct"/>
            <w:vAlign w:val="center"/>
          </w:tcPr>
          <w:p w14:paraId="5F551AB8">
            <w:pPr>
              <w:jc w:val="right"/>
              <w:textAlignment w:val="center"/>
              <w:rPr>
                <w:rFonts w:cs="Times New Roman"/>
                <w:bCs w:val="0"/>
              </w:rPr>
            </w:pPr>
            <w:r>
              <w:rPr>
                <w:rFonts w:cs="Times New Roman"/>
                <w:color w:val="000000"/>
              </w:rPr>
              <w:t>-2,439,311,002.30</w:t>
            </w:r>
          </w:p>
        </w:tc>
      </w:tr>
    </w:tbl>
    <w:p w14:paraId="79C2F8F1">
      <w:pPr>
        <w:rPr>
          <w:color w:val="000000" w:themeColor="text1"/>
          <w14:textFill>
            <w14:solidFill>
              <w14:schemeClr w14:val="tx1"/>
            </w14:solidFill>
          </w14:textFill>
        </w:rPr>
      </w:pPr>
    </w:p>
    <w:p w14:paraId="7D939DA5">
      <w:pPr>
        <w:pStyle w:val="58"/>
        <w:numPr>
          <w:ilvl w:val="0"/>
          <w:numId w:val="91"/>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本期支付的取得子公司的现金净额</w:t>
      </w:r>
    </w:p>
    <w:sdt>
      <w:sdtPr>
        <w:rPr>
          <w:color w:val="000000" w:themeColor="text1"/>
          <w14:textFill>
            <w14:solidFill>
              <w14:schemeClr w14:val="tx1"/>
            </w14:solidFill>
          </w14:textFill>
        </w:rPr>
        <w:alias w:val="是否适用：本期支付的取得子公司的现金净额[双击切换]"/>
        <w:tag w:val="_GBC_903abae67cad448caac446eb8c11fd79"/>
        <w:id w:val="147457185"/>
        <w:placeholder>
          <w:docPart w:val="GBC22222222222222222222222222222"/>
        </w:placeholder>
      </w:sdtPr>
      <w:sdtEndPr>
        <w:rPr>
          <w:color w:val="000000" w:themeColor="text1"/>
          <w14:textFill>
            <w14:solidFill>
              <w14:schemeClr w14:val="tx1"/>
            </w14:solidFill>
          </w14:textFill>
        </w:rPr>
      </w:sdtEndPr>
      <w:sdtContent>
        <w:p w14:paraId="06F38B8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CFE8FB1">
      <w:pPr>
        <w:rPr>
          <w:color w:val="000000" w:themeColor="text1"/>
          <w14:textFill>
            <w14:solidFill>
              <w14:schemeClr w14:val="tx1"/>
            </w14:solidFill>
          </w14:textFill>
        </w:rPr>
      </w:pPr>
    </w:p>
    <w:p w14:paraId="7AD539B2">
      <w:pPr>
        <w:pStyle w:val="58"/>
        <w:numPr>
          <w:ilvl w:val="0"/>
          <w:numId w:val="91"/>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本期收到的处置子公司的现金净额</w:t>
      </w:r>
    </w:p>
    <w:sdt>
      <w:sdtPr>
        <w:rPr>
          <w:color w:val="000000" w:themeColor="text1"/>
          <w14:textFill>
            <w14:solidFill>
              <w14:schemeClr w14:val="tx1"/>
            </w14:solidFill>
          </w14:textFill>
        </w:rPr>
        <w:alias w:val="是否适用：本期收到的处置子公司的现金净额[双击切换]"/>
        <w:tag w:val="_GBC_2b4b13c85bb94d13bb7b7edebe0a9f5a"/>
        <w:id w:val="147466252"/>
        <w:placeholder>
          <w:docPart w:val="GBC22222222222222222222222222222"/>
        </w:placeholder>
      </w:sdtPr>
      <w:sdtEndPr>
        <w:rPr>
          <w:color w:val="000000" w:themeColor="text1"/>
          <w14:textFill>
            <w14:solidFill>
              <w14:schemeClr w14:val="tx1"/>
            </w14:solidFill>
          </w14:textFill>
        </w:rPr>
      </w:sdtEndPr>
      <w:sdtContent>
        <w:p w14:paraId="06346D5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9E289B8">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本期收到的处置子公司的现金净额"/>
          <w:tag w:val="_GBC_b8f558a6c7ea4df9bdecf023dc5e7f6d"/>
          <w:id w:val="147458977"/>
          <w:placeholder>
            <w:docPart w:val="{b6f0efa9-5a0c-4ad6-9409-e6dd685b4eab}"/>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本期收到的处置子公司的现金净额"/>
          <w:tag w:val="_GBC_aabc7f14e423432c85fbfdaba3624aff"/>
          <w:id w:val="147470962"/>
          <w:placeholder>
            <w:docPart w:val="{b6f0efa9-5a0c-4ad6-9409-e6dd685b4eab}"/>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5"/>
        <w:gridCol w:w="3144"/>
      </w:tblGrid>
      <w:tr w14:paraId="5511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2" w:type="pct"/>
            <w:vAlign w:val="center"/>
          </w:tcPr>
          <w:p w14:paraId="3AA009AA">
            <w:pPr>
              <w:jc w:val="center"/>
              <w:rPr>
                <w:rFonts w:cs="Times New Roman"/>
                <w:color w:val="000000" w:themeColor="text1"/>
                <w:lang w:val="en-GB"/>
                <w14:textFill>
                  <w14:solidFill>
                    <w14:schemeClr w14:val="tx1"/>
                  </w14:solidFill>
                </w14:textFill>
              </w:rPr>
            </w:pPr>
          </w:p>
        </w:tc>
        <w:sdt>
          <w:sdtPr>
            <w:rPr>
              <w:rFonts w:cs="Times New Roman"/>
            </w:rPr>
            <w:tag w:val="_PLD_03eee480e0eb4c079c767d3b7d110519"/>
            <w:id w:val="147462179"/>
          </w:sdtPr>
          <w:sdtEndPr>
            <w:rPr>
              <w:rFonts w:cs="Times New Roman"/>
            </w:rPr>
          </w:sdtEndPr>
          <w:sdtContent>
            <w:tc>
              <w:tcPr>
                <w:tcW w:w="1737" w:type="pct"/>
                <w:vAlign w:val="center"/>
              </w:tcPr>
              <w:p w14:paraId="3C6DBE3A">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金额</w:t>
                </w:r>
              </w:p>
            </w:tc>
          </w:sdtContent>
        </w:sdt>
      </w:tr>
      <w:tr w14:paraId="5F8D6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2" w:type="pct"/>
          </w:tcPr>
          <w:p w14:paraId="2FB6C71D">
            <w:pP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本期处置子公司于本期收到的现金或现金等价物</w:t>
            </w:r>
          </w:p>
        </w:tc>
        <w:tc>
          <w:tcPr>
            <w:tcW w:w="1737" w:type="pct"/>
          </w:tcPr>
          <w:p w14:paraId="3615E76F">
            <w:pPr>
              <w:jc w:val="right"/>
              <w:rPr>
                <w:rFonts w:cs="Times New Roman"/>
              </w:rPr>
            </w:pPr>
          </w:p>
        </w:tc>
      </w:tr>
      <w:tr w14:paraId="3268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2" w:type="pct"/>
          </w:tcPr>
          <w:p w14:paraId="21A8B0BC">
            <w:pP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减：丧失控制权日子公司持有的现金及现金等价物</w:t>
            </w:r>
          </w:p>
        </w:tc>
        <w:tc>
          <w:tcPr>
            <w:tcW w:w="3144" w:type="dxa"/>
            <w:vAlign w:val="center"/>
          </w:tcPr>
          <w:p w14:paraId="394CB89C">
            <w:pPr>
              <w:jc w:val="right"/>
              <w:textAlignment w:val="center"/>
              <w:rPr>
                <w:rFonts w:cs="Times New Roman"/>
              </w:rPr>
            </w:pPr>
            <w:r>
              <w:rPr>
                <w:rFonts w:eastAsia="Arial Narrow" w:cs="Times New Roman"/>
                <w:color w:val="000000"/>
                <w:lang w:bidi="ar"/>
              </w:rPr>
              <w:t>182,679.76</w:t>
            </w:r>
          </w:p>
        </w:tc>
      </w:tr>
      <w:tr w14:paraId="61EE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2" w:type="pct"/>
          </w:tcPr>
          <w:p w14:paraId="7354C222">
            <w:pPr>
              <w:ind w:firstLine="420" w:firstLineChars="200"/>
              <w:textAlignment w:val="top"/>
              <w:rPr>
                <w:rFonts w:cs="Times New Roman"/>
                <w:lang w:val="en-GB"/>
              </w:rPr>
            </w:pPr>
            <w:r>
              <w:rPr>
                <w:rFonts w:cs="Times New Roman"/>
                <w:color w:val="000000"/>
                <w:lang w:bidi="ar"/>
              </w:rPr>
              <w:t>其中：西双版纳南博有限责任公司</w:t>
            </w:r>
          </w:p>
        </w:tc>
        <w:tc>
          <w:tcPr>
            <w:tcW w:w="3144" w:type="dxa"/>
            <w:vAlign w:val="center"/>
          </w:tcPr>
          <w:p w14:paraId="7A5D9D46">
            <w:pPr>
              <w:jc w:val="right"/>
              <w:textAlignment w:val="center"/>
              <w:rPr>
                <w:rFonts w:cs="Times New Roman"/>
              </w:rPr>
            </w:pPr>
            <w:r>
              <w:rPr>
                <w:rFonts w:eastAsia="Arial Narrow" w:cs="Times New Roman"/>
                <w:color w:val="000000"/>
                <w:lang w:bidi="ar"/>
              </w:rPr>
              <w:t>182,679.76</w:t>
            </w:r>
          </w:p>
        </w:tc>
      </w:tr>
      <w:tr w14:paraId="1209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2" w:type="pct"/>
          </w:tcPr>
          <w:p w14:paraId="726E3F97">
            <w:pPr>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加：以前期间处置子公司于本期收到的现金或现金等价物</w:t>
            </w:r>
          </w:p>
        </w:tc>
        <w:tc>
          <w:tcPr>
            <w:tcW w:w="3144" w:type="dxa"/>
            <w:vAlign w:val="center"/>
          </w:tcPr>
          <w:p w14:paraId="20391E42">
            <w:pPr>
              <w:jc w:val="right"/>
              <w:rPr>
                <w:rFonts w:cs="Times New Roman"/>
              </w:rPr>
            </w:pPr>
          </w:p>
        </w:tc>
      </w:tr>
      <w:tr w14:paraId="68E2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2" w:type="pct"/>
          </w:tcPr>
          <w:p w14:paraId="529717C5">
            <w:pP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处置子公司收到的现金净额</w:t>
            </w:r>
          </w:p>
        </w:tc>
        <w:tc>
          <w:tcPr>
            <w:tcW w:w="3144" w:type="dxa"/>
            <w:vAlign w:val="center"/>
          </w:tcPr>
          <w:p w14:paraId="508A641A">
            <w:pPr>
              <w:jc w:val="right"/>
              <w:textAlignment w:val="center"/>
              <w:rPr>
                <w:rFonts w:cs="Times New Roman"/>
              </w:rPr>
            </w:pPr>
            <w:r>
              <w:rPr>
                <w:rFonts w:eastAsia="Arial Narrow" w:cs="Times New Roman"/>
                <w:color w:val="000000"/>
                <w:lang w:bidi="ar"/>
              </w:rPr>
              <w:t>-182,679.76</w:t>
            </w:r>
          </w:p>
        </w:tc>
      </w:tr>
    </w:tbl>
    <w:p w14:paraId="5B086291">
      <w:pPr>
        <w:rPr>
          <w:color w:val="000000" w:themeColor="text1"/>
          <w14:textFill>
            <w14:solidFill>
              <w14:schemeClr w14:val="tx1"/>
            </w14:solidFill>
          </w14:textFill>
        </w:rPr>
      </w:pPr>
    </w:p>
    <w:p w14:paraId="0E2D20E2">
      <w:pPr>
        <w:rPr>
          <w:color w:val="000000" w:themeColor="text1"/>
          <w14:textFill>
            <w14:solidFill>
              <w14:schemeClr w14:val="tx1"/>
            </w14:solidFill>
          </w14:textFill>
        </w:rPr>
      </w:pPr>
    </w:p>
    <w:p w14:paraId="5E39BAAA">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r>
        <w:rPr>
          <w:color w:val="000000" w:themeColor="text1"/>
          <w14:textFill>
            <w14:solidFill>
              <w14:schemeClr w14:val="tx1"/>
            </w14:solidFill>
          </w14:textFill>
        </w:rPr>
        <w:t>：</w:t>
      </w:r>
    </w:p>
    <w:sdt>
      <w:sdtPr>
        <w:rPr>
          <w:color w:val="000000" w:themeColor="text1"/>
          <w14:textFill>
            <w14:solidFill>
              <w14:schemeClr w14:val="tx1"/>
            </w14:solidFill>
          </w14:textFill>
        </w:rPr>
        <w:alias w:val="处置子公司收到的现金净额的其他说明"/>
        <w:tag w:val="_GBC_832bdab473c74eca866291099d3bd834"/>
        <w:id w:val="147463227"/>
        <w:placeholder>
          <w:docPart w:val="{b6f0efa9-5a0c-4ad6-9409-e6dd685b4eab}"/>
        </w:placeholder>
      </w:sdtPr>
      <w:sdtEndPr>
        <w:rPr>
          <w:color w:val="000000" w:themeColor="text1"/>
          <w14:textFill>
            <w14:solidFill>
              <w14:schemeClr w14:val="tx1"/>
            </w14:solidFill>
          </w14:textFill>
        </w:rPr>
      </w:sdtEndPr>
      <w:sdtContent>
        <w:p w14:paraId="5B22F377">
          <w:r>
            <w:rPr>
              <w:rFonts w:hint="eastAsia"/>
              <w:color w:val="000000" w:themeColor="text1"/>
              <w14:textFill>
                <w14:solidFill>
                  <w14:schemeClr w14:val="tx1"/>
                </w14:solidFill>
              </w14:textFill>
            </w:rPr>
            <w:t>无</w:t>
          </w:r>
        </w:p>
      </w:sdtContent>
    </w:sdt>
    <w:p w14:paraId="114A29C4">
      <w:pPr>
        <w:rPr>
          <w:color w:val="000000" w:themeColor="text1"/>
          <w14:textFill>
            <w14:solidFill>
              <w14:schemeClr w14:val="tx1"/>
            </w14:solidFill>
          </w14:textFill>
        </w:rPr>
      </w:pPr>
    </w:p>
    <w:p w14:paraId="385785F6">
      <w:pPr>
        <w:pStyle w:val="58"/>
        <w:numPr>
          <w:ilvl w:val="0"/>
          <w:numId w:val="91"/>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现金和现金等价物的构成</w:t>
      </w:r>
    </w:p>
    <w:sdt>
      <w:sdtPr>
        <w:rPr>
          <w:color w:val="000000" w:themeColor="text1"/>
          <w14:textFill>
            <w14:solidFill>
              <w14:schemeClr w14:val="tx1"/>
            </w14:solidFill>
          </w14:textFill>
        </w:rPr>
        <w:alias w:val="是否适用：现金和现金等价物的构成[双击切换]"/>
        <w:tag w:val="_GBC_4f1d477972634410a6ea7bdfaf766947"/>
        <w:id w:val="147482049"/>
        <w:placeholder>
          <w:docPart w:val="GBC22222222222222222222222222222"/>
        </w:placeholder>
      </w:sdtPr>
      <w:sdtEndPr>
        <w:rPr>
          <w:color w:val="000000" w:themeColor="text1"/>
          <w14:textFill>
            <w14:solidFill>
              <w14:schemeClr w14:val="tx1"/>
            </w14:solidFill>
          </w14:textFill>
        </w:rPr>
      </w:sdtEndPr>
      <w:sdtContent>
        <w:p w14:paraId="15DCC88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420784E">
      <w:pPr>
        <w:jc w:val="right"/>
        <w:rPr>
          <w:b/>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现金和现金等价物的构成"/>
          <w:tag w:val="_GBC_b65333ba6aec402382c4acbbb6696560"/>
          <w:id w:val="1474723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现金和现金等价物的构成"/>
          <w:tag w:val="_GBC_15cada3a52264083942ef83a40fa25a0"/>
          <w:id w:val="1474656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97"/>
        <w:gridCol w:w="2538"/>
        <w:gridCol w:w="2414"/>
      </w:tblGrid>
      <w:tr w14:paraId="5CC0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cs="Times New Roman"/>
            </w:rPr>
            <w:tag w:val="_PLD_d5bf85e9303e4843a7623f09eae933c6"/>
            <w:id w:val="147460420"/>
          </w:sdtPr>
          <w:sdtEndPr>
            <w:rPr>
              <w:rFonts w:cs="Times New Roman"/>
            </w:rPr>
          </w:sdtEndPr>
          <w:sdtContent>
            <w:tc>
              <w:tcPr>
                <w:tcW w:w="2263" w:type="pct"/>
                <w:tcBorders>
                  <w:bottom w:val="single" w:color="auto" w:sz="4" w:space="0"/>
                </w:tcBorders>
                <w:vAlign w:val="center"/>
              </w:tcPr>
              <w:p w14:paraId="373EE05A">
                <w:pPr>
                  <w:ind w:left="-107" w:leftChars="-51"/>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e3a960d2f6474687b9cbaec3f1075e19"/>
            <w:id w:val="147475899"/>
          </w:sdtPr>
          <w:sdtEndPr>
            <w:rPr>
              <w:rFonts w:cs="Times New Roman"/>
            </w:rPr>
          </w:sdtEndPr>
          <w:sdtContent>
            <w:tc>
              <w:tcPr>
                <w:tcW w:w="1402" w:type="pct"/>
                <w:vAlign w:val="center"/>
              </w:tcPr>
              <w:p w14:paraId="539E194F">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0d0909eba9344c8ab96c7fb88f0b117a"/>
            <w:id w:val="147478114"/>
          </w:sdtPr>
          <w:sdtEndPr>
            <w:rPr>
              <w:rFonts w:cs="Times New Roman"/>
            </w:rPr>
          </w:sdtEndPr>
          <w:sdtContent>
            <w:tc>
              <w:tcPr>
                <w:tcW w:w="1333" w:type="pct"/>
              </w:tcPr>
              <w:p w14:paraId="4CCEF01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tr>
      <w:tr w14:paraId="7A4A0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pct"/>
            <w:vAlign w:val="center"/>
          </w:tcPr>
          <w:p w14:paraId="19A9A5F1">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一、现金</w:t>
            </w:r>
          </w:p>
        </w:tc>
        <w:tc>
          <w:tcPr>
            <w:tcW w:w="1402" w:type="pct"/>
            <w:vAlign w:val="center"/>
          </w:tcPr>
          <w:p w14:paraId="37FFAF0F">
            <w:pPr>
              <w:jc w:val="right"/>
              <w:textAlignment w:val="center"/>
              <w:rPr>
                <w:rFonts w:cs="Times New Roman"/>
              </w:rPr>
            </w:pPr>
            <w:r>
              <w:rPr>
                <w:rFonts w:eastAsia="Arial Narrow" w:cs="Times New Roman"/>
                <w:color w:val="000000"/>
                <w:lang w:bidi="ar"/>
              </w:rPr>
              <w:t>5,843,170,997.80</w:t>
            </w:r>
          </w:p>
        </w:tc>
        <w:tc>
          <w:tcPr>
            <w:tcW w:w="1333" w:type="pct"/>
            <w:vAlign w:val="center"/>
          </w:tcPr>
          <w:p w14:paraId="7E33F837">
            <w:pPr>
              <w:jc w:val="right"/>
              <w:textAlignment w:val="center"/>
              <w:rPr>
                <w:rFonts w:cs="Times New Roman"/>
              </w:rPr>
            </w:pPr>
            <w:r>
              <w:rPr>
                <w:rFonts w:eastAsia="Arial Narrow" w:cs="Times New Roman"/>
                <w:color w:val="000000"/>
                <w:lang w:bidi="ar"/>
              </w:rPr>
              <w:t>5,365,543,602.37</w:t>
            </w:r>
          </w:p>
        </w:tc>
      </w:tr>
      <w:tr w14:paraId="6ED3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pct"/>
            <w:vAlign w:val="center"/>
          </w:tcPr>
          <w:p w14:paraId="240AE4A9">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其中：库存现金</w:t>
            </w:r>
          </w:p>
        </w:tc>
        <w:tc>
          <w:tcPr>
            <w:tcW w:w="1402" w:type="pct"/>
            <w:vAlign w:val="center"/>
          </w:tcPr>
          <w:p w14:paraId="0DB409A6">
            <w:pPr>
              <w:jc w:val="right"/>
              <w:textAlignment w:val="center"/>
              <w:rPr>
                <w:rFonts w:cs="Times New Roman"/>
              </w:rPr>
            </w:pPr>
            <w:r>
              <w:rPr>
                <w:rFonts w:eastAsia="Arial Narrow" w:cs="Times New Roman"/>
                <w:color w:val="000000"/>
                <w:lang w:bidi="ar"/>
              </w:rPr>
              <w:t>18,011.50</w:t>
            </w:r>
          </w:p>
        </w:tc>
        <w:tc>
          <w:tcPr>
            <w:tcW w:w="1333" w:type="pct"/>
            <w:vAlign w:val="center"/>
          </w:tcPr>
          <w:p w14:paraId="5B61CA66">
            <w:pPr>
              <w:jc w:val="right"/>
              <w:textAlignment w:val="center"/>
              <w:rPr>
                <w:rFonts w:cs="Times New Roman"/>
              </w:rPr>
            </w:pPr>
            <w:r>
              <w:rPr>
                <w:rFonts w:eastAsia="Arial Narrow" w:cs="Times New Roman"/>
                <w:color w:val="000000"/>
                <w:lang w:bidi="ar"/>
              </w:rPr>
              <w:t>10,209.00</w:t>
            </w:r>
          </w:p>
        </w:tc>
      </w:tr>
      <w:tr w14:paraId="4C7FB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pct"/>
            <w:vAlign w:val="center"/>
          </w:tcPr>
          <w:p w14:paraId="61A417F4">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可随时用于支付的银行存款</w:t>
            </w:r>
          </w:p>
        </w:tc>
        <w:tc>
          <w:tcPr>
            <w:tcW w:w="1402" w:type="pct"/>
            <w:vAlign w:val="center"/>
          </w:tcPr>
          <w:p w14:paraId="69E43770">
            <w:pPr>
              <w:jc w:val="right"/>
              <w:textAlignment w:val="center"/>
              <w:rPr>
                <w:rFonts w:cs="Times New Roman"/>
              </w:rPr>
            </w:pPr>
            <w:r>
              <w:rPr>
                <w:rFonts w:eastAsia="Arial Narrow" w:cs="Times New Roman"/>
                <w:color w:val="000000"/>
                <w:lang w:bidi="ar"/>
              </w:rPr>
              <w:t>5,841,945,120.78</w:t>
            </w:r>
          </w:p>
        </w:tc>
        <w:tc>
          <w:tcPr>
            <w:tcW w:w="1333" w:type="pct"/>
            <w:vAlign w:val="center"/>
          </w:tcPr>
          <w:p w14:paraId="57B9895F">
            <w:pPr>
              <w:jc w:val="right"/>
              <w:textAlignment w:val="center"/>
              <w:rPr>
                <w:rFonts w:cs="Times New Roman"/>
              </w:rPr>
            </w:pPr>
            <w:r>
              <w:rPr>
                <w:rFonts w:eastAsia="Arial Narrow" w:cs="Times New Roman"/>
                <w:color w:val="000000"/>
                <w:lang w:bidi="ar"/>
              </w:rPr>
              <w:t>5,361,852,189.84</w:t>
            </w:r>
          </w:p>
        </w:tc>
      </w:tr>
      <w:tr w14:paraId="069BF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pct"/>
            <w:vAlign w:val="center"/>
          </w:tcPr>
          <w:p w14:paraId="45AEC5EF">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可随时用于支付的其他货币资金</w:t>
            </w:r>
          </w:p>
        </w:tc>
        <w:tc>
          <w:tcPr>
            <w:tcW w:w="1402" w:type="pct"/>
            <w:vAlign w:val="center"/>
          </w:tcPr>
          <w:p w14:paraId="6407CBE9">
            <w:pPr>
              <w:jc w:val="right"/>
              <w:textAlignment w:val="center"/>
              <w:rPr>
                <w:rFonts w:cs="Times New Roman"/>
              </w:rPr>
            </w:pPr>
            <w:r>
              <w:rPr>
                <w:rFonts w:eastAsia="Arial Narrow" w:cs="Times New Roman"/>
                <w:color w:val="000000"/>
                <w:lang w:bidi="ar"/>
              </w:rPr>
              <w:t>1,207,865.52</w:t>
            </w:r>
          </w:p>
        </w:tc>
        <w:tc>
          <w:tcPr>
            <w:tcW w:w="1333" w:type="pct"/>
            <w:vAlign w:val="center"/>
          </w:tcPr>
          <w:p w14:paraId="654CA93C">
            <w:pPr>
              <w:jc w:val="right"/>
              <w:textAlignment w:val="center"/>
              <w:rPr>
                <w:rFonts w:cs="Times New Roman"/>
              </w:rPr>
            </w:pPr>
            <w:r>
              <w:rPr>
                <w:rFonts w:eastAsia="Arial Narrow" w:cs="Times New Roman"/>
                <w:color w:val="000000"/>
                <w:lang w:bidi="ar"/>
              </w:rPr>
              <w:t>3,681,203.53</w:t>
            </w:r>
          </w:p>
        </w:tc>
      </w:tr>
      <w:tr w14:paraId="73E4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pct"/>
            <w:vAlign w:val="center"/>
          </w:tcPr>
          <w:p w14:paraId="6CBEEEA8">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二、现金等价物</w:t>
            </w:r>
          </w:p>
        </w:tc>
        <w:tc>
          <w:tcPr>
            <w:tcW w:w="1402" w:type="pct"/>
            <w:vAlign w:val="center"/>
          </w:tcPr>
          <w:p w14:paraId="491C2B24">
            <w:pPr>
              <w:jc w:val="right"/>
              <w:rPr>
                <w:rFonts w:cs="Times New Roman"/>
              </w:rPr>
            </w:pPr>
          </w:p>
        </w:tc>
        <w:tc>
          <w:tcPr>
            <w:tcW w:w="1333" w:type="pct"/>
            <w:vAlign w:val="center"/>
          </w:tcPr>
          <w:p w14:paraId="574AA0A4">
            <w:pPr>
              <w:jc w:val="right"/>
              <w:rPr>
                <w:rFonts w:cs="Times New Roman"/>
              </w:rPr>
            </w:pPr>
          </w:p>
        </w:tc>
      </w:tr>
      <w:tr w14:paraId="6342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pct"/>
            <w:vAlign w:val="center"/>
          </w:tcPr>
          <w:p w14:paraId="4BEB2CDE">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三、期末现金及现金等价物余额</w:t>
            </w:r>
          </w:p>
        </w:tc>
        <w:tc>
          <w:tcPr>
            <w:tcW w:w="1402" w:type="pct"/>
            <w:vAlign w:val="center"/>
          </w:tcPr>
          <w:p w14:paraId="4B11C64E">
            <w:pPr>
              <w:jc w:val="right"/>
              <w:textAlignment w:val="center"/>
              <w:rPr>
                <w:rFonts w:cs="Times New Roman"/>
              </w:rPr>
            </w:pPr>
            <w:r>
              <w:rPr>
                <w:rFonts w:eastAsia="Arial Narrow" w:cs="Times New Roman"/>
                <w:color w:val="000000"/>
                <w:lang w:bidi="ar"/>
              </w:rPr>
              <w:t>5,843,170,997.80</w:t>
            </w:r>
          </w:p>
        </w:tc>
        <w:tc>
          <w:tcPr>
            <w:tcW w:w="1333" w:type="pct"/>
            <w:vAlign w:val="center"/>
          </w:tcPr>
          <w:p w14:paraId="0C543751">
            <w:pPr>
              <w:jc w:val="right"/>
              <w:textAlignment w:val="center"/>
              <w:rPr>
                <w:rFonts w:cs="Times New Roman"/>
              </w:rPr>
            </w:pPr>
            <w:r>
              <w:rPr>
                <w:rFonts w:eastAsia="Arial Narrow" w:cs="Times New Roman"/>
                <w:color w:val="000000"/>
                <w:lang w:bidi="ar"/>
              </w:rPr>
              <w:t>5,365,543,602.37</w:t>
            </w:r>
          </w:p>
        </w:tc>
      </w:tr>
      <w:tr w14:paraId="55D0C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pct"/>
            <w:vAlign w:val="center"/>
          </w:tcPr>
          <w:p w14:paraId="090B549A">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其中：母公司或集团内子公司使用受限制的现金和现金等价物</w:t>
            </w:r>
          </w:p>
        </w:tc>
        <w:tc>
          <w:tcPr>
            <w:tcW w:w="1402" w:type="pct"/>
            <w:vAlign w:val="center"/>
          </w:tcPr>
          <w:p w14:paraId="577A1BB7">
            <w:pPr>
              <w:jc w:val="right"/>
              <w:textAlignment w:val="center"/>
              <w:rPr>
                <w:rFonts w:cs="Times New Roman"/>
              </w:rPr>
            </w:pPr>
            <w:r>
              <w:rPr>
                <w:rFonts w:eastAsia="Arial Narrow" w:cs="Times New Roman"/>
                <w:color w:val="000000"/>
                <w:lang w:bidi="ar"/>
              </w:rPr>
              <w:t>146,412,978.92</w:t>
            </w:r>
          </w:p>
        </w:tc>
        <w:tc>
          <w:tcPr>
            <w:tcW w:w="1333" w:type="pct"/>
            <w:vAlign w:val="center"/>
          </w:tcPr>
          <w:p w14:paraId="08840E3C">
            <w:pPr>
              <w:jc w:val="right"/>
              <w:textAlignment w:val="center"/>
              <w:rPr>
                <w:rFonts w:cs="Times New Roman"/>
              </w:rPr>
            </w:pPr>
            <w:r>
              <w:rPr>
                <w:rFonts w:eastAsia="Arial Narrow" w:cs="Times New Roman"/>
                <w:color w:val="000000"/>
                <w:lang w:bidi="ar"/>
              </w:rPr>
              <w:t>80,994,497.32</w:t>
            </w:r>
          </w:p>
        </w:tc>
      </w:tr>
    </w:tbl>
    <w:p w14:paraId="2263EA87">
      <w:pPr>
        <w:rPr>
          <w:color w:val="000000" w:themeColor="text1"/>
          <w14:textFill>
            <w14:solidFill>
              <w14:schemeClr w14:val="tx1"/>
            </w14:solidFill>
          </w14:textFill>
        </w:rPr>
      </w:pPr>
    </w:p>
    <w:p w14:paraId="05EC1138">
      <w:pPr>
        <w:pStyle w:val="58"/>
        <w:numPr>
          <w:ilvl w:val="0"/>
          <w:numId w:val="91"/>
        </w:numPr>
        <w:rPr>
          <w:rFonts w:ascii="宋体" w:hAnsi="宋体"/>
          <w:color w:val="000000" w:themeColor="text1"/>
          <w14:textFill>
            <w14:solidFill>
              <w14:schemeClr w14:val="tx1"/>
            </w14:solidFill>
          </w14:textFill>
        </w:rPr>
      </w:pPr>
      <w:bookmarkStart w:id="395" w:name="_Hlk167970923"/>
      <w:r>
        <w:rPr>
          <w:rFonts w:hint="eastAsia" w:ascii="宋体" w:hAnsi="宋体"/>
          <w:color w:val="000000" w:themeColor="text1"/>
          <w14:textFill>
            <w14:solidFill>
              <w14:schemeClr w14:val="tx1"/>
            </w14:solidFill>
          </w14:textFill>
        </w:rPr>
        <w:t>使用范围受限但仍作为现金和现金等价物列示的情况</w:t>
      </w:r>
    </w:p>
    <w:sdt>
      <w:sdtPr>
        <w:rPr>
          <w:color w:val="000000" w:themeColor="text1"/>
          <w14:textFill>
            <w14:solidFill>
              <w14:schemeClr w14:val="tx1"/>
            </w14:solidFill>
          </w14:textFill>
        </w:rPr>
        <w:alias w:val="是否适用：使用范围受限但仍作为现金和现金等价物列示的情况[双击切换]"/>
        <w:tag w:val="_GBC_dcbbdbc5a8524c8299b810908077aebe"/>
        <w:id w:val="147458842"/>
        <w:placeholder>
          <w:docPart w:val="GBC22222222222222222222222222222"/>
        </w:placeholder>
      </w:sdtPr>
      <w:sdtEndPr>
        <w:rPr>
          <w:color w:val="000000" w:themeColor="text1"/>
          <w14:textFill>
            <w14:solidFill>
              <w14:schemeClr w14:val="tx1"/>
            </w14:solidFill>
          </w14:textFill>
        </w:rPr>
      </w:sdtEndPr>
      <w:sdtContent>
        <w:p w14:paraId="37A166A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D55A832">
      <w:pPr>
        <w:rPr>
          <w:color w:val="000000" w:themeColor="text1"/>
          <w14:textFill>
            <w14:solidFill>
              <w14:schemeClr w14:val="tx1"/>
            </w14:solidFill>
          </w14:textFill>
        </w:rPr>
      </w:pPr>
    </w:p>
    <w:p w14:paraId="710A3120">
      <w:pPr>
        <w:pStyle w:val="58"/>
        <w:numPr>
          <w:ilvl w:val="0"/>
          <w:numId w:val="91"/>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不属于现金及现金等价物的货币资金</w:t>
      </w:r>
    </w:p>
    <w:sdt>
      <w:sdtPr>
        <w:rPr>
          <w:color w:val="000000" w:themeColor="text1"/>
          <w14:textFill>
            <w14:solidFill>
              <w14:schemeClr w14:val="tx1"/>
            </w14:solidFill>
          </w14:textFill>
        </w:rPr>
        <w:alias w:val="是否适用：不属于现金及现金等价物的货币资金[双击切换]"/>
        <w:tag w:val="_GBC_191a966fa63441a7bf4a17ba6bb3802a"/>
        <w:id w:val="147465854"/>
        <w:placeholder>
          <w:docPart w:val="GBC22222222222222222222222222222"/>
        </w:placeholder>
      </w:sdtPr>
      <w:sdtEndPr>
        <w:rPr>
          <w:color w:val="000000" w:themeColor="text1"/>
          <w14:textFill>
            <w14:solidFill>
              <w14:schemeClr w14:val="tx1"/>
            </w14:solidFill>
          </w14:textFill>
        </w:rPr>
      </w:sdtEndPr>
      <w:sdtContent>
        <w:p w14:paraId="0C9B3E3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82CEB02">
      <w:pPr>
        <w:rPr>
          <w:color w:val="000000" w:themeColor="text1"/>
          <w14:textFill>
            <w14:solidFill>
              <w14:schemeClr w14:val="tx1"/>
            </w14:solidFill>
          </w14:textFill>
        </w:rPr>
      </w:pPr>
    </w:p>
    <w:bookmarkEnd w:id="395"/>
    <w:p w14:paraId="51DD1F29">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现金流量表补充资料的说明[双击切换]"/>
        <w:tag w:val="_GBC_2212775a699e4804b260767f3ce34d12"/>
        <w:id w:val="147453694"/>
        <w:placeholder>
          <w:docPart w:val="GBC22222222222222222222222222222"/>
        </w:placeholder>
      </w:sdtPr>
      <w:sdtEndPr>
        <w:rPr>
          <w:color w:val="000000" w:themeColor="text1"/>
          <w14:textFill>
            <w14:solidFill>
              <w14:schemeClr w14:val="tx1"/>
            </w14:solidFill>
          </w14:textFill>
        </w:rPr>
      </w:sdtEndPr>
      <w:sdtContent>
        <w:p w14:paraId="0C99311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DEE2C12">
      <w:pPr>
        <w:rPr>
          <w:color w:val="000000" w:themeColor="text1"/>
          <w14:textFill>
            <w14:solidFill>
              <w14:schemeClr w14:val="tx1"/>
            </w14:solidFill>
          </w14:textFill>
        </w:rPr>
      </w:pPr>
    </w:p>
    <w:p w14:paraId="3A9257C8">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所有者权益变动表项目注释</w:t>
      </w:r>
    </w:p>
    <w:p w14:paraId="7F683F5D">
      <w:pPr>
        <w:rPr>
          <w:color w:val="000000" w:themeColor="text1"/>
          <w14:textFill>
            <w14:solidFill>
              <w14:schemeClr w14:val="tx1"/>
            </w14:solidFill>
          </w14:textFill>
        </w:rPr>
      </w:pPr>
      <w:r>
        <w:rPr>
          <w:rFonts w:hint="eastAsia"/>
          <w:color w:val="000000" w:themeColor="text1"/>
          <w14:textFill>
            <w14:solidFill>
              <w14:schemeClr w14:val="tx1"/>
            </w14:solidFill>
          </w14:textFill>
        </w:rPr>
        <w:t>说明对上年期末余额进行调整的“其他”项目名称及调整金额等事项：</w:t>
      </w:r>
    </w:p>
    <w:sdt>
      <w:sdtPr>
        <w:rPr>
          <w:color w:val="000000" w:themeColor="text1"/>
          <w14:textFill>
            <w14:solidFill>
              <w14:schemeClr w14:val="tx1"/>
            </w14:solidFill>
          </w14:textFill>
        </w:rPr>
        <w:alias w:val="是否适用：所有者权益变动表项目注释[双击切换]"/>
        <w:tag w:val="_GBC_61e84760a3fd4a58bb2421e95114d9b8"/>
        <w:id w:val="147451784"/>
        <w:placeholder>
          <w:docPart w:val="GBC22222222222222222222222222222"/>
        </w:placeholder>
      </w:sdtPr>
      <w:sdtEndPr>
        <w:rPr>
          <w:color w:val="000000" w:themeColor="text1"/>
          <w14:textFill>
            <w14:solidFill>
              <w14:schemeClr w14:val="tx1"/>
            </w14:solidFill>
          </w14:textFill>
        </w:rPr>
      </w:sdtEndPr>
      <w:sdtContent>
        <w:p w14:paraId="7FDB327A">
          <w:pPr>
            <w:tabs>
              <w:tab w:val="left" w:pos="10440"/>
            </w:tabs>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DF4E193">
      <w:pPr>
        <w:rPr>
          <w:color w:val="000000" w:themeColor="text1"/>
          <w14:textFill>
            <w14:solidFill>
              <w14:schemeClr w14:val="tx1"/>
            </w14:solidFill>
          </w14:textFill>
        </w:rPr>
      </w:pPr>
    </w:p>
    <w:p w14:paraId="5823ACB2">
      <w:pPr>
        <w:pStyle w:val="57"/>
        <w:numPr>
          <w:ilvl w:val="0"/>
          <w:numId w:val="54"/>
        </w:numPr>
        <w:rPr>
          <w:color w:val="000000" w:themeColor="text1"/>
          <w:szCs w:val="21"/>
          <w14:textFill>
            <w14:solidFill>
              <w14:schemeClr w14:val="tx1"/>
            </w14:solidFill>
          </w14:textFill>
        </w:rPr>
      </w:pPr>
      <w:bookmarkStart w:id="396" w:name="_Hlk42158948"/>
      <w:r>
        <w:rPr>
          <w:color w:val="000000" w:themeColor="text1"/>
          <w:szCs w:val="21"/>
          <w14:textFill>
            <w14:solidFill>
              <w14:schemeClr w14:val="tx1"/>
            </w14:solidFill>
          </w14:textFill>
        </w:rPr>
        <w:t>外币货币性项目</w:t>
      </w:r>
    </w:p>
    <w:p w14:paraId="4489897D">
      <w:pPr>
        <w:pStyle w:val="58"/>
        <w:numPr>
          <w:ilvl w:val="0"/>
          <w:numId w:val="92"/>
        </w:numPr>
        <w:rPr>
          <w:b w:val="0"/>
          <w:bCs/>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外币货币性项目</w:t>
      </w:r>
    </w:p>
    <w:sdt>
      <w:sdtPr>
        <w:rPr>
          <w:color w:val="000000" w:themeColor="text1"/>
          <w14:textFill>
            <w14:solidFill>
              <w14:schemeClr w14:val="tx1"/>
            </w14:solidFill>
          </w14:textFill>
        </w:rPr>
        <w:alias w:val="是否适用：外币货币性项目[双击切换]"/>
        <w:tag w:val="_GBC_7b0870ec262840d78495babcff3639aa"/>
        <w:id w:val="147469867"/>
        <w:placeholder>
          <w:docPart w:val="GBC22222222222222222222222222222"/>
        </w:placeholder>
      </w:sdtPr>
      <w:sdtEndPr>
        <w:rPr>
          <w:color w:val="000000" w:themeColor="text1"/>
          <w14:textFill>
            <w14:solidFill>
              <w14:schemeClr w14:val="tx1"/>
            </w14:solidFill>
          </w14:textFill>
        </w:rPr>
      </w:sdtEndPr>
      <w:sdtContent>
        <w:p w14:paraId="195452C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C2E686F">
      <w:pPr>
        <w:pStyle w:val="63"/>
        <w:ind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财务附注：外币货币性项目"/>
          <w:tag w:val="_GBC_52ed5330bd884651892991446f0f1ae0"/>
          <w:id w:val="1474806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2051"/>
        <w:gridCol w:w="2058"/>
        <w:gridCol w:w="2043"/>
      </w:tblGrid>
      <w:tr w14:paraId="53454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28ce5153e9cf4914a550a6d253e7c465"/>
            <w:id w:val="147468443"/>
          </w:sdtPr>
          <w:sdtEndPr>
            <w:rPr>
              <w:rFonts w:cs="Times New Roman"/>
            </w:rPr>
          </w:sdtEndPr>
          <w:sdtContent>
            <w:tc>
              <w:tcPr>
                <w:tcW w:w="1601" w:type="pct"/>
                <w:tcBorders>
                  <w:top w:val="single" w:color="auto" w:sz="4" w:space="0"/>
                  <w:left w:val="single" w:color="auto" w:sz="4" w:space="0"/>
                  <w:bottom w:val="single" w:color="auto" w:sz="4" w:space="0"/>
                  <w:right w:val="single" w:color="auto" w:sz="4" w:space="0"/>
                </w:tcBorders>
                <w:vAlign w:val="center"/>
              </w:tcPr>
              <w:p w14:paraId="1B7C35BE">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295b6f310e534b62bde0e2c632482ed9"/>
            <w:id w:val="147457242"/>
          </w:sdtPr>
          <w:sdtEndPr>
            <w:rPr>
              <w:rFonts w:cs="Times New Roman"/>
            </w:rPr>
          </w:sdtEndPr>
          <w:sdtContent>
            <w:tc>
              <w:tcPr>
                <w:tcW w:w="1133" w:type="pct"/>
                <w:tcBorders>
                  <w:top w:val="single" w:color="auto" w:sz="4" w:space="0"/>
                  <w:left w:val="single" w:color="auto" w:sz="4" w:space="0"/>
                  <w:bottom w:val="single" w:color="auto" w:sz="4" w:space="0"/>
                  <w:right w:val="single" w:color="auto" w:sz="4" w:space="0"/>
                </w:tcBorders>
                <w:vAlign w:val="center"/>
              </w:tcPr>
              <w:p w14:paraId="0B208849">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期末外币余额</w:t>
                </w:r>
              </w:p>
            </w:tc>
          </w:sdtContent>
        </w:sdt>
        <w:sdt>
          <w:sdtPr>
            <w:rPr>
              <w:rFonts w:cs="Times New Roman"/>
            </w:rPr>
            <w:tag w:val="_PLD_aa43af2545cb40668f2670b6f1569a92"/>
            <w:id w:val="147481817"/>
          </w:sdtPr>
          <w:sdtEndPr>
            <w:rPr>
              <w:rFonts w:cs="Times New Roman"/>
            </w:rPr>
          </w:sdtEndPr>
          <w:sdtContent>
            <w:tc>
              <w:tcPr>
                <w:tcW w:w="1137" w:type="pct"/>
                <w:tcBorders>
                  <w:top w:val="single" w:color="auto" w:sz="4" w:space="0"/>
                  <w:left w:val="single" w:color="auto" w:sz="4" w:space="0"/>
                  <w:bottom w:val="single" w:color="auto" w:sz="4" w:space="0"/>
                  <w:right w:val="single" w:color="auto" w:sz="4" w:space="0"/>
                </w:tcBorders>
                <w:vAlign w:val="center"/>
              </w:tcPr>
              <w:p w14:paraId="44B94587">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折算汇率</w:t>
                </w:r>
              </w:p>
            </w:tc>
          </w:sdtContent>
        </w:sdt>
        <w:sdt>
          <w:sdtPr>
            <w:rPr>
              <w:rFonts w:cs="Times New Roman"/>
            </w:rPr>
            <w:tag w:val="_PLD_8cdd9579b3964f01966c0b0c4cbacb2f"/>
            <w:id w:val="147483256"/>
          </w:sdtPr>
          <w:sdtEndPr>
            <w:rPr>
              <w:rFonts w:cs="Times New Roman"/>
            </w:rPr>
          </w:sdtEndPr>
          <w:sdtContent>
            <w:tc>
              <w:tcPr>
                <w:tcW w:w="1129" w:type="pct"/>
                <w:tcBorders>
                  <w:top w:val="single" w:color="auto" w:sz="4" w:space="0"/>
                  <w:left w:val="single" w:color="auto" w:sz="4" w:space="0"/>
                  <w:bottom w:val="single" w:color="auto" w:sz="4" w:space="0"/>
                  <w:right w:val="single" w:color="auto" w:sz="4" w:space="0"/>
                </w:tcBorders>
                <w:vAlign w:val="center"/>
              </w:tcPr>
              <w:p w14:paraId="38E46614">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期末折算人民币</w:t>
                </w:r>
              </w:p>
              <w:p w14:paraId="30186A3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余额</w:t>
                </w:r>
              </w:p>
            </w:tc>
          </w:sdtContent>
        </w:sdt>
      </w:tr>
      <w:tr w14:paraId="6252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26716DF4">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货币资金</w:t>
            </w:r>
          </w:p>
        </w:tc>
        <w:tc>
          <w:tcPr>
            <w:tcW w:w="1133" w:type="pct"/>
            <w:tcBorders>
              <w:top w:val="single" w:color="auto" w:sz="4" w:space="0"/>
              <w:left w:val="single" w:color="auto" w:sz="4" w:space="0"/>
              <w:bottom w:val="single" w:color="auto" w:sz="4" w:space="0"/>
              <w:right w:val="single" w:color="auto" w:sz="4" w:space="0"/>
            </w:tcBorders>
          </w:tcPr>
          <w:p w14:paraId="3B93022F">
            <w:pPr>
              <w:jc w:val="right"/>
              <w:rPr>
                <w:rFonts w:cs="Times New Roman"/>
                <w:color w:val="000000" w:themeColor="text1"/>
                <w14:textFill>
                  <w14:solidFill>
                    <w14:schemeClr w14:val="tx1"/>
                  </w14:solidFill>
                </w14:textFill>
              </w:rPr>
            </w:pPr>
          </w:p>
        </w:tc>
        <w:tc>
          <w:tcPr>
            <w:tcW w:w="1137" w:type="pct"/>
            <w:tcBorders>
              <w:top w:val="single" w:color="auto" w:sz="4" w:space="0"/>
              <w:left w:val="single" w:color="auto" w:sz="4" w:space="0"/>
              <w:bottom w:val="single" w:color="auto" w:sz="4" w:space="0"/>
              <w:right w:val="single" w:color="auto" w:sz="4" w:space="0"/>
            </w:tcBorders>
          </w:tcPr>
          <w:p w14:paraId="292AE97F">
            <w:pPr>
              <w:jc w:val="right"/>
              <w:rPr>
                <w:rFonts w:cs="Times New Roman"/>
                <w:color w:val="000000" w:themeColor="text1"/>
                <w14:textFill>
                  <w14:solidFill>
                    <w14:schemeClr w14:val="tx1"/>
                  </w14:solidFill>
                </w14:textFill>
              </w:rPr>
            </w:pPr>
          </w:p>
        </w:tc>
        <w:tc>
          <w:tcPr>
            <w:tcW w:w="1129" w:type="pct"/>
            <w:tcBorders>
              <w:top w:val="single" w:color="auto" w:sz="4" w:space="0"/>
              <w:left w:val="single" w:color="auto" w:sz="4" w:space="0"/>
              <w:bottom w:val="single" w:color="auto" w:sz="4" w:space="0"/>
              <w:right w:val="single" w:color="auto" w:sz="4" w:space="0"/>
            </w:tcBorders>
            <w:vAlign w:val="center"/>
          </w:tcPr>
          <w:p w14:paraId="6CEECB11">
            <w:pPr>
              <w:jc w:val="right"/>
              <w:textAlignment w:val="center"/>
              <w:rPr>
                <w:rFonts w:cs="Times New Roman"/>
              </w:rPr>
            </w:pPr>
            <w:r>
              <w:rPr>
                <w:rFonts w:cs="Times New Roman"/>
                <w:color w:val="000000"/>
              </w:rPr>
              <w:t>51,586,138.05</w:t>
            </w:r>
          </w:p>
        </w:tc>
      </w:tr>
      <w:tr w14:paraId="1E8C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748B40D9">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w:t>
            </w:r>
            <w:sdt>
              <w:sdtPr>
                <w:rPr>
                  <w:rFonts w:cs="Times New Roman"/>
                  <w:color w:val="000000" w:themeColor="text1"/>
                  <w14:textFill>
                    <w14:solidFill>
                      <w14:schemeClr w14:val="tx1"/>
                    </w14:solidFill>
                  </w14:textFill>
                </w:rPr>
                <w:alias w:val="以外币核算的币种明细-币种名称"/>
                <w:tag w:val="_GBC_21765b5e64364f62971250478e4ff572"/>
                <w:id w:val="147453276"/>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cs="Times New Roman"/>
                  <w:color w:val="000000" w:themeColor="text1"/>
                  <w14:textFill>
                    <w14:solidFill>
                      <w14:schemeClr w14:val="tx1"/>
                    </w14:solidFill>
                  </w14:textFill>
                </w:rPr>
              </w:sdtEndPr>
              <w:sdtContent>
                <w:r>
                  <w:rPr>
                    <w:rFonts w:cs="Times New Roman"/>
                    <w:color w:val="000000" w:themeColor="text1"/>
                    <w14:textFill>
                      <w14:solidFill>
                        <w14:schemeClr w14:val="tx1"/>
                      </w14:solidFill>
                    </w14:textFill>
                  </w:rPr>
                  <w:t>美元</w:t>
                </w:r>
              </w:sdtContent>
            </w:sdt>
          </w:p>
        </w:tc>
        <w:tc>
          <w:tcPr>
            <w:tcW w:w="1133" w:type="pct"/>
            <w:tcBorders>
              <w:top w:val="single" w:color="auto" w:sz="4" w:space="0"/>
              <w:left w:val="single" w:color="auto" w:sz="4" w:space="0"/>
              <w:bottom w:val="single" w:color="auto" w:sz="4" w:space="0"/>
              <w:right w:val="single" w:color="auto" w:sz="4" w:space="0"/>
            </w:tcBorders>
            <w:vAlign w:val="center"/>
          </w:tcPr>
          <w:p w14:paraId="439E890A">
            <w:pPr>
              <w:jc w:val="right"/>
              <w:textAlignment w:val="center"/>
              <w:rPr>
                <w:rFonts w:cs="Times New Roman"/>
              </w:rPr>
            </w:pPr>
            <w:r>
              <w:rPr>
                <w:rFonts w:cs="Times New Roman"/>
                <w:color w:val="000000"/>
              </w:rPr>
              <w:t>1,268,677.78</w:t>
            </w:r>
          </w:p>
        </w:tc>
        <w:tc>
          <w:tcPr>
            <w:tcW w:w="1137" w:type="pct"/>
            <w:tcBorders>
              <w:top w:val="single" w:color="auto" w:sz="4" w:space="0"/>
              <w:left w:val="single" w:color="auto" w:sz="4" w:space="0"/>
              <w:bottom w:val="single" w:color="auto" w:sz="4" w:space="0"/>
              <w:right w:val="single" w:color="auto" w:sz="4" w:space="0"/>
            </w:tcBorders>
            <w:vAlign w:val="center"/>
          </w:tcPr>
          <w:p w14:paraId="2DC303F0">
            <w:pPr>
              <w:jc w:val="right"/>
              <w:textAlignment w:val="center"/>
              <w:rPr>
                <w:rFonts w:cs="Times New Roman"/>
              </w:rPr>
            </w:pPr>
            <w:r>
              <w:rPr>
                <w:rFonts w:cs="Times New Roman"/>
                <w:color w:val="000000"/>
              </w:rPr>
              <w:t>7.1586</w:t>
            </w:r>
          </w:p>
        </w:tc>
        <w:tc>
          <w:tcPr>
            <w:tcW w:w="1129" w:type="pct"/>
            <w:tcBorders>
              <w:top w:val="single" w:color="auto" w:sz="4" w:space="0"/>
              <w:left w:val="single" w:color="auto" w:sz="4" w:space="0"/>
              <w:bottom w:val="single" w:color="auto" w:sz="4" w:space="0"/>
              <w:right w:val="single" w:color="auto" w:sz="4" w:space="0"/>
            </w:tcBorders>
            <w:vAlign w:val="center"/>
          </w:tcPr>
          <w:p w14:paraId="60C572F4">
            <w:pPr>
              <w:jc w:val="right"/>
              <w:textAlignment w:val="center"/>
              <w:rPr>
                <w:rFonts w:cs="Times New Roman"/>
              </w:rPr>
            </w:pPr>
            <w:r>
              <w:rPr>
                <w:rFonts w:cs="Times New Roman"/>
                <w:color w:val="000000"/>
              </w:rPr>
              <w:t>9,081,956.76</w:t>
            </w:r>
          </w:p>
        </w:tc>
      </w:tr>
      <w:tr w14:paraId="34ED1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6E2F4582">
            <w:pPr>
              <w:rPr>
                <w:rFonts w:cs="Times New Roman"/>
                <w:color w:val="000000" w:themeColor="text1"/>
                <w14:textFill>
                  <w14:solidFill>
                    <w14:schemeClr w14:val="tx1"/>
                  </w14:solidFill>
                </w14:textFill>
              </w:rPr>
            </w:pPr>
            <w:r>
              <w:rPr>
                <w:rFonts w:cs="Times New Roman"/>
              </w:rPr>
              <w:t>　　　</w:t>
            </w:r>
            <w:r>
              <w:rPr>
                <w:rFonts w:cs="Times New Roman"/>
                <w:color w:val="000000" w:themeColor="text1"/>
                <w14:textFill>
                  <w14:solidFill>
                    <w14:schemeClr w14:val="tx1"/>
                  </w14:solidFill>
                </w14:textFill>
              </w:rPr>
              <w:t>欧元</w:t>
            </w:r>
          </w:p>
        </w:tc>
        <w:tc>
          <w:tcPr>
            <w:tcW w:w="1133" w:type="pct"/>
            <w:tcBorders>
              <w:top w:val="single" w:color="auto" w:sz="4" w:space="0"/>
              <w:left w:val="single" w:color="auto" w:sz="4" w:space="0"/>
              <w:bottom w:val="single" w:color="auto" w:sz="4" w:space="0"/>
              <w:right w:val="single" w:color="auto" w:sz="4" w:space="0"/>
            </w:tcBorders>
            <w:vAlign w:val="center"/>
          </w:tcPr>
          <w:p w14:paraId="55D4C692">
            <w:pPr>
              <w:jc w:val="right"/>
              <w:textAlignment w:val="center"/>
              <w:rPr>
                <w:rFonts w:cs="Times New Roman"/>
              </w:rPr>
            </w:pPr>
            <w:r>
              <w:rPr>
                <w:rFonts w:cs="Times New Roman"/>
                <w:color w:val="000000"/>
              </w:rPr>
              <w:t>3.81</w:t>
            </w:r>
          </w:p>
        </w:tc>
        <w:tc>
          <w:tcPr>
            <w:tcW w:w="1137" w:type="pct"/>
            <w:tcBorders>
              <w:top w:val="single" w:color="auto" w:sz="4" w:space="0"/>
              <w:left w:val="single" w:color="auto" w:sz="4" w:space="0"/>
              <w:bottom w:val="single" w:color="auto" w:sz="4" w:space="0"/>
              <w:right w:val="single" w:color="auto" w:sz="4" w:space="0"/>
            </w:tcBorders>
            <w:vAlign w:val="center"/>
          </w:tcPr>
          <w:p w14:paraId="5F4AFDCB">
            <w:pPr>
              <w:jc w:val="right"/>
              <w:textAlignment w:val="center"/>
              <w:rPr>
                <w:rFonts w:cs="Times New Roman"/>
              </w:rPr>
            </w:pPr>
            <w:r>
              <w:rPr>
                <w:rFonts w:cs="Times New Roman"/>
                <w:color w:val="000000"/>
              </w:rPr>
              <w:t>8.4024</w:t>
            </w:r>
          </w:p>
        </w:tc>
        <w:tc>
          <w:tcPr>
            <w:tcW w:w="1129" w:type="pct"/>
            <w:tcBorders>
              <w:top w:val="single" w:color="auto" w:sz="4" w:space="0"/>
              <w:left w:val="single" w:color="auto" w:sz="4" w:space="0"/>
              <w:bottom w:val="single" w:color="auto" w:sz="4" w:space="0"/>
              <w:right w:val="single" w:color="auto" w:sz="4" w:space="0"/>
            </w:tcBorders>
            <w:vAlign w:val="center"/>
          </w:tcPr>
          <w:p w14:paraId="298B9705">
            <w:pPr>
              <w:jc w:val="right"/>
              <w:textAlignment w:val="center"/>
              <w:rPr>
                <w:rFonts w:cs="Times New Roman"/>
              </w:rPr>
            </w:pPr>
            <w:r>
              <w:rPr>
                <w:rFonts w:cs="Times New Roman"/>
                <w:color w:val="000000"/>
              </w:rPr>
              <w:t>32.01</w:t>
            </w:r>
          </w:p>
        </w:tc>
      </w:tr>
      <w:tr w14:paraId="6901F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39A01171">
            <w:pPr>
              <w:rPr>
                <w:rFonts w:cs="Times New Roman"/>
                <w:color w:val="000000" w:themeColor="text1"/>
                <w14:textFill>
                  <w14:solidFill>
                    <w14:schemeClr w14:val="tx1"/>
                  </w14:solidFill>
                </w14:textFill>
              </w:rPr>
            </w:pPr>
            <w:r>
              <w:rPr>
                <w:rFonts w:cs="Times New Roman"/>
              </w:rPr>
              <w:t>　　　</w:t>
            </w:r>
            <w:r>
              <w:rPr>
                <w:rFonts w:cs="Times New Roman"/>
                <w:color w:val="000000" w:themeColor="text1"/>
                <w14:textFill>
                  <w14:solidFill>
                    <w14:schemeClr w14:val="tx1"/>
                  </w14:solidFill>
                </w14:textFill>
              </w:rPr>
              <w:t>港币</w:t>
            </w:r>
          </w:p>
        </w:tc>
        <w:tc>
          <w:tcPr>
            <w:tcW w:w="1133" w:type="pct"/>
            <w:tcBorders>
              <w:top w:val="single" w:color="auto" w:sz="4" w:space="0"/>
              <w:left w:val="single" w:color="auto" w:sz="4" w:space="0"/>
              <w:bottom w:val="single" w:color="auto" w:sz="4" w:space="0"/>
              <w:right w:val="single" w:color="auto" w:sz="4" w:space="0"/>
            </w:tcBorders>
            <w:vAlign w:val="center"/>
          </w:tcPr>
          <w:p w14:paraId="465DD9CD">
            <w:pPr>
              <w:jc w:val="right"/>
              <w:textAlignment w:val="center"/>
              <w:rPr>
                <w:rFonts w:cs="Times New Roman"/>
              </w:rPr>
            </w:pPr>
            <w:r>
              <w:rPr>
                <w:rFonts w:cs="Times New Roman"/>
                <w:color w:val="000000"/>
              </w:rPr>
              <w:t>46,607,982.10</w:t>
            </w:r>
          </w:p>
        </w:tc>
        <w:tc>
          <w:tcPr>
            <w:tcW w:w="1137" w:type="pct"/>
            <w:tcBorders>
              <w:top w:val="single" w:color="auto" w:sz="4" w:space="0"/>
              <w:left w:val="single" w:color="auto" w:sz="4" w:space="0"/>
              <w:bottom w:val="single" w:color="auto" w:sz="4" w:space="0"/>
              <w:right w:val="single" w:color="auto" w:sz="4" w:space="0"/>
            </w:tcBorders>
            <w:vAlign w:val="center"/>
          </w:tcPr>
          <w:p w14:paraId="5664A9A9">
            <w:pPr>
              <w:jc w:val="right"/>
              <w:textAlignment w:val="center"/>
              <w:rPr>
                <w:rFonts w:cs="Times New Roman"/>
              </w:rPr>
            </w:pPr>
            <w:r>
              <w:rPr>
                <w:rFonts w:cs="Times New Roman"/>
                <w:color w:val="000000"/>
              </w:rPr>
              <w:t>0.91195</w:t>
            </w:r>
          </w:p>
        </w:tc>
        <w:tc>
          <w:tcPr>
            <w:tcW w:w="1129" w:type="pct"/>
            <w:tcBorders>
              <w:top w:val="single" w:color="auto" w:sz="4" w:space="0"/>
              <w:left w:val="single" w:color="auto" w:sz="4" w:space="0"/>
              <w:bottom w:val="single" w:color="auto" w:sz="4" w:space="0"/>
              <w:right w:val="single" w:color="auto" w:sz="4" w:space="0"/>
            </w:tcBorders>
            <w:vAlign w:val="center"/>
          </w:tcPr>
          <w:p w14:paraId="320E08B5">
            <w:pPr>
              <w:jc w:val="right"/>
              <w:textAlignment w:val="center"/>
              <w:rPr>
                <w:rFonts w:cs="Times New Roman"/>
              </w:rPr>
            </w:pPr>
            <w:r>
              <w:rPr>
                <w:rFonts w:cs="Times New Roman"/>
                <w:color w:val="000000"/>
              </w:rPr>
              <w:t>42,504,149.28</w:t>
            </w:r>
          </w:p>
        </w:tc>
      </w:tr>
      <w:tr w14:paraId="6B23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6582703F">
            <w:pPr>
              <w:pStyle w:val="55"/>
              <w:rPr>
                <w:rFonts w:cs="Times New Roman"/>
              </w:rPr>
            </w:pPr>
            <w:r>
              <w:rPr>
                <w:rFonts w:cs="Times New Roman"/>
              </w:rPr>
              <w:t>应收账款</w:t>
            </w:r>
          </w:p>
        </w:tc>
        <w:tc>
          <w:tcPr>
            <w:tcW w:w="1133" w:type="pct"/>
            <w:tcBorders>
              <w:top w:val="single" w:color="auto" w:sz="4" w:space="0"/>
              <w:left w:val="single" w:color="auto" w:sz="4" w:space="0"/>
              <w:bottom w:val="single" w:color="auto" w:sz="4" w:space="0"/>
              <w:right w:val="single" w:color="auto" w:sz="4" w:space="0"/>
            </w:tcBorders>
          </w:tcPr>
          <w:p w14:paraId="480B539D">
            <w:pPr>
              <w:jc w:val="right"/>
              <w:rPr>
                <w:rFonts w:cs="Times New Roman"/>
                <w:color w:val="000000" w:themeColor="text1"/>
                <w14:textFill>
                  <w14:solidFill>
                    <w14:schemeClr w14:val="tx1"/>
                  </w14:solidFill>
                </w14:textFill>
              </w:rPr>
            </w:pPr>
          </w:p>
        </w:tc>
        <w:tc>
          <w:tcPr>
            <w:tcW w:w="1137" w:type="pct"/>
            <w:tcBorders>
              <w:top w:val="single" w:color="auto" w:sz="4" w:space="0"/>
              <w:left w:val="single" w:color="auto" w:sz="4" w:space="0"/>
              <w:bottom w:val="single" w:color="auto" w:sz="4" w:space="0"/>
              <w:right w:val="single" w:color="auto" w:sz="4" w:space="0"/>
            </w:tcBorders>
          </w:tcPr>
          <w:p w14:paraId="236C34F2">
            <w:pPr>
              <w:jc w:val="right"/>
              <w:rPr>
                <w:rFonts w:cs="Times New Roman"/>
                <w:color w:val="000000" w:themeColor="text1"/>
                <w14:textFill>
                  <w14:solidFill>
                    <w14:schemeClr w14:val="tx1"/>
                  </w14:solidFill>
                </w14:textFill>
              </w:rPr>
            </w:pPr>
          </w:p>
        </w:tc>
        <w:tc>
          <w:tcPr>
            <w:tcW w:w="1129" w:type="pct"/>
            <w:tcBorders>
              <w:top w:val="single" w:color="auto" w:sz="4" w:space="0"/>
              <w:left w:val="single" w:color="auto" w:sz="4" w:space="0"/>
              <w:bottom w:val="single" w:color="auto" w:sz="4" w:space="0"/>
              <w:right w:val="single" w:color="auto" w:sz="4" w:space="0"/>
            </w:tcBorders>
            <w:vAlign w:val="center"/>
          </w:tcPr>
          <w:p w14:paraId="793A90B7">
            <w:pPr>
              <w:jc w:val="right"/>
              <w:textAlignment w:val="center"/>
              <w:rPr>
                <w:rFonts w:cs="Times New Roman"/>
              </w:rPr>
            </w:pPr>
            <w:r>
              <w:rPr>
                <w:rFonts w:cs="Times New Roman"/>
                <w:color w:val="000000"/>
              </w:rPr>
              <w:t>129,217,391.09</w:t>
            </w:r>
          </w:p>
        </w:tc>
      </w:tr>
      <w:tr w14:paraId="3D46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11C00E05">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w:t>
            </w:r>
            <w:r>
              <w:rPr>
                <w:rFonts w:cs="Times New Roman"/>
              </w:rPr>
              <w:t>美元</w:t>
            </w:r>
          </w:p>
        </w:tc>
        <w:tc>
          <w:tcPr>
            <w:tcW w:w="1133" w:type="pct"/>
            <w:tcBorders>
              <w:top w:val="single" w:color="auto" w:sz="4" w:space="0"/>
              <w:left w:val="single" w:color="auto" w:sz="4" w:space="0"/>
              <w:bottom w:val="single" w:color="auto" w:sz="4" w:space="0"/>
              <w:right w:val="single" w:color="auto" w:sz="4" w:space="0"/>
            </w:tcBorders>
            <w:vAlign w:val="center"/>
          </w:tcPr>
          <w:p w14:paraId="5AD8CC75">
            <w:pPr>
              <w:jc w:val="right"/>
              <w:textAlignment w:val="center"/>
              <w:rPr>
                <w:rFonts w:cs="Times New Roman"/>
              </w:rPr>
            </w:pPr>
            <w:r>
              <w:rPr>
                <w:rFonts w:cs="Times New Roman"/>
                <w:color w:val="000000"/>
              </w:rPr>
              <w:t>17,977,218.02</w:t>
            </w:r>
          </w:p>
        </w:tc>
        <w:tc>
          <w:tcPr>
            <w:tcW w:w="1137" w:type="pct"/>
            <w:tcBorders>
              <w:top w:val="single" w:color="auto" w:sz="4" w:space="0"/>
              <w:left w:val="single" w:color="auto" w:sz="4" w:space="0"/>
              <w:bottom w:val="single" w:color="auto" w:sz="4" w:space="0"/>
              <w:right w:val="single" w:color="auto" w:sz="4" w:space="0"/>
            </w:tcBorders>
            <w:vAlign w:val="center"/>
          </w:tcPr>
          <w:p w14:paraId="770B1AF6">
            <w:pPr>
              <w:jc w:val="right"/>
              <w:textAlignment w:val="center"/>
              <w:rPr>
                <w:rFonts w:cs="Times New Roman"/>
              </w:rPr>
            </w:pPr>
            <w:r>
              <w:rPr>
                <w:rFonts w:cs="Times New Roman"/>
                <w:color w:val="000000"/>
              </w:rPr>
              <w:t>7.1586</w:t>
            </w:r>
          </w:p>
        </w:tc>
        <w:tc>
          <w:tcPr>
            <w:tcW w:w="1129" w:type="pct"/>
            <w:tcBorders>
              <w:top w:val="single" w:color="auto" w:sz="4" w:space="0"/>
              <w:left w:val="single" w:color="auto" w:sz="4" w:space="0"/>
              <w:bottom w:val="single" w:color="auto" w:sz="4" w:space="0"/>
              <w:right w:val="single" w:color="auto" w:sz="4" w:space="0"/>
            </w:tcBorders>
            <w:vAlign w:val="center"/>
          </w:tcPr>
          <w:p w14:paraId="02BFBB14">
            <w:pPr>
              <w:jc w:val="right"/>
              <w:textAlignment w:val="center"/>
              <w:rPr>
                <w:rFonts w:cs="Times New Roman"/>
              </w:rPr>
            </w:pPr>
            <w:r>
              <w:rPr>
                <w:rFonts w:cs="Times New Roman"/>
                <w:color w:val="000000"/>
              </w:rPr>
              <w:t>128,691,712.92</w:t>
            </w:r>
          </w:p>
        </w:tc>
      </w:tr>
      <w:tr w14:paraId="0E41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16BD9090">
            <w:pPr>
              <w:rPr>
                <w:rFonts w:cs="Times New Roman"/>
                <w:color w:val="000000" w:themeColor="text1"/>
                <w14:textFill>
                  <w14:solidFill>
                    <w14:schemeClr w14:val="tx1"/>
                  </w14:solidFill>
                </w14:textFill>
              </w:rPr>
            </w:pPr>
            <w:r>
              <w:rPr>
                <w:rFonts w:cs="Times New Roman"/>
              </w:rPr>
              <w:t>　　　欧元</w:t>
            </w:r>
          </w:p>
        </w:tc>
        <w:tc>
          <w:tcPr>
            <w:tcW w:w="1133" w:type="pct"/>
            <w:tcBorders>
              <w:top w:val="single" w:color="auto" w:sz="4" w:space="0"/>
              <w:left w:val="single" w:color="auto" w:sz="4" w:space="0"/>
              <w:bottom w:val="single" w:color="auto" w:sz="4" w:space="0"/>
              <w:right w:val="single" w:color="auto" w:sz="4" w:space="0"/>
            </w:tcBorders>
            <w:vAlign w:val="center"/>
          </w:tcPr>
          <w:p w14:paraId="6D1959CC">
            <w:pPr>
              <w:jc w:val="right"/>
              <w:textAlignment w:val="center"/>
              <w:rPr>
                <w:rFonts w:cs="Times New Roman"/>
              </w:rPr>
            </w:pPr>
            <w:r>
              <w:rPr>
                <w:rFonts w:cs="Times New Roman"/>
                <w:color w:val="000000"/>
              </w:rPr>
              <w:t>62,562.86</w:t>
            </w:r>
          </w:p>
        </w:tc>
        <w:tc>
          <w:tcPr>
            <w:tcW w:w="1137" w:type="pct"/>
            <w:tcBorders>
              <w:top w:val="single" w:color="auto" w:sz="4" w:space="0"/>
              <w:left w:val="single" w:color="auto" w:sz="4" w:space="0"/>
              <w:bottom w:val="single" w:color="auto" w:sz="4" w:space="0"/>
              <w:right w:val="single" w:color="auto" w:sz="4" w:space="0"/>
            </w:tcBorders>
            <w:vAlign w:val="center"/>
          </w:tcPr>
          <w:p w14:paraId="294D596B">
            <w:pPr>
              <w:jc w:val="right"/>
              <w:textAlignment w:val="center"/>
              <w:rPr>
                <w:rFonts w:cs="Times New Roman"/>
              </w:rPr>
            </w:pPr>
            <w:r>
              <w:rPr>
                <w:rFonts w:cs="Times New Roman"/>
                <w:color w:val="000000"/>
              </w:rPr>
              <w:t>8.4024</w:t>
            </w:r>
          </w:p>
        </w:tc>
        <w:tc>
          <w:tcPr>
            <w:tcW w:w="1129" w:type="pct"/>
            <w:tcBorders>
              <w:top w:val="single" w:color="auto" w:sz="4" w:space="0"/>
              <w:left w:val="single" w:color="auto" w:sz="4" w:space="0"/>
              <w:bottom w:val="single" w:color="auto" w:sz="4" w:space="0"/>
              <w:right w:val="single" w:color="auto" w:sz="4" w:space="0"/>
            </w:tcBorders>
            <w:vAlign w:val="center"/>
          </w:tcPr>
          <w:p w14:paraId="3E8AF837">
            <w:pPr>
              <w:jc w:val="right"/>
              <w:textAlignment w:val="center"/>
              <w:rPr>
                <w:rFonts w:cs="Times New Roman"/>
              </w:rPr>
            </w:pPr>
            <w:r>
              <w:rPr>
                <w:rFonts w:cs="Times New Roman"/>
                <w:color w:val="000000"/>
              </w:rPr>
              <w:t>525,678.17</w:t>
            </w:r>
          </w:p>
        </w:tc>
      </w:tr>
    </w:tbl>
    <w:p w14:paraId="68109EE2">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外币货币性项目的其他说明"/>
        <w:tag w:val="_GBC_a16b850d98e24762adbee5a1d5628893"/>
        <w:id w:val="147463096"/>
        <w:placeholder>
          <w:docPart w:val="GBC22222222222222222222222222222"/>
        </w:placeholder>
      </w:sdtPr>
      <w:sdtEndPr>
        <w:rPr>
          <w:color w:val="000000" w:themeColor="text1"/>
          <w14:textFill>
            <w14:solidFill>
              <w14:schemeClr w14:val="tx1"/>
            </w14:solidFill>
          </w14:textFill>
        </w:rPr>
      </w:sdtEndPr>
      <w:sdtContent>
        <w:p w14:paraId="2E827717">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45A36953">
      <w:pPr>
        <w:rPr>
          <w:color w:val="000000" w:themeColor="text1"/>
          <w14:textFill>
            <w14:solidFill>
              <w14:schemeClr w14:val="tx1"/>
            </w14:solidFill>
          </w14:textFill>
        </w:rPr>
      </w:pPr>
    </w:p>
    <w:p w14:paraId="68645549">
      <w:pPr>
        <w:pStyle w:val="58"/>
        <w:numPr>
          <w:ilvl w:val="0"/>
          <w:numId w:val="92"/>
        </w:numPr>
        <w:rPr>
          <w:b w:val="0"/>
          <w:bCs/>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境外经营实体说明，包括对于重要的境外经营实体，应披露其境外主要经营地、记账本位币及选择依据，记账本位币发生变化的还应披露原因</w:t>
      </w:r>
    </w:p>
    <w:p w14:paraId="03B0B01A">
      <w:pPr>
        <w:rPr>
          <w:color w:val="000000" w:themeColor="text1"/>
          <w14:textFill>
            <w14:solidFill>
              <w14:schemeClr w14:val="tx1"/>
            </w14:solidFill>
          </w14:textFill>
        </w:rPr>
      </w:pPr>
      <w:sdt>
        <w:sdtPr>
          <w:rPr>
            <w:color w:val="000000" w:themeColor="text1"/>
            <w14:textFill>
              <w14:solidFill>
                <w14:schemeClr w14:val="tx1"/>
              </w14:solidFill>
            </w14:textFill>
          </w:rPr>
          <w:alias w:val="是否适用：境外经营实体主要报表项目的折算汇率[双击切换]"/>
          <w:tag w:val="_GBC_4ad16f5c306d4c6ead144dfd007fb925"/>
          <w:id w:val="147473562"/>
          <w:placeholder>
            <w:docPart w:val="GBC22222222222222222222222222222"/>
          </w:placeholder>
        </w:sdtPr>
        <w:sdtEndPr>
          <w:rPr>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sdt>
      <w:sdtPr>
        <w:rPr>
          <w:color w:val="000000" w:themeColor="text1"/>
          <w14:textFill>
            <w14:solidFill>
              <w14:schemeClr w14:val="tx1"/>
            </w14:solidFill>
          </w14:textFill>
        </w:rPr>
        <w:alias w:val="境外经营实体主要报表项目的折算汇率"/>
        <w:tag w:val="_GBC_4148864437ea4c5bb9934a188232a73c"/>
        <w:id w:val="147481316"/>
        <w:placeholder>
          <w:docPart w:val="GBC22222222222222222222222222222"/>
        </w:placeholder>
      </w:sdtPr>
      <w:sdtEndPr>
        <w:rPr>
          <w:color w:val="000000" w:themeColor="text1"/>
          <w14:textFill>
            <w14:solidFill>
              <w14:schemeClr w14:val="tx1"/>
            </w14:solidFill>
          </w14:textFill>
        </w:rPr>
      </w:sdtEndPr>
      <w:sdtContent>
        <w:p w14:paraId="1885A714">
          <w:pPr>
            <w:rPr>
              <w:color w:val="000000" w:themeColor="text1"/>
              <w14:textFill>
                <w14:solidFill>
                  <w14:schemeClr w14:val="tx1"/>
                </w14:solidFill>
              </w14:textFill>
            </w:r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1"/>
            <w:gridCol w:w="1653"/>
            <w:gridCol w:w="2262"/>
            <w:gridCol w:w="2263"/>
          </w:tblGrid>
          <w:tr w14:paraId="50FE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1" w:type="dxa"/>
                <w:vAlign w:val="center"/>
              </w:tcPr>
              <w:p w14:paraId="0EB064E9">
                <w:pPr>
                  <w:widowControl/>
                  <w:jc w:val="center"/>
                  <w:textAlignment w:val="center"/>
                  <w:rPr>
                    <w:color w:val="000000" w:themeColor="text1"/>
                    <w14:textFill>
                      <w14:solidFill>
                        <w14:schemeClr w14:val="tx1"/>
                      </w14:solidFill>
                    </w14:textFill>
                  </w:rPr>
                </w:pPr>
                <w:r>
                  <w:rPr>
                    <w:rFonts w:hint="eastAsia" w:ascii="宋体" w:hAnsi="宋体"/>
                    <w:color w:val="000000"/>
                    <w:lang w:bidi="ar"/>
                  </w:rPr>
                  <w:t>境外经营实体</w:t>
                </w:r>
              </w:p>
            </w:tc>
            <w:tc>
              <w:tcPr>
                <w:tcW w:w="1653" w:type="dxa"/>
                <w:vAlign w:val="center"/>
              </w:tcPr>
              <w:p w14:paraId="0CB84FDB">
                <w:pPr>
                  <w:widowControl/>
                  <w:jc w:val="center"/>
                  <w:textAlignment w:val="center"/>
                  <w:rPr>
                    <w:color w:val="000000" w:themeColor="text1"/>
                    <w14:textFill>
                      <w14:solidFill>
                        <w14:schemeClr w14:val="tx1"/>
                      </w14:solidFill>
                    </w14:textFill>
                  </w:rPr>
                </w:pPr>
                <w:r>
                  <w:rPr>
                    <w:rFonts w:hint="eastAsia" w:ascii="宋体" w:hAnsi="宋体"/>
                    <w:color w:val="000000"/>
                    <w:lang w:bidi="ar"/>
                  </w:rPr>
                  <w:t>经营地</w:t>
                </w:r>
              </w:p>
            </w:tc>
            <w:tc>
              <w:tcPr>
                <w:tcW w:w="2262" w:type="dxa"/>
                <w:vAlign w:val="center"/>
              </w:tcPr>
              <w:p w14:paraId="10114E4F">
                <w:pPr>
                  <w:widowControl/>
                  <w:jc w:val="center"/>
                  <w:textAlignment w:val="center"/>
                  <w:rPr>
                    <w:color w:val="000000" w:themeColor="text1"/>
                    <w14:textFill>
                      <w14:solidFill>
                        <w14:schemeClr w14:val="tx1"/>
                      </w14:solidFill>
                    </w14:textFill>
                  </w:rPr>
                </w:pPr>
                <w:r>
                  <w:rPr>
                    <w:rFonts w:hint="eastAsia" w:ascii="宋体" w:hAnsi="宋体"/>
                    <w:color w:val="000000"/>
                    <w:lang w:bidi="ar"/>
                  </w:rPr>
                  <w:t>记账本位币</w:t>
                </w:r>
              </w:p>
            </w:tc>
            <w:tc>
              <w:tcPr>
                <w:tcW w:w="2263" w:type="dxa"/>
                <w:vAlign w:val="center"/>
              </w:tcPr>
              <w:p w14:paraId="5C7B1A41">
                <w:pPr>
                  <w:widowControl/>
                  <w:jc w:val="center"/>
                  <w:textAlignment w:val="center"/>
                  <w:rPr>
                    <w:color w:val="000000" w:themeColor="text1"/>
                    <w14:textFill>
                      <w14:solidFill>
                        <w14:schemeClr w14:val="tx1"/>
                      </w14:solidFill>
                    </w14:textFill>
                  </w:rPr>
                </w:pPr>
                <w:r>
                  <w:rPr>
                    <w:rFonts w:hint="eastAsia" w:ascii="宋体" w:hAnsi="宋体"/>
                    <w:color w:val="000000"/>
                    <w:lang w:bidi="ar"/>
                  </w:rPr>
                  <w:t>记账本位币选择依据</w:t>
                </w:r>
              </w:p>
            </w:tc>
          </w:tr>
          <w:tr w14:paraId="6E12C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1" w:type="dxa"/>
                <w:vAlign w:val="center"/>
              </w:tcPr>
              <w:p w14:paraId="0AACCC1D">
                <w:pPr>
                  <w:widowControl/>
                  <w:jc w:val="center"/>
                  <w:textAlignment w:val="center"/>
                  <w:rPr>
                    <w:color w:val="000000" w:themeColor="text1"/>
                    <w14:textFill>
                      <w14:solidFill>
                        <w14:schemeClr w14:val="tx1"/>
                      </w14:solidFill>
                    </w14:textFill>
                  </w:rPr>
                </w:pPr>
                <w:r>
                  <w:rPr>
                    <w:rFonts w:hint="eastAsia" w:ascii="宋体" w:hAnsi="宋体"/>
                    <w:color w:val="000000"/>
                    <w:lang w:bidi="ar"/>
                  </w:rPr>
                  <w:t>际华海外投资有限公司</w:t>
                </w:r>
              </w:p>
            </w:tc>
            <w:tc>
              <w:tcPr>
                <w:tcW w:w="1653" w:type="dxa"/>
                <w:vAlign w:val="center"/>
              </w:tcPr>
              <w:p w14:paraId="338F5175">
                <w:pPr>
                  <w:widowControl/>
                  <w:jc w:val="center"/>
                  <w:textAlignment w:val="center"/>
                  <w:rPr>
                    <w:color w:val="000000" w:themeColor="text1"/>
                    <w14:textFill>
                      <w14:solidFill>
                        <w14:schemeClr w14:val="tx1"/>
                      </w14:solidFill>
                    </w14:textFill>
                  </w:rPr>
                </w:pPr>
                <w:r>
                  <w:rPr>
                    <w:rFonts w:hint="eastAsia" w:ascii="宋体" w:hAnsi="宋体"/>
                    <w:color w:val="000000"/>
                    <w:lang w:bidi="ar"/>
                  </w:rPr>
                  <w:t>北京市</w:t>
                </w:r>
              </w:p>
            </w:tc>
            <w:tc>
              <w:tcPr>
                <w:tcW w:w="2262" w:type="dxa"/>
                <w:vAlign w:val="center"/>
              </w:tcPr>
              <w:p w14:paraId="2766621A">
                <w:pPr>
                  <w:widowControl/>
                  <w:jc w:val="center"/>
                  <w:textAlignment w:val="center"/>
                  <w:rPr>
                    <w:color w:val="000000" w:themeColor="text1"/>
                    <w14:textFill>
                      <w14:solidFill>
                        <w14:schemeClr w14:val="tx1"/>
                      </w14:solidFill>
                    </w14:textFill>
                  </w:rPr>
                </w:pPr>
                <w:r>
                  <w:rPr>
                    <w:rFonts w:hint="eastAsia" w:ascii="宋体" w:hAnsi="宋体"/>
                    <w:color w:val="000000"/>
                    <w:lang w:bidi="ar"/>
                  </w:rPr>
                  <w:t>欧元</w:t>
                </w:r>
              </w:p>
            </w:tc>
            <w:tc>
              <w:tcPr>
                <w:tcW w:w="2263" w:type="dxa"/>
                <w:vAlign w:val="center"/>
              </w:tcPr>
              <w:p w14:paraId="2BD0B68C">
                <w:pPr>
                  <w:widowControl/>
                  <w:jc w:val="center"/>
                  <w:textAlignment w:val="center"/>
                  <w:rPr>
                    <w:color w:val="000000" w:themeColor="text1"/>
                    <w14:textFill>
                      <w14:solidFill>
                        <w14:schemeClr w14:val="tx1"/>
                      </w14:solidFill>
                    </w14:textFill>
                  </w:rPr>
                </w:pPr>
                <w:r>
                  <w:rPr>
                    <w:rFonts w:hint="eastAsia" w:ascii="宋体" w:hAnsi="宋体"/>
                    <w:color w:val="000000"/>
                    <w:lang w:bidi="ar"/>
                  </w:rPr>
                  <w:t>主要结算货币</w:t>
                </w:r>
              </w:p>
            </w:tc>
          </w:tr>
        </w:tbl>
        <w:p w14:paraId="4F04C015">
          <w:pPr>
            <w:rPr>
              <w:color w:val="000000" w:themeColor="text1"/>
              <w14:textFill>
                <w14:solidFill>
                  <w14:schemeClr w14:val="tx1"/>
                </w14:solidFill>
              </w14:textFill>
            </w:rPr>
          </w:pPr>
        </w:p>
      </w:sdtContent>
    </w:sdt>
    <w:p w14:paraId="454226FD">
      <w:pPr>
        <w:rPr>
          <w:color w:val="000000" w:themeColor="text1"/>
          <w14:textFill>
            <w14:solidFill>
              <w14:schemeClr w14:val="tx1"/>
            </w14:solidFill>
          </w14:textFill>
        </w:rPr>
      </w:pPr>
    </w:p>
    <w:bookmarkEnd w:id="396"/>
    <w:p w14:paraId="1D396471">
      <w:pPr>
        <w:pStyle w:val="57"/>
        <w:numPr>
          <w:ilvl w:val="0"/>
          <w:numId w:val="54"/>
        </w:numPr>
        <w:rPr>
          <w:color w:val="000000" w:themeColor="text1"/>
          <w:szCs w:val="21"/>
          <w14:textFill>
            <w14:solidFill>
              <w14:schemeClr w14:val="tx1"/>
            </w14:solidFill>
          </w14:textFill>
        </w:rPr>
      </w:pPr>
      <w:bookmarkStart w:id="397" w:name="_Hlk167971524"/>
      <w:r>
        <w:rPr>
          <w:color w:val="000000" w:themeColor="text1"/>
          <w:szCs w:val="21"/>
          <w14:textFill>
            <w14:solidFill>
              <w14:schemeClr w14:val="tx1"/>
            </w14:solidFill>
          </w14:textFill>
        </w:rPr>
        <w:t>租赁</w:t>
      </w:r>
    </w:p>
    <w:p w14:paraId="5F26CE5D">
      <w:pPr>
        <w:pStyle w:val="58"/>
        <w:numPr>
          <w:ilvl w:val="0"/>
          <w:numId w:val="93"/>
        </w:numPr>
        <w:ind w:left="0" w:firstLine="0"/>
        <w:rPr>
          <w:color w:val="000000" w:themeColor="text1"/>
          <w14:textFill>
            <w14:solidFill>
              <w14:schemeClr w14:val="tx1"/>
            </w14:solidFill>
          </w14:textFill>
        </w:rPr>
      </w:pPr>
      <w:r>
        <w:rPr>
          <w:color w:val="000000" w:themeColor="text1"/>
          <w14:textFill>
            <w14:solidFill>
              <w14:schemeClr w14:val="tx1"/>
            </w14:solidFill>
          </w14:textFill>
        </w:rPr>
        <w:t>作为承租人</w:t>
      </w:r>
    </w:p>
    <w:sdt>
      <w:sdtPr>
        <w:rPr>
          <w:color w:val="000000" w:themeColor="text1"/>
          <w14:textFill>
            <w14:solidFill>
              <w14:schemeClr w14:val="tx1"/>
            </w14:solidFill>
          </w14:textFill>
        </w:rPr>
        <w:alias w:val="是否适用：作为承租人[双击切换]"/>
        <w:tag w:val="_GBC_1a127bd18c664ed8bca6a513c43f1fa2"/>
        <w:id w:val="147456277"/>
        <w:lock w:val="contentLocked"/>
        <w:placeholder>
          <w:docPart w:val="GBC22222222222222222222222222222"/>
        </w:placeholder>
      </w:sdtPr>
      <w:sdtEndPr>
        <w:rPr>
          <w:color w:val="000000" w:themeColor="text1"/>
          <w14:textFill>
            <w14:solidFill>
              <w14:schemeClr w14:val="tx1"/>
            </w14:solidFill>
          </w14:textFill>
        </w:rPr>
      </w:sdtEndPr>
      <w:sdtContent>
        <w:p w14:paraId="7B12190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A06F211">
      <w:pPr>
        <w:rPr>
          <w:color w:val="000000" w:themeColor="text1"/>
          <w14:textFill>
            <w14:solidFill>
              <w14:schemeClr w14:val="tx1"/>
            </w14:solidFill>
          </w14:textFill>
        </w:rPr>
      </w:pPr>
    </w:p>
    <w:p w14:paraId="3E21C5FB">
      <w:pPr>
        <w:rPr>
          <w:color w:val="000000" w:themeColor="text1"/>
          <w14:textFill>
            <w14:solidFill>
              <w14:schemeClr w14:val="tx1"/>
            </w14:solidFill>
          </w14:textFill>
        </w:rPr>
      </w:pPr>
      <w:r>
        <w:rPr>
          <w:rFonts w:hint="eastAsia"/>
          <w:color w:val="000000" w:themeColor="text1"/>
          <w14:textFill>
            <w14:solidFill>
              <w14:schemeClr w14:val="tx1"/>
            </w14:solidFill>
          </w14:textFill>
        </w:rPr>
        <w:t>未纳入租赁负债计量的可变租赁付款额</w:t>
      </w:r>
    </w:p>
    <w:sdt>
      <w:sdtPr>
        <w:rPr>
          <w:color w:val="000000" w:themeColor="text1"/>
          <w14:textFill>
            <w14:solidFill>
              <w14:schemeClr w14:val="tx1"/>
            </w14:solidFill>
          </w14:textFill>
        </w:rPr>
        <w:alias w:val="是否适用：未纳入租赁负债计量的可变租赁付款额[双击切换]"/>
        <w:tag w:val="_GBC_bd2e1ace9f86422a8f860b71955642d7"/>
        <w:id w:val="147477381"/>
        <w:placeholder>
          <w:docPart w:val="GBC22222222222222222222222222222"/>
        </w:placeholder>
      </w:sdtPr>
      <w:sdtEndPr>
        <w:rPr>
          <w:color w:val="000000" w:themeColor="text1"/>
          <w14:textFill>
            <w14:solidFill>
              <w14:schemeClr w14:val="tx1"/>
            </w14:solidFill>
          </w14:textFill>
        </w:rPr>
      </w:sdtEndPr>
      <w:sdtContent>
        <w:p w14:paraId="106CD58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57724CE">
      <w:pPr>
        <w:rPr>
          <w:color w:val="000000" w:themeColor="text1"/>
          <w14:textFill>
            <w14:solidFill>
              <w14:schemeClr w14:val="tx1"/>
            </w14:solidFill>
          </w14:textFill>
        </w:rPr>
      </w:pPr>
    </w:p>
    <w:p w14:paraId="29C446AB">
      <w:pPr>
        <w:rPr>
          <w:color w:val="000000" w:themeColor="text1"/>
          <w14:textFill>
            <w14:solidFill>
              <w14:schemeClr w14:val="tx1"/>
            </w14:solidFill>
          </w14:textFill>
        </w:rPr>
      </w:pPr>
      <w:r>
        <w:rPr>
          <w:rFonts w:hint="eastAsia"/>
          <w:color w:val="000000" w:themeColor="text1"/>
          <w14:textFill>
            <w14:solidFill>
              <w14:schemeClr w14:val="tx1"/>
            </w14:solidFill>
          </w14:textFill>
        </w:rPr>
        <w:t>简化处理的短期租赁或低价值资产的租赁费用</w:t>
      </w:r>
    </w:p>
    <w:sdt>
      <w:sdtPr>
        <w:rPr>
          <w:color w:val="000000" w:themeColor="text1"/>
          <w14:textFill>
            <w14:solidFill>
              <w14:schemeClr w14:val="tx1"/>
            </w14:solidFill>
          </w14:textFill>
        </w:rPr>
        <w:alias w:val="是否适用：简化处理的短期租赁或低价值资产的租赁费用[双击切换]"/>
        <w:tag w:val="_GBC_f3c273f8bb6d4e099c00c1591f5a5a4f"/>
        <w:id w:val="147475652"/>
        <w:placeholder>
          <w:docPart w:val="GBC22222222222222222222222222222"/>
        </w:placeholder>
      </w:sdtPr>
      <w:sdtEndPr>
        <w:rPr>
          <w:color w:val="000000" w:themeColor="text1"/>
          <w14:textFill>
            <w14:solidFill>
              <w14:schemeClr w14:val="tx1"/>
            </w14:solidFill>
          </w14:textFill>
        </w:rPr>
      </w:sdtEndPr>
      <w:sdtContent>
        <w:p w14:paraId="5969DCF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ascii="Times New Roman" w:hAnsi="Times New Roman" w:cs="宋体"/>
          <w:color w:val="000000" w:themeColor="text1"/>
          <w:kern w:val="0"/>
          <w:szCs w:val="21"/>
          <w14:textFill>
            <w14:solidFill>
              <w14:schemeClr w14:val="tx1"/>
            </w14:solidFill>
          </w14:textFill>
        </w:rPr>
        <w:alias w:val="简化处理的短期租赁或低价值资产的租赁费用"/>
        <w:tag w:val="_GBC_36bcbd6cb13f43938e3736b9a975fb9b"/>
        <w:id w:val="147470884"/>
        <w:placeholder>
          <w:docPart w:val="GBC22222222222222222222222222222"/>
        </w:placeholder>
      </w:sdtPr>
      <w:sdtEndPr>
        <w:rPr>
          <w:rFonts w:ascii="Times New Roman" w:hAnsi="Times New Roman" w:cs="宋体"/>
          <w:color w:val="000000" w:themeColor="text1"/>
          <w:kern w:val="0"/>
          <w:szCs w:val="21"/>
          <w14:textFill>
            <w14:solidFill>
              <w14:schemeClr w14:val="tx1"/>
            </w14:solidFill>
          </w14:textFill>
        </w:rPr>
      </w:sdtEndPr>
      <w:sdtContent>
        <w:sdt>
          <w:sdtPr>
            <w:rPr>
              <w:rFonts w:ascii="宋体" w:hAnsi="宋体" w:cs="宋体"/>
              <w:kern w:val="0"/>
              <w:szCs w:val="24"/>
            </w:rPr>
            <w:alias w:val="简化处理的短期租赁或低价值资产的租赁费用"/>
            <w:tag w:val="_GBC_3b8234b2706245babde4cf12e0a046e4"/>
            <w:id w:val="147477115"/>
            <w:lock w:val="sdtLocked"/>
            <w:placeholder>
              <w:docPart w:val="{33573e51-eb93-4283-a3ad-7ec12f67c762}"/>
            </w:placeholder>
          </w:sdtPr>
          <w:sdtEndPr>
            <w:rPr>
              <w:rFonts w:ascii="宋体" w:hAnsi="宋体" w:cs="宋体"/>
              <w:kern w:val="0"/>
              <w:szCs w:val="24"/>
            </w:rPr>
          </w:sdtEndPr>
          <w:sdtContent>
            <w:p w14:paraId="13627F62">
              <w:pPr>
                <w:pStyle w:val="50"/>
                <w:ind w:left="420" w:firstLine="0" w:firstLineChars="0"/>
                <w:jc w:val="right"/>
                <w:rPr>
                  <w:szCs w:val="21"/>
                </w:rPr>
              </w:pPr>
              <w:r>
                <w:rPr>
                  <w:rFonts w:hint="eastAsia"/>
                  <w:szCs w:val="21"/>
                </w:rPr>
                <w:t>单位：</w:t>
              </w:r>
              <w:sdt>
                <w:sdtPr>
                  <w:rPr>
                    <w:rFonts w:hint="eastAsia"/>
                    <w:szCs w:val="21"/>
                  </w:rPr>
                  <w:alias w:val="单位：研发费用"/>
                  <w:tag w:val="_GBC_cf8eb084313b4a1daa3dbb7d47c6cc60"/>
                  <w:id w:val="147470952"/>
                  <w:placeholder>
                    <w:docPart w:val="{178369bf-19eb-4e0e-9999-b0c5a82a2cd7}"/>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研发费用"/>
                  <w:tag w:val="_GBC_572bef247e4247e09454933a69c36e65"/>
                  <w:id w:val="147465254"/>
                  <w:placeholder>
                    <w:docPart w:val="{178369bf-19eb-4e0e-9999-b0c5a82a2cd7}"/>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1"/>
                <w:gridCol w:w="2941"/>
                <w:gridCol w:w="2941"/>
              </w:tblGrid>
              <w:tr w14:paraId="6153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1" w:type="dxa"/>
                    <w:vAlign w:val="center"/>
                  </w:tcPr>
                  <w:p w14:paraId="29042513">
                    <w:pPr>
                      <w:widowControl w:val="0"/>
                      <w:jc w:val="center"/>
                      <w:rPr>
                        <w:rFonts w:cs="Times New Roman" w:eastAsiaTheme="minorEastAsia"/>
                      </w:rPr>
                    </w:pPr>
                    <w:r>
                      <w:rPr>
                        <w:rFonts w:cs="Times New Roman" w:eastAsiaTheme="minorEastAsia"/>
                        <w:color w:val="000000"/>
                      </w:rPr>
                      <w:t>项目</w:t>
                    </w:r>
                  </w:p>
                </w:tc>
                <w:tc>
                  <w:tcPr>
                    <w:tcW w:w="2941" w:type="dxa"/>
                    <w:vAlign w:val="center"/>
                  </w:tcPr>
                  <w:p w14:paraId="5383FBB3">
                    <w:pPr>
                      <w:widowControl w:val="0"/>
                      <w:jc w:val="center"/>
                      <w:rPr>
                        <w:rFonts w:cs="Times New Roman" w:eastAsiaTheme="minorEastAsia"/>
                      </w:rPr>
                    </w:pPr>
                    <w:r>
                      <w:rPr>
                        <w:rFonts w:cs="Times New Roman" w:eastAsiaTheme="minorEastAsia"/>
                        <w:color w:val="000000"/>
                      </w:rPr>
                      <w:t>本期发生额</w:t>
                    </w:r>
                  </w:p>
                </w:tc>
                <w:tc>
                  <w:tcPr>
                    <w:tcW w:w="2941" w:type="dxa"/>
                    <w:vAlign w:val="center"/>
                  </w:tcPr>
                  <w:p w14:paraId="1501A18A">
                    <w:pPr>
                      <w:widowControl w:val="0"/>
                      <w:jc w:val="center"/>
                      <w:rPr>
                        <w:rFonts w:cs="Times New Roman" w:eastAsiaTheme="minorEastAsia"/>
                      </w:rPr>
                    </w:pPr>
                    <w:r>
                      <w:rPr>
                        <w:rFonts w:cs="Times New Roman" w:eastAsiaTheme="minorEastAsia"/>
                        <w:color w:val="000000"/>
                      </w:rPr>
                      <w:t>上期发生额</w:t>
                    </w:r>
                  </w:p>
                </w:tc>
              </w:tr>
              <w:tr w14:paraId="37F2A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1" w:type="dxa"/>
                    <w:vAlign w:val="center"/>
                  </w:tcPr>
                  <w:p w14:paraId="4274DDBC">
                    <w:pPr>
                      <w:widowControl w:val="0"/>
                      <w:jc w:val="both"/>
                      <w:rPr>
                        <w:rFonts w:cs="Times New Roman" w:eastAsiaTheme="minorEastAsia"/>
                      </w:rPr>
                    </w:pPr>
                    <w:r>
                      <w:rPr>
                        <w:rFonts w:cs="Times New Roman" w:eastAsiaTheme="minorEastAsia"/>
                        <w:color w:val="000000"/>
                      </w:rPr>
                      <w:t>租赁负债的利息</w:t>
                    </w:r>
                  </w:p>
                </w:tc>
                <w:tc>
                  <w:tcPr>
                    <w:tcW w:w="2941" w:type="dxa"/>
                    <w:vAlign w:val="center"/>
                  </w:tcPr>
                  <w:p w14:paraId="50C056CF">
                    <w:pPr>
                      <w:widowControl/>
                      <w:jc w:val="right"/>
                      <w:textAlignment w:val="center"/>
                      <w:rPr>
                        <w:rFonts w:cs="Times New Roman" w:eastAsiaTheme="minorEastAsia"/>
                      </w:rPr>
                    </w:pPr>
                    <w:r>
                      <w:rPr>
                        <w:rFonts w:cs="Times New Roman"/>
                        <w:color w:val="000000"/>
                      </w:rPr>
                      <w:t>273,002.88</w:t>
                    </w:r>
                  </w:p>
                </w:tc>
                <w:tc>
                  <w:tcPr>
                    <w:tcW w:w="2941" w:type="dxa"/>
                    <w:vAlign w:val="center"/>
                  </w:tcPr>
                  <w:p w14:paraId="0E52242B">
                    <w:pPr>
                      <w:widowControl/>
                      <w:jc w:val="right"/>
                      <w:textAlignment w:val="center"/>
                      <w:rPr>
                        <w:rFonts w:cs="Times New Roman" w:eastAsiaTheme="minorEastAsia"/>
                      </w:rPr>
                    </w:pPr>
                    <w:r>
                      <w:rPr>
                        <w:rFonts w:cs="Times New Roman"/>
                        <w:color w:val="000000"/>
                      </w:rPr>
                      <w:t>365,913.15</w:t>
                    </w:r>
                  </w:p>
                </w:tc>
              </w:tr>
              <w:tr w14:paraId="57BA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1" w:type="dxa"/>
                    <w:vAlign w:val="center"/>
                  </w:tcPr>
                  <w:p w14:paraId="47CC3205">
                    <w:pPr>
                      <w:widowControl w:val="0"/>
                      <w:jc w:val="both"/>
                      <w:rPr>
                        <w:rFonts w:cs="Times New Roman" w:eastAsiaTheme="minorEastAsia"/>
                      </w:rPr>
                    </w:pPr>
                    <w:r>
                      <w:rPr>
                        <w:rFonts w:cs="Times New Roman" w:eastAsiaTheme="minorEastAsia"/>
                        <w:color w:val="000000"/>
                      </w:rPr>
                      <w:t>短期租赁费用</w:t>
                    </w:r>
                  </w:p>
                </w:tc>
                <w:tc>
                  <w:tcPr>
                    <w:tcW w:w="2941" w:type="dxa"/>
                    <w:vAlign w:val="center"/>
                  </w:tcPr>
                  <w:p w14:paraId="142971B3">
                    <w:pPr>
                      <w:widowControl/>
                      <w:jc w:val="right"/>
                      <w:textAlignment w:val="center"/>
                      <w:rPr>
                        <w:rFonts w:cs="Times New Roman" w:eastAsiaTheme="minorEastAsia"/>
                      </w:rPr>
                    </w:pPr>
                    <w:r>
                      <w:rPr>
                        <w:rFonts w:cs="Times New Roman"/>
                        <w:color w:val="000000"/>
                      </w:rPr>
                      <w:t>4,779,412.85</w:t>
                    </w:r>
                  </w:p>
                </w:tc>
                <w:tc>
                  <w:tcPr>
                    <w:tcW w:w="2941" w:type="dxa"/>
                    <w:vAlign w:val="center"/>
                  </w:tcPr>
                  <w:p w14:paraId="70E50E4D">
                    <w:pPr>
                      <w:widowControl/>
                      <w:jc w:val="right"/>
                      <w:textAlignment w:val="center"/>
                      <w:rPr>
                        <w:rFonts w:cs="Times New Roman" w:eastAsiaTheme="minorEastAsia"/>
                      </w:rPr>
                    </w:pPr>
                    <w:r>
                      <w:rPr>
                        <w:rFonts w:cs="Times New Roman"/>
                        <w:color w:val="000000"/>
                      </w:rPr>
                      <w:t>8,498,098.39</w:t>
                    </w:r>
                  </w:p>
                </w:tc>
              </w:tr>
              <w:tr w14:paraId="03FD3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1" w:type="dxa"/>
                    <w:vAlign w:val="center"/>
                  </w:tcPr>
                  <w:p w14:paraId="00E580FD">
                    <w:pPr>
                      <w:widowControl w:val="0"/>
                      <w:jc w:val="both"/>
                      <w:rPr>
                        <w:rFonts w:cs="Times New Roman" w:eastAsiaTheme="minorEastAsia"/>
                      </w:rPr>
                    </w:pPr>
                    <w:r>
                      <w:rPr>
                        <w:rFonts w:cs="Times New Roman" w:eastAsiaTheme="minorEastAsia"/>
                        <w:color w:val="000000"/>
                      </w:rPr>
                      <w:t>低价值资产租赁费用</w:t>
                    </w:r>
                  </w:p>
                </w:tc>
                <w:tc>
                  <w:tcPr>
                    <w:tcW w:w="2941" w:type="dxa"/>
                    <w:vAlign w:val="center"/>
                  </w:tcPr>
                  <w:p w14:paraId="1F32AC77">
                    <w:pPr>
                      <w:widowControl/>
                      <w:jc w:val="right"/>
                      <w:textAlignment w:val="center"/>
                      <w:rPr>
                        <w:rFonts w:cs="Times New Roman" w:eastAsiaTheme="minorEastAsia"/>
                      </w:rPr>
                    </w:pPr>
                    <w:r>
                      <w:rPr>
                        <w:rFonts w:cs="Times New Roman"/>
                        <w:color w:val="000000"/>
                      </w:rPr>
                      <w:t>186,605.72</w:t>
                    </w:r>
                  </w:p>
                </w:tc>
                <w:tc>
                  <w:tcPr>
                    <w:tcW w:w="2941" w:type="dxa"/>
                    <w:vAlign w:val="center"/>
                  </w:tcPr>
                  <w:p w14:paraId="1C2DF949">
                    <w:pPr>
                      <w:widowControl/>
                      <w:jc w:val="right"/>
                      <w:textAlignment w:val="center"/>
                      <w:rPr>
                        <w:rFonts w:cs="Times New Roman" w:eastAsiaTheme="minorEastAsia"/>
                      </w:rPr>
                    </w:pPr>
                    <w:r>
                      <w:rPr>
                        <w:rFonts w:cs="Times New Roman"/>
                        <w:color w:val="000000"/>
                      </w:rPr>
                      <w:t>29,100.00</w:t>
                    </w:r>
                  </w:p>
                </w:tc>
              </w:tr>
            </w:tbl>
            <w:p w14:paraId="2FF9BBA2">
              <w:pPr>
                <w:rPr>
                  <w:color w:val="000000" w:themeColor="text1"/>
                  <w14:textFill>
                    <w14:solidFill>
                      <w14:schemeClr w14:val="tx1"/>
                    </w14:solidFill>
                  </w14:textFill>
                </w:rPr>
              </w:pPr>
            </w:p>
          </w:sdtContent>
        </w:sdt>
      </w:sdtContent>
    </w:sdt>
    <w:p w14:paraId="1B36239A">
      <w:pPr>
        <w:rPr>
          <w:color w:val="000000" w:themeColor="text1"/>
          <w14:textFill>
            <w14:solidFill>
              <w14:schemeClr w14:val="tx1"/>
            </w14:solidFill>
          </w14:textFill>
        </w:rPr>
      </w:pPr>
    </w:p>
    <w:p w14:paraId="670F6520">
      <w:pPr>
        <w:rPr>
          <w:color w:val="000000" w:themeColor="text1"/>
          <w14:textFill>
            <w14:solidFill>
              <w14:schemeClr w14:val="tx1"/>
            </w14:solidFill>
          </w14:textFill>
        </w:rPr>
      </w:pPr>
      <w:r>
        <w:rPr>
          <w:rFonts w:hint="eastAsia"/>
          <w:color w:val="000000" w:themeColor="text1"/>
          <w14:textFill>
            <w14:solidFill>
              <w14:schemeClr w14:val="tx1"/>
            </w14:solidFill>
          </w14:textFill>
        </w:rPr>
        <w:t>售后租回交易及判断依据</w:t>
      </w:r>
    </w:p>
    <w:sdt>
      <w:sdtPr>
        <w:rPr>
          <w:color w:val="000000" w:themeColor="text1"/>
          <w14:textFill>
            <w14:solidFill>
              <w14:schemeClr w14:val="tx1"/>
            </w14:solidFill>
          </w14:textFill>
        </w:rPr>
        <w:alias w:val="是否适用：售后租回交易及判断依据[双击切换]"/>
        <w:tag w:val="_GBC_1ca4680bb4e9497e80b8d3a59c79d5a1"/>
        <w:id w:val="147475264"/>
        <w:placeholder>
          <w:docPart w:val="GBC22222222222222222222222222222"/>
        </w:placeholder>
      </w:sdtPr>
      <w:sdtEndPr>
        <w:rPr>
          <w:color w:val="000000" w:themeColor="text1"/>
          <w14:textFill>
            <w14:solidFill>
              <w14:schemeClr w14:val="tx1"/>
            </w14:solidFill>
          </w14:textFill>
        </w:rPr>
      </w:sdtEndPr>
      <w:sdtContent>
        <w:p w14:paraId="6EB5B17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F567E38">
      <w:pPr>
        <w:rPr>
          <w:color w:val="000000" w:themeColor="text1"/>
          <w14:textFill>
            <w14:solidFill>
              <w14:schemeClr w14:val="tx1"/>
            </w14:solidFill>
          </w14:textFill>
        </w:rPr>
      </w:pPr>
    </w:p>
    <w:p w14:paraId="5FD84125">
      <w:pPr>
        <w:rPr>
          <w:color w:val="000000" w:themeColor="text1"/>
          <w14:textFill>
            <w14:solidFill>
              <w14:schemeClr w14:val="tx1"/>
            </w14:solidFill>
          </w14:textFill>
        </w:rPr>
      </w:pPr>
      <w:r>
        <w:rPr>
          <w:rFonts w:hint="eastAsia"/>
          <w:color w:val="000000" w:themeColor="text1"/>
          <w14:textFill>
            <w14:solidFill>
              <w14:schemeClr w14:val="tx1"/>
            </w14:solidFill>
          </w14:textFill>
        </w:rPr>
        <w:t>与租赁相关的现金流出总额</w:t>
      </w:r>
      <w:sdt>
        <w:sdtPr>
          <w:rPr>
            <w:rFonts w:hint="eastAsia"/>
            <w:color w:val="000000" w:themeColor="text1"/>
            <w14:textFill>
              <w14:solidFill>
                <w14:schemeClr w14:val="tx1"/>
              </w14:solidFill>
            </w14:textFill>
          </w:rPr>
          <w:alias w:val="与租赁相关的现金流出总额"/>
          <w:tag w:val="_GBC_d78e0355036a45b9afc0eca5988d4956"/>
          <w:id w:val="147467438"/>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8,322,601.25</w:t>
          </w:r>
        </w:sdtContent>
      </w:sdt>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与租赁相关的现金流出总额"/>
          <w:tag w:val="_GBC_57a12ad185f640248e4c9dce377f5f57"/>
          <w:id w:val="14747384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与租赁相关的现金流出总额"/>
          <w:tag w:val="_GBC_a5553fa6fd6f4fefa66550584159c745"/>
          <w:id w:val="1474799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r>
        <w:rPr>
          <w:rFonts w:hint="eastAsia"/>
          <w:color w:val="000000" w:themeColor="text1"/>
          <w14:textFill>
            <w14:solidFill>
              <w14:schemeClr w14:val="tx1"/>
            </w14:solidFill>
          </w14:textFill>
        </w:rPr>
        <w:t>)</w:t>
      </w:r>
    </w:p>
    <w:p w14:paraId="659D3143">
      <w:pPr>
        <w:rPr>
          <w:color w:val="000000" w:themeColor="text1"/>
          <w14:textFill>
            <w14:solidFill>
              <w14:schemeClr w14:val="tx1"/>
            </w14:solidFill>
          </w14:textFill>
        </w:rPr>
      </w:pPr>
    </w:p>
    <w:p w14:paraId="180FE83B">
      <w:pPr>
        <w:pStyle w:val="58"/>
        <w:numPr>
          <w:ilvl w:val="0"/>
          <w:numId w:val="93"/>
        </w:numPr>
        <w:ind w:left="0" w:firstLine="0"/>
        <w:rPr>
          <w:color w:val="000000" w:themeColor="text1"/>
          <w14:textFill>
            <w14:solidFill>
              <w14:schemeClr w14:val="tx1"/>
            </w14:solidFill>
          </w14:textFill>
        </w:rPr>
      </w:pPr>
      <w:r>
        <w:rPr>
          <w:color w:val="000000" w:themeColor="text1"/>
          <w14:textFill>
            <w14:solidFill>
              <w14:schemeClr w14:val="tx1"/>
            </w14:solidFill>
          </w14:textFill>
        </w:rPr>
        <w:t>作为出租人</w:t>
      </w:r>
    </w:p>
    <w:p w14:paraId="3D2EB3BD">
      <w:pPr>
        <w:rPr>
          <w:color w:val="000000" w:themeColor="text1"/>
          <w14:textFill>
            <w14:solidFill>
              <w14:schemeClr w14:val="tx1"/>
            </w14:solidFill>
          </w14:textFill>
        </w:rPr>
      </w:pPr>
      <w:r>
        <w:rPr>
          <w:color w:val="000000" w:themeColor="text1"/>
          <w14:textFill>
            <w14:solidFill>
              <w14:schemeClr w14:val="tx1"/>
            </w14:solidFill>
          </w14:textFill>
        </w:rPr>
        <w:t>作为出租人的经营</w:t>
      </w:r>
      <w:r>
        <w:rPr>
          <w:rFonts w:hint="eastAsia"/>
          <w:color w:val="000000" w:themeColor="text1"/>
          <w14:textFill>
            <w14:solidFill>
              <w14:schemeClr w14:val="tx1"/>
            </w14:solidFill>
          </w14:textFill>
        </w:rPr>
        <w:t>租赁</w:t>
      </w:r>
    </w:p>
    <w:sdt>
      <w:sdtPr>
        <w:rPr>
          <w:rFonts w:hint="eastAsia"/>
          <w:color w:val="000000" w:themeColor="text1"/>
          <w14:textFill>
            <w14:solidFill>
              <w14:schemeClr w14:val="tx1"/>
            </w14:solidFill>
          </w14:textFill>
        </w:rPr>
        <w:alias w:val="是否适用：作为出租人的经营租赁[双击切换]"/>
        <w:tag w:val="_GBC_8caa55cbe72d4d8cacd2b07a9782c9d1"/>
        <w:id w:val="391013597"/>
      </w:sdtPr>
      <w:sdtEndPr>
        <w:rPr>
          <w:rFonts w:hint="eastAsia"/>
          <w:color w:val="000000" w:themeColor="text1"/>
          <w14:textFill>
            <w14:solidFill>
              <w14:schemeClr w14:val="tx1"/>
            </w14:solidFill>
          </w14:textFill>
        </w:rPr>
      </w:sdtEndPr>
      <w:sdtContent>
        <w:p w14:paraId="71D3D6C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35D88457">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作为出租人的经营租赁"/>
          <w:tag w:val="_GBC_de6eb571fbe04adb9912546313da8056"/>
          <w:id w:val="-993567028"/>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作为出租人的经营租赁"/>
          <w:tag w:val="_GBC_3b9dbcc6234241c6ad9c2cb82be0f4e6"/>
          <w:id w:val="-44919010"/>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6"/>
        <w:gridCol w:w="1968"/>
      </w:tblGrid>
      <w:tr w14:paraId="166D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rFonts w:cs="Times New Roman"/>
            </w:rPr>
            <w:tag w:val="_PLD_592ea8def48e4d70a449933471ee6d8a"/>
            <w:id w:val="-1398967534"/>
          </w:sdtPr>
          <w:sdtEndPr>
            <w:rPr>
              <w:rFonts w:cs="Times New Roman"/>
            </w:rPr>
          </w:sdtEndPr>
          <w:sdtContent>
            <w:tc>
              <w:tcPr>
                <w:tcW w:w="3911" w:type="pct"/>
                <w:vAlign w:val="center"/>
              </w:tcPr>
              <w:p w14:paraId="48DBA2E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fb99ae08176e462e8f93a77b1a3bf67d"/>
            <w:id w:val="-895436404"/>
          </w:sdtPr>
          <w:sdtEndPr>
            <w:rPr>
              <w:rFonts w:cs="Times New Roman"/>
            </w:rPr>
          </w:sdtEndPr>
          <w:sdtContent>
            <w:tc>
              <w:tcPr>
                <w:tcW w:w="1088" w:type="pct"/>
                <w:vAlign w:val="center"/>
              </w:tcPr>
              <w:p w14:paraId="7BE2F8D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租赁收入</w:t>
                </w:r>
              </w:p>
            </w:tc>
          </w:sdtContent>
        </w:sdt>
      </w:tr>
      <w:sdt>
        <w:sdtPr>
          <w:rPr>
            <w:rFonts w:cs="Times New Roman"/>
            <w:color w:val="000000" w:themeColor="text1"/>
            <w14:textFill>
              <w14:solidFill>
                <w14:schemeClr w14:val="tx1"/>
              </w14:solidFill>
            </w14:textFill>
          </w:rPr>
          <w:alias w:val="作为出租人的经营租赁明细"/>
          <w:tag w:val="_TUP_19495608967c4a2b8a1a0c0941998ad7"/>
          <w:id w:val="-2081742441"/>
          <w:placeholder>
            <w:docPart w:val="{e13e1838-74b0-4c10-a2d9-b7ed71a53cc5}"/>
          </w:placeholder>
        </w:sdtPr>
        <w:sdtEndPr>
          <w:rPr>
            <w:rFonts w:cs="Times New Roman"/>
            <w:color w:val="000000" w:themeColor="text1"/>
            <w14:textFill>
              <w14:solidFill>
                <w14:schemeClr w14:val="tx1"/>
              </w14:solidFill>
            </w14:textFill>
          </w:rPr>
        </w:sdtEndPr>
        <w:sdtContent>
          <w:tr w14:paraId="17DF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1" w:type="pct"/>
                <w:vAlign w:val="center"/>
              </w:tcPr>
              <w:p w14:paraId="0974B3F9">
                <w:pPr>
                  <w:rPr>
                    <w:rFonts w:cs="Times New Roman"/>
                  </w:rPr>
                </w:pPr>
                <w:r>
                  <w:rPr>
                    <w:rFonts w:cs="Times New Roman"/>
                  </w:rPr>
                  <w:t>际华三五零二职业装有限公司房屋及建筑物租赁</w:t>
                </w:r>
              </w:p>
            </w:tc>
            <w:tc>
              <w:tcPr>
                <w:tcW w:w="1088" w:type="pct"/>
                <w:vAlign w:val="center"/>
              </w:tcPr>
              <w:p w14:paraId="4A7D82CB">
                <w:pPr>
                  <w:jc w:val="right"/>
                  <w:rPr>
                    <w:rFonts w:cs="Times New Roman"/>
                  </w:rPr>
                </w:pPr>
                <w:r>
                  <w:rPr>
                    <w:rFonts w:cs="Times New Roman"/>
                  </w:rPr>
                  <w:t>1,215,581.29</w:t>
                </w:r>
              </w:p>
            </w:tc>
          </w:tr>
        </w:sdtContent>
      </w:sdt>
      <w:sdt>
        <w:sdtPr>
          <w:rPr>
            <w:rFonts w:cs="Times New Roman"/>
            <w:color w:val="000000" w:themeColor="text1"/>
            <w14:textFill>
              <w14:solidFill>
                <w14:schemeClr w14:val="tx1"/>
              </w14:solidFill>
            </w14:textFill>
          </w:rPr>
          <w:alias w:val="作为出租人的经营租赁明细"/>
          <w:tag w:val="_TUP_19495608967c4a2b8a1a0c0941998ad7"/>
          <w:id w:val="-573126419"/>
          <w:placeholder>
            <w:docPart w:val="{e13e1838-74b0-4c10-a2d9-b7ed71a53cc5}"/>
          </w:placeholder>
        </w:sdtPr>
        <w:sdtEndPr>
          <w:rPr>
            <w:rFonts w:cs="Times New Roman"/>
            <w:color w:val="000000" w:themeColor="text1"/>
            <w14:textFill>
              <w14:solidFill>
                <w14:schemeClr w14:val="tx1"/>
              </w14:solidFill>
            </w14:textFill>
          </w:rPr>
        </w:sdtEndPr>
        <w:sdtContent>
          <w:tr w14:paraId="76B32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1" w:type="pct"/>
                <w:vAlign w:val="center"/>
              </w:tcPr>
              <w:p w14:paraId="01A7FA61">
                <w:pPr>
                  <w:rPr>
                    <w:rFonts w:cs="Times New Roman"/>
                  </w:rPr>
                </w:pPr>
                <w:r>
                  <w:rPr>
                    <w:rFonts w:cs="Times New Roman"/>
                  </w:rPr>
                  <w:t>南京际华三五〇三服装有限公司房屋及建筑物租赁</w:t>
                </w:r>
              </w:p>
            </w:tc>
            <w:tc>
              <w:tcPr>
                <w:tcW w:w="1088" w:type="pct"/>
                <w:vAlign w:val="center"/>
              </w:tcPr>
              <w:p w14:paraId="4F5C3143">
                <w:pPr>
                  <w:jc w:val="right"/>
                  <w:rPr>
                    <w:rFonts w:cs="Times New Roman"/>
                  </w:rPr>
                </w:pPr>
                <w:r>
                  <w:rPr>
                    <w:rFonts w:cs="Times New Roman"/>
                  </w:rPr>
                  <w:t>779,128.45</w:t>
                </w:r>
              </w:p>
            </w:tc>
          </w:tr>
        </w:sdtContent>
      </w:sdt>
      <w:sdt>
        <w:sdtPr>
          <w:rPr>
            <w:rFonts w:cs="Times New Roman"/>
            <w:color w:val="000000" w:themeColor="text1"/>
            <w14:textFill>
              <w14:solidFill>
                <w14:schemeClr w14:val="tx1"/>
              </w14:solidFill>
            </w14:textFill>
          </w:rPr>
          <w:alias w:val="作为出租人的经营租赁明细"/>
          <w:tag w:val="_TUP_19495608967c4a2b8a1a0c0941998ad7"/>
          <w:id w:val="-1900737335"/>
          <w:placeholder>
            <w:docPart w:val="{e13e1838-74b0-4c10-a2d9-b7ed71a53cc5}"/>
          </w:placeholder>
        </w:sdtPr>
        <w:sdtEndPr>
          <w:rPr>
            <w:rFonts w:cs="Times New Roman"/>
            <w:color w:val="000000" w:themeColor="text1"/>
            <w14:textFill>
              <w14:solidFill>
                <w14:schemeClr w14:val="tx1"/>
              </w14:solidFill>
            </w14:textFill>
          </w:rPr>
        </w:sdtEndPr>
        <w:sdtContent>
          <w:tr w14:paraId="7D3DB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1" w:type="pct"/>
                <w:vAlign w:val="center"/>
              </w:tcPr>
              <w:p w14:paraId="1951D80D">
                <w:pPr>
                  <w:rPr>
                    <w:rFonts w:cs="Times New Roman"/>
                  </w:rPr>
                </w:pPr>
                <w:r>
                  <w:rPr>
                    <w:rFonts w:cs="Times New Roman"/>
                  </w:rPr>
                  <w:t>际华三五零六纺织服装有限公司房屋及建筑物租赁</w:t>
                </w:r>
              </w:p>
            </w:tc>
            <w:tc>
              <w:tcPr>
                <w:tcW w:w="1088" w:type="pct"/>
                <w:vAlign w:val="center"/>
              </w:tcPr>
              <w:p w14:paraId="4051208F">
                <w:pPr>
                  <w:jc w:val="right"/>
                  <w:rPr>
                    <w:rFonts w:cs="Times New Roman"/>
                  </w:rPr>
                </w:pPr>
                <w:r>
                  <w:rPr>
                    <w:rFonts w:cs="Times New Roman"/>
                  </w:rPr>
                  <w:t>6,501,609.97</w:t>
                </w:r>
              </w:p>
            </w:tc>
          </w:tr>
        </w:sdtContent>
      </w:sdt>
      <w:sdt>
        <w:sdtPr>
          <w:alias w:val="作为出租人的经营租赁明细"/>
          <w:tag w:val="_TUP_19495608967c4a2b8a1a0c0941998ad7"/>
          <w:id w:val="-848107837"/>
          <w:placeholder>
            <w:docPart w:val="{e13e1838-74b0-4c10-a2d9-b7ed71a53cc5}"/>
          </w:placeholder>
        </w:sdtPr>
        <w:sdtContent>
          <w:sdt>
            <w:sdtPr>
              <w:alias w:val="作为出租人的经营租赁明细"/>
              <w:tag w:val="_TUP_19495608967c4a2b8a1a0c0941998ad7"/>
              <w:id w:val="-838460934"/>
              <w:placeholder>
                <w:docPart w:val="{e13e1838-74b0-4c10-a2d9-b7ed71a53cc5}"/>
              </w:placeholder>
            </w:sdtPr>
            <w:sdtEndPr>
              <w:rPr>
                <w:rFonts w:cs="Times New Roman"/>
                <w:color w:val="000000" w:themeColor="text1"/>
                <w14:textFill>
                  <w14:solidFill>
                    <w14:schemeClr w14:val="tx1"/>
                  </w14:solidFill>
                </w14:textFill>
              </w:rPr>
            </w:sdtEndPr>
            <w:sdtContent>
              <w:tr w14:paraId="3E411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1" w:type="pct"/>
                    <w:vAlign w:val="center"/>
                  </w:tcPr>
                  <w:p w14:paraId="4D5D6D32">
                    <w:pPr>
                      <w:rPr>
                        <w:rFonts w:cs="Times New Roman"/>
                      </w:rPr>
                    </w:pPr>
                    <w:r>
                      <w:rPr>
                        <w:rFonts w:cs="Times New Roman"/>
                      </w:rPr>
                      <w:t>际华三五一一实业有限公司房屋建筑物及土地租赁</w:t>
                    </w:r>
                  </w:p>
                </w:tc>
                <w:tc>
                  <w:tcPr>
                    <w:tcW w:w="1088" w:type="pct"/>
                    <w:vAlign w:val="center"/>
                  </w:tcPr>
                  <w:p w14:paraId="1E4BA7B0">
                    <w:pPr>
                      <w:jc w:val="right"/>
                      <w:rPr>
                        <w:rFonts w:cs="Times New Roman"/>
                      </w:rPr>
                    </w:pPr>
                    <w:r>
                      <w:rPr>
                        <w:rFonts w:cs="Times New Roman"/>
                      </w:rPr>
                      <w:t>9,684,277.57</w:t>
                    </w:r>
                  </w:p>
                </w:tc>
              </w:tr>
            </w:sdtContent>
          </w:sdt>
        </w:sdtContent>
      </w:sdt>
      <w:sdt>
        <w:sdtPr>
          <w:rPr>
            <w:rFonts w:cs="Times New Roman"/>
            <w:color w:val="000000" w:themeColor="text1"/>
            <w14:textFill>
              <w14:solidFill>
                <w14:schemeClr w14:val="tx1"/>
              </w14:solidFill>
            </w14:textFill>
          </w:rPr>
          <w:alias w:val="作为出租人的经营租赁明细"/>
          <w:tag w:val="_TUP_19495608967c4a2b8a1a0c0941998ad7"/>
          <w:id w:val="591440086"/>
          <w:placeholder>
            <w:docPart w:val="{e13e1838-74b0-4c10-a2d9-b7ed71a53cc5}"/>
          </w:placeholder>
        </w:sdtPr>
        <w:sdtEndPr>
          <w:rPr>
            <w:rFonts w:cs="Times New Roman"/>
            <w:color w:val="000000" w:themeColor="text1"/>
            <w14:textFill>
              <w14:solidFill>
                <w14:schemeClr w14:val="tx1"/>
              </w14:solidFill>
            </w14:textFill>
          </w:rPr>
        </w:sdtEndPr>
        <w:sdtContent>
          <w:tr w14:paraId="7052A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1" w:type="pct"/>
                <w:vAlign w:val="center"/>
              </w:tcPr>
              <w:p w14:paraId="1453E191">
                <w:pPr>
                  <w:rPr>
                    <w:rFonts w:cs="Times New Roman"/>
                  </w:rPr>
                </w:pPr>
                <w:r>
                  <w:rPr>
                    <w:rFonts w:cs="Times New Roman"/>
                  </w:rPr>
                  <w:t>际华三五一二皮革服装有限公司房屋建筑物及土地租赁</w:t>
                </w:r>
              </w:p>
            </w:tc>
            <w:tc>
              <w:tcPr>
                <w:tcW w:w="1088" w:type="pct"/>
                <w:vAlign w:val="center"/>
              </w:tcPr>
              <w:p w14:paraId="77F872CA">
                <w:pPr>
                  <w:jc w:val="right"/>
                  <w:rPr>
                    <w:rFonts w:cs="Times New Roman"/>
                  </w:rPr>
                </w:pPr>
                <w:r>
                  <w:rPr>
                    <w:rFonts w:cs="Times New Roman"/>
                  </w:rPr>
                  <w:t>2,531,619.05</w:t>
                </w:r>
              </w:p>
            </w:tc>
          </w:tr>
        </w:sdtContent>
      </w:sdt>
      <w:sdt>
        <w:sdtPr>
          <w:rPr>
            <w:rFonts w:cs="Times New Roman"/>
            <w:color w:val="000000" w:themeColor="text1"/>
            <w14:textFill>
              <w14:solidFill>
                <w14:schemeClr w14:val="tx1"/>
              </w14:solidFill>
            </w14:textFill>
          </w:rPr>
          <w:alias w:val="作为出租人的经营租赁明细"/>
          <w:tag w:val="_TUP_19495608967c4a2b8a1a0c0941998ad7"/>
          <w:id w:val="2143219668"/>
          <w:placeholder>
            <w:docPart w:val="{e13e1838-74b0-4c10-a2d9-b7ed71a53cc5}"/>
          </w:placeholder>
        </w:sdtPr>
        <w:sdtEndPr>
          <w:rPr>
            <w:rFonts w:cs="Times New Roman"/>
            <w:color w:val="000000" w:themeColor="text1"/>
            <w14:textFill>
              <w14:solidFill>
                <w14:schemeClr w14:val="tx1"/>
              </w14:solidFill>
            </w14:textFill>
          </w:rPr>
        </w:sdtEndPr>
        <w:sdtContent>
          <w:tr w14:paraId="266AB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1" w:type="pct"/>
                <w:vAlign w:val="center"/>
              </w:tcPr>
              <w:p w14:paraId="7ABC905C">
                <w:pPr>
                  <w:rPr>
                    <w:rFonts w:cs="Times New Roman"/>
                  </w:rPr>
                </w:pPr>
                <w:r>
                  <w:rPr>
                    <w:rFonts w:cs="Times New Roman"/>
                  </w:rPr>
                  <w:t>际华三五一三实业有限公司房屋及建筑物租赁</w:t>
                </w:r>
              </w:p>
            </w:tc>
            <w:tc>
              <w:tcPr>
                <w:tcW w:w="1088" w:type="pct"/>
                <w:vAlign w:val="center"/>
              </w:tcPr>
              <w:p w14:paraId="68E11DB2">
                <w:pPr>
                  <w:jc w:val="right"/>
                  <w:rPr>
                    <w:rFonts w:cs="Times New Roman"/>
                  </w:rPr>
                </w:pPr>
                <w:r>
                  <w:rPr>
                    <w:rFonts w:cs="Times New Roman"/>
                  </w:rPr>
                  <w:t>13,405,045.17</w:t>
                </w:r>
              </w:p>
            </w:tc>
          </w:tr>
        </w:sdtContent>
      </w:sdt>
      <w:sdt>
        <w:sdtPr>
          <w:rPr>
            <w:rFonts w:cs="Times New Roman"/>
            <w:color w:val="000000" w:themeColor="text1"/>
            <w14:textFill>
              <w14:solidFill>
                <w14:schemeClr w14:val="tx1"/>
              </w14:solidFill>
            </w14:textFill>
          </w:rPr>
          <w:alias w:val="作为出租人的经营租赁明细"/>
          <w:tag w:val="_TUP_19495608967c4a2b8a1a0c0941998ad7"/>
          <w:id w:val="118651678"/>
          <w:placeholder>
            <w:docPart w:val="{e13e1838-74b0-4c10-a2d9-b7ed71a53cc5}"/>
          </w:placeholder>
        </w:sdtPr>
        <w:sdtEndPr>
          <w:rPr>
            <w:rFonts w:cs="Times New Roman"/>
            <w:color w:val="000000" w:themeColor="text1"/>
            <w14:textFill>
              <w14:solidFill>
                <w14:schemeClr w14:val="tx1"/>
              </w14:solidFill>
            </w14:textFill>
          </w:rPr>
        </w:sdtEndPr>
        <w:sdtContent>
          <w:tr w14:paraId="0D5B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1" w:type="pct"/>
                <w:vAlign w:val="center"/>
              </w:tcPr>
              <w:p w14:paraId="290E2C48">
                <w:pPr>
                  <w:rPr>
                    <w:rFonts w:cs="Times New Roman"/>
                  </w:rPr>
                </w:pPr>
                <w:r>
                  <w:rPr>
                    <w:rFonts w:cs="Times New Roman"/>
                  </w:rPr>
                  <w:t>际华三五一四制革制鞋有限公司房屋及建筑物租赁</w:t>
                </w:r>
              </w:p>
            </w:tc>
            <w:tc>
              <w:tcPr>
                <w:tcW w:w="1088" w:type="pct"/>
                <w:vAlign w:val="center"/>
              </w:tcPr>
              <w:p w14:paraId="23D0CF01">
                <w:pPr>
                  <w:jc w:val="right"/>
                  <w:rPr>
                    <w:rFonts w:cs="Times New Roman"/>
                  </w:rPr>
                </w:pPr>
                <w:r>
                  <w:rPr>
                    <w:rFonts w:cs="Times New Roman"/>
                  </w:rPr>
                  <w:t>7,259,146.78</w:t>
                </w:r>
              </w:p>
            </w:tc>
          </w:tr>
        </w:sdtContent>
      </w:sdt>
      <w:sdt>
        <w:sdtPr>
          <w:rPr>
            <w:rFonts w:cs="Times New Roman"/>
            <w:color w:val="000000" w:themeColor="text1"/>
            <w14:textFill>
              <w14:solidFill>
                <w14:schemeClr w14:val="tx1"/>
              </w14:solidFill>
            </w14:textFill>
          </w:rPr>
          <w:alias w:val="作为出租人的经营租赁明细"/>
          <w:tag w:val="_TUP_19495608967c4a2b8a1a0c0941998ad7"/>
          <w:id w:val="-1890801554"/>
          <w:placeholder>
            <w:docPart w:val="{e13e1838-74b0-4c10-a2d9-b7ed71a53cc5}"/>
          </w:placeholder>
        </w:sdtPr>
        <w:sdtEndPr>
          <w:rPr>
            <w:rFonts w:cs="Times New Roman"/>
            <w:color w:val="000000" w:themeColor="text1"/>
            <w14:textFill>
              <w14:solidFill>
                <w14:schemeClr w14:val="tx1"/>
              </w14:solidFill>
            </w14:textFill>
          </w:rPr>
        </w:sdtEndPr>
        <w:sdtContent>
          <w:tr w14:paraId="12AB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1" w:type="pct"/>
                <w:vAlign w:val="center"/>
              </w:tcPr>
              <w:p w14:paraId="71D7CBFD">
                <w:pPr>
                  <w:rPr>
                    <w:rFonts w:cs="Times New Roman"/>
                  </w:rPr>
                </w:pPr>
                <w:r>
                  <w:rPr>
                    <w:rFonts w:cs="Times New Roman"/>
                  </w:rPr>
                  <w:t>际华三五一五皮革皮鞋有限公司房屋及设备租赁</w:t>
                </w:r>
              </w:p>
            </w:tc>
            <w:tc>
              <w:tcPr>
                <w:tcW w:w="1088" w:type="pct"/>
                <w:vAlign w:val="center"/>
              </w:tcPr>
              <w:p w14:paraId="74D357E1">
                <w:pPr>
                  <w:jc w:val="right"/>
                  <w:rPr>
                    <w:rFonts w:cs="Times New Roman"/>
                  </w:rPr>
                </w:pPr>
                <w:r>
                  <w:rPr>
                    <w:rFonts w:cs="Times New Roman"/>
                  </w:rPr>
                  <w:t>5,817,600.66</w:t>
                </w:r>
              </w:p>
            </w:tc>
          </w:tr>
        </w:sdtContent>
      </w:sdt>
      <w:sdt>
        <w:sdtPr>
          <w:rPr>
            <w:rFonts w:cs="Times New Roman"/>
            <w:color w:val="000000" w:themeColor="text1"/>
            <w14:textFill>
              <w14:solidFill>
                <w14:schemeClr w14:val="tx1"/>
              </w14:solidFill>
            </w14:textFill>
          </w:rPr>
          <w:alias w:val="作为出租人的经营租赁明细"/>
          <w:tag w:val="_TUP_19495608967c4a2b8a1a0c0941998ad7"/>
          <w:id w:val="-339074941"/>
          <w:placeholder>
            <w:docPart w:val="{e13e1838-74b0-4c10-a2d9-b7ed71a53cc5}"/>
          </w:placeholder>
        </w:sdtPr>
        <w:sdtEndPr>
          <w:rPr>
            <w:rFonts w:cs="Times New Roman"/>
            <w:color w:val="000000" w:themeColor="text1"/>
            <w14:textFill>
              <w14:solidFill>
                <w14:schemeClr w14:val="tx1"/>
              </w14:solidFill>
            </w14:textFill>
          </w:rPr>
        </w:sdtEndPr>
        <w:sdtContent>
          <w:tr w14:paraId="688DB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1" w:type="pct"/>
                <w:vAlign w:val="center"/>
              </w:tcPr>
              <w:p w14:paraId="3F99FB6E">
                <w:pPr>
                  <w:rPr>
                    <w:rFonts w:cs="Times New Roman"/>
                  </w:rPr>
                </w:pPr>
                <w:r>
                  <w:rPr>
                    <w:rFonts w:cs="Times New Roman"/>
                  </w:rPr>
                  <w:t>南京际华三五二一特种装备有限公司房屋及设备租赁</w:t>
                </w:r>
              </w:p>
            </w:tc>
            <w:tc>
              <w:tcPr>
                <w:tcW w:w="1088" w:type="pct"/>
                <w:vAlign w:val="center"/>
              </w:tcPr>
              <w:p w14:paraId="271379EE">
                <w:pPr>
                  <w:jc w:val="right"/>
                  <w:rPr>
                    <w:rFonts w:cs="Times New Roman"/>
                  </w:rPr>
                </w:pPr>
                <w:r>
                  <w:rPr>
                    <w:rFonts w:cs="Times New Roman"/>
                  </w:rPr>
                  <w:t>3,673,759.06</w:t>
                </w:r>
              </w:p>
            </w:tc>
          </w:tr>
        </w:sdtContent>
      </w:sdt>
      <w:sdt>
        <w:sdtPr>
          <w:rPr>
            <w:rFonts w:cs="Times New Roman"/>
            <w:color w:val="000000" w:themeColor="text1"/>
            <w14:textFill>
              <w14:solidFill>
                <w14:schemeClr w14:val="tx1"/>
              </w14:solidFill>
            </w14:textFill>
          </w:rPr>
          <w:alias w:val="作为出租人的经营租赁明细"/>
          <w:tag w:val="_TUP_19495608967c4a2b8a1a0c0941998ad7"/>
          <w:id w:val="-1704630415"/>
          <w:placeholder>
            <w:docPart w:val="{e13e1838-74b0-4c10-a2d9-b7ed71a53cc5}"/>
          </w:placeholder>
        </w:sdtPr>
        <w:sdtEndPr>
          <w:rPr>
            <w:rFonts w:cs="Times New Roman"/>
            <w:color w:val="000000" w:themeColor="text1"/>
            <w14:textFill>
              <w14:solidFill>
                <w14:schemeClr w14:val="tx1"/>
              </w14:solidFill>
            </w14:textFill>
          </w:rPr>
        </w:sdtEndPr>
        <w:sdtContent>
          <w:tr w14:paraId="1AB69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1" w:type="pct"/>
                <w:vAlign w:val="center"/>
              </w:tcPr>
              <w:p w14:paraId="1148A148">
                <w:pPr>
                  <w:rPr>
                    <w:rFonts w:cs="Times New Roman"/>
                  </w:rPr>
                </w:pPr>
                <w:r>
                  <w:rPr>
                    <w:rFonts w:cs="Times New Roman"/>
                  </w:rPr>
                  <w:t>际华三五二二装具饰品有限公司房屋及建筑物租赁</w:t>
                </w:r>
              </w:p>
            </w:tc>
            <w:tc>
              <w:tcPr>
                <w:tcW w:w="1088" w:type="pct"/>
                <w:vAlign w:val="center"/>
              </w:tcPr>
              <w:p w14:paraId="047CE251">
                <w:pPr>
                  <w:jc w:val="right"/>
                  <w:rPr>
                    <w:rFonts w:cs="Times New Roman"/>
                  </w:rPr>
                </w:pPr>
                <w:r>
                  <w:rPr>
                    <w:rFonts w:cs="Times New Roman"/>
                  </w:rPr>
                  <w:t>4,592,173.73</w:t>
                </w:r>
              </w:p>
            </w:tc>
          </w:tr>
        </w:sdtContent>
      </w:sdt>
      <w:sdt>
        <w:sdtPr>
          <w:rPr>
            <w:rFonts w:cs="Times New Roman"/>
            <w:color w:val="000000" w:themeColor="text1"/>
            <w14:textFill>
              <w14:solidFill>
                <w14:schemeClr w14:val="tx1"/>
              </w14:solidFill>
            </w14:textFill>
          </w:rPr>
          <w:alias w:val="作为出租人的经营租赁明细"/>
          <w:tag w:val="_TUP_19495608967c4a2b8a1a0c0941998ad7"/>
          <w:id w:val="-1107884072"/>
          <w:placeholder>
            <w:docPart w:val="{e13e1838-74b0-4c10-a2d9-b7ed71a53cc5}"/>
          </w:placeholder>
        </w:sdtPr>
        <w:sdtEndPr>
          <w:rPr>
            <w:rFonts w:cs="Times New Roman"/>
            <w:color w:val="000000" w:themeColor="text1"/>
            <w14:textFill>
              <w14:solidFill>
                <w14:schemeClr w14:val="tx1"/>
              </w14:solidFill>
            </w14:textFill>
          </w:rPr>
        </w:sdtEndPr>
        <w:sdtContent>
          <w:tr w14:paraId="6C51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1" w:type="pct"/>
                <w:vAlign w:val="center"/>
              </w:tcPr>
              <w:p w14:paraId="09101587">
                <w:pPr>
                  <w:rPr>
                    <w:rFonts w:cs="Times New Roman"/>
                  </w:rPr>
                </w:pPr>
                <w:r>
                  <w:rPr>
                    <w:rFonts w:cs="Times New Roman"/>
                  </w:rPr>
                  <w:t>际华三五三四制衣有限公司房屋设备及土地租赁</w:t>
                </w:r>
              </w:p>
            </w:tc>
            <w:tc>
              <w:tcPr>
                <w:tcW w:w="1088" w:type="pct"/>
                <w:vAlign w:val="center"/>
              </w:tcPr>
              <w:p w14:paraId="3807CBF6">
                <w:pPr>
                  <w:jc w:val="right"/>
                  <w:rPr>
                    <w:rFonts w:cs="Times New Roman"/>
                  </w:rPr>
                </w:pPr>
                <w:r>
                  <w:rPr>
                    <w:rFonts w:cs="Times New Roman"/>
                  </w:rPr>
                  <w:t>8,237,608.47</w:t>
                </w:r>
              </w:p>
            </w:tc>
          </w:tr>
        </w:sdtContent>
      </w:sdt>
      <w:sdt>
        <w:sdtPr>
          <w:rPr>
            <w:rFonts w:cs="Times New Roman"/>
            <w:color w:val="000000" w:themeColor="text1"/>
            <w14:textFill>
              <w14:solidFill>
                <w14:schemeClr w14:val="tx1"/>
              </w14:solidFill>
            </w14:textFill>
          </w:rPr>
          <w:alias w:val="作为出租人的经营租赁明细"/>
          <w:tag w:val="_TUP_19495608967c4a2b8a1a0c0941998ad7"/>
          <w:id w:val="907732454"/>
          <w:placeholder>
            <w:docPart w:val="{e13e1838-74b0-4c10-a2d9-b7ed71a53cc5}"/>
          </w:placeholder>
        </w:sdtPr>
        <w:sdtEndPr>
          <w:rPr>
            <w:rFonts w:cs="Times New Roman"/>
            <w:color w:val="000000" w:themeColor="text1"/>
            <w14:textFill>
              <w14:solidFill>
                <w14:schemeClr w14:val="tx1"/>
              </w14:solidFill>
            </w14:textFill>
          </w:rPr>
        </w:sdtEndPr>
        <w:sdtContent>
          <w:tr w14:paraId="1798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1" w:type="pct"/>
                <w:vAlign w:val="center"/>
              </w:tcPr>
              <w:p w14:paraId="635F7635">
                <w:pPr>
                  <w:rPr>
                    <w:rFonts w:cs="Times New Roman"/>
                  </w:rPr>
                </w:pPr>
                <w:r>
                  <w:rPr>
                    <w:rFonts w:cs="Times New Roman"/>
                  </w:rPr>
                  <w:t>际华三五三六实业有限公司房屋及建筑物租赁</w:t>
                </w:r>
              </w:p>
            </w:tc>
            <w:tc>
              <w:tcPr>
                <w:tcW w:w="1088" w:type="pct"/>
                <w:vAlign w:val="center"/>
              </w:tcPr>
              <w:p w14:paraId="2221F01F">
                <w:pPr>
                  <w:jc w:val="right"/>
                  <w:rPr>
                    <w:rFonts w:cs="Times New Roman"/>
                  </w:rPr>
                </w:pPr>
                <w:r>
                  <w:rPr>
                    <w:rFonts w:cs="Times New Roman"/>
                  </w:rPr>
                  <w:t>112,330.27</w:t>
                </w:r>
              </w:p>
            </w:tc>
          </w:tr>
        </w:sdtContent>
      </w:sdt>
      <w:sdt>
        <w:sdtPr>
          <w:rPr>
            <w:rFonts w:cs="Times New Roman"/>
            <w:color w:val="000000" w:themeColor="text1"/>
            <w14:textFill>
              <w14:solidFill>
                <w14:schemeClr w14:val="tx1"/>
              </w14:solidFill>
            </w14:textFill>
          </w:rPr>
          <w:alias w:val="作为出租人的经营租赁明细"/>
          <w:tag w:val="_TUP_19495608967c4a2b8a1a0c0941998ad7"/>
          <w:id w:val="527757983"/>
          <w:placeholder>
            <w:docPart w:val="{e13e1838-74b0-4c10-a2d9-b7ed71a53cc5}"/>
          </w:placeholder>
        </w:sdtPr>
        <w:sdtEndPr>
          <w:rPr>
            <w:rFonts w:cs="Times New Roman"/>
            <w:color w:val="000000" w:themeColor="text1"/>
            <w14:textFill>
              <w14:solidFill>
                <w14:schemeClr w14:val="tx1"/>
              </w14:solidFill>
            </w14:textFill>
          </w:rPr>
        </w:sdtEndPr>
        <w:sdtContent>
          <w:tr w14:paraId="2FA6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1" w:type="pct"/>
                <w:vAlign w:val="center"/>
              </w:tcPr>
              <w:p w14:paraId="26B83153">
                <w:pPr>
                  <w:rPr>
                    <w:rFonts w:cs="Times New Roman"/>
                  </w:rPr>
                </w:pPr>
                <w:r>
                  <w:rPr>
                    <w:rFonts w:cs="Times New Roman"/>
                  </w:rPr>
                  <w:t>际华三五四二纺织有限公司房屋及建筑物租赁</w:t>
                </w:r>
              </w:p>
            </w:tc>
            <w:tc>
              <w:tcPr>
                <w:tcW w:w="1088" w:type="pct"/>
                <w:vAlign w:val="center"/>
              </w:tcPr>
              <w:p w14:paraId="25BB8F31">
                <w:pPr>
                  <w:jc w:val="right"/>
                  <w:rPr>
                    <w:rFonts w:cs="Times New Roman"/>
                  </w:rPr>
                </w:pPr>
                <w:r>
                  <w:rPr>
                    <w:rFonts w:cs="Times New Roman"/>
                  </w:rPr>
                  <w:t>62,465.14</w:t>
                </w:r>
              </w:p>
            </w:tc>
          </w:tr>
        </w:sdtContent>
      </w:sdt>
      <w:sdt>
        <w:sdtPr>
          <w:rPr>
            <w:rFonts w:cs="Times New Roman"/>
            <w:color w:val="000000" w:themeColor="text1"/>
            <w14:textFill>
              <w14:solidFill>
                <w14:schemeClr w14:val="tx1"/>
              </w14:solidFill>
            </w14:textFill>
          </w:rPr>
          <w:alias w:val="作为出租人的经营租赁明细"/>
          <w:tag w:val="_TUP_19495608967c4a2b8a1a0c0941998ad7"/>
          <w:id w:val="996068254"/>
          <w:placeholder>
            <w:docPart w:val="{e13e1838-74b0-4c10-a2d9-b7ed71a53cc5}"/>
          </w:placeholder>
        </w:sdtPr>
        <w:sdtEndPr>
          <w:rPr>
            <w:rFonts w:cs="Times New Roman"/>
            <w:color w:val="000000" w:themeColor="text1"/>
            <w14:textFill>
              <w14:solidFill>
                <w14:schemeClr w14:val="tx1"/>
              </w14:solidFill>
            </w14:textFill>
          </w:rPr>
        </w:sdtEndPr>
        <w:sdtContent>
          <w:tr w14:paraId="5278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1" w:type="pct"/>
                <w:vAlign w:val="center"/>
              </w:tcPr>
              <w:p w14:paraId="38C8D365">
                <w:pPr>
                  <w:rPr>
                    <w:rFonts w:cs="Times New Roman"/>
                  </w:rPr>
                </w:pPr>
                <w:r>
                  <w:rPr>
                    <w:rFonts w:cs="Times New Roman"/>
                  </w:rPr>
                  <w:t>际华三五四三针织服饰有限公司房屋及建筑物租赁</w:t>
                </w:r>
              </w:p>
            </w:tc>
            <w:tc>
              <w:tcPr>
                <w:tcW w:w="1088" w:type="pct"/>
                <w:vAlign w:val="center"/>
              </w:tcPr>
              <w:p w14:paraId="23BD0516">
                <w:pPr>
                  <w:jc w:val="right"/>
                  <w:rPr>
                    <w:rFonts w:cs="Times New Roman"/>
                  </w:rPr>
                </w:pPr>
                <w:r>
                  <w:rPr>
                    <w:rFonts w:cs="Times New Roman"/>
                  </w:rPr>
                  <w:t>2,082,796.83</w:t>
                </w:r>
              </w:p>
            </w:tc>
          </w:tr>
        </w:sdtContent>
      </w:sdt>
      <w:sdt>
        <w:sdtPr>
          <w:rPr>
            <w:rFonts w:cs="Times New Roman"/>
            <w:color w:val="000000" w:themeColor="text1"/>
            <w14:textFill>
              <w14:solidFill>
                <w14:schemeClr w14:val="tx1"/>
              </w14:solidFill>
            </w14:textFill>
          </w:rPr>
          <w:alias w:val="作为出租人的经营租赁明细"/>
          <w:tag w:val="_TUP_19495608967c4a2b8a1a0c0941998ad7"/>
          <w:id w:val="-992709976"/>
          <w:placeholder>
            <w:docPart w:val="{e13e1838-74b0-4c10-a2d9-b7ed71a53cc5}"/>
          </w:placeholder>
        </w:sdtPr>
        <w:sdtEndPr>
          <w:rPr>
            <w:rFonts w:cs="Times New Roman"/>
            <w:color w:val="000000" w:themeColor="text1"/>
            <w14:textFill>
              <w14:solidFill>
                <w14:schemeClr w14:val="tx1"/>
              </w14:solidFill>
            </w14:textFill>
          </w:rPr>
        </w:sdtEndPr>
        <w:sdtContent>
          <w:tr w14:paraId="5A38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1" w:type="pct"/>
                <w:vAlign w:val="center"/>
              </w:tcPr>
              <w:p w14:paraId="194BBA1C">
                <w:pPr>
                  <w:rPr>
                    <w:rFonts w:cs="Times New Roman"/>
                  </w:rPr>
                </w:pPr>
                <w:r>
                  <w:rPr>
                    <w:rFonts w:cs="Times New Roman"/>
                  </w:rPr>
                  <w:t>沈阳际华三五四七特种装具有限公司房屋及建筑物租赁</w:t>
                </w:r>
              </w:p>
            </w:tc>
            <w:tc>
              <w:tcPr>
                <w:tcW w:w="1088" w:type="pct"/>
                <w:vAlign w:val="center"/>
              </w:tcPr>
              <w:p w14:paraId="403B5884">
                <w:pPr>
                  <w:jc w:val="right"/>
                  <w:rPr>
                    <w:rFonts w:cs="Times New Roman"/>
                  </w:rPr>
                </w:pPr>
                <w:r>
                  <w:rPr>
                    <w:rFonts w:cs="Times New Roman"/>
                  </w:rPr>
                  <w:t>294,766.43</w:t>
                </w:r>
              </w:p>
            </w:tc>
          </w:tr>
        </w:sdtContent>
      </w:sdt>
      <w:sdt>
        <w:sdtPr>
          <w:rPr>
            <w:rFonts w:cs="Times New Roman"/>
            <w:color w:val="000000" w:themeColor="text1"/>
            <w14:textFill>
              <w14:solidFill>
                <w14:schemeClr w14:val="tx1"/>
              </w14:solidFill>
            </w14:textFill>
          </w:rPr>
          <w:alias w:val="作为出租人的经营租赁明细"/>
          <w:tag w:val="_TUP_19495608967c4a2b8a1a0c0941998ad7"/>
          <w:id w:val="41261538"/>
          <w:placeholder>
            <w:docPart w:val="{e13e1838-74b0-4c10-a2d9-b7ed71a53cc5}"/>
          </w:placeholder>
        </w:sdtPr>
        <w:sdtEndPr>
          <w:rPr>
            <w:rFonts w:cs="Times New Roman"/>
            <w:color w:val="000000" w:themeColor="text1"/>
            <w14:textFill>
              <w14:solidFill>
                <w14:schemeClr w14:val="tx1"/>
              </w14:solidFill>
            </w14:textFill>
          </w:rPr>
        </w:sdtEndPr>
        <w:sdtContent>
          <w:tr w14:paraId="5AE3C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1" w:type="pct"/>
                <w:vAlign w:val="center"/>
              </w:tcPr>
              <w:p w14:paraId="02C2B389">
                <w:pPr>
                  <w:rPr>
                    <w:rFonts w:cs="Times New Roman"/>
                  </w:rPr>
                </w:pPr>
                <w:r>
                  <w:rPr>
                    <w:rFonts w:cs="Times New Roman"/>
                  </w:rPr>
                  <w:t>际华橡胶工业有限公司房屋土地及设备租赁</w:t>
                </w:r>
              </w:p>
            </w:tc>
            <w:tc>
              <w:tcPr>
                <w:tcW w:w="1088" w:type="pct"/>
                <w:vAlign w:val="center"/>
              </w:tcPr>
              <w:p w14:paraId="1221302F">
                <w:pPr>
                  <w:jc w:val="right"/>
                  <w:rPr>
                    <w:rFonts w:cs="Times New Roman"/>
                  </w:rPr>
                </w:pPr>
                <w:r>
                  <w:rPr>
                    <w:rFonts w:cs="Times New Roman"/>
                  </w:rPr>
                  <w:t>11,258,328.30</w:t>
                </w:r>
              </w:p>
            </w:tc>
          </w:tr>
        </w:sdtContent>
      </w:sdt>
      <w:sdt>
        <w:sdtPr>
          <w:rPr>
            <w:rFonts w:cs="Times New Roman"/>
            <w:color w:val="000000" w:themeColor="text1"/>
            <w14:textFill>
              <w14:solidFill>
                <w14:schemeClr w14:val="tx1"/>
              </w14:solidFill>
            </w14:textFill>
          </w:rPr>
          <w:alias w:val="作为出租人的经营租赁明细"/>
          <w:tag w:val="_TUP_19495608967c4a2b8a1a0c0941998ad7"/>
          <w:id w:val="-866445491"/>
          <w:placeholder>
            <w:docPart w:val="{e13e1838-74b0-4c10-a2d9-b7ed71a53cc5}"/>
          </w:placeholder>
        </w:sdtPr>
        <w:sdtEndPr>
          <w:rPr>
            <w:rFonts w:cs="Times New Roman"/>
            <w:color w:val="000000" w:themeColor="text1"/>
            <w14:textFill>
              <w14:solidFill>
                <w14:schemeClr w14:val="tx1"/>
              </w14:solidFill>
            </w14:textFill>
          </w:rPr>
        </w:sdtEndPr>
        <w:sdtContent>
          <w:tr w14:paraId="0241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1" w:type="pct"/>
                <w:vAlign w:val="center"/>
              </w:tcPr>
              <w:p w14:paraId="5C9345BE">
                <w:pPr>
                  <w:rPr>
                    <w:rFonts w:cs="Times New Roman"/>
                  </w:rPr>
                </w:pPr>
                <w:r>
                  <w:rPr>
                    <w:rFonts w:cs="Times New Roman"/>
                  </w:rPr>
                  <w:t>内蒙古际华森普利服装皮业有限公司房屋及建筑物租赁</w:t>
                </w:r>
              </w:p>
            </w:tc>
            <w:tc>
              <w:tcPr>
                <w:tcW w:w="1088" w:type="pct"/>
                <w:vAlign w:val="center"/>
              </w:tcPr>
              <w:p w14:paraId="463FBFF6">
                <w:pPr>
                  <w:jc w:val="right"/>
                  <w:rPr>
                    <w:rFonts w:cs="Times New Roman"/>
                  </w:rPr>
                </w:pPr>
                <w:r>
                  <w:rPr>
                    <w:rFonts w:cs="Times New Roman"/>
                  </w:rPr>
                  <w:t>97,701.68</w:t>
                </w:r>
              </w:p>
            </w:tc>
          </w:tr>
        </w:sdtContent>
      </w:sdt>
      <w:sdt>
        <w:sdtPr>
          <w:rPr>
            <w:rFonts w:cs="Times New Roman"/>
            <w:color w:val="000000" w:themeColor="text1"/>
            <w14:textFill>
              <w14:solidFill>
                <w14:schemeClr w14:val="tx1"/>
              </w14:solidFill>
            </w14:textFill>
          </w:rPr>
          <w:alias w:val="作为出租人的经营租赁明细"/>
          <w:tag w:val="_TUP_19495608967c4a2b8a1a0c0941998ad7"/>
          <w:id w:val="967401738"/>
          <w:placeholder>
            <w:docPart w:val="{e13e1838-74b0-4c10-a2d9-b7ed71a53cc5}"/>
          </w:placeholder>
        </w:sdtPr>
        <w:sdtEndPr>
          <w:rPr>
            <w:rFonts w:cs="Times New Roman"/>
            <w:color w:val="000000" w:themeColor="text1"/>
            <w14:textFill>
              <w14:solidFill>
                <w14:schemeClr w14:val="tx1"/>
              </w14:solidFill>
            </w14:textFill>
          </w:rPr>
        </w:sdtEndPr>
        <w:sdtContent>
          <w:tr w14:paraId="6F8E8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1" w:type="pct"/>
                <w:vAlign w:val="center"/>
              </w:tcPr>
              <w:p w14:paraId="2D5D4E0F">
                <w:pPr>
                  <w:rPr>
                    <w:rFonts w:cs="Times New Roman"/>
                  </w:rPr>
                </w:pPr>
                <w:r>
                  <w:rPr>
                    <w:rFonts w:cs="Times New Roman"/>
                  </w:rPr>
                  <w:t>重庆际华目的地中心实业有限公司房屋建筑物及土地租赁</w:t>
                </w:r>
              </w:p>
            </w:tc>
            <w:tc>
              <w:tcPr>
                <w:tcW w:w="1088" w:type="pct"/>
                <w:vAlign w:val="center"/>
              </w:tcPr>
              <w:p w14:paraId="47D97438">
                <w:pPr>
                  <w:jc w:val="right"/>
                  <w:rPr>
                    <w:rFonts w:cs="Times New Roman"/>
                  </w:rPr>
                </w:pPr>
                <w:r>
                  <w:rPr>
                    <w:rFonts w:cs="Times New Roman"/>
                  </w:rPr>
                  <w:t>1,636,983.68</w:t>
                </w:r>
              </w:p>
            </w:tc>
          </w:tr>
        </w:sdtContent>
      </w:sdt>
      <w:sdt>
        <w:sdtPr>
          <w:rPr>
            <w:rFonts w:cs="Times New Roman"/>
            <w:color w:val="000000" w:themeColor="text1"/>
            <w14:textFill>
              <w14:solidFill>
                <w14:schemeClr w14:val="tx1"/>
              </w14:solidFill>
            </w14:textFill>
          </w:rPr>
          <w:alias w:val="作为出租人的经营租赁明细"/>
          <w:tag w:val="_TUP_19495608967c4a2b8a1a0c0941998ad7"/>
          <w:id w:val="181790355"/>
          <w:placeholder>
            <w:docPart w:val="{e13e1838-74b0-4c10-a2d9-b7ed71a53cc5}"/>
          </w:placeholder>
        </w:sdtPr>
        <w:sdtEndPr>
          <w:rPr>
            <w:rFonts w:cs="Times New Roman"/>
            <w:color w:val="000000" w:themeColor="text1"/>
            <w14:textFill>
              <w14:solidFill>
                <w14:schemeClr w14:val="tx1"/>
              </w14:solidFill>
            </w14:textFill>
          </w:rPr>
        </w:sdtEndPr>
        <w:sdtContent>
          <w:tr w14:paraId="4FE76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1" w:type="pct"/>
                <w:vAlign w:val="center"/>
              </w:tcPr>
              <w:p w14:paraId="5766B94C">
                <w:pPr>
                  <w:rPr>
                    <w:rFonts w:cs="Times New Roman"/>
                  </w:rPr>
                </w:pPr>
                <w:r>
                  <w:rPr>
                    <w:rFonts w:cs="Times New Roman"/>
                  </w:rPr>
                  <w:t>新疆际华七五五五职业装有限公司房屋建筑物及土地租赁</w:t>
                </w:r>
              </w:p>
            </w:tc>
            <w:tc>
              <w:tcPr>
                <w:tcW w:w="1088" w:type="pct"/>
                <w:vAlign w:val="center"/>
              </w:tcPr>
              <w:p w14:paraId="0426EBB8">
                <w:pPr>
                  <w:jc w:val="right"/>
                  <w:rPr>
                    <w:rFonts w:cs="Times New Roman"/>
                  </w:rPr>
                </w:pPr>
                <w:r>
                  <w:rPr>
                    <w:rFonts w:cs="Times New Roman"/>
                  </w:rPr>
                  <w:t>1,293,860.82</w:t>
                </w:r>
              </w:p>
            </w:tc>
          </w:tr>
        </w:sdtContent>
      </w:sdt>
      <w:sdt>
        <w:sdtPr>
          <w:rPr>
            <w:rFonts w:cs="Times New Roman"/>
            <w:color w:val="000000" w:themeColor="text1"/>
            <w14:textFill>
              <w14:solidFill>
                <w14:schemeClr w14:val="tx1"/>
              </w14:solidFill>
            </w14:textFill>
          </w:rPr>
          <w:alias w:val="作为出租人的经营租赁明细"/>
          <w:tag w:val="_TUP_19495608967c4a2b8a1a0c0941998ad7"/>
          <w:id w:val="-248973093"/>
          <w:placeholder>
            <w:docPart w:val="{e13e1838-74b0-4c10-a2d9-b7ed71a53cc5}"/>
          </w:placeholder>
        </w:sdtPr>
        <w:sdtEndPr>
          <w:rPr>
            <w:rFonts w:cs="Times New Roman"/>
            <w:color w:val="000000" w:themeColor="text1"/>
            <w14:textFill>
              <w14:solidFill>
                <w14:schemeClr w14:val="tx1"/>
              </w14:solidFill>
            </w14:textFill>
          </w:rPr>
        </w:sdtEndPr>
        <w:sdtContent>
          <w:tr w14:paraId="3987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1" w:type="pct"/>
                <w:vAlign w:val="center"/>
              </w:tcPr>
              <w:p w14:paraId="76AF0187">
                <w:pPr>
                  <w:rPr>
                    <w:rFonts w:cs="Times New Roman"/>
                  </w:rPr>
                </w:pPr>
                <w:r>
                  <w:rPr>
                    <w:rFonts w:cs="Times New Roman"/>
                  </w:rPr>
                  <w:t>际华（邢台）投资有限公司房屋及建筑物租赁</w:t>
                </w:r>
              </w:p>
            </w:tc>
            <w:tc>
              <w:tcPr>
                <w:tcW w:w="1088" w:type="pct"/>
                <w:vAlign w:val="center"/>
              </w:tcPr>
              <w:p w14:paraId="51F405DD">
                <w:pPr>
                  <w:jc w:val="right"/>
                  <w:rPr>
                    <w:rFonts w:cs="Times New Roman"/>
                  </w:rPr>
                </w:pPr>
                <w:r>
                  <w:rPr>
                    <w:rFonts w:cs="Times New Roman"/>
                  </w:rPr>
                  <w:t>1,117,757.52</w:t>
                </w:r>
              </w:p>
            </w:tc>
          </w:tr>
        </w:sdtContent>
      </w:sdt>
      <w:sdt>
        <w:sdtPr>
          <w:alias w:val="作为出租人的经营租赁明细"/>
          <w:tag w:val="_TUP_19495608967c4a2b8a1a0c0941998ad7"/>
          <w:id w:val="443043722"/>
          <w:placeholder>
            <w:docPart w:val="{e13e1838-74b0-4c10-a2d9-b7ed71a53cc5}"/>
          </w:placeholder>
        </w:sdtPr>
        <w:sdtContent>
          <w:tr w14:paraId="30FC0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1" w:type="pct"/>
                <w:vAlign w:val="center"/>
              </w:tcPr>
              <w:sdt>
                <w:sdtPr>
                  <w:rPr>
                    <w:rFonts w:cs="Times New Roman"/>
                  </w:rPr>
                  <w:tag w:val="_PLD_0c36d354a6c84ad48f18f534870328d9"/>
                  <w:id w:val="1414670531"/>
                </w:sdtPr>
                <w:sdtEndPr>
                  <w:rPr>
                    <w:rFonts w:cs="Times New Roman"/>
                  </w:rPr>
                </w:sdtEndPr>
                <w:sdtContent>
                  <w:p w14:paraId="38E09DCE">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sdtContent>
              </w:sdt>
            </w:tc>
            <w:tc>
              <w:tcPr>
                <w:tcW w:w="1088" w:type="pct"/>
                <w:vAlign w:val="center"/>
              </w:tcPr>
              <w:p w14:paraId="02C22E19">
                <w:pPr>
                  <w:jc w:val="right"/>
                  <w:rPr>
                    <w:rFonts w:cs="Times New Roman"/>
                  </w:rPr>
                </w:pPr>
                <w:r>
                  <w:rPr>
                    <w:rFonts w:cs="Times New Roman"/>
                  </w:rPr>
                  <w:t>81,654,540.87</w:t>
                </w:r>
              </w:p>
            </w:tc>
          </w:tr>
        </w:sdtContent>
      </w:sdt>
    </w:tbl>
    <w:p w14:paraId="71AE89AD"/>
    <w:p w14:paraId="23E792D1">
      <w:pPr>
        <w:rPr>
          <w:color w:val="000000" w:themeColor="text1"/>
          <w14:textFill>
            <w14:solidFill>
              <w14:schemeClr w14:val="tx1"/>
            </w14:solidFill>
          </w14:textFill>
        </w:rPr>
      </w:pPr>
      <w:r>
        <w:rPr>
          <w:color w:val="000000" w:themeColor="text1"/>
          <w14:textFill>
            <w14:solidFill>
              <w14:schemeClr w14:val="tx1"/>
            </w14:solidFill>
          </w14:textFill>
        </w:rPr>
        <w:t>作为出租人的融资租赁</w:t>
      </w:r>
    </w:p>
    <w:sdt>
      <w:sdtPr>
        <w:rPr>
          <w:color w:val="000000" w:themeColor="text1"/>
          <w14:textFill>
            <w14:solidFill>
              <w14:schemeClr w14:val="tx1"/>
            </w14:solidFill>
          </w14:textFill>
        </w:rPr>
        <w:alias w:val="是否适用：作为出租人的融资租赁[双击切换]"/>
        <w:tag w:val="_GBC_b8e25c7d290240c1ad7a8b299dddafda"/>
        <w:id w:val="147456219"/>
        <w:placeholder>
          <w:docPart w:val="GBC22222222222222222222222222222"/>
        </w:placeholder>
      </w:sdtPr>
      <w:sdtEndPr>
        <w:rPr>
          <w:color w:val="000000" w:themeColor="text1"/>
          <w14:textFill>
            <w14:solidFill>
              <w14:schemeClr w14:val="tx1"/>
            </w14:solidFill>
          </w14:textFill>
        </w:rPr>
      </w:sdtEndPr>
      <w:sdtContent>
        <w:p w14:paraId="3CD76E9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B3F75AF">
      <w:pPr>
        <w:rPr>
          <w:color w:val="000000" w:themeColor="text1"/>
          <w14:textFill>
            <w14:solidFill>
              <w14:schemeClr w14:val="tx1"/>
            </w14:solidFill>
          </w14:textFill>
        </w:rPr>
      </w:pPr>
    </w:p>
    <w:p w14:paraId="07A8D97E">
      <w:pPr>
        <w:rPr>
          <w:color w:val="000000" w:themeColor="text1"/>
          <w14:textFill>
            <w14:solidFill>
              <w14:schemeClr w14:val="tx1"/>
            </w14:solidFill>
          </w14:textFill>
        </w:rPr>
      </w:pPr>
      <w:r>
        <w:rPr>
          <w:color w:val="000000" w:themeColor="text1"/>
          <w14:textFill>
            <w14:solidFill>
              <w14:schemeClr w14:val="tx1"/>
            </w14:solidFill>
          </w14:textFill>
        </w:rPr>
        <w:t>未折现租赁收款额与租赁投资净额的调节表</w:t>
      </w:r>
    </w:p>
    <w:sdt>
      <w:sdtPr>
        <w:rPr>
          <w:color w:val="000000" w:themeColor="text1"/>
          <w14:textFill>
            <w14:solidFill>
              <w14:schemeClr w14:val="tx1"/>
            </w14:solidFill>
          </w14:textFill>
        </w:rPr>
        <w:alias w:val="是否适用：未折现租赁收款额与租赁投资净额的调节表?[双击切换]"/>
        <w:tag w:val="_GBC_24749e03a4f14d0186b6eef9cbb8456c"/>
        <w:id w:val="147465742"/>
        <w:placeholder>
          <w:docPart w:val="GBC22222222222222222222222222222"/>
        </w:placeholder>
      </w:sdtPr>
      <w:sdtEndPr>
        <w:rPr>
          <w:color w:val="000000" w:themeColor="text1"/>
          <w14:textFill>
            <w14:solidFill>
              <w14:schemeClr w14:val="tx1"/>
            </w14:solidFill>
          </w14:textFill>
        </w:rPr>
      </w:sdtEndPr>
      <w:sdtContent>
        <w:p w14:paraId="27A56CD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86B70B2">
      <w:pPr>
        <w:rPr>
          <w:b/>
          <w:color w:val="000000" w:themeColor="text1"/>
          <w14:textFill>
            <w14:solidFill>
              <w14:schemeClr w14:val="tx1"/>
            </w14:solidFill>
          </w14:textFill>
        </w:rPr>
      </w:pPr>
    </w:p>
    <w:p w14:paraId="2C1F350B">
      <w:pPr>
        <w:rPr>
          <w:color w:val="000000" w:themeColor="text1"/>
          <w14:textFill>
            <w14:solidFill>
              <w14:schemeClr w14:val="tx1"/>
            </w14:solidFill>
          </w14:textFill>
        </w:rPr>
      </w:pPr>
      <w:r>
        <w:rPr>
          <w:color w:val="000000" w:themeColor="text1"/>
          <w14:textFill>
            <w14:solidFill>
              <w14:schemeClr w14:val="tx1"/>
            </w14:solidFill>
          </w14:textFill>
        </w:rPr>
        <w:t>未来五年</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折现租赁收款额</w:t>
      </w:r>
    </w:p>
    <w:sdt>
      <w:sdtPr>
        <w:rPr>
          <w:color w:val="000000" w:themeColor="text1"/>
          <w14:textFill>
            <w14:solidFill>
              <w14:schemeClr w14:val="tx1"/>
            </w14:solidFill>
          </w14:textFill>
        </w:rPr>
        <w:alias w:val="是否适用：未来五年未折现租赁收款额[双击切换]"/>
        <w:tag w:val="_GBC_6011fa033af24e8c940b4fc9b0df290d"/>
        <w:id w:val="147452320"/>
        <w:placeholder>
          <w:docPart w:val="GBC22222222222222222222222222222"/>
        </w:placeholder>
      </w:sdtPr>
      <w:sdtEndPr>
        <w:rPr>
          <w:color w:val="000000" w:themeColor="text1"/>
          <w14:textFill>
            <w14:solidFill>
              <w14:schemeClr w14:val="tx1"/>
            </w14:solidFill>
          </w14:textFill>
        </w:rPr>
      </w:sdtEndPr>
      <w:sdtContent>
        <w:p w14:paraId="403088B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ED05609">
      <w:pPr>
        <w:rPr>
          <w:color w:val="000000" w:themeColor="text1"/>
          <w14:textFill>
            <w14:solidFill>
              <w14:schemeClr w14:val="tx1"/>
            </w14:solidFill>
          </w14:textFill>
        </w:rPr>
      </w:pPr>
    </w:p>
    <w:p w14:paraId="01AFE26B">
      <w:pPr>
        <w:pStyle w:val="58"/>
        <w:numPr>
          <w:ilvl w:val="0"/>
          <w:numId w:val="93"/>
        </w:numPr>
        <w:ind w:left="0" w:firstLine="0"/>
        <w:rPr>
          <w:color w:val="000000" w:themeColor="text1"/>
          <w14:textFill>
            <w14:solidFill>
              <w14:schemeClr w14:val="tx1"/>
            </w14:solidFill>
          </w14:textFill>
        </w:rPr>
      </w:pPr>
      <w:r>
        <w:rPr>
          <w:color w:val="000000" w:themeColor="text1"/>
          <w14:textFill>
            <w14:solidFill>
              <w14:schemeClr w14:val="tx1"/>
            </w14:solidFill>
          </w14:textFill>
        </w:rPr>
        <w:t>作为生产商或经销商确认融资租赁销售损益</w:t>
      </w:r>
    </w:p>
    <w:sdt>
      <w:sdtPr>
        <w:rPr>
          <w:color w:val="000000" w:themeColor="text1"/>
          <w14:textFill>
            <w14:solidFill>
              <w14:schemeClr w14:val="tx1"/>
            </w14:solidFill>
          </w14:textFill>
        </w:rPr>
        <w:alias w:val="是否适用：作为生产商或经销商确认融资租赁销售损益[双击切换]"/>
        <w:tag w:val="_GBC_213bb116a7f04deab5b21583470b1e43"/>
        <w:id w:val="147456058"/>
        <w:placeholder>
          <w:docPart w:val="GBC22222222222222222222222222222"/>
        </w:placeholder>
      </w:sdtPr>
      <w:sdtEndPr>
        <w:rPr>
          <w:color w:val="000000" w:themeColor="text1"/>
          <w14:textFill>
            <w14:solidFill>
              <w14:schemeClr w14:val="tx1"/>
            </w14:solidFill>
          </w14:textFill>
        </w:rPr>
      </w:sdtEndPr>
      <w:sdtContent>
        <w:p w14:paraId="589ED04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F84497B">
      <w:pPr>
        <w:rPr>
          <w:color w:val="000000" w:themeColor="text1"/>
          <w14:textFill>
            <w14:solidFill>
              <w14:schemeClr w14:val="tx1"/>
            </w14:solidFill>
          </w14:textFill>
        </w:rPr>
      </w:pPr>
    </w:p>
    <w:p w14:paraId="2395517E">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租赁其他说明"/>
        <w:tag w:val="_GBC_7b832cbbef274cceadb68c4291f1d973"/>
        <w:id w:val="147478538"/>
        <w:placeholder>
          <w:docPart w:val="GBC22222222222222222222222222222"/>
        </w:placeholder>
      </w:sdtPr>
      <w:sdtEndPr>
        <w:rPr>
          <w:color w:val="000000" w:themeColor="text1"/>
          <w14:textFill>
            <w14:solidFill>
              <w14:schemeClr w14:val="tx1"/>
            </w14:solidFill>
          </w14:textFill>
        </w:rPr>
      </w:sdtEndPr>
      <w:sdtContent>
        <w:p w14:paraId="0B08AEB4">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5E370962">
      <w:pPr>
        <w:rPr>
          <w:color w:val="000000" w:themeColor="text1"/>
          <w14:textFill>
            <w14:solidFill>
              <w14:schemeClr w14:val="tx1"/>
            </w14:solidFill>
          </w14:textFill>
        </w:rPr>
      </w:pPr>
    </w:p>
    <w:bookmarkEnd w:id="397"/>
    <w:p w14:paraId="37D15535">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数据资源</w:t>
      </w:r>
    </w:p>
    <w:sdt>
      <w:sdtPr>
        <w:rPr>
          <w:color w:val="000000" w:themeColor="text1"/>
          <w14:textFill>
            <w14:solidFill>
              <w14:schemeClr w14:val="tx1"/>
            </w14:solidFill>
          </w14:textFill>
        </w:rPr>
        <w:alias w:val="是否适用：附注数据资源需要说明的事项[双击切换]"/>
        <w:tag w:val="_GBC_69b3c483faf0482e86f2ca96cb446815"/>
        <w:id w:val="147455760"/>
        <w:placeholder>
          <w:docPart w:val="GBC22222222222222222222222222222"/>
        </w:placeholder>
      </w:sdtPr>
      <w:sdtEndPr>
        <w:rPr>
          <w:color w:val="000000" w:themeColor="text1"/>
          <w14:textFill>
            <w14:solidFill>
              <w14:schemeClr w14:val="tx1"/>
            </w14:solidFill>
          </w14:textFill>
        </w:rPr>
      </w:sdtEndPr>
      <w:sdtContent>
        <w:p w14:paraId="7C0FC78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5259640">
      <w:pPr>
        <w:rPr>
          <w:color w:val="000000" w:themeColor="text1"/>
          <w14:textFill>
            <w14:solidFill>
              <w14:schemeClr w14:val="tx1"/>
            </w14:solidFill>
          </w14:textFill>
        </w:rPr>
      </w:pPr>
    </w:p>
    <w:p w14:paraId="4B626F28">
      <w:pPr>
        <w:pStyle w:val="57"/>
        <w:numPr>
          <w:ilvl w:val="0"/>
          <w:numId w:val="54"/>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w:t>
      </w:r>
    </w:p>
    <w:sdt>
      <w:sdtPr>
        <w:rPr>
          <w:color w:val="000000" w:themeColor="text1"/>
          <w14:textFill>
            <w14:solidFill>
              <w14:schemeClr w14:val="tx1"/>
            </w14:solidFill>
          </w14:textFill>
        </w:rPr>
        <w:alias w:val="是否适用：合并财务报表项目注释其他需要说明的事项[双击切换]"/>
        <w:tag w:val="_GBC_d9335575f6594653aa8718dc633c644c"/>
        <w:id w:val="147460781"/>
        <w:placeholder>
          <w:docPart w:val="GBC22222222222222222222222222222"/>
        </w:placeholder>
      </w:sdtPr>
      <w:sdtEndPr>
        <w:rPr>
          <w:color w:val="000000" w:themeColor="text1"/>
          <w14:textFill>
            <w14:solidFill>
              <w14:schemeClr w14:val="tx1"/>
            </w14:solidFill>
          </w14:textFill>
        </w:rPr>
      </w:sdtEndPr>
      <w:sdtContent>
        <w:p w14:paraId="769E1D0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7E51E79">
      <w:pPr>
        <w:rPr>
          <w:color w:val="000000" w:themeColor="text1"/>
          <w14:textFill>
            <w14:solidFill>
              <w14:schemeClr w14:val="tx1"/>
            </w14:solidFill>
          </w14:textFill>
        </w:rPr>
      </w:pPr>
    </w:p>
    <w:p w14:paraId="78E2189D">
      <w:pPr>
        <w:pStyle w:val="56"/>
        <w:numPr>
          <w:ilvl w:val="0"/>
          <w:numId w:val="43"/>
        </w:numPr>
        <w:ind w:left="420" w:hanging="420"/>
        <w:rPr>
          <w:rFonts w:ascii="宋体" w:hAnsi="宋体"/>
          <w:color w:val="000000" w:themeColor="text1"/>
          <w14:textFill>
            <w14:solidFill>
              <w14:schemeClr w14:val="tx1"/>
            </w14:solidFill>
          </w14:textFill>
        </w:rPr>
      </w:pPr>
      <w:bookmarkStart w:id="398" w:name="_Hlk40108415"/>
      <w:bookmarkStart w:id="399" w:name="_Hlk167971708"/>
      <w:r>
        <w:rPr>
          <w:rFonts w:hint="eastAsia" w:ascii="宋体" w:hAnsi="宋体"/>
          <w:color w:val="000000" w:themeColor="text1"/>
          <w14:textFill>
            <w14:solidFill>
              <w14:schemeClr w14:val="tx1"/>
            </w14:solidFill>
          </w14:textFill>
        </w:rPr>
        <w:t>研发支出</w:t>
      </w:r>
    </w:p>
    <w:p w14:paraId="3F38FC4E">
      <w:pPr>
        <w:pStyle w:val="57"/>
        <w:numPr>
          <w:ilvl w:val="0"/>
          <w:numId w:val="94"/>
        </w:numPr>
        <w:ind w:left="360" w:hanging="360"/>
        <w:rPr>
          <w:color w:val="000000" w:themeColor="text1"/>
          <w14:textFill>
            <w14:solidFill>
              <w14:schemeClr w14:val="tx1"/>
            </w14:solidFill>
          </w14:textFill>
        </w:rPr>
      </w:pPr>
      <w:r>
        <w:rPr>
          <w:rFonts w:hint="eastAsia"/>
          <w:color w:val="000000" w:themeColor="text1"/>
          <w14:textFill>
            <w14:solidFill>
              <w14:schemeClr w14:val="tx1"/>
            </w14:solidFill>
          </w14:textFill>
        </w:rPr>
        <w:t>按费用性质列示</w:t>
      </w:r>
    </w:p>
    <w:sdt>
      <w:sdtPr>
        <w:rPr>
          <w:color w:val="000000" w:themeColor="text1"/>
          <w14:textFill>
            <w14:solidFill>
              <w14:schemeClr w14:val="tx1"/>
            </w14:solidFill>
          </w14:textFill>
        </w:rPr>
        <w:alias w:val="是否适用：研发费用[双击切换]"/>
        <w:tag w:val="_GBC_c038265fdb0b49dea367e73fadbd1bf3"/>
        <w:id w:val="147477912"/>
        <w:placeholder>
          <w:docPart w:val="GBC22222222222222222222222222222"/>
        </w:placeholder>
      </w:sdtPr>
      <w:sdtEndPr>
        <w:rPr>
          <w:color w:val="000000" w:themeColor="text1"/>
          <w14:textFill>
            <w14:solidFill>
              <w14:schemeClr w14:val="tx1"/>
            </w14:solidFill>
          </w14:textFill>
        </w:rPr>
      </w:sdtEndPr>
      <w:sdtContent>
        <w:p w14:paraId="3FA606F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D5878E7">
      <w:pPr>
        <w:pStyle w:val="63"/>
        <w:ind w:left="420" w:firstLine="0" w:firstLineChars="0"/>
        <w:jc w:val="righ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单位：</w:t>
      </w:r>
      <w:sdt>
        <w:sdtPr>
          <w:rPr>
            <w:rFonts w:hint="eastAsia"/>
            <w:color w:val="000000" w:themeColor="text1"/>
            <w:szCs w:val="21"/>
            <w14:textFill>
              <w14:solidFill>
                <w14:schemeClr w14:val="tx1"/>
              </w14:solidFill>
            </w14:textFill>
          </w:rPr>
          <w:alias w:val="单位：研发费用"/>
          <w:tag w:val="_GBC_ba6e122abfd8443283c681cd38b3d395"/>
          <w:id w:val="1474627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szCs w:val="21"/>
            <w14:textFill>
              <w14:solidFill>
                <w14:schemeClr w14:val="tx1"/>
              </w14:solidFill>
            </w14:textFill>
          </w:rPr>
        </w:sdtEndPr>
        <w:sdtContent>
          <w:r>
            <w:rPr>
              <w:rFonts w:hint="eastAsia"/>
              <w:color w:val="000000" w:themeColor="text1"/>
              <w:szCs w:val="21"/>
              <w14:textFill>
                <w14:solidFill>
                  <w14:schemeClr w14:val="tx1"/>
                </w14:solidFill>
              </w14:textFill>
            </w:rPr>
            <w:t>元</w:t>
          </w:r>
        </w:sdtContent>
      </w:sdt>
      <w:r>
        <w:rPr>
          <w:rFonts w:hint="eastAsia"/>
          <w:color w:val="000000" w:themeColor="text1"/>
          <w:szCs w:val="21"/>
          <w14:textFill>
            <w14:solidFill>
              <w14:schemeClr w14:val="tx1"/>
            </w14:solidFill>
          </w14:textFill>
        </w:rPr>
        <w:t xml:space="preserve">  币种：</w:t>
      </w:r>
      <w:sdt>
        <w:sdtPr>
          <w:rPr>
            <w:rFonts w:hint="eastAsia"/>
            <w:color w:val="000000" w:themeColor="text1"/>
            <w:szCs w:val="21"/>
            <w14:textFill>
              <w14:solidFill>
                <w14:schemeClr w14:val="tx1"/>
              </w14:solidFill>
            </w14:textFill>
          </w:rPr>
          <w:alias w:val="币种：研发费用"/>
          <w:tag w:val="_GBC_d5e978ec78684853899851ff1623b4fc"/>
          <w:id w:val="1474598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szCs w:val="21"/>
            <w14:textFill>
              <w14:solidFill>
                <w14:schemeClr w14:val="tx1"/>
              </w14:solidFill>
            </w14:textFill>
          </w:rPr>
        </w:sdtEndPr>
        <w:sdtContent>
          <w:r>
            <w:rPr>
              <w:rFonts w:hint="eastAsia"/>
              <w:color w:val="000000" w:themeColor="text1"/>
              <w:szCs w:val="2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14:paraId="55EA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0d7c4dfc9e774f139ca83d0601e815ea"/>
            <w:id w:val="147473442"/>
          </w:sdtPr>
          <w:sdtEndPr>
            <w:rPr>
              <w:rFonts w:cs="Times New Roman"/>
            </w:rPr>
          </w:sdtEndPr>
          <w:sdtContent>
            <w:tc>
              <w:tcPr>
                <w:tcW w:w="2213" w:type="pct"/>
                <w:tcBorders>
                  <w:top w:val="single" w:color="auto" w:sz="4" w:space="0"/>
                  <w:left w:val="single" w:color="auto" w:sz="4" w:space="0"/>
                  <w:bottom w:val="single" w:color="auto" w:sz="4" w:space="0"/>
                  <w:right w:val="single" w:color="auto" w:sz="4" w:space="0"/>
                </w:tcBorders>
              </w:tcPr>
              <w:p w14:paraId="0CABA57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1d1e5baa8c6741cda3956270e192cc79"/>
            <w:id w:val="147462731"/>
          </w:sdtPr>
          <w:sdtEndPr>
            <w:rPr>
              <w:rFonts w:cs="Times New Roman"/>
            </w:rPr>
          </w:sdtEndPr>
          <w:sdtContent>
            <w:tc>
              <w:tcPr>
                <w:tcW w:w="1439" w:type="pct"/>
                <w:tcBorders>
                  <w:top w:val="single" w:color="auto" w:sz="4" w:space="0"/>
                  <w:left w:val="single" w:color="auto" w:sz="4" w:space="0"/>
                  <w:bottom w:val="single" w:color="auto" w:sz="4" w:space="0"/>
                  <w:right w:val="single" w:color="auto" w:sz="4" w:space="0"/>
                </w:tcBorders>
              </w:tcPr>
              <w:p w14:paraId="47A857AA">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tc>
          </w:sdtContent>
        </w:sdt>
        <w:sdt>
          <w:sdtPr>
            <w:rPr>
              <w:rFonts w:cs="Times New Roman"/>
            </w:rPr>
            <w:tag w:val="_PLD_91cd6ee02fbd4f6e86f6503667dce560"/>
            <w:id w:val="147483590"/>
          </w:sdtPr>
          <w:sdtEndPr>
            <w:rPr>
              <w:rFonts w:cs="Times New Roman"/>
            </w:rPr>
          </w:sdtEndPr>
          <w:sdtContent>
            <w:tc>
              <w:tcPr>
                <w:tcW w:w="1348" w:type="pct"/>
                <w:tcBorders>
                  <w:top w:val="single" w:color="auto" w:sz="4" w:space="0"/>
                  <w:left w:val="single" w:color="auto" w:sz="4" w:space="0"/>
                  <w:bottom w:val="single" w:color="auto" w:sz="4" w:space="0"/>
                  <w:right w:val="single" w:color="auto" w:sz="4" w:space="0"/>
                </w:tcBorders>
              </w:tcPr>
              <w:p w14:paraId="0745509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tc>
          </w:sdtContent>
        </w:sdt>
      </w:tr>
      <w:tr w14:paraId="7DF6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21AA8B00">
            <w:pPr>
              <w:textAlignment w:val="center"/>
              <w:rPr>
                <w:rFonts w:cs="Times New Roman"/>
              </w:rPr>
            </w:pPr>
            <w:r>
              <w:rPr>
                <w:rFonts w:cs="Times New Roman"/>
                <w:color w:val="000000"/>
                <w:lang w:bidi="ar"/>
              </w:rPr>
              <w:t>人工成本</w:t>
            </w:r>
          </w:p>
        </w:tc>
        <w:tc>
          <w:tcPr>
            <w:tcW w:w="1439" w:type="pct"/>
            <w:tcBorders>
              <w:top w:val="single" w:color="auto" w:sz="4" w:space="0"/>
              <w:left w:val="single" w:color="auto" w:sz="4" w:space="0"/>
              <w:bottom w:val="single" w:color="auto" w:sz="4" w:space="0"/>
              <w:right w:val="single" w:color="auto" w:sz="4" w:space="0"/>
            </w:tcBorders>
            <w:vAlign w:val="center"/>
          </w:tcPr>
          <w:p w14:paraId="0EB903A3">
            <w:pPr>
              <w:jc w:val="right"/>
              <w:textAlignment w:val="center"/>
              <w:rPr>
                <w:rFonts w:cs="Times New Roman"/>
              </w:rPr>
            </w:pPr>
            <w:r>
              <w:rPr>
                <w:rFonts w:cs="Times New Roman"/>
                <w:color w:val="000000"/>
              </w:rPr>
              <w:t>58,441,985.57</w:t>
            </w:r>
          </w:p>
        </w:tc>
        <w:tc>
          <w:tcPr>
            <w:tcW w:w="1348" w:type="pct"/>
            <w:tcBorders>
              <w:top w:val="single" w:color="auto" w:sz="4" w:space="0"/>
              <w:left w:val="single" w:color="auto" w:sz="4" w:space="0"/>
              <w:bottom w:val="single" w:color="auto" w:sz="4" w:space="0"/>
              <w:right w:val="single" w:color="auto" w:sz="4" w:space="0"/>
            </w:tcBorders>
            <w:vAlign w:val="center"/>
          </w:tcPr>
          <w:p w14:paraId="0A0322C9">
            <w:pPr>
              <w:jc w:val="right"/>
              <w:textAlignment w:val="center"/>
              <w:rPr>
                <w:rFonts w:cs="Times New Roman"/>
              </w:rPr>
            </w:pPr>
            <w:r>
              <w:rPr>
                <w:rFonts w:cs="Times New Roman"/>
                <w:color w:val="000000"/>
              </w:rPr>
              <w:t>80,791,721.19</w:t>
            </w:r>
          </w:p>
        </w:tc>
      </w:tr>
      <w:tr w14:paraId="4F8FC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7DAC461F">
            <w:pPr>
              <w:textAlignment w:val="center"/>
              <w:rPr>
                <w:rFonts w:cs="Times New Roman"/>
              </w:rPr>
            </w:pPr>
            <w:r>
              <w:rPr>
                <w:rFonts w:cs="Times New Roman"/>
                <w:color w:val="000000"/>
                <w:lang w:bidi="ar"/>
              </w:rPr>
              <w:t>材料、动力费</w:t>
            </w:r>
          </w:p>
        </w:tc>
        <w:tc>
          <w:tcPr>
            <w:tcW w:w="1439" w:type="pct"/>
            <w:tcBorders>
              <w:top w:val="single" w:color="auto" w:sz="4" w:space="0"/>
              <w:left w:val="single" w:color="auto" w:sz="4" w:space="0"/>
              <w:bottom w:val="single" w:color="auto" w:sz="4" w:space="0"/>
              <w:right w:val="single" w:color="auto" w:sz="4" w:space="0"/>
            </w:tcBorders>
            <w:vAlign w:val="center"/>
          </w:tcPr>
          <w:p w14:paraId="0463FC1D">
            <w:pPr>
              <w:jc w:val="right"/>
              <w:textAlignment w:val="center"/>
              <w:rPr>
                <w:rFonts w:cs="Times New Roman"/>
              </w:rPr>
            </w:pPr>
            <w:r>
              <w:rPr>
                <w:rFonts w:cs="Times New Roman"/>
                <w:color w:val="000000"/>
              </w:rPr>
              <w:t>32,536,966.96</w:t>
            </w:r>
          </w:p>
        </w:tc>
        <w:tc>
          <w:tcPr>
            <w:tcW w:w="1348" w:type="pct"/>
            <w:tcBorders>
              <w:top w:val="single" w:color="auto" w:sz="4" w:space="0"/>
              <w:left w:val="single" w:color="auto" w:sz="4" w:space="0"/>
              <w:bottom w:val="single" w:color="auto" w:sz="4" w:space="0"/>
              <w:right w:val="single" w:color="auto" w:sz="4" w:space="0"/>
            </w:tcBorders>
            <w:vAlign w:val="center"/>
          </w:tcPr>
          <w:p w14:paraId="133840B7">
            <w:pPr>
              <w:jc w:val="right"/>
              <w:textAlignment w:val="center"/>
              <w:rPr>
                <w:rFonts w:cs="Times New Roman"/>
              </w:rPr>
            </w:pPr>
            <w:r>
              <w:rPr>
                <w:rFonts w:cs="Times New Roman"/>
                <w:color w:val="000000"/>
              </w:rPr>
              <w:t>43,023,919.12</w:t>
            </w:r>
          </w:p>
        </w:tc>
      </w:tr>
      <w:tr w14:paraId="72FA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13" w:type="pct"/>
            <w:tcBorders>
              <w:top w:val="single" w:color="auto" w:sz="4" w:space="0"/>
              <w:left w:val="single" w:color="auto" w:sz="4" w:space="0"/>
              <w:bottom w:val="single" w:color="auto" w:sz="4" w:space="0"/>
              <w:right w:val="single" w:color="auto" w:sz="4" w:space="0"/>
            </w:tcBorders>
            <w:vAlign w:val="center"/>
          </w:tcPr>
          <w:p w14:paraId="6D19E8D5">
            <w:pPr>
              <w:textAlignment w:val="center"/>
              <w:rPr>
                <w:rFonts w:cs="Times New Roman"/>
              </w:rPr>
            </w:pPr>
            <w:r>
              <w:rPr>
                <w:rFonts w:cs="Times New Roman"/>
                <w:color w:val="000000"/>
                <w:lang w:bidi="ar"/>
              </w:rPr>
              <w:t>折旧及摊销费</w:t>
            </w:r>
          </w:p>
        </w:tc>
        <w:tc>
          <w:tcPr>
            <w:tcW w:w="1439" w:type="pct"/>
            <w:tcBorders>
              <w:top w:val="single" w:color="auto" w:sz="4" w:space="0"/>
              <w:left w:val="single" w:color="auto" w:sz="4" w:space="0"/>
              <w:bottom w:val="single" w:color="auto" w:sz="4" w:space="0"/>
              <w:right w:val="single" w:color="auto" w:sz="4" w:space="0"/>
            </w:tcBorders>
            <w:vAlign w:val="center"/>
          </w:tcPr>
          <w:p w14:paraId="2F0FF721">
            <w:pPr>
              <w:jc w:val="right"/>
              <w:textAlignment w:val="center"/>
              <w:rPr>
                <w:rFonts w:cs="Times New Roman"/>
              </w:rPr>
            </w:pPr>
            <w:r>
              <w:rPr>
                <w:rFonts w:cs="Times New Roman"/>
                <w:color w:val="000000"/>
              </w:rPr>
              <w:t>7,822,485.11</w:t>
            </w:r>
          </w:p>
        </w:tc>
        <w:tc>
          <w:tcPr>
            <w:tcW w:w="1348" w:type="pct"/>
            <w:tcBorders>
              <w:top w:val="single" w:color="auto" w:sz="4" w:space="0"/>
              <w:left w:val="single" w:color="auto" w:sz="4" w:space="0"/>
              <w:bottom w:val="single" w:color="auto" w:sz="4" w:space="0"/>
              <w:right w:val="single" w:color="auto" w:sz="4" w:space="0"/>
            </w:tcBorders>
            <w:vAlign w:val="center"/>
          </w:tcPr>
          <w:p w14:paraId="3C3DB960">
            <w:pPr>
              <w:jc w:val="right"/>
              <w:textAlignment w:val="center"/>
              <w:rPr>
                <w:rFonts w:cs="Times New Roman"/>
              </w:rPr>
            </w:pPr>
            <w:r>
              <w:rPr>
                <w:rFonts w:cs="Times New Roman"/>
                <w:color w:val="000000"/>
              </w:rPr>
              <w:t>9,598,766.92</w:t>
            </w:r>
          </w:p>
        </w:tc>
      </w:tr>
      <w:tr w14:paraId="19B1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161FD2FB">
            <w:pPr>
              <w:textAlignment w:val="center"/>
              <w:rPr>
                <w:rFonts w:cs="Times New Roman"/>
              </w:rPr>
            </w:pPr>
            <w:r>
              <w:rPr>
                <w:rFonts w:cs="Times New Roman"/>
                <w:color w:val="000000"/>
                <w:lang w:bidi="ar"/>
              </w:rPr>
              <w:t>检验检测费</w:t>
            </w:r>
          </w:p>
        </w:tc>
        <w:tc>
          <w:tcPr>
            <w:tcW w:w="1439" w:type="pct"/>
            <w:tcBorders>
              <w:top w:val="single" w:color="auto" w:sz="4" w:space="0"/>
              <w:left w:val="single" w:color="auto" w:sz="4" w:space="0"/>
              <w:bottom w:val="single" w:color="auto" w:sz="4" w:space="0"/>
              <w:right w:val="single" w:color="auto" w:sz="4" w:space="0"/>
            </w:tcBorders>
            <w:vAlign w:val="center"/>
          </w:tcPr>
          <w:p w14:paraId="114A1AFF">
            <w:pPr>
              <w:jc w:val="right"/>
              <w:textAlignment w:val="center"/>
              <w:rPr>
                <w:rFonts w:cs="Times New Roman"/>
              </w:rPr>
            </w:pPr>
            <w:r>
              <w:rPr>
                <w:rFonts w:cs="Times New Roman"/>
                <w:color w:val="000000"/>
              </w:rPr>
              <w:t>4,993,687.52</w:t>
            </w:r>
          </w:p>
        </w:tc>
        <w:tc>
          <w:tcPr>
            <w:tcW w:w="1348" w:type="pct"/>
            <w:tcBorders>
              <w:top w:val="single" w:color="auto" w:sz="4" w:space="0"/>
              <w:left w:val="single" w:color="auto" w:sz="4" w:space="0"/>
              <w:bottom w:val="single" w:color="auto" w:sz="4" w:space="0"/>
              <w:right w:val="single" w:color="auto" w:sz="4" w:space="0"/>
            </w:tcBorders>
            <w:vAlign w:val="center"/>
          </w:tcPr>
          <w:p w14:paraId="237C861F">
            <w:pPr>
              <w:jc w:val="right"/>
              <w:textAlignment w:val="center"/>
              <w:rPr>
                <w:rFonts w:cs="Times New Roman"/>
              </w:rPr>
            </w:pPr>
            <w:r>
              <w:rPr>
                <w:rFonts w:cs="Times New Roman"/>
                <w:color w:val="000000"/>
              </w:rPr>
              <w:t>6,799,075.67</w:t>
            </w:r>
          </w:p>
        </w:tc>
      </w:tr>
      <w:tr w14:paraId="634E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2520CF95">
            <w:pPr>
              <w:textAlignment w:val="center"/>
              <w:rPr>
                <w:rFonts w:cs="Times New Roman"/>
              </w:rPr>
            </w:pPr>
            <w:r>
              <w:rPr>
                <w:rFonts w:cs="Times New Roman"/>
                <w:color w:val="000000"/>
                <w:lang w:bidi="ar"/>
              </w:rPr>
              <w:t>其他</w:t>
            </w:r>
          </w:p>
        </w:tc>
        <w:tc>
          <w:tcPr>
            <w:tcW w:w="1439" w:type="pct"/>
            <w:tcBorders>
              <w:top w:val="single" w:color="auto" w:sz="4" w:space="0"/>
              <w:left w:val="single" w:color="auto" w:sz="4" w:space="0"/>
              <w:bottom w:val="single" w:color="auto" w:sz="4" w:space="0"/>
              <w:right w:val="single" w:color="auto" w:sz="4" w:space="0"/>
            </w:tcBorders>
            <w:vAlign w:val="center"/>
          </w:tcPr>
          <w:p w14:paraId="3F0FD961">
            <w:pPr>
              <w:jc w:val="right"/>
              <w:textAlignment w:val="center"/>
              <w:rPr>
                <w:rFonts w:cs="Times New Roman"/>
              </w:rPr>
            </w:pPr>
            <w:r>
              <w:rPr>
                <w:rFonts w:cs="Times New Roman"/>
                <w:color w:val="000000"/>
              </w:rPr>
              <w:t>14,980,776.36</w:t>
            </w:r>
          </w:p>
        </w:tc>
        <w:tc>
          <w:tcPr>
            <w:tcW w:w="1348" w:type="pct"/>
            <w:tcBorders>
              <w:top w:val="single" w:color="auto" w:sz="4" w:space="0"/>
              <w:left w:val="single" w:color="auto" w:sz="4" w:space="0"/>
              <w:bottom w:val="single" w:color="auto" w:sz="4" w:space="0"/>
              <w:right w:val="single" w:color="auto" w:sz="4" w:space="0"/>
            </w:tcBorders>
            <w:vAlign w:val="center"/>
          </w:tcPr>
          <w:p w14:paraId="43C42174">
            <w:pPr>
              <w:jc w:val="right"/>
              <w:textAlignment w:val="center"/>
              <w:rPr>
                <w:rFonts w:cs="Times New Roman"/>
              </w:rPr>
            </w:pPr>
            <w:r>
              <w:rPr>
                <w:rFonts w:cs="Times New Roman"/>
                <w:color w:val="000000"/>
              </w:rPr>
              <w:t>17,804,379.53</w:t>
            </w:r>
          </w:p>
        </w:tc>
      </w:tr>
      <w:tr w14:paraId="3C99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62EE63F0">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439" w:type="pct"/>
            <w:tcBorders>
              <w:top w:val="single" w:color="auto" w:sz="4" w:space="0"/>
              <w:left w:val="single" w:color="auto" w:sz="4" w:space="0"/>
              <w:bottom w:val="single" w:color="auto" w:sz="4" w:space="0"/>
              <w:right w:val="single" w:color="auto" w:sz="4" w:space="0"/>
            </w:tcBorders>
            <w:vAlign w:val="center"/>
          </w:tcPr>
          <w:p w14:paraId="6ED67275">
            <w:pPr>
              <w:jc w:val="right"/>
              <w:textAlignment w:val="center"/>
              <w:rPr>
                <w:rFonts w:cs="Times New Roman"/>
              </w:rPr>
            </w:pPr>
            <w:r>
              <w:rPr>
                <w:rFonts w:cs="Times New Roman"/>
                <w:color w:val="000000"/>
              </w:rPr>
              <w:t>118,775,901.52</w:t>
            </w:r>
          </w:p>
        </w:tc>
        <w:tc>
          <w:tcPr>
            <w:tcW w:w="1348" w:type="pct"/>
            <w:tcBorders>
              <w:top w:val="single" w:color="auto" w:sz="4" w:space="0"/>
              <w:left w:val="single" w:color="auto" w:sz="4" w:space="0"/>
              <w:bottom w:val="single" w:color="auto" w:sz="4" w:space="0"/>
              <w:right w:val="single" w:color="auto" w:sz="4" w:space="0"/>
            </w:tcBorders>
            <w:vAlign w:val="center"/>
          </w:tcPr>
          <w:p w14:paraId="00A4C71A">
            <w:pPr>
              <w:jc w:val="right"/>
              <w:textAlignment w:val="center"/>
              <w:rPr>
                <w:rFonts w:cs="Times New Roman"/>
              </w:rPr>
            </w:pPr>
            <w:r>
              <w:rPr>
                <w:rFonts w:cs="Times New Roman"/>
                <w:color w:val="000000"/>
              </w:rPr>
              <w:t>158,017,862.43</w:t>
            </w:r>
          </w:p>
        </w:tc>
      </w:tr>
      <w:tr w14:paraId="7199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5B4A68F7">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其中：费用化研发支出</w:t>
            </w:r>
          </w:p>
        </w:tc>
        <w:tc>
          <w:tcPr>
            <w:tcW w:w="1439" w:type="pct"/>
            <w:tcBorders>
              <w:top w:val="single" w:color="auto" w:sz="4" w:space="0"/>
              <w:left w:val="single" w:color="auto" w:sz="4" w:space="0"/>
              <w:bottom w:val="single" w:color="auto" w:sz="4" w:space="0"/>
              <w:right w:val="single" w:color="auto" w:sz="4" w:space="0"/>
            </w:tcBorders>
            <w:vAlign w:val="center"/>
          </w:tcPr>
          <w:p w14:paraId="05B50FC5">
            <w:pPr>
              <w:jc w:val="right"/>
              <w:textAlignment w:val="center"/>
              <w:rPr>
                <w:rFonts w:cs="Times New Roman"/>
              </w:rPr>
            </w:pPr>
            <w:r>
              <w:rPr>
                <w:rFonts w:cs="Times New Roman"/>
                <w:color w:val="000000"/>
              </w:rPr>
              <w:t>118,775,901.52</w:t>
            </w:r>
          </w:p>
        </w:tc>
        <w:tc>
          <w:tcPr>
            <w:tcW w:w="1348" w:type="pct"/>
            <w:tcBorders>
              <w:top w:val="single" w:color="auto" w:sz="4" w:space="0"/>
              <w:left w:val="single" w:color="auto" w:sz="4" w:space="0"/>
              <w:bottom w:val="single" w:color="auto" w:sz="4" w:space="0"/>
              <w:right w:val="single" w:color="auto" w:sz="4" w:space="0"/>
            </w:tcBorders>
            <w:vAlign w:val="center"/>
          </w:tcPr>
          <w:p w14:paraId="5293F5B2">
            <w:pPr>
              <w:jc w:val="right"/>
              <w:textAlignment w:val="center"/>
              <w:rPr>
                <w:rFonts w:cs="Times New Roman"/>
              </w:rPr>
            </w:pPr>
            <w:r>
              <w:rPr>
                <w:rFonts w:cs="Times New Roman"/>
                <w:color w:val="000000"/>
              </w:rPr>
              <w:t>158,017,862.43</w:t>
            </w:r>
          </w:p>
        </w:tc>
      </w:tr>
      <w:tr w14:paraId="22C4D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4A4789D0">
            <w:pPr>
              <w:ind w:firstLine="630" w:firstLineChars="3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资本化研发支出</w:t>
            </w:r>
          </w:p>
        </w:tc>
        <w:tc>
          <w:tcPr>
            <w:tcW w:w="1439" w:type="pct"/>
            <w:tcBorders>
              <w:top w:val="single" w:color="auto" w:sz="4" w:space="0"/>
              <w:left w:val="single" w:color="auto" w:sz="4" w:space="0"/>
              <w:bottom w:val="single" w:color="auto" w:sz="4" w:space="0"/>
              <w:right w:val="single" w:color="auto" w:sz="4" w:space="0"/>
            </w:tcBorders>
          </w:tcPr>
          <w:p w14:paraId="774F69AC">
            <w:pPr>
              <w:jc w:val="right"/>
              <w:rPr>
                <w:rFonts w:cs="Times New Roman"/>
              </w:rPr>
            </w:pPr>
          </w:p>
        </w:tc>
        <w:tc>
          <w:tcPr>
            <w:tcW w:w="1348" w:type="pct"/>
            <w:tcBorders>
              <w:top w:val="single" w:color="auto" w:sz="4" w:space="0"/>
              <w:left w:val="single" w:color="auto" w:sz="4" w:space="0"/>
              <w:bottom w:val="single" w:color="auto" w:sz="4" w:space="0"/>
              <w:right w:val="single" w:color="auto" w:sz="4" w:space="0"/>
            </w:tcBorders>
          </w:tcPr>
          <w:p w14:paraId="529B28C5">
            <w:pPr>
              <w:jc w:val="right"/>
              <w:rPr>
                <w:rFonts w:cs="Times New Roman"/>
              </w:rPr>
            </w:pPr>
          </w:p>
        </w:tc>
      </w:tr>
    </w:tbl>
    <w:p w14:paraId="248ED49D">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研发支出按费用性质列示的其他说明"/>
        <w:tag w:val="_GBC_6b3d42161462405e8011d40253de8df9"/>
        <w:id w:val="147462658"/>
        <w:placeholder>
          <w:docPart w:val="GBC22222222222222222222222222222"/>
        </w:placeholder>
      </w:sdtPr>
      <w:sdtEndPr>
        <w:rPr>
          <w:color w:val="000000" w:themeColor="text1"/>
          <w14:textFill>
            <w14:solidFill>
              <w14:schemeClr w14:val="tx1"/>
            </w14:solidFill>
          </w14:textFill>
        </w:rPr>
      </w:sdtEndPr>
      <w:sdtContent>
        <w:p w14:paraId="5F00E9F8">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68B1A1CB">
      <w:pPr>
        <w:rPr>
          <w:color w:val="000000" w:themeColor="text1"/>
          <w14:textFill>
            <w14:solidFill>
              <w14:schemeClr w14:val="tx1"/>
            </w14:solidFill>
          </w14:textFill>
        </w:rPr>
      </w:pPr>
    </w:p>
    <w:bookmarkEnd w:id="398"/>
    <w:p w14:paraId="7159C90A">
      <w:pPr>
        <w:pStyle w:val="57"/>
        <w:numPr>
          <w:ilvl w:val="0"/>
          <w:numId w:val="94"/>
        </w:numPr>
        <w:ind w:left="360" w:hanging="360"/>
        <w:rPr>
          <w:color w:val="000000" w:themeColor="text1"/>
          <w14:textFill>
            <w14:solidFill>
              <w14:schemeClr w14:val="tx1"/>
            </w14:solidFill>
          </w14:textFill>
        </w:rPr>
      </w:pPr>
      <w:bookmarkStart w:id="400" w:name="_Hlk153266294"/>
      <w:r>
        <w:rPr>
          <w:rFonts w:hint="eastAsia"/>
          <w:color w:val="000000" w:themeColor="text1"/>
          <w14:textFill>
            <w14:solidFill>
              <w14:schemeClr w14:val="tx1"/>
            </w14:solidFill>
          </w14:textFill>
        </w:rPr>
        <w:t>符合资本化条件的研发项目开发支出</w:t>
      </w:r>
    </w:p>
    <w:sdt>
      <w:sdtPr>
        <w:rPr>
          <w:color w:val="000000" w:themeColor="text1"/>
          <w14:textFill>
            <w14:solidFill>
              <w14:schemeClr w14:val="tx1"/>
            </w14:solidFill>
          </w14:textFill>
        </w:rPr>
        <w:alias w:val="是否适用：开发支出[双击切换]"/>
        <w:tag w:val="_GBC_c4491189045f4579aa1097e6d5456e9e"/>
        <w:id w:val="147458968"/>
        <w:placeholder>
          <w:docPart w:val="GBC22222222222222222222222222222"/>
        </w:placeholder>
      </w:sdtPr>
      <w:sdtEndPr>
        <w:rPr>
          <w:color w:val="000000" w:themeColor="text1"/>
          <w14:textFill>
            <w14:solidFill>
              <w14:schemeClr w14:val="tx1"/>
            </w14:solidFill>
          </w14:textFill>
        </w:rPr>
      </w:sdtEndPr>
      <w:sdtContent>
        <w:p w14:paraId="290AB2A1">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8D42430">
      <w:pPr>
        <w:snapToGrid w:val="0"/>
        <w:spacing w:line="240" w:lineRule="atLeast"/>
        <w:rPr>
          <w:color w:val="000000" w:themeColor="text1"/>
          <w14:textFill>
            <w14:solidFill>
              <w14:schemeClr w14:val="tx1"/>
            </w14:solidFill>
          </w14:textFill>
        </w:rPr>
      </w:pPr>
    </w:p>
    <w:bookmarkEnd w:id="400"/>
    <w:p w14:paraId="1557CCA1">
      <w:pPr>
        <w:rPr>
          <w:color w:val="000000" w:themeColor="text1"/>
          <w14:textFill>
            <w14:solidFill>
              <w14:schemeClr w14:val="tx1"/>
            </w14:solidFill>
          </w14:textFill>
        </w:rPr>
      </w:pPr>
      <w:r>
        <w:rPr>
          <w:color w:val="000000" w:themeColor="text1"/>
          <w14:textFill>
            <w14:solidFill>
              <w14:schemeClr w14:val="tx1"/>
            </w14:solidFill>
          </w14:textFill>
        </w:rPr>
        <w:t>重要的资本化研发项目</w:t>
      </w:r>
    </w:p>
    <w:sdt>
      <w:sdtPr>
        <w:rPr>
          <w:color w:val="000000" w:themeColor="text1"/>
          <w14:textFill>
            <w14:solidFill>
              <w14:schemeClr w14:val="tx1"/>
            </w14:solidFill>
          </w14:textFill>
        </w:rPr>
        <w:alias w:val="是否适用：重要的资本化研发项目[双击切换]"/>
        <w:tag w:val="_GBC_1cd050ceff7c445bb12c764341f77187"/>
        <w:id w:val="147477769"/>
        <w:placeholder>
          <w:docPart w:val="GBC22222222222222222222222222222"/>
        </w:placeholder>
      </w:sdtPr>
      <w:sdtEndPr>
        <w:rPr>
          <w:color w:val="000000" w:themeColor="text1"/>
          <w14:textFill>
            <w14:solidFill>
              <w14:schemeClr w14:val="tx1"/>
            </w14:solidFill>
          </w14:textFill>
        </w:rPr>
      </w:sdtEndPr>
      <w:sdtContent>
        <w:p w14:paraId="65AB59D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022DE8C">
      <w:pPr>
        <w:rPr>
          <w:color w:val="000000" w:themeColor="text1"/>
          <w14:textFill>
            <w14:solidFill>
              <w14:schemeClr w14:val="tx1"/>
            </w14:solidFill>
          </w14:textFill>
        </w:rPr>
      </w:pPr>
    </w:p>
    <w:p w14:paraId="219D83D1">
      <w:pPr>
        <w:rPr>
          <w:color w:val="000000" w:themeColor="text1"/>
          <w14:textFill>
            <w14:solidFill>
              <w14:schemeClr w14:val="tx1"/>
            </w14:solidFill>
          </w14:textFill>
        </w:rPr>
      </w:pPr>
      <w:r>
        <w:rPr>
          <w:color w:val="000000" w:themeColor="text1"/>
          <w14:textFill>
            <w14:solidFill>
              <w14:schemeClr w14:val="tx1"/>
            </w14:solidFill>
          </w14:textFill>
        </w:rPr>
        <w:t>开发支出减值准备</w:t>
      </w:r>
    </w:p>
    <w:sdt>
      <w:sdtPr>
        <w:rPr>
          <w:color w:val="000000" w:themeColor="text1"/>
          <w14:textFill>
            <w14:solidFill>
              <w14:schemeClr w14:val="tx1"/>
            </w14:solidFill>
          </w14:textFill>
        </w:rPr>
        <w:alias w:val="是否适用：开发支出减值准备[双击切换]"/>
        <w:tag w:val="_GBC_61f8745227c4412fa050b0628c64a40a"/>
        <w:id w:val="147465450"/>
        <w:placeholder>
          <w:docPart w:val="GBC22222222222222222222222222222"/>
        </w:placeholder>
      </w:sdtPr>
      <w:sdtEndPr>
        <w:rPr>
          <w:color w:val="000000" w:themeColor="text1"/>
          <w14:textFill>
            <w14:solidFill>
              <w14:schemeClr w14:val="tx1"/>
            </w14:solidFill>
          </w14:textFill>
        </w:rPr>
      </w:sdtEndPr>
      <w:sdtContent>
        <w:p w14:paraId="73F630F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317EF80">
      <w:pPr>
        <w:rPr>
          <w:color w:val="000000" w:themeColor="text1"/>
          <w14:textFill>
            <w14:solidFill>
              <w14:schemeClr w14:val="tx1"/>
            </w14:solidFill>
          </w14:textFill>
        </w:rPr>
      </w:pPr>
    </w:p>
    <w:p w14:paraId="388143D6">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符合资本化条件的研发项目开发支出的其他说明"/>
        <w:tag w:val="_GBC_6f5dba19dcad4294ab6f74834cfe3448"/>
        <w:id w:val="147479607"/>
        <w:placeholder>
          <w:docPart w:val="GBC22222222222222222222222222222"/>
        </w:placeholder>
      </w:sdtPr>
      <w:sdtEndPr>
        <w:rPr>
          <w:color w:val="000000" w:themeColor="text1"/>
          <w14:textFill>
            <w14:solidFill>
              <w14:schemeClr w14:val="tx1"/>
            </w14:solidFill>
          </w14:textFill>
        </w:rPr>
      </w:sdtEndPr>
      <w:sdtContent>
        <w:p w14:paraId="58E285F0">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452915FC">
      <w:pPr>
        <w:rPr>
          <w:color w:val="000000" w:themeColor="text1"/>
          <w14:textFill>
            <w14:solidFill>
              <w14:schemeClr w14:val="tx1"/>
            </w14:solidFill>
          </w14:textFill>
        </w:rPr>
      </w:pPr>
    </w:p>
    <w:p w14:paraId="12F96086">
      <w:pPr>
        <w:pStyle w:val="57"/>
        <w:numPr>
          <w:ilvl w:val="0"/>
          <w:numId w:val="94"/>
        </w:numPr>
        <w:ind w:left="360" w:hanging="360"/>
        <w:rPr>
          <w:color w:val="000000" w:themeColor="text1"/>
          <w14:textFill>
            <w14:solidFill>
              <w14:schemeClr w14:val="tx1"/>
            </w14:solidFill>
          </w14:textFill>
        </w:rPr>
      </w:pPr>
      <w:r>
        <w:rPr>
          <w:rFonts w:hint="eastAsia"/>
          <w:color w:val="000000" w:themeColor="text1"/>
          <w14:textFill>
            <w14:solidFill>
              <w14:schemeClr w14:val="tx1"/>
            </w14:solidFill>
          </w14:textFill>
        </w:rPr>
        <w:t>重要的外购在研项目</w:t>
      </w:r>
    </w:p>
    <w:sdt>
      <w:sdtPr>
        <w:rPr>
          <w:color w:val="000000" w:themeColor="text1"/>
          <w14:textFill>
            <w14:solidFill>
              <w14:schemeClr w14:val="tx1"/>
            </w14:solidFill>
          </w14:textFill>
        </w:rPr>
        <w:alias w:val="是否适用：重要的外购在研项目[双击切换]"/>
        <w:tag w:val="_GBC_d8453a2bfa274fa6906f48d9a4c81bac"/>
        <w:id w:val="147455699"/>
        <w:placeholder>
          <w:docPart w:val="GBC22222222222222222222222222222"/>
        </w:placeholder>
      </w:sdtPr>
      <w:sdtEndPr>
        <w:rPr>
          <w:color w:val="000000" w:themeColor="text1"/>
          <w14:textFill>
            <w14:solidFill>
              <w14:schemeClr w14:val="tx1"/>
            </w14:solidFill>
          </w14:textFill>
        </w:rPr>
      </w:sdtEndPr>
      <w:sdtContent>
        <w:p w14:paraId="33A8161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99"/>
    <w:p w14:paraId="4B280030">
      <w:pPr>
        <w:rPr>
          <w:color w:val="000000" w:themeColor="text1"/>
          <w14:textFill>
            <w14:solidFill>
              <w14:schemeClr w14:val="tx1"/>
            </w14:solidFill>
          </w14:textFill>
        </w:rPr>
      </w:pPr>
    </w:p>
    <w:p w14:paraId="3E09F79E">
      <w:pPr>
        <w:pStyle w:val="56"/>
        <w:numPr>
          <w:ilvl w:val="0"/>
          <w:numId w:val="43"/>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合并范围的变更</w:t>
      </w:r>
    </w:p>
    <w:p w14:paraId="24FD9B08">
      <w:pPr>
        <w:pStyle w:val="57"/>
        <w:numPr>
          <w:ilvl w:val="0"/>
          <w:numId w:val="95"/>
        </w:numPr>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非同一控制下企业合并</w:t>
      </w:r>
    </w:p>
    <w:sdt>
      <w:sdtPr>
        <w:rPr>
          <w:color w:val="000000" w:themeColor="text1"/>
          <w14:textFill>
            <w14:solidFill>
              <w14:schemeClr w14:val="tx1"/>
            </w14:solidFill>
          </w14:textFill>
        </w:rPr>
        <w:alias w:val="是否适用：非同一控制下企业合并[双击切换]"/>
        <w:tag w:val="_GBC_2f9a65b0b4644b14ab5af1407e6467f1"/>
        <w:id w:val="147480844"/>
        <w:placeholder>
          <w:docPart w:val="GBC22222222222222222222222222222"/>
        </w:placeholder>
      </w:sdtPr>
      <w:sdtEndPr>
        <w:rPr>
          <w:color w:val="000000" w:themeColor="text1"/>
          <w14:textFill>
            <w14:solidFill>
              <w14:schemeClr w14:val="tx1"/>
            </w14:solidFill>
          </w14:textFill>
        </w:rPr>
      </w:sdtEndPr>
      <w:sdtContent>
        <w:p w14:paraId="1BD7485D">
          <w:pPr>
            <w:rPr>
              <w:rFonts w:cstheme="minorBidi"/>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F303552">
      <w:pPr>
        <w:rPr>
          <w:color w:val="000000" w:themeColor="text1"/>
          <w14:textFill>
            <w14:solidFill>
              <w14:schemeClr w14:val="tx1"/>
            </w14:solidFill>
          </w14:textFill>
        </w:rPr>
      </w:pPr>
    </w:p>
    <w:p w14:paraId="09A783A1">
      <w:pPr>
        <w:pStyle w:val="57"/>
        <w:numPr>
          <w:ilvl w:val="0"/>
          <w:numId w:val="95"/>
        </w:numPr>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同一控制下企业合并</w:t>
      </w:r>
    </w:p>
    <w:sdt>
      <w:sdtPr>
        <w:rPr>
          <w:color w:val="000000" w:themeColor="text1"/>
          <w14:textFill>
            <w14:solidFill>
              <w14:schemeClr w14:val="tx1"/>
            </w14:solidFill>
          </w14:textFill>
        </w:rPr>
        <w:alias w:val="是否适用：同一控制下企业合并[双击切换]"/>
        <w:tag w:val="_GBC_cde296136a1d4f2094eb79d21291eae2"/>
        <w:id w:val="147465930"/>
        <w:placeholder>
          <w:docPart w:val="GBC22222222222222222222222222222"/>
        </w:placeholder>
      </w:sdtPr>
      <w:sdtEndPr>
        <w:rPr>
          <w:color w:val="000000" w:themeColor="text1"/>
          <w14:textFill>
            <w14:solidFill>
              <w14:schemeClr w14:val="tx1"/>
            </w14:solidFill>
          </w14:textFill>
        </w:rPr>
      </w:sdtEndPr>
      <w:sdtContent>
        <w:p w14:paraId="2A9A69B7">
          <w:pPr>
            <w:rPr>
              <w:rFonts w:cs="Arial"/>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65D7FA3">
      <w:pPr>
        <w:pStyle w:val="57"/>
        <w:numPr>
          <w:ilvl w:val="0"/>
          <w:numId w:val="95"/>
        </w:numPr>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反向购买</w:t>
      </w:r>
    </w:p>
    <w:sdt>
      <w:sdtPr>
        <w:rPr>
          <w:color w:val="000000" w:themeColor="text1"/>
          <w14:textFill>
            <w14:solidFill>
              <w14:schemeClr w14:val="tx1"/>
            </w14:solidFill>
          </w14:textFill>
        </w:rPr>
        <w:alias w:val="是否适用：反向购买[双击切换]"/>
        <w:tag w:val="_GBC_973cde3cea5d460790de47cc49169bde"/>
        <w:id w:val="147465935"/>
        <w:placeholder>
          <w:docPart w:val="GBC22222222222222222222222222222"/>
        </w:placeholder>
      </w:sdtPr>
      <w:sdtEndPr>
        <w:rPr>
          <w:color w:val="000000" w:themeColor="text1"/>
          <w14:textFill>
            <w14:solidFill>
              <w14:schemeClr w14:val="tx1"/>
            </w14:solidFill>
          </w14:textFill>
        </w:rPr>
      </w:sdtEndPr>
      <w:sdtContent>
        <w:p w14:paraId="0BE2399B">
          <w:pPr>
            <w:rPr>
              <w:rFonts w:cs="Arial"/>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93B842A">
      <w:pPr>
        <w:rPr>
          <w:rFonts w:cs="Arial"/>
          <w:color w:val="000000" w:themeColor="text1"/>
          <w:lang w:val="en-GB"/>
          <w14:textFill>
            <w14:solidFill>
              <w14:schemeClr w14:val="tx1"/>
            </w14:solidFill>
          </w14:textFill>
        </w:rPr>
      </w:pPr>
    </w:p>
    <w:p w14:paraId="159070E8">
      <w:pPr>
        <w:pStyle w:val="57"/>
        <w:numPr>
          <w:ilvl w:val="0"/>
          <w:numId w:val="95"/>
        </w:numPr>
        <w:rPr>
          <w:rFonts w:ascii="宋体" w:hAnsi="宋体" w:cs="Arial"/>
          <w:color w:val="000000" w:themeColor="text1"/>
          <w:szCs w:val="21"/>
          <w14:textFill>
            <w14:solidFill>
              <w14:schemeClr w14:val="tx1"/>
            </w14:solidFill>
          </w14:textFill>
        </w:rPr>
      </w:pPr>
      <w:bookmarkStart w:id="401" w:name="_Hlk167975840"/>
      <w:r>
        <w:rPr>
          <w:rFonts w:hint="eastAsia" w:ascii="宋体" w:hAnsi="宋体" w:cs="Arial"/>
          <w:color w:val="000000" w:themeColor="text1"/>
          <w:szCs w:val="21"/>
          <w14:textFill>
            <w14:solidFill>
              <w14:schemeClr w14:val="tx1"/>
            </w14:solidFill>
          </w14:textFill>
        </w:rPr>
        <w:t>处置子公司</w:t>
      </w:r>
    </w:p>
    <w:p w14:paraId="0C0DEF35">
      <w:pPr>
        <w:rPr>
          <w:color w:val="000000" w:themeColor="text1"/>
          <w14:textFill>
            <w14:solidFill>
              <w14:schemeClr w14:val="tx1"/>
            </w14:solidFill>
          </w14:textFill>
        </w:rPr>
      </w:pPr>
      <w:r>
        <w:rPr>
          <w:rFonts w:hint="eastAsia"/>
          <w:color w:val="000000" w:themeColor="text1"/>
          <w14:textFill>
            <w14:solidFill>
              <w14:schemeClr w14:val="tx1"/>
            </w14:solidFill>
          </w14:textFill>
        </w:rPr>
        <w:t>本期是否存在</w:t>
      </w:r>
      <w:r>
        <w:rPr>
          <w:color w:val="000000" w:themeColor="text1"/>
          <w14:textFill>
            <w14:solidFill>
              <w14:schemeClr w14:val="tx1"/>
            </w14:solidFill>
          </w14:textFill>
        </w:rPr>
        <w:t>丧失</w:t>
      </w:r>
      <w:r>
        <w:rPr>
          <w:rFonts w:hint="eastAsia"/>
          <w:color w:val="000000" w:themeColor="text1"/>
          <w14:textFill>
            <w14:solidFill>
              <w14:schemeClr w14:val="tx1"/>
            </w14:solidFill>
          </w14:textFill>
        </w:rPr>
        <w:t>子公司</w:t>
      </w:r>
      <w:r>
        <w:rPr>
          <w:color w:val="000000" w:themeColor="text1"/>
          <w14:textFill>
            <w14:solidFill>
              <w14:schemeClr w14:val="tx1"/>
            </w14:solidFill>
          </w14:textFill>
        </w:rPr>
        <w:t>控制权</w:t>
      </w:r>
      <w:r>
        <w:rPr>
          <w:rFonts w:hint="eastAsia"/>
          <w:color w:val="000000" w:themeColor="text1"/>
          <w14:textFill>
            <w14:solidFill>
              <w14:schemeClr w14:val="tx1"/>
            </w14:solidFill>
          </w14:textFill>
        </w:rPr>
        <w:t>的交易或事项</w:t>
      </w:r>
    </w:p>
    <w:sdt>
      <w:sdtPr>
        <w:rPr>
          <w:rFonts w:hint="eastAsia" w:cs="Arial"/>
          <w:color w:val="000000" w:themeColor="text1"/>
          <w14:textFill>
            <w14:solidFill>
              <w14:schemeClr w14:val="tx1"/>
            </w14:solidFill>
          </w14:textFill>
        </w:rPr>
        <w:alias w:val="是否存在单次交易处置对子公司投资即丧失控制权的情形[双击切换]"/>
        <w:tag w:val="_GBC_3326559ea8a84c1f80452d301a368ec5"/>
        <w:id w:val="147466384"/>
        <w:placeholder>
          <w:docPart w:val="GBC22222222222222222222222222222"/>
        </w:placeholder>
      </w:sdtPr>
      <w:sdtEndPr>
        <w:rPr>
          <w:rFonts w:hint="eastAsia" w:cs="Arial"/>
          <w:color w:val="000000" w:themeColor="text1"/>
          <w14:textFill>
            <w14:solidFill>
              <w14:schemeClr w14:val="tx1"/>
            </w14:solidFill>
          </w14:textFill>
        </w:rPr>
      </w:sdtEndPr>
      <w:sdtContent>
        <w:p w14:paraId="6BF06294">
          <w:pPr>
            <w:rPr>
              <w:rFonts w:cs="Arial"/>
              <w:color w:val="000000" w:themeColor="text1"/>
              <w14:textFill>
                <w14:solidFill>
                  <w14:schemeClr w14:val="tx1"/>
                </w14:solidFill>
              </w14:textFill>
            </w:rPr>
          </w:pPr>
          <w:r>
            <w:rPr>
              <w:rFonts w:ascii="宋体" w:hAnsi="宋体" w:cs="Arial"/>
              <w:color w:val="000000" w:themeColor="text1"/>
              <w14:textFill>
                <w14:solidFill>
                  <w14:schemeClr w14:val="tx1"/>
                </w14:solidFill>
              </w14:textFill>
            </w:rPr>
            <w:fldChar w:fldCharType="begin"/>
          </w:r>
          <w:r>
            <w:rPr>
              <w:rFonts w:hint="eastAsia" w:ascii="宋体" w:hAnsi="宋体" w:cs="Arial"/>
              <w:color w:val="000000" w:themeColor="text1"/>
              <w14:textFill>
                <w14:solidFill>
                  <w14:schemeClr w14:val="tx1"/>
                </w14:solidFill>
              </w14:textFill>
            </w:rPr>
            <w:instrText xml:space="preserve">MACROBUTTON  SnrToggleCheckbox □适用 </w:instrText>
          </w:r>
          <w:r>
            <w:rPr>
              <w:rFonts w:ascii="宋体" w:hAnsi="宋体" w:cs="Arial"/>
              <w:color w:val="000000" w:themeColor="text1"/>
              <w14:textFill>
                <w14:solidFill>
                  <w14:schemeClr w14:val="tx1"/>
                </w14:solidFill>
              </w14:textFill>
            </w:rPr>
            <w:fldChar w:fldCharType="end"/>
          </w:r>
          <w:r>
            <w:rPr>
              <w:rFonts w:ascii="宋体" w:hAnsi="宋体" w:cs="Arial"/>
              <w:color w:val="000000" w:themeColor="text1"/>
              <w14:textFill>
                <w14:solidFill>
                  <w14:schemeClr w14:val="tx1"/>
                </w14:solidFill>
              </w14:textFill>
            </w:rPr>
            <w:fldChar w:fldCharType="begin"/>
          </w:r>
          <w:r>
            <w:rPr>
              <w:rFonts w:hint="eastAsia" w:ascii="宋体" w:hAnsi="宋体" w:cs="Arial"/>
              <w:color w:val="000000" w:themeColor="text1"/>
              <w14:textFill>
                <w14:solidFill>
                  <w14:schemeClr w14:val="tx1"/>
                </w14:solidFill>
              </w14:textFill>
            </w:rPr>
            <w:instrText xml:space="preserve"> MACROBUTTON  SnrToggleCheckbox √不适用 </w:instrText>
          </w:r>
          <w:r>
            <w:rPr>
              <w:rFonts w:ascii="宋体" w:hAnsi="宋体" w:cs="Arial"/>
              <w:color w:val="000000" w:themeColor="text1"/>
              <w14:textFill>
                <w14:solidFill>
                  <w14:schemeClr w14:val="tx1"/>
                </w14:solidFill>
              </w14:textFill>
            </w:rPr>
            <w:fldChar w:fldCharType="end"/>
          </w:r>
        </w:p>
      </w:sdtContent>
    </w:sdt>
    <w:p w14:paraId="1FAB42CB">
      <w:pPr>
        <w:rPr>
          <w:rFonts w:cs="Arial"/>
          <w:color w:val="000000" w:themeColor="text1"/>
          <w14:textFill>
            <w14:solidFill>
              <w14:schemeClr w14:val="tx1"/>
            </w14:solidFill>
          </w14:textFill>
        </w:rPr>
      </w:pPr>
    </w:p>
    <w:p w14:paraId="354A62C7">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其他说明：</w:t>
      </w:r>
    </w:p>
    <w:sdt>
      <w:sdtPr>
        <w:rPr>
          <w:rFonts w:cs="Arial"/>
          <w:color w:val="000000" w:themeColor="text1"/>
          <w14:textFill>
            <w14:solidFill>
              <w14:schemeClr w14:val="tx1"/>
            </w14:solidFill>
          </w14:textFill>
        </w:rPr>
        <w:alias w:val="是否适用：单次交易处置对子公司投资即丧失控制权的情形的说明[双击切换]"/>
        <w:tag w:val="_GBC_29528d4c1c444136b1c9a196f82e0e52"/>
        <w:id w:val="147455279"/>
        <w:placeholder>
          <w:docPart w:val="GBC22222222222222222222222222222"/>
        </w:placeholder>
      </w:sdtPr>
      <w:sdtEndPr>
        <w:rPr>
          <w:rFonts w:cs="Arial"/>
          <w:color w:val="000000" w:themeColor="text1"/>
          <w14:textFill>
            <w14:solidFill>
              <w14:schemeClr w14:val="tx1"/>
            </w14:solidFill>
          </w14:textFill>
        </w:rPr>
      </w:sdtEndPr>
      <w:sdtContent>
        <w:p w14:paraId="263CD698">
          <w:pPr>
            <w:rPr>
              <w:color w:val="000000" w:themeColor="text1"/>
              <w14:textFill>
                <w14:solidFill>
                  <w14:schemeClr w14:val="tx1"/>
                </w14:solidFill>
              </w14:textFill>
            </w:rPr>
          </w:pPr>
          <w:r>
            <w:rPr>
              <w:rFonts w:ascii="宋体" w:hAnsi="宋体" w:cs="Arial"/>
              <w:color w:val="000000" w:themeColor="text1"/>
              <w14:textFill>
                <w14:solidFill>
                  <w14:schemeClr w14:val="tx1"/>
                </w14:solidFill>
              </w14:textFill>
            </w:rPr>
            <w:fldChar w:fldCharType="begin"/>
          </w:r>
          <w:r>
            <w:rPr>
              <w:rFonts w:hint="eastAsia" w:ascii="宋体" w:hAnsi="宋体" w:cs="Arial"/>
              <w:color w:val="000000" w:themeColor="text1"/>
              <w14:textFill>
                <w14:solidFill>
                  <w14:schemeClr w14:val="tx1"/>
                </w14:solidFill>
              </w14:textFill>
            </w:rPr>
            <w:instrText xml:space="preserve">MACROBUTTON  SnrToggleCheckbox □适用 </w:instrText>
          </w:r>
          <w:r>
            <w:rPr>
              <w:rFonts w:ascii="宋体" w:hAnsi="宋体" w:cs="Arial"/>
              <w:color w:val="000000" w:themeColor="text1"/>
              <w14:textFill>
                <w14:solidFill>
                  <w14:schemeClr w14:val="tx1"/>
                </w14:solidFill>
              </w14:textFill>
            </w:rPr>
            <w:fldChar w:fldCharType="end"/>
          </w:r>
          <w:r>
            <w:rPr>
              <w:rFonts w:ascii="宋体" w:hAnsi="宋体" w:cs="Arial"/>
              <w:color w:val="000000" w:themeColor="text1"/>
              <w14:textFill>
                <w14:solidFill>
                  <w14:schemeClr w14:val="tx1"/>
                </w14:solidFill>
              </w14:textFill>
            </w:rPr>
            <w:fldChar w:fldCharType="begin"/>
          </w:r>
          <w:r>
            <w:rPr>
              <w:rFonts w:hint="eastAsia" w:ascii="宋体" w:hAnsi="宋体" w:cs="Arial"/>
              <w:color w:val="000000" w:themeColor="text1"/>
              <w14:textFill>
                <w14:solidFill>
                  <w14:schemeClr w14:val="tx1"/>
                </w14:solidFill>
              </w14:textFill>
            </w:rPr>
            <w:instrText xml:space="preserve"> MACROBUTTON  SnrToggleCheckbox √不适用 </w:instrText>
          </w:r>
          <w:r>
            <w:rPr>
              <w:rFonts w:ascii="宋体" w:hAnsi="宋体" w:cs="Arial"/>
              <w:color w:val="000000" w:themeColor="text1"/>
              <w14:textFill>
                <w14:solidFill>
                  <w14:schemeClr w14:val="tx1"/>
                </w14:solidFill>
              </w14:textFill>
            </w:rPr>
            <w:fldChar w:fldCharType="end"/>
          </w:r>
        </w:p>
      </w:sdtContent>
    </w:sdt>
    <w:p w14:paraId="5FCB59F3">
      <w:pPr>
        <w:pStyle w:val="62"/>
        <w:rPr>
          <w:color w:val="000000" w:themeColor="text1"/>
          <w14:textFill>
            <w14:solidFill>
              <w14:schemeClr w14:val="tx1"/>
            </w14:solidFill>
          </w14:textFill>
        </w:rPr>
      </w:pPr>
    </w:p>
    <w:p w14:paraId="0844DB47">
      <w:pPr>
        <w:rPr>
          <w:rFonts w:cs="Arial"/>
          <w:color w:val="000000" w:themeColor="text1"/>
          <w14:textFill>
            <w14:solidFill>
              <w14:schemeClr w14:val="tx1"/>
            </w14:solidFill>
          </w14:textFill>
        </w:rPr>
      </w:pPr>
      <w:bookmarkStart w:id="402" w:name="_Hlk153549147"/>
      <w:r>
        <w:rPr>
          <w:rFonts w:hint="eastAsia" w:cs="Arial"/>
          <w:color w:val="000000" w:themeColor="text1"/>
          <w14:textFill>
            <w14:solidFill>
              <w14:schemeClr w14:val="tx1"/>
            </w14:solidFill>
          </w14:textFill>
        </w:rPr>
        <w:t>是否存在通过多次交易分步处置对子公司投资且在本期丧失控制权的情形</w:t>
      </w:r>
    </w:p>
    <w:sdt>
      <w:sdtPr>
        <w:rPr>
          <w:rFonts w:hint="eastAsia"/>
          <w:color w:val="000000" w:themeColor="text1"/>
          <w14:textFill>
            <w14:solidFill>
              <w14:schemeClr w14:val="tx1"/>
            </w14:solidFill>
          </w14:textFill>
        </w:rPr>
        <w:alias w:val="是否存在通过多次交易分步处置对子公司投资且在本期丧失控制权的情形[双击切换]"/>
        <w:tag w:val="_GBC_1aa1c46a77684c9fbd35fa14e4e37b0c"/>
        <w:id w:val="147461055"/>
        <w:placeholder>
          <w:docPart w:val="GBC22222222222222222222222222222"/>
        </w:placeholder>
      </w:sdtPr>
      <w:sdtEndPr>
        <w:rPr>
          <w:rFonts w:hint="eastAsia"/>
          <w:color w:val="000000" w:themeColor="text1"/>
          <w14:textFill>
            <w14:solidFill>
              <w14:schemeClr w14:val="tx1"/>
            </w14:solidFill>
          </w14:textFill>
        </w:rPr>
      </w:sdtEndPr>
      <w:sdtContent>
        <w:p w14:paraId="5F4318B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FFF35B4">
      <w:pPr>
        <w:rPr>
          <w:color w:val="000000" w:themeColor="text1"/>
          <w14:textFill>
            <w14:solidFill>
              <w14:schemeClr w14:val="tx1"/>
            </w14:solidFill>
          </w14:textFill>
        </w:rPr>
      </w:pPr>
    </w:p>
    <w:bookmarkEnd w:id="402"/>
    <w:p w14:paraId="77328D1D">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其他说明：</w:t>
      </w:r>
    </w:p>
    <w:sdt>
      <w:sdtPr>
        <w:rPr>
          <w:rFonts w:cs="Arial"/>
          <w:color w:val="000000" w:themeColor="text1"/>
          <w14:textFill>
            <w14:solidFill>
              <w14:schemeClr w14:val="tx1"/>
            </w14:solidFill>
          </w14:textFill>
        </w:rPr>
        <w:alias w:val="是否适用：是否存在通过多次交易分步处置对子公司投资且在本期丧失控制权的情形的说明[双击切换]"/>
        <w:tag w:val="_GBC_4d734455db284d62936c6dddb9394149"/>
        <w:id w:val="147451034"/>
        <w:placeholder>
          <w:docPart w:val="GBC22222222222222222222222222222"/>
        </w:placeholder>
      </w:sdtPr>
      <w:sdtEndPr>
        <w:rPr>
          <w:rFonts w:cs="Arial"/>
          <w:color w:val="000000" w:themeColor="text1"/>
          <w14:textFill>
            <w14:solidFill>
              <w14:schemeClr w14:val="tx1"/>
            </w14:solidFill>
          </w14:textFill>
        </w:rPr>
      </w:sdtEndPr>
      <w:sdtContent>
        <w:p w14:paraId="4DCF93C0">
          <w:pPr>
            <w:rPr>
              <w:rFonts w:ascii="Calibri" w:hAnsi="Calibri" w:cs="Arial"/>
              <w:color w:val="000000" w:themeColor="text1"/>
              <w14:textFill>
                <w14:solidFill>
                  <w14:schemeClr w14:val="tx1"/>
                </w14:solidFill>
              </w14:textFill>
            </w:rPr>
          </w:pPr>
          <w:r>
            <w:rPr>
              <w:rFonts w:ascii="宋体" w:hAnsi="宋体" w:cs="Arial"/>
              <w:color w:val="000000" w:themeColor="text1"/>
              <w14:textFill>
                <w14:solidFill>
                  <w14:schemeClr w14:val="tx1"/>
                </w14:solidFill>
              </w14:textFill>
            </w:rPr>
            <w:fldChar w:fldCharType="begin"/>
          </w:r>
          <w:r>
            <w:rPr>
              <w:rFonts w:hint="eastAsia" w:ascii="宋体" w:hAnsi="宋体" w:cs="Arial"/>
              <w:color w:val="000000" w:themeColor="text1"/>
              <w14:textFill>
                <w14:solidFill>
                  <w14:schemeClr w14:val="tx1"/>
                </w14:solidFill>
              </w14:textFill>
            </w:rPr>
            <w:instrText xml:space="preserve"> MACROBUTTON  SnrToggleCheckbox □适用 </w:instrText>
          </w:r>
          <w:r>
            <w:rPr>
              <w:rFonts w:ascii="宋体" w:hAnsi="宋体" w:cs="Arial"/>
              <w:color w:val="000000" w:themeColor="text1"/>
              <w14:textFill>
                <w14:solidFill>
                  <w14:schemeClr w14:val="tx1"/>
                </w14:solidFill>
              </w14:textFill>
            </w:rPr>
            <w:fldChar w:fldCharType="end"/>
          </w:r>
          <w:r>
            <w:rPr>
              <w:rFonts w:ascii="宋体" w:hAnsi="宋体" w:cs="Arial"/>
              <w:color w:val="000000" w:themeColor="text1"/>
              <w14:textFill>
                <w14:solidFill>
                  <w14:schemeClr w14:val="tx1"/>
                </w14:solidFill>
              </w14:textFill>
            </w:rPr>
            <w:fldChar w:fldCharType="begin"/>
          </w:r>
          <w:r>
            <w:rPr>
              <w:rFonts w:hint="eastAsia" w:ascii="宋体" w:hAnsi="宋体" w:cs="Arial"/>
              <w:color w:val="000000" w:themeColor="text1"/>
              <w14:textFill>
                <w14:solidFill>
                  <w14:schemeClr w14:val="tx1"/>
                </w14:solidFill>
              </w14:textFill>
            </w:rPr>
            <w:instrText xml:space="preserve"> MACROBUTTON  SnrToggleCheckbox √不适用 </w:instrText>
          </w:r>
          <w:r>
            <w:rPr>
              <w:rFonts w:ascii="宋体" w:hAnsi="宋体" w:cs="Arial"/>
              <w:color w:val="000000" w:themeColor="text1"/>
              <w14:textFill>
                <w14:solidFill>
                  <w14:schemeClr w14:val="tx1"/>
                </w14:solidFill>
              </w14:textFill>
            </w:rPr>
            <w:fldChar w:fldCharType="end"/>
          </w:r>
        </w:p>
      </w:sdtContent>
    </w:sdt>
    <w:p w14:paraId="0FAA5FF6">
      <w:pPr>
        <w:rPr>
          <w:rFonts w:ascii="Calibri" w:hAnsi="Calibri" w:cs="Arial"/>
          <w:color w:val="000000" w:themeColor="text1"/>
          <w14:textFill>
            <w14:solidFill>
              <w14:schemeClr w14:val="tx1"/>
            </w14:solidFill>
          </w14:textFill>
        </w:rPr>
      </w:pPr>
    </w:p>
    <w:bookmarkEnd w:id="401"/>
    <w:p w14:paraId="6E8E8DA2">
      <w:pPr>
        <w:pStyle w:val="57"/>
        <w:numPr>
          <w:ilvl w:val="0"/>
          <w:numId w:val="95"/>
        </w:numPr>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其他原因的合并范围变动</w:t>
      </w:r>
    </w:p>
    <w:p w14:paraId="3EBF91E4">
      <w:pPr>
        <w:rPr>
          <w:color w:val="000000" w:themeColor="text1"/>
          <w14:textFill>
            <w14:solidFill>
              <w14:schemeClr w14:val="tx1"/>
            </w14:solidFill>
          </w14:textFill>
        </w:rPr>
      </w:pPr>
      <w:r>
        <w:rPr>
          <w:rFonts w:hint="eastAsia"/>
          <w:color w:val="000000" w:themeColor="text1"/>
          <w14:textFill>
            <w14:solidFill>
              <w14:schemeClr w14:val="tx1"/>
            </w14:solidFill>
          </w14:textFill>
        </w:rPr>
        <w:t>说明其他原因导致的合并范围变动（如，新设子公司、清算子公司等）及其相关情况：</w:t>
      </w:r>
    </w:p>
    <w:sdt>
      <w:sdtPr>
        <w:rPr>
          <w:color w:val="000000" w:themeColor="text1"/>
          <w14:textFill>
            <w14:solidFill>
              <w14:schemeClr w14:val="tx1"/>
            </w14:solidFill>
          </w14:textFill>
        </w:rPr>
        <w:alias w:val="是否适用：其他原因导致的合并范围变动及其相关情况[双击切换]"/>
        <w:tag w:val="_GBC_55cbf4f78793498cb1532f08bfbb61f4"/>
        <w:id w:val="147472120"/>
        <w:placeholder>
          <w:docPart w:val="GBC22222222222222222222222222222"/>
        </w:placeholder>
      </w:sdtPr>
      <w:sdtEndPr>
        <w:rPr>
          <w:color w:val="000000" w:themeColor="text1"/>
          <w14:textFill>
            <w14:solidFill>
              <w14:schemeClr w14:val="tx1"/>
            </w14:solidFill>
          </w14:textFill>
        </w:rPr>
      </w:sdtEndPr>
      <w:sdtContent>
        <w:p w14:paraId="2F0AF76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cs="Arial"/>
          <w:color w:val="000000" w:themeColor="text1"/>
          <w14:textFill>
            <w14:solidFill>
              <w14:schemeClr w14:val="tx1"/>
            </w14:solidFill>
          </w14:textFill>
        </w:rPr>
        <w:alias w:val="其他原因的合并范围变动"/>
        <w:tag w:val="_GBC_c83a0d19a27e42c0927cf85c8c6221e2"/>
        <w:id w:val="147478884"/>
        <w:placeholder>
          <w:docPart w:val="GBC22222222222222222222222222222"/>
        </w:placeholder>
      </w:sdtPr>
      <w:sdtEndPr>
        <w:rPr>
          <w:rFonts w:cs="Arial"/>
          <w:color w:val="000000" w:themeColor="text1"/>
          <w14:textFill>
            <w14:solidFill>
              <w14:schemeClr w14:val="tx1"/>
            </w14:solidFill>
          </w14:textFill>
        </w:rPr>
      </w:sdtEndPr>
      <w:sdtContent>
        <w:p w14:paraId="4C539A10">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本公司子公司西双版纳南博有限责任公司已进入破产清算程序，由法院指定的破产管理人接管，不再纳入合并范围。</w:t>
          </w:r>
        </w:p>
      </w:sdtContent>
    </w:sdt>
    <w:p w14:paraId="09E6B100">
      <w:pPr>
        <w:rPr>
          <w:rFonts w:cs="Arial"/>
          <w:color w:val="000000" w:themeColor="text1"/>
          <w14:textFill>
            <w14:solidFill>
              <w14:schemeClr w14:val="tx1"/>
            </w14:solidFill>
          </w14:textFill>
        </w:rPr>
      </w:pPr>
    </w:p>
    <w:p w14:paraId="69226CBB">
      <w:pPr>
        <w:pStyle w:val="57"/>
        <w:numPr>
          <w:ilvl w:val="0"/>
          <w:numId w:val="95"/>
        </w:numPr>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其他</w:t>
      </w:r>
    </w:p>
    <w:sdt>
      <w:sdtPr>
        <w:rPr>
          <w:color w:val="000000" w:themeColor="text1"/>
          <w14:textFill>
            <w14:solidFill>
              <w14:schemeClr w14:val="tx1"/>
            </w14:solidFill>
          </w14:textFill>
        </w:rPr>
        <w:alias w:val="是否适用：合并范围的变更-其他说明[双击切换]"/>
        <w:tag w:val="_GBC_cca0ea12df6c44878cdcbeced06ed993"/>
        <w:id w:val="147463323"/>
        <w:placeholder>
          <w:docPart w:val="GBC22222222222222222222222222222"/>
        </w:placeholder>
      </w:sdtPr>
      <w:sdtEndPr>
        <w:rPr>
          <w:color w:val="000000" w:themeColor="text1"/>
          <w14:textFill>
            <w14:solidFill>
              <w14:schemeClr w14:val="tx1"/>
            </w14:solidFill>
          </w14:textFill>
        </w:rPr>
      </w:sdtEndPr>
      <w:sdtContent>
        <w:p w14:paraId="3CDC42F0">
          <w:pPr>
            <w:rPr>
              <w:rFonts w:cs="Arial"/>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E69B9A1">
      <w:pPr>
        <w:rPr>
          <w:color w:val="000000" w:themeColor="text1"/>
          <w14:textFill>
            <w14:solidFill>
              <w14:schemeClr w14:val="tx1"/>
            </w14:solidFill>
          </w14:textFill>
        </w:rPr>
        <w:sectPr>
          <w:pgSz w:w="11906" w:h="16838"/>
          <w:pgMar w:top="1525" w:right="1276" w:bottom="1440" w:left="1797" w:header="856" w:footer="992" w:gutter="0"/>
          <w:cols w:space="425" w:num="1"/>
          <w:docGrid w:linePitch="312" w:charSpace="0"/>
        </w:sectPr>
      </w:pPr>
    </w:p>
    <w:p w14:paraId="3EA0DA56">
      <w:pPr>
        <w:pStyle w:val="56"/>
        <w:numPr>
          <w:ilvl w:val="0"/>
          <w:numId w:val="43"/>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在其他主体中的权益</w:t>
      </w:r>
    </w:p>
    <w:p w14:paraId="12F87988">
      <w:pPr>
        <w:pStyle w:val="57"/>
        <w:numPr>
          <w:ilvl w:val="2"/>
          <w:numId w:val="9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在子公司中的权益</w:t>
      </w:r>
    </w:p>
    <w:p w14:paraId="27731B65">
      <w:pPr>
        <w:pStyle w:val="58"/>
        <w:numPr>
          <w:ilvl w:val="3"/>
          <w:numId w:val="97"/>
        </w:numPr>
        <w:ind w:left="406" w:hanging="406" w:hangingChars="202"/>
        <w:rPr>
          <w:color w:val="000000" w:themeColor="text1"/>
          <w14:textFill>
            <w14:solidFill>
              <w14:schemeClr w14:val="tx1"/>
            </w14:solidFill>
          </w14:textFill>
        </w:rPr>
      </w:pPr>
      <w:bookmarkStart w:id="403" w:name="_Hlk167975969"/>
      <w:r>
        <w:rPr>
          <w:rFonts w:hint="eastAsia"/>
          <w:color w:val="000000" w:themeColor="text1"/>
          <w14:textFill>
            <w14:solidFill>
              <w14:schemeClr w14:val="tx1"/>
            </w14:solidFill>
          </w14:textFill>
        </w:rPr>
        <w:t>企业集团的构成</w:t>
      </w:r>
    </w:p>
    <w:sdt>
      <w:sdtPr>
        <w:rPr>
          <w:color w:val="000000" w:themeColor="text1"/>
          <w14:textFill>
            <w14:solidFill>
              <w14:schemeClr w14:val="tx1"/>
            </w14:solidFill>
          </w14:textFill>
        </w:rPr>
        <w:alias w:val="是否适用：企业集团的构成[双击切换]"/>
        <w:tag w:val="_GBC_d1c28d303a594095b9e1cc6b9a265571"/>
        <w:id w:val="147453543"/>
        <w:placeholder>
          <w:docPart w:val="GBC22222222222222222222222222222"/>
        </w:placeholder>
      </w:sdtPr>
      <w:sdtEndPr>
        <w:rPr>
          <w:color w:val="000000" w:themeColor="text1"/>
          <w14:textFill>
            <w14:solidFill>
              <w14:schemeClr w14:val="tx1"/>
            </w14:solidFill>
          </w14:textFill>
        </w:rPr>
      </w:sdtEndPr>
      <w:sdtContent>
        <w:p w14:paraId="347BBD9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078A52E">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企业集团的构成"/>
          <w:tag w:val="_GBC_02462820d05142eca3713abc443b34f5"/>
          <w:id w:val="14745668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万元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企业集团的构成"/>
          <w:tag w:val="_GBC_9d84d297c94f41a5a9a7a18208389646"/>
          <w:id w:val="1474832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76"/>
        <w:gridCol w:w="2084"/>
        <w:gridCol w:w="1370"/>
        <w:gridCol w:w="2027"/>
        <w:gridCol w:w="1111"/>
        <w:gridCol w:w="939"/>
        <w:gridCol w:w="730"/>
        <w:gridCol w:w="2152"/>
      </w:tblGrid>
      <w:tr w14:paraId="1928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blHeader/>
        </w:trPr>
        <w:sdt>
          <w:sdtPr>
            <w:rPr>
              <w:rFonts w:cs="Times New Roman"/>
            </w:rPr>
            <w:tag w:val="_PLD_f9c2120a205a401daafe7d623ad6f73f"/>
            <w:id w:val="147478318"/>
          </w:sdtPr>
          <w:sdtEndPr>
            <w:rPr>
              <w:rFonts w:cs="Times New Roman"/>
            </w:rPr>
          </w:sdtEndPr>
          <w:sdtContent>
            <w:tc>
              <w:tcPr>
                <w:tcW w:w="1304" w:type="pct"/>
                <w:vMerge w:val="restart"/>
                <w:vAlign w:val="center"/>
              </w:tcPr>
              <w:p w14:paraId="2E32D7CA">
                <w:pPr>
                  <w:jc w:val="center"/>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子公司名称</w:t>
                </w:r>
              </w:p>
            </w:tc>
          </w:sdtContent>
        </w:sdt>
        <w:sdt>
          <w:sdtPr>
            <w:rPr>
              <w:rFonts w:cs="Times New Roman"/>
            </w:rPr>
            <w:tag w:val="_PLD_723e5916e8d942aa8a0a08bb0a7836d4"/>
            <w:id w:val="147458086"/>
          </w:sdtPr>
          <w:sdtEndPr>
            <w:rPr>
              <w:rFonts w:cs="Times New Roman"/>
            </w:rPr>
          </w:sdtEndPr>
          <w:sdtContent>
            <w:tc>
              <w:tcPr>
                <w:tcW w:w="739" w:type="pct"/>
                <w:vMerge w:val="restart"/>
                <w:vAlign w:val="center"/>
              </w:tcPr>
              <w:p w14:paraId="6F4D94B0">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主要经营地</w:t>
                </w:r>
              </w:p>
            </w:tc>
          </w:sdtContent>
        </w:sdt>
        <w:tc>
          <w:tcPr>
            <w:tcW w:w="486" w:type="pct"/>
            <w:vMerge w:val="restart"/>
            <w:vAlign w:val="center"/>
          </w:tcPr>
          <w:sdt>
            <w:sdtPr>
              <w:rPr>
                <w:rFonts w:cs="Times New Roman"/>
              </w:rPr>
              <w:tag w:val="_PLD_d5e3d7a26fa0476b87e5fb13adf75c0b"/>
              <w:id w:val="147465571"/>
            </w:sdtPr>
            <w:sdtEndPr>
              <w:rPr>
                <w:rFonts w:cs="Times New Roman"/>
              </w:rPr>
            </w:sdtEndPr>
            <w:sdtContent>
              <w:p w14:paraId="03C9431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注册资本</w:t>
                </w:r>
              </w:p>
            </w:sdtContent>
          </w:sdt>
        </w:tc>
        <w:sdt>
          <w:sdtPr>
            <w:rPr>
              <w:rFonts w:cs="Times New Roman"/>
            </w:rPr>
            <w:tag w:val="_PLD_75992b931bd8473e8e862e94745012a5"/>
            <w:id w:val="147471118"/>
          </w:sdtPr>
          <w:sdtEndPr>
            <w:rPr>
              <w:rFonts w:cs="Times New Roman"/>
            </w:rPr>
          </w:sdtEndPr>
          <w:sdtContent>
            <w:tc>
              <w:tcPr>
                <w:tcW w:w="719" w:type="pct"/>
                <w:vMerge w:val="restart"/>
                <w:vAlign w:val="center"/>
              </w:tcPr>
              <w:p w14:paraId="5E5CDCF4">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注册地</w:t>
                </w:r>
              </w:p>
            </w:tc>
          </w:sdtContent>
        </w:sdt>
        <w:sdt>
          <w:sdtPr>
            <w:rPr>
              <w:rFonts w:cs="Times New Roman"/>
            </w:rPr>
            <w:tag w:val="_PLD_81986d200a3740efb1af7efc5e522b86"/>
            <w:id w:val="147454076"/>
          </w:sdtPr>
          <w:sdtEndPr>
            <w:rPr>
              <w:rFonts w:cs="Times New Roman"/>
            </w:rPr>
          </w:sdtEndPr>
          <w:sdtContent>
            <w:tc>
              <w:tcPr>
                <w:tcW w:w="394" w:type="pct"/>
                <w:vMerge w:val="restart"/>
                <w:vAlign w:val="center"/>
              </w:tcPr>
              <w:p w14:paraId="0F3A3246">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业务性质</w:t>
                </w:r>
              </w:p>
            </w:tc>
          </w:sdtContent>
        </w:sdt>
        <w:sdt>
          <w:sdtPr>
            <w:rPr>
              <w:rFonts w:cs="Times New Roman"/>
            </w:rPr>
            <w:tag w:val="_PLD_03c285667c254271b982c3c49476d597"/>
            <w:id w:val="147468598"/>
          </w:sdtPr>
          <w:sdtEndPr>
            <w:rPr>
              <w:rFonts w:cs="Times New Roman"/>
            </w:rPr>
          </w:sdtEndPr>
          <w:sdtContent>
            <w:tc>
              <w:tcPr>
                <w:tcW w:w="592" w:type="pct"/>
                <w:gridSpan w:val="2"/>
                <w:vAlign w:val="center"/>
              </w:tcPr>
              <w:p w14:paraId="6D60ADCA">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持股比例</w:t>
                </w:r>
                <w:r>
                  <w:rPr>
                    <w:rFonts w:cs="Times New Roman"/>
                    <w:color w:val="000000" w:themeColor="text1"/>
                    <w14:textFill>
                      <w14:solidFill>
                        <w14:schemeClr w14:val="tx1"/>
                      </w14:solidFill>
                    </w14:textFill>
                  </w:rPr>
                  <w:t>(%)</w:t>
                </w:r>
              </w:p>
            </w:tc>
          </w:sdtContent>
        </w:sdt>
        <w:sdt>
          <w:sdtPr>
            <w:rPr>
              <w:rFonts w:cs="Times New Roman"/>
            </w:rPr>
            <w:tag w:val="_PLD_b9a7fd2e9d044a72815c35f904479ae4"/>
            <w:id w:val="147468045"/>
          </w:sdtPr>
          <w:sdtEndPr>
            <w:rPr>
              <w:rFonts w:cs="Times New Roman"/>
            </w:rPr>
          </w:sdtEndPr>
          <w:sdtContent>
            <w:tc>
              <w:tcPr>
                <w:tcW w:w="763" w:type="pct"/>
                <w:vMerge w:val="restart"/>
                <w:vAlign w:val="center"/>
              </w:tcPr>
              <w:p w14:paraId="0FFDB962">
                <w:pPr>
                  <w:jc w:val="center"/>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取得</w:t>
                </w:r>
              </w:p>
              <w:p w14:paraId="4AFB47BF">
                <w:pPr>
                  <w:jc w:val="center"/>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方式</w:t>
                </w:r>
              </w:p>
            </w:tc>
          </w:sdtContent>
        </w:sdt>
      </w:tr>
      <w:tr w14:paraId="2969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blHeader/>
        </w:trPr>
        <w:tc>
          <w:tcPr>
            <w:tcW w:w="1304" w:type="pct"/>
            <w:vMerge w:val="continue"/>
            <w:vAlign w:val="center"/>
          </w:tcPr>
          <w:p w14:paraId="013B3103">
            <w:pPr>
              <w:rPr>
                <w:rFonts w:cs="Times New Roman"/>
                <w:color w:val="000000" w:themeColor="text1"/>
                <w14:textFill>
                  <w14:solidFill>
                    <w14:schemeClr w14:val="tx1"/>
                  </w14:solidFill>
                </w14:textFill>
              </w:rPr>
            </w:pPr>
          </w:p>
        </w:tc>
        <w:tc>
          <w:tcPr>
            <w:tcW w:w="739" w:type="pct"/>
            <w:vMerge w:val="continue"/>
            <w:vAlign w:val="center"/>
          </w:tcPr>
          <w:p w14:paraId="33CC4686">
            <w:pPr>
              <w:rPr>
                <w:rFonts w:cs="Times New Roman"/>
                <w:color w:val="000000" w:themeColor="text1"/>
                <w14:textFill>
                  <w14:solidFill>
                    <w14:schemeClr w14:val="tx1"/>
                  </w14:solidFill>
                </w14:textFill>
              </w:rPr>
            </w:pPr>
          </w:p>
        </w:tc>
        <w:tc>
          <w:tcPr>
            <w:tcW w:w="486" w:type="pct"/>
            <w:vMerge w:val="continue"/>
          </w:tcPr>
          <w:p w14:paraId="26CE3FE0">
            <w:pPr>
              <w:rPr>
                <w:rFonts w:cs="Times New Roman"/>
                <w:color w:val="000000" w:themeColor="text1"/>
                <w14:textFill>
                  <w14:solidFill>
                    <w14:schemeClr w14:val="tx1"/>
                  </w14:solidFill>
                </w14:textFill>
              </w:rPr>
            </w:pPr>
          </w:p>
        </w:tc>
        <w:tc>
          <w:tcPr>
            <w:tcW w:w="719" w:type="pct"/>
            <w:vMerge w:val="continue"/>
            <w:vAlign w:val="center"/>
          </w:tcPr>
          <w:p w14:paraId="767C2187">
            <w:pPr>
              <w:rPr>
                <w:rFonts w:cs="Times New Roman"/>
                <w:color w:val="000000" w:themeColor="text1"/>
                <w14:textFill>
                  <w14:solidFill>
                    <w14:schemeClr w14:val="tx1"/>
                  </w14:solidFill>
                </w14:textFill>
              </w:rPr>
            </w:pPr>
          </w:p>
        </w:tc>
        <w:tc>
          <w:tcPr>
            <w:tcW w:w="394" w:type="pct"/>
            <w:vMerge w:val="continue"/>
            <w:vAlign w:val="center"/>
          </w:tcPr>
          <w:p w14:paraId="1AD6845B">
            <w:pPr>
              <w:rPr>
                <w:rFonts w:cs="Times New Roman"/>
                <w:color w:val="000000" w:themeColor="text1"/>
                <w14:textFill>
                  <w14:solidFill>
                    <w14:schemeClr w14:val="tx1"/>
                  </w14:solidFill>
                </w14:textFill>
              </w:rPr>
            </w:pPr>
          </w:p>
        </w:tc>
        <w:sdt>
          <w:sdtPr>
            <w:rPr>
              <w:rFonts w:cs="Times New Roman"/>
            </w:rPr>
            <w:tag w:val="_PLD_de578ebcf9ae4a679d3c9d71857b038a"/>
            <w:id w:val="147459144"/>
          </w:sdtPr>
          <w:sdtEndPr>
            <w:rPr>
              <w:rFonts w:cs="Times New Roman"/>
            </w:rPr>
          </w:sdtEndPr>
          <w:sdtContent>
            <w:tc>
              <w:tcPr>
                <w:tcW w:w="333" w:type="pct"/>
                <w:vAlign w:val="center"/>
              </w:tcPr>
              <w:p w14:paraId="3C1F6AEB">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直接</w:t>
                </w:r>
              </w:p>
            </w:tc>
          </w:sdtContent>
        </w:sdt>
        <w:sdt>
          <w:sdtPr>
            <w:rPr>
              <w:rFonts w:cs="Times New Roman"/>
            </w:rPr>
            <w:tag w:val="_PLD_154fe2dd001b4c93b14ff5f5aec1fbc8"/>
            <w:id w:val="147453031"/>
          </w:sdtPr>
          <w:sdtEndPr>
            <w:rPr>
              <w:rFonts w:cs="Times New Roman"/>
            </w:rPr>
          </w:sdtEndPr>
          <w:sdtContent>
            <w:tc>
              <w:tcPr>
                <w:tcW w:w="259" w:type="pct"/>
                <w:vAlign w:val="center"/>
              </w:tcPr>
              <w:p w14:paraId="1C790D49">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间接</w:t>
                </w:r>
              </w:p>
            </w:tc>
          </w:sdtContent>
        </w:sdt>
        <w:tc>
          <w:tcPr>
            <w:tcW w:w="763" w:type="pct"/>
            <w:vMerge w:val="continue"/>
          </w:tcPr>
          <w:p w14:paraId="074830BD">
            <w:pPr>
              <w:rPr>
                <w:rFonts w:cs="Times New Roman"/>
                <w:color w:val="000000" w:themeColor="text1"/>
                <w14:textFill>
                  <w14:solidFill>
                    <w14:schemeClr w14:val="tx1"/>
                  </w14:solidFill>
                </w14:textFill>
              </w:rPr>
            </w:pPr>
          </w:p>
        </w:tc>
      </w:tr>
      <w:tr w14:paraId="3AB6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76BBDA69">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际华三五零二职业装有限公司</w:t>
            </w:r>
          </w:p>
        </w:tc>
        <w:tc>
          <w:tcPr>
            <w:tcW w:w="739" w:type="pct"/>
            <w:vAlign w:val="center"/>
          </w:tcPr>
          <w:p w14:paraId="50D8ED18">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河北省井陉县</w:t>
            </w:r>
          </w:p>
        </w:tc>
        <w:tc>
          <w:tcPr>
            <w:tcW w:w="486" w:type="pct"/>
            <w:vAlign w:val="center"/>
          </w:tcPr>
          <w:p w14:paraId="70AD2C49">
            <w:pPr>
              <w:jc w:val="right"/>
              <w:textAlignment w:val="center"/>
              <w:rPr>
                <w:rFonts w:cs="Times New Roman"/>
              </w:rPr>
            </w:pPr>
            <w:r>
              <w:rPr>
                <w:rFonts w:eastAsia="Arial Narrow" w:cs="Times New Roman"/>
                <w:color w:val="000000"/>
                <w:lang w:bidi="ar"/>
              </w:rPr>
              <w:t>30,000.00</w:t>
            </w:r>
          </w:p>
        </w:tc>
        <w:tc>
          <w:tcPr>
            <w:tcW w:w="719" w:type="pct"/>
            <w:vAlign w:val="center"/>
          </w:tcPr>
          <w:p w14:paraId="6FADAACD">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河北省井陉县</w:t>
            </w:r>
          </w:p>
        </w:tc>
        <w:tc>
          <w:tcPr>
            <w:tcW w:w="394" w:type="pct"/>
            <w:vAlign w:val="center"/>
          </w:tcPr>
          <w:p w14:paraId="167BEE8C">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4E7CEAD8">
            <w:pPr>
              <w:jc w:val="right"/>
              <w:textAlignment w:val="center"/>
              <w:rPr>
                <w:rFonts w:cs="Times New Roman"/>
              </w:rPr>
            </w:pPr>
            <w:r>
              <w:rPr>
                <w:rFonts w:eastAsia="Arial Narrow" w:cs="Times New Roman"/>
                <w:color w:val="000000"/>
                <w:lang w:bidi="ar"/>
              </w:rPr>
              <w:t>100.00</w:t>
            </w:r>
          </w:p>
        </w:tc>
        <w:tc>
          <w:tcPr>
            <w:tcW w:w="259" w:type="pct"/>
            <w:vAlign w:val="center"/>
          </w:tcPr>
          <w:p w14:paraId="7DC262E2">
            <w:pPr>
              <w:jc w:val="right"/>
              <w:rPr>
                <w:rFonts w:cs="Times New Roman"/>
              </w:rPr>
            </w:pPr>
          </w:p>
        </w:tc>
        <w:tc>
          <w:tcPr>
            <w:tcW w:w="763" w:type="pct"/>
            <w:vAlign w:val="center"/>
          </w:tcPr>
          <w:p w14:paraId="0E3D3751">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3EB1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3EEC79F5">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河北万润应急科技有限公司</w:t>
            </w:r>
          </w:p>
        </w:tc>
        <w:tc>
          <w:tcPr>
            <w:tcW w:w="739" w:type="pct"/>
            <w:vAlign w:val="center"/>
          </w:tcPr>
          <w:p w14:paraId="48C8125A">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河北省石家庄市</w:t>
            </w:r>
          </w:p>
        </w:tc>
        <w:tc>
          <w:tcPr>
            <w:tcW w:w="486" w:type="pct"/>
            <w:vAlign w:val="center"/>
          </w:tcPr>
          <w:p w14:paraId="347FD6C9">
            <w:pPr>
              <w:jc w:val="right"/>
              <w:textAlignment w:val="center"/>
              <w:rPr>
                <w:rFonts w:cs="Times New Roman"/>
              </w:rPr>
            </w:pPr>
            <w:r>
              <w:rPr>
                <w:rFonts w:eastAsia="Arial Narrow" w:cs="Times New Roman"/>
                <w:color w:val="000000"/>
                <w:lang w:bidi="ar"/>
              </w:rPr>
              <w:t>800.00</w:t>
            </w:r>
          </w:p>
        </w:tc>
        <w:tc>
          <w:tcPr>
            <w:tcW w:w="719" w:type="pct"/>
            <w:vAlign w:val="center"/>
          </w:tcPr>
          <w:p w14:paraId="6C0A166F">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河北省石家庄市</w:t>
            </w:r>
          </w:p>
        </w:tc>
        <w:tc>
          <w:tcPr>
            <w:tcW w:w="394" w:type="pct"/>
            <w:vAlign w:val="center"/>
          </w:tcPr>
          <w:p w14:paraId="0AA1A10F">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商贸</w:t>
            </w:r>
          </w:p>
        </w:tc>
        <w:tc>
          <w:tcPr>
            <w:tcW w:w="333" w:type="pct"/>
            <w:vAlign w:val="center"/>
          </w:tcPr>
          <w:p w14:paraId="2E3C05F2">
            <w:pPr>
              <w:jc w:val="right"/>
              <w:textAlignment w:val="center"/>
              <w:rPr>
                <w:rFonts w:cs="Times New Roman"/>
              </w:rPr>
            </w:pPr>
            <w:r>
              <w:rPr>
                <w:rFonts w:eastAsia="Arial Narrow" w:cs="Times New Roman"/>
                <w:color w:val="000000"/>
                <w:lang w:bidi="ar"/>
              </w:rPr>
              <w:t>100.00</w:t>
            </w:r>
          </w:p>
        </w:tc>
        <w:tc>
          <w:tcPr>
            <w:tcW w:w="259" w:type="pct"/>
            <w:vAlign w:val="center"/>
          </w:tcPr>
          <w:p w14:paraId="5AA7C216">
            <w:pPr>
              <w:jc w:val="right"/>
              <w:rPr>
                <w:rFonts w:cs="Times New Roman"/>
              </w:rPr>
            </w:pPr>
          </w:p>
        </w:tc>
        <w:tc>
          <w:tcPr>
            <w:tcW w:w="763" w:type="pct"/>
            <w:vAlign w:val="center"/>
          </w:tcPr>
          <w:p w14:paraId="57990360">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出资设立</w:t>
            </w:r>
          </w:p>
        </w:tc>
      </w:tr>
      <w:tr w14:paraId="1F48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4CAF0142">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际华防护科技有限公司</w:t>
            </w:r>
          </w:p>
        </w:tc>
        <w:tc>
          <w:tcPr>
            <w:tcW w:w="739" w:type="pct"/>
            <w:vAlign w:val="center"/>
          </w:tcPr>
          <w:p w14:paraId="5F4E1955">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北京市</w:t>
            </w:r>
          </w:p>
        </w:tc>
        <w:tc>
          <w:tcPr>
            <w:tcW w:w="486" w:type="pct"/>
            <w:vAlign w:val="center"/>
          </w:tcPr>
          <w:p w14:paraId="19612C46">
            <w:pPr>
              <w:jc w:val="right"/>
              <w:textAlignment w:val="center"/>
              <w:rPr>
                <w:rFonts w:cs="Times New Roman"/>
              </w:rPr>
            </w:pPr>
            <w:r>
              <w:rPr>
                <w:rFonts w:eastAsia="Arial Narrow" w:cs="Times New Roman"/>
                <w:color w:val="000000"/>
                <w:lang w:bidi="ar"/>
              </w:rPr>
              <w:t>5,000.00</w:t>
            </w:r>
          </w:p>
        </w:tc>
        <w:tc>
          <w:tcPr>
            <w:tcW w:w="719" w:type="pct"/>
            <w:vAlign w:val="center"/>
          </w:tcPr>
          <w:p w14:paraId="27344EE8">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北京市</w:t>
            </w:r>
          </w:p>
        </w:tc>
        <w:tc>
          <w:tcPr>
            <w:tcW w:w="394" w:type="pct"/>
            <w:vAlign w:val="center"/>
          </w:tcPr>
          <w:p w14:paraId="11BD53DA">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2B4D9A75">
            <w:pPr>
              <w:jc w:val="right"/>
              <w:textAlignment w:val="center"/>
              <w:rPr>
                <w:rFonts w:cs="Times New Roman"/>
              </w:rPr>
            </w:pPr>
            <w:r>
              <w:rPr>
                <w:rFonts w:eastAsia="Arial Narrow" w:cs="Times New Roman"/>
                <w:color w:val="000000"/>
                <w:lang w:bidi="ar"/>
              </w:rPr>
              <w:t>60.00</w:t>
            </w:r>
          </w:p>
        </w:tc>
        <w:tc>
          <w:tcPr>
            <w:tcW w:w="259" w:type="pct"/>
            <w:vAlign w:val="center"/>
          </w:tcPr>
          <w:p w14:paraId="22298C70">
            <w:pPr>
              <w:jc w:val="right"/>
              <w:rPr>
                <w:rFonts w:cs="Times New Roman"/>
              </w:rPr>
            </w:pPr>
          </w:p>
        </w:tc>
        <w:tc>
          <w:tcPr>
            <w:tcW w:w="763" w:type="pct"/>
            <w:vAlign w:val="center"/>
          </w:tcPr>
          <w:p w14:paraId="54DFD2C3">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出资设立</w:t>
            </w:r>
          </w:p>
        </w:tc>
      </w:tr>
      <w:tr w14:paraId="289E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52C3B8BC">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南京际华三五〇三服装有限公司</w:t>
            </w:r>
          </w:p>
        </w:tc>
        <w:tc>
          <w:tcPr>
            <w:tcW w:w="739" w:type="pct"/>
            <w:vAlign w:val="center"/>
          </w:tcPr>
          <w:p w14:paraId="355704C8">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江苏省南京市</w:t>
            </w:r>
          </w:p>
        </w:tc>
        <w:tc>
          <w:tcPr>
            <w:tcW w:w="486" w:type="pct"/>
            <w:vAlign w:val="center"/>
          </w:tcPr>
          <w:p w14:paraId="5A5F1A1D">
            <w:pPr>
              <w:jc w:val="right"/>
              <w:textAlignment w:val="center"/>
              <w:rPr>
                <w:rFonts w:cs="Times New Roman"/>
              </w:rPr>
            </w:pPr>
            <w:r>
              <w:rPr>
                <w:rFonts w:eastAsia="Arial Narrow" w:cs="Times New Roman"/>
                <w:color w:val="000000"/>
                <w:lang w:bidi="ar"/>
              </w:rPr>
              <w:t>15,000.00</w:t>
            </w:r>
          </w:p>
        </w:tc>
        <w:tc>
          <w:tcPr>
            <w:tcW w:w="719" w:type="pct"/>
            <w:vAlign w:val="center"/>
          </w:tcPr>
          <w:p w14:paraId="5D5742DC">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江苏省南京市</w:t>
            </w:r>
          </w:p>
        </w:tc>
        <w:tc>
          <w:tcPr>
            <w:tcW w:w="394" w:type="pct"/>
            <w:vAlign w:val="center"/>
          </w:tcPr>
          <w:p w14:paraId="2C6E0F57">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67675604">
            <w:pPr>
              <w:jc w:val="right"/>
              <w:textAlignment w:val="center"/>
              <w:rPr>
                <w:rFonts w:cs="Times New Roman"/>
              </w:rPr>
            </w:pPr>
            <w:r>
              <w:rPr>
                <w:rFonts w:eastAsia="Arial Narrow" w:cs="Times New Roman"/>
                <w:color w:val="000000"/>
                <w:lang w:bidi="ar"/>
              </w:rPr>
              <w:t>100.00</w:t>
            </w:r>
          </w:p>
        </w:tc>
        <w:tc>
          <w:tcPr>
            <w:tcW w:w="259" w:type="pct"/>
            <w:vAlign w:val="center"/>
          </w:tcPr>
          <w:p w14:paraId="32118F31">
            <w:pPr>
              <w:jc w:val="right"/>
              <w:rPr>
                <w:rFonts w:cs="Times New Roman"/>
              </w:rPr>
            </w:pPr>
          </w:p>
        </w:tc>
        <w:tc>
          <w:tcPr>
            <w:tcW w:w="763" w:type="pct"/>
            <w:vAlign w:val="center"/>
          </w:tcPr>
          <w:p w14:paraId="283DA183">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02756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31EC4CDA">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际华三五零六纺织服装有限公司</w:t>
            </w:r>
          </w:p>
        </w:tc>
        <w:tc>
          <w:tcPr>
            <w:tcW w:w="739" w:type="pct"/>
            <w:vAlign w:val="center"/>
          </w:tcPr>
          <w:p w14:paraId="5B5653FB">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湖北省武汉市</w:t>
            </w:r>
          </w:p>
        </w:tc>
        <w:tc>
          <w:tcPr>
            <w:tcW w:w="486" w:type="pct"/>
            <w:vAlign w:val="center"/>
          </w:tcPr>
          <w:p w14:paraId="309D499C">
            <w:pPr>
              <w:jc w:val="right"/>
              <w:textAlignment w:val="center"/>
              <w:rPr>
                <w:rFonts w:cs="Times New Roman"/>
              </w:rPr>
            </w:pPr>
            <w:r>
              <w:rPr>
                <w:rFonts w:eastAsia="Arial Narrow" w:cs="Times New Roman"/>
                <w:color w:val="000000"/>
                <w:lang w:bidi="ar"/>
              </w:rPr>
              <w:t>20,000.00</w:t>
            </w:r>
          </w:p>
        </w:tc>
        <w:tc>
          <w:tcPr>
            <w:tcW w:w="719" w:type="pct"/>
            <w:vAlign w:val="center"/>
          </w:tcPr>
          <w:p w14:paraId="7534A998">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湖北省武汉市</w:t>
            </w:r>
          </w:p>
        </w:tc>
        <w:tc>
          <w:tcPr>
            <w:tcW w:w="394" w:type="pct"/>
            <w:vAlign w:val="center"/>
          </w:tcPr>
          <w:p w14:paraId="58A0A8CD">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3D573771">
            <w:pPr>
              <w:jc w:val="right"/>
              <w:textAlignment w:val="center"/>
              <w:rPr>
                <w:rFonts w:cs="Times New Roman"/>
              </w:rPr>
            </w:pPr>
            <w:r>
              <w:rPr>
                <w:rFonts w:eastAsia="Arial Narrow" w:cs="Times New Roman"/>
                <w:color w:val="000000"/>
                <w:lang w:bidi="ar"/>
              </w:rPr>
              <w:t>100.00</w:t>
            </w:r>
          </w:p>
        </w:tc>
        <w:tc>
          <w:tcPr>
            <w:tcW w:w="259" w:type="pct"/>
            <w:vAlign w:val="center"/>
          </w:tcPr>
          <w:p w14:paraId="0D2DC196">
            <w:pPr>
              <w:jc w:val="right"/>
              <w:rPr>
                <w:rFonts w:cs="Times New Roman"/>
              </w:rPr>
            </w:pPr>
          </w:p>
        </w:tc>
        <w:tc>
          <w:tcPr>
            <w:tcW w:w="763" w:type="pct"/>
            <w:vAlign w:val="center"/>
          </w:tcPr>
          <w:p w14:paraId="781BE948">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64E2B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711D6AE9">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武汉盛华投资管理有限公司</w:t>
            </w:r>
          </w:p>
        </w:tc>
        <w:tc>
          <w:tcPr>
            <w:tcW w:w="739" w:type="pct"/>
            <w:vAlign w:val="center"/>
          </w:tcPr>
          <w:p w14:paraId="5C8401B0">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湖北省武汉市</w:t>
            </w:r>
          </w:p>
        </w:tc>
        <w:tc>
          <w:tcPr>
            <w:tcW w:w="486" w:type="pct"/>
            <w:vAlign w:val="center"/>
          </w:tcPr>
          <w:p w14:paraId="1538E7BA">
            <w:pPr>
              <w:jc w:val="right"/>
              <w:textAlignment w:val="center"/>
              <w:rPr>
                <w:rFonts w:cs="Times New Roman"/>
              </w:rPr>
            </w:pPr>
            <w:r>
              <w:rPr>
                <w:rFonts w:eastAsia="Arial Narrow" w:cs="Times New Roman"/>
                <w:color w:val="000000"/>
                <w:lang w:bidi="ar"/>
              </w:rPr>
              <w:t>10,000.00</w:t>
            </w:r>
          </w:p>
        </w:tc>
        <w:tc>
          <w:tcPr>
            <w:tcW w:w="719" w:type="pct"/>
            <w:vAlign w:val="center"/>
          </w:tcPr>
          <w:p w14:paraId="24504673">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湖北省武汉市</w:t>
            </w:r>
          </w:p>
        </w:tc>
        <w:tc>
          <w:tcPr>
            <w:tcW w:w="394" w:type="pct"/>
            <w:vAlign w:val="center"/>
          </w:tcPr>
          <w:p w14:paraId="397C7974">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投资管理</w:t>
            </w:r>
          </w:p>
        </w:tc>
        <w:tc>
          <w:tcPr>
            <w:tcW w:w="333" w:type="pct"/>
            <w:vAlign w:val="center"/>
          </w:tcPr>
          <w:p w14:paraId="15103ABE">
            <w:pPr>
              <w:jc w:val="right"/>
              <w:textAlignment w:val="center"/>
              <w:rPr>
                <w:rFonts w:cs="Times New Roman"/>
              </w:rPr>
            </w:pPr>
            <w:r>
              <w:rPr>
                <w:rFonts w:eastAsia="Arial Narrow" w:cs="Times New Roman"/>
                <w:color w:val="000000"/>
                <w:lang w:bidi="ar"/>
              </w:rPr>
              <w:t>75.00</w:t>
            </w:r>
          </w:p>
        </w:tc>
        <w:tc>
          <w:tcPr>
            <w:tcW w:w="259" w:type="pct"/>
            <w:vAlign w:val="center"/>
          </w:tcPr>
          <w:p w14:paraId="025A0AAE">
            <w:pPr>
              <w:jc w:val="right"/>
              <w:rPr>
                <w:rFonts w:cs="Times New Roman"/>
              </w:rPr>
            </w:pPr>
          </w:p>
        </w:tc>
        <w:tc>
          <w:tcPr>
            <w:tcW w:w="763" w:type="pct"/>
            <w:vAlign w:val="center"/>
          </w:tcPr>
          <w:p w14:paraId="7FB61A57">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出资设立</w:t>
            </w:r>
          </w:p>
        </w:tc>
      </w:tr>
      <w:tr w14:paraId="39B8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1934B63A">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际华三五三四制衣有限公司</w:t>
            </w:r>
          </w:p>
        </w:tc>
        <w:tc>
          <w:tcPr>
            <w:tcW w:w="739" w:type="pct"/>
            <w:vAlign w:val="center"/>
          </w:tcPr>
          <w:p w14:paraId="18CBF5EC">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山西省运城市</w:t>
            </w:r>
          </w:p>
        </w:tc>
        <w:tc>
          <w:tcPr>
            <w:tcW w:w="486" w:type="pct"/>
            <w:vAlign w:val="center"/>
          </w:tcPr>
          <w:p w14:paraId="0171AFED">
            <w:pPr>
              <w:jc w:val="right"/>
              <w:textAlignment w:val="center"/>
              <w:rPr>
                <w:rFonts w:cs="Times New Roman"/>
              </w:rPr>
            </w:pPr>
            <w:r>
              <w:rPr>
                <w:rFonts w:eastAsia="Arial Narrow" w:cs="Times New Roman"/>
                <w:color w:val="000000"/>
                <w:lang w:bidi="ar"/>
              </w:rPr>
              <w:t>15,000.00</w:t>
            </w:r>
          </w:p>
        </w:tc>
        <w:tc>
          <w:tcPr>
            <w:tcW w:w="719" w:type="pct"/>
            <w:vAlign w:val="center"/>
          </w:tcPr>
          <w:p w14:paraId="4B2B3D43">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山西省运城市</w:t>
            </w:r>
          </w:p>
        </w:tc>
        <w:tc>
          <w:tcPr>
            <w:tcW w:w="394" w:type="pct"/>
            <w:vAlign w:val="center"/>
          </w:tcPr>
          <w:p w14:paraId="21600387">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4347379A">
            <w:pPr>
              <w:jc w:val="right"/>
              <w:textAlignment w:val="center"/>
              <w:rPr>
                <w:rFonts w:cs="Times New Roman"/>
              </w:rPr>
            </w:pPr>
            <w:r>
              <w:rPr>
                <w:rFonts w:eastAsia="Arial Narrow" w:cs="Times New Roman"/>
                <w:color w:val="000000"/>
                <w:lang w:bidi="ar"/>
              </w:rPr>
              <w:t>100.00</w:t>
            </w:r>
          </w:p>
        </w:tc>
        <w:tc>
          <w:tcPr>
            <w:tcW w:w="259" w:type="pct"/>
            <w:vAlign w:val="center"/>
          </w:tcPr>
          <w:p w14:paraId="7A69D01E">
            <w:pPr>
              <w:jc w:val="right"/>
              <w:rPr>
                <w:rFonts w:cs="Times New Roman"/>
              </w:rPr>
            </w:pPr>
          </w:p>
        </w:tc>
        <w:tc>
          <w:tcPr>
            <w:tcW w:w="763" w:type="pct"/>
            <w:vAlign w:val="center"/>
          </w:tcPr>
          <w:p w14:paraId="2E71484A">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2E69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751013D5">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运城市空港开发区华禹房地产开发有限公司</w:t>
            </w:r>
          </w:p>
        </w:tc>
        <w:tc>
          <w:tcPr>
            <w:tcW w:w="739" w:type="pct"/>
            <w:vAlign w:val="center"/>
          </w:tcPr>
          <w:p w14:paraId="2CE0385C">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山西省运城市</w:t>
            </w:r>
          </w:p>
        </w:tc>
        <w:tc>
          <w:tcPr>
            <w:tcW w:w="486" w:type="pct"/>
            <w:vAlign w:val="center"/>
          </w:tcPr>
          <w:p w14:paraId="74505015">
            <w:pPr>
              <w:jc w:val="right"/>
              <w:textAlignment w:val="center"/>
              <w:rPr>
                <w:rFonts w:cs="Times New Roman"/>
              </w:rPr>
            </w:pPr>
            <w:r>
              <w:rPr>
                <w:rFonts w:eastAsia="Arial Narrow" w:cs="Times New Roman"/>
                <w:color w:val="000000"/>
                <w:lang w:bidi="ar"/>
              </w:rPr>
              <w:t>3,000.00</w:t>
            </w:r>
          </w:p>
        </w:tc>
        <w:tc>
          <w:tcPr>
            <w:tcW w:w="719" w:type="pct"/>
            <w:vAlign w:val="center"/>
          </w:tcPr>
          <w:p w14:paraId="7B415BDC">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山西省运城市</w:t>
            </w:r>
          </w:p>
        </w:tc>
        <w:tc>
          <w:tcPr>
            <w:tcW w:w="394" w:type="pct"/>
            <w:vAlign w:val="center"/>
          </w:tcPr>
          <w:p w14:paraId="4571E3F7">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房地产开发</w:t>
            </w:r>
          </w:p>
        </w:tc>
        <w:tc>
          <w:tcPr>
            <w:tcW w:w="333" w:type="pct"/>
            <w:vAlign w:val="center"/>
          </w:tcPr>
          <w:p w14:paraId="123E690D">
            <w:pPr>
              <w:jc w:val="right"/>
              <w:textAlignment w:val="center"/>
              <w:rPr>
                <w:rFonts w:cs="Times New Roman"/>
              </w:rPr>
            </w:pPr>
            <w:r>
              <w:rPr>
                <w:rFonts w:eastAsia="Arial Narrow" w:cs="Times New Roman"/>
                <w:color w:val="000000"/>
                <w:lang w:bidi="ar"/>
              </w:rPr>
              <w:t>100.00</w:t>
            </w:r>
          </w:p>
        </w:tc>
        <w:tc>
          <w:tcPr>
            <w:tcW w:w="259" w:type="pct"/>
            <w:vAlign w:val="center"/>
          </w:tcPr>
          <w:p w14:paraId="786F1ACA">
            <w:pPr>
              <w:jc w:val="right"/>
              <w:rPr>
                <w:rFonts w:cs="Times New Roman"/>
              </w:rPr>
            </w:pPr>
          </w:p>
        </w:tc>
        <w:tc>
          <w:tcPr>
            <w:tcW w:w="763" w:type="pct"/>
            <w:vAlign w:val="center"/>
          </w:tcPr>
          <w:p w14:paraId="754B3233">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出资设立</w:t>
            </w:r>
          </w:p>
        </w:tc>
      </w:tr>
      <w:tr w14:paraId="3C8AC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4B8700B6">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际华三五三六实业有限公司</w:t>
            </w:r>
          </w:p>
        </w:tc>
        <w:tc>
          <w:tcPr>
            <w:tcW w:w="739" w:type="pct"/>
            <w:vAlign w:val="center"/>
          </w:tcPr>
          <w:p w14:paraId="1FA8154C">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四川省绵阳市</w:t>
            </w:r>
          </w:p>
        </w:tc>
        <w:tc>
          <w:tcPr>
            <w:tcW w:w="486" w:type="pct"/>
            <w:vAlign w:val="center"/>
          </w:tcPr>
          <w:p w14:paraId="3582A2E7">
            <w:pPr>
              <w:jc w:val="right"/>
              <w:textAlignment w:val="center"/>
              <w:rPr>
                <w:rFonts w:cs="Times New Roman"/>
              </w:rPr>
            </w:pPr>
            <w:r>
              <w:rPr>
                <w:rFonts w:eastAsia="Arial Narrow" w:cs="Times New Roman"/>
                <w:color w:val="000000"/>
                <w:lang w:bidi="ar"/>
              </w:rPr>
              <w:t>22,000.00</w:t>
            </w:r>
          </w:p>
        </w:tc>
        <w:tc>
          <w:tcPr>
            <w:tcW w:w="719" w:type="pct"/>
            <w:vAlign w:val="center"/>
          </w:tcPr>
          <w:p w14:paraId="3817F7A7">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四川省绵阳市</w:t>
            </w:r>
          </w:p>
        </w:tc>
        <w:tc>
          <w:tcPr>
            <w:tcW w:w="394" w:type="pct"/>
            <w:vAlign w:val="center"/>
          </w:tcPr>
          <w:p w14:paraId="06A8F210">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71623889">
            <w:pPr>
              <w:jc w:val="right"/>
              <w:textAlignment w:val="center"/>
              <w:rPr>
                <w:rFonts w:cs="Times New Roman"/>
              </w:rPr>
            </w:pPr>
            <w:r>
              <w:rPr>
                <w:rFonts w:eastAsia="Arial Narrow" w:cs="Times New Roman"/>
                <w:color w:val="000000"/>
                <w:lang w:bidi="ar"/>
              </w:rPr>
              <w:t>100.00</w:t>
            </w:r>
          </w:p>
        </w:tc>
        <w:tc>
          <w:tcPr>
            <w:tcW w:w="259" w:type="pct"/>
            <w:vAlign w:val="center"/>
          </w:tcPr>
          <w:p w14:paraId="1BD4DD07">
            <w:pPr>
              <w:jc w:val="right"/>
              <w:rPr>
                <w:rFonts w:cs="Times New Roman"/>
              </w:rPr>
            </w:pPr>
          </w:p>
        </w:tc>
        <w:tc>
          <w:tcPr>
            <w:tcW w:w="763" w:type="pct"/>
            <w:vAlign w:val="center"/>
          </w:tcPr>
          <w:p w14:paraId="52C16CCB">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426C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3535A527">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南京际华五三零二服饰装具有限责任公司</w:t>
            </w:r>
          </w:p>
        </w:tc>
        <w:tc>
          <w:tcPr>
            <w:tcW w:w="739" w:type="pct"/>
            <w:vAlign w:val="center"/>
          </w:tcPr>
          <w:p w14:paraId="3BE267E1">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江苏省南京市</w:t>
            </w:r>
          </w:p>
        </w:tc>
        <w:tc>
          <w:tcPr>
            <w:tcW w:w="486" w:type="pct"/>
            <w:vAlign w:val="center"/>
          </w:tcPr>
          <w:p w14:paraId="169694EC">
            <w:pPr>
              <w:jc w:val="right"/>
              <w:textAlignment w:val="center"/>
              <w:rPr>
                <w:rFonts w:cs="Times New Roman"/>
              </w:rPr>
            </w:pPr>
            <w:r>
              <w:rPr>
                <w:rFonts w:eastAsia="Arial Narrow" w:cs="Times New Roman"/>
                <w:color w:val="000000"/>
                <w:lang w:bidi="ar"/>
              </w:rPr>
              <w:t>10,100.00</w:t>
            </w:r>
          </w:p>
        </w:tc>
        <w:tc>
          <w:tcPr>
            <w:tcW w:w="719" w:type="pct"/>
            <w:vAlign w:val="center"/>
          </w:tcPr>
          <w:p w14:paraId="2EA19685">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江苏省南京市</w:t>
            </w:r>
          </w:p>
        </w:tc>
        <w:tc>
          <w:tcPr>
            <w:tcW w:w="394" w:type="pct"/>
            <w:vAlign w:val="center"/>
          </w:tcPr>
          <w:p w14:paraId="290B99A1">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156EB23F">
            <w:pPr>
              <w:jc w:val="right"/>
              <w:textAlignment w:val="center"/>
              <w:rPr>
                <w:rFonts w:cs="Times New Roman"/>
              </w:rPr>
            </w:pPr>
            <w:r>
              <w:rPr>
                <w:rFonts w:eastAsia="Arial Narrow" w:cs="Times New Roman"/>
                <w:color w:val="000000"/>
                <w:lang w:bidi="ar"/>
              </w:rPr>
              <w:t>100.00</w:t>
            </w:r>
          </w:p>
        </w:tc>
        <w:tc>
          <w:tcPr>
            <w:tcW w:w="259" w:type="pct"/>
            <w:vAlign w:val="center"/>
          </w:tcPr>
          <w:p w14:paraId="19B4A3E6">
            <w:pPr>
              <w:jc w:val="right"/>
              <w:rPr>
                <w:rFonts w:cs="Times New Roman"/>
              </w:rPr>
            </w:pPr>
          </w:p>
        </w:tc>
        <w:tc>
          <w:tcPr>
            <w:tcW w:w="763" w:type="pct"/>
            <w:vAlign w:val="center"/>
          </w:tcPr>
          <w:p w14:paraId="5B6076B3">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11EBC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34016724">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新疆际华七五五五职业装有限公司</w:t>
            </w:r>
          </w:p>
        </w:tc>
        <w:tc>
          <w:tcPr>
            <w:tcW w:w="739" w:type="pct"/>
            <w:vAlign w:val="center"/>
          </w:tcPr>
          <w:p w14:paraId="6FCCA883">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新疆昌吉市</w:t>
            </w:r>
          </w:p>
        </w:tc>
        <w:tc>
          <w:tcPr>
            <w:tcW w:w="486" w:type="pct"/>
            <w:vAlign w:val="center"/>
          </w:tcPr>
          <w:p w14:paraId="1588C01C">
            <w:pPr>
              <w:jc w:val="right"/>
              <w:textAlignment w:val="center"/>
              <w:rPr>
                <w:rFonts w:cs="Times New Roman"/>
              </w:rPr>
            </w:pPr>
            <w:r>
              <w:rPr>
                <w:rFonts w:eastAsia="Arial Narrow" w:cs="Times New Roman"/>
                <w:color w:val="000000"/>
                <w:lang w:bidi="ar"/>
              </w:rPr>
              <w:t>13,550.00</w:t>
            </w:r>
          </w:p>
        </w:tc>
        <w:tc>
          <w:tcPr>
            <w:tcW w:w="719" w:type="pct"/>
            <w:vAlign w:val="center"/>
          </w:tcPr>
          <w:p w14:paraId="67EE47D5">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新疆昌吉市</w:t>
            </w:r>
          </w:p>
        </w:tc>
        <w:tc>
          <w:tcPr>
            <w:tcW w:w="394" w:type="pct"/>
            <w:vAlign w:val="center"/>
          </w:tcPr>
          <w:p w14:paraId="71B0857E">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66DD7103">
            <w:pPr>
              <w:jc w:val="right"/>
              <w:textAlignment w:val="center"/>
              <w:rPr>
                <w:rFonts w:cs="Times New Roman"/>
              </w:rPr>
            </w:pPr>
            <w:r>
              <w:rPr>
                <w:rFonts w:eastAsia="Arial Narrow" w:cs="Times New Roman"/>
                <w:color w:val="000000"/>
                <w:lang w:bidi="ar"/>
              </w:rPr>
              <w:t>100.00</w:t>
            </w:r>
          </w:p>
        </w:tc>
        <w:tc>
          <w:tcPr>
            <w:tcW w:w="259" w:type="pct"/>
            <w:vAlign w:val="center"/>
          </w:tcPr>
          <w:p w14:paraId="5BAB008C">
            <w:pPr>
              <w:jc w:val="right"/>
              <w:rPr>
                <w:rFonts w:cs="Times New Roman"/>
              </w:rPr>
            </w:pPr>
          </w:p>
        </w:tc>
        <w:tc>
          <w:tcPr>
            <w:tcW w:w="763" w:type="pct"/>
            <w:vAlign w:val="center"/>
          </w:tcPr>
          <w:p w14:paraId="50872C11">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6C345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5E973509">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呼图壁县万源棉业有限公司</w:t>
            </w:r>
          </w:p>
        </w:tc>
        <w:tc>
          <w:tcPr>
            <w:tcW w:w="739" w:type="pct"/>
            <w:vAlign w:val="center"/>
          </w:tcPr>
          <w:p w14:paraId="460322E8">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新疆呼图壁县</w:t>
            </w:r>
          </w:p>
        </w:tc>
        <w:tc>
          <w:tcPr>
            <w:tcW w:w="486" w:type="pct"/>
            <w:vAlign w:val="center"/>
          </w:tcPr>
          <w:p w14:paraId="0183399F">
            <w:pPr>
              <w:jc w:val="right"/>
              <w:textAlignment w:val="center"/>
              <w:rPr>
                <w:rFonts w:cs="Times New Roman"/>
              </w:rPr>
            </w:pPr>
            <w:r>
              <w:rPr>
                <w:rFonts w:eastAsia="Arial Narrow" w:cs="Times New Roman"/>
                <w:color w:val="000000"/>
                <w:lang w:bidi="ar"/>
              </w:rPr>
              <w:t>1,600.00</w:t>
            </w:r>
          </w:p>
        </w:tc>
        <w:tc>
          <w:tcPr>
            <w:tcW w:w="719" w:type="pct"/>
            <w:vAlign w:val="center"/>
          </w:tcPr>
          <w:p w14:paraId="26FB4659">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新疆呼图壁县</w:t>
            </w:r>
          </w:p>
        </w:tc>
        <w:tc>
          <w:tcPr>
            <w:tcW w:w="394" w:type="pct"/>
            <w:vAlign w:val="center"/>
          </w:tcPr>
          <w:p w14:paraId="4A1CDAB0">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农产品加工销售</w:t>
            </w:r>
          </w:p>
        </w:tc>
        <w:tc>
          <w:tcPr>
            <w:tcW w:w="333" w:type="pct"/>
            <w:vAlign w:val="center"/>
          </w:tcPr>
          <w:p w14:paraId="09F235BB">
            <w:pPr>
              <w:jc w:val="right"/>
              <w:textAlignment w:val="center"/>
              <w:rPr>
                <w:rFonts w:cs="Times New Roman"/>
              </w:rPr>
            </w:pPr>
            <w:r>
              <w:rPr>
                <w:rFonts w:eastAsia="Arial Narrow" w:cs="Times New Roman"/>
                <w:color w:val="000000"/>
                <w:lang w:bidi="ar"/>
              </w:rPr>
              <w:t>100.00</w:t>
            </w:r>
          </w:p>
        </w:tc>
        <w:tc>
          <w:tcPr>
            <w:tcW w:w="259" w:type="pct"/>
            <w:vAlign w:val="center"/>
          </w:tcPr>
          <w:p w14:paraId="68CD5DDD">
            <w:pPr>
              <w:jc w:val="right"/>
              <w:rPr>
                <w:rFonts w:cs="Times New Roman"/>
              </w:rPr>
            </w:pPr>
          </w:p>
        </w:tc>
        <w:tc>
          <w:tcPr>
            <w:tcW w:w="763" w:type="pct"/>
            <w:vAlign w:val="center"/>
          </w:tcPr>
          <w:p w14:paraId="29731C05">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非同一控制下企业合并</w:t>
            </w:r>
          </w:p>
        </w:tc>
      </w:tr>
      <w:tr w14:paraId="59059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09320BEF">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际华三五零九纺织有限公司</w:t>
            </w:r>
          </w:p>
        </w:tc>
        <w:tc>
          <w:tcPr>
            <w:tcW w:w="739" w:type="pct"/>
            <w:vAlign w:val="center"/>
          </w:tcPr>
          <w:p w14:paraId="75DE5A8C">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湖北省汉川市</w:t>
            </w:r>
          </w:p>
        </w:tc>
        <w:tc>
          <w:tcPr>
            <w:tcW w:w="486" w:type="pct"/>
            <w:vAlign w:val="center"/>
          </w:tcPr>
          <w:p w14:paraId="04DA112E">
            <w:pPr>
              <w:jc w:val="right"/>
              <w:textAlignment w:val="center"/>
              <w:rPr>
                <w:rFonts w:cs="Times New Roman"/>
              </w:rPr>
            </w:pPr>
            <w:r>
              <w:rPr>
                <w:rFonts w:eastAsia="Arial Narrow" w:cs="Times New Roman"/>
                <w:color w:val="000000"/>
                <w:lang w:bidi="ar"/>
              </w:rPr>
              <w:t>10,080.00</w:t>
            </w:r>
          </w:p>
        </w:tc>
        <w:tc>
          <w:tcPr>
            <w:tcW w:w="719" w:type="pct"/>
            <w:vAlign w:val="center"/>
          </w:tcPr>
          <w:p w14:paraId="6BA10FDD">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湖北省汉川市</w:t>
            </w:r>
          </w:p>
        </w:tc>
        <w:tc>
          <w:tcPr>
            <w:tcW w:w="394" w:type="pct"/>
            <w:vAlign w:val="center"/>
          </w:tcPr>
          <w:p w14:paraId="4A8C705D">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3B90CE59">
            <w:pPr>
              <w:jc w:val="right"/>
              <w:textAlignment w:val="center"/>
              <w:rPr>
                <w:rFonts w:cs="Times New Roman"/>
              </w:rPr>
            </w:pPr>
            <w:r>
              <w:rPr>
                <w:rFonts w:eastAsia="Arial Narrow" w:cs="Times New Roman"/>
                <w:color w:val="000000"/>
                <w:lang w:bidi="ar"/>
              </w:rPr>
              <w:t>100.00</w:t>
            </w:r>
          </w:p>
        </w:tc>
        <w:tc>
          <w:tcPr>
            <w:tcW w:w="259" w:type="pct"/>
            <w:vAlign w:val="center"/>
          </w:tcPr>
          <w:p w14:paraId="7249540A">
            <w:pPr>
              <w:jc w:val="right"/>
              <w:rPr>
                <w:rFonts w:cs="Times New Roman"/>
              </w:rPr>
            </w:pPr>
          </w:p>
        </w:tc>
        <w:tc>
          <w:tcPr>
            <w:tcW w:w="763" w:type="pct"/>
            <w:vAlign w:val="center"/>
          </w:tcPr>
          <w:p w14:paraId="11F3F95B">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7A060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778BB7A8">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际华三五一一实业有限公司</w:t>
            </w:r>
          </w:p>
        </w:tc>
        <w:tc>
          <w:tcPr>
            <w:tcW w:w="739" w:type="pct"/>
            <w:vAlign w:val="center"/>
          </w:tcPr>
          <w:p w14:paraId="59C0AFC3">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陕西省西安市</w:t>
            </w:r>
          </w:p>
        </w:tc>
        <w:tc>
          <w:tcPr>
            <w:tcW w:w="486" w:type="pct"/>
            <w:vAlign w:val="center"/>
          </w:tcPr>
          <w:p w14:paraId="661943D8">
            <w:pPr>
              <w:jc w:val="right"/>
              <w:textAlignment w:val="center"/>
              <w:rPr>
                <w:rFonts w:cs="Times New Roman"/>
              </w:rPr>
            </w:pPr>
            <w:r>
              <w:rPr>
                <w:rFonts w:eastAsia="Arial Narrow" w:cs="Times New Roman"/>
                <w:color w:val="000000"/>
                <w:lang w:bidi="ar"/>
              </w:rPr>
              <w:t>5,000.00</w:t>
            </w:r>
          </w:p>
        </w:tc>
        <w:tc>
          <w:tcPr>
            <w:tcW w:w="719" w:type="pct"/>
            <w:vAlign w:val="center"/>
          </w:tcPr>
          <w:p w14:paraId="463BC4B3">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陕西省西安市</w:t>
            </w:r>
          </w:p>
        </w:tc>
        <w:tc>
          <w:tcPr>
            <w:tcW w:w="394" w:type="pct"/>
            <w:vAlign w:val="center"/>
          </w:tcPr>
          <w:p w14:paraId="64F05419">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588BEED0">
            <w:pPr>
              <w:jc w:val="right"/>
              <w:textAlignment w:val="center"/>
              <w:rPr>
                <w:rFonts w:cs="Times New Roman"/>
              </w:rPr>
            </w:pPr>
            <w:r>
              <w:rPr>
                <w:rFonts w:eastAsia="Arial Narrow" w:cs="Times New Roman"/>
                <w:color w:val="000000"/>
                <w:lang w:bidi="ar"/>
              </w:rPr>
              <w:t>100.00</w:t>
            </w:r>
          </w:p>
        </w:tc>
        <w:tc>
          <w:tcPr>
            <w:tcW w:w="259" w:type="pct"/>
            <w:vAlign w:val="center"/>
          </w:tcPr>
          <w:p w14:paraId="12B0955C">
            <w:pPr>
              <w:jc w:val="right"/>
              <w:rPr>
                <w:rFonts w:cs="Times New Roman"/>
              </w:rPr>
            </w:pPr>
          </w:p>
        </w:tc>
        <w:tc>
          <w:tcPr>
            <w:tcW w:w="763" w:type="pct"/>
            <w:vAlign w:val="center"/>
          </w:tcPr>
          <w:p w14:paraId="4323F8CA">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523E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29FE7D64">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际华三五四二纺织有限公司</w:t>
            </w:r>
          </w:p>
        </w:tc>
        <w:tc>
          <w:tcPr>
            <w:tcW w:w="739" w:type="pct"/>
            <w:vAlign w:val="center"/>
          </w:tcPr>
          <w:p w14:paraId="45BDD85D">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湖北省襄阳市</w:t>
            </w:r>
          </w:p>
        </w:tc>
        <w:tc>
          <w:tcPr>
            <w:tcW w:w="486" w:type="pct"/>
            <w:vAlign w:val="center"/>
          </w:tcPr>
          <w:p w14:paraId="11128647">
            <w:pPr>
              <w:jc w:val="right"/>
              <w:textAlignment w:val="center"/>
              <w:rPr>
                <w:rFonts w:cs="Times New Roman"/>
              </w:rPr>
            </w:pPr>
            <w:r>
              <w:rPr>
                <w:rFonts w:eastAsia="Arial Narrow" w:cs="Times New Roman"/>
                <w:color w:val="000000"/>
                <w:lang w:bidi="ar"/>
              </w:rPr>
              <w:t>16,051.60</w:t>
            </w:r>
          </w:p>
        </w:tc>
        <w:tc>
          <w:tcPr>
            <w:tcW w:w="719" w:type="pct"/>
            <w:vAlign w:val="center"/>
          </w:tcPr>
          <w:p w14:paraId="5D6A2CC9">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湖北省襄阳市</w:t>
            </w:r>
          </w:p>
        </w:tc>
        <w:tc>
          <w:tcPr>
            <w:tcW w:w="394" w:type="pct"/>
            <w:vAlign w:val="center"/>
          </w:tcPr>
          <w:p w14:paraId="73CE96CC">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0947408C">
            <w:pPr>
              <w:jc w:val="right"/>
              <w:textAlignment w:val="center"/>
              <w:rPr>
                <w:rFonts w:cs="Times New Roman"/>
              </w:rPr>
            </w:pPr>
            <w:r>
              <w:rPr>
                <w:rFonts w:eastAsia="Arial Narrow" w:cs="Times New Roman"/>
                <w:color w:val="000000"/>
                <w:lang w:bidi="ar"/>
              </w:rPr>
              <w:t>100.00</w:t>
            </w:r>
          </w:p>
        </w:tc>
        <w:tc>
          <w:tcPr>
            <w:tcW w:w="259" w:type="pct"/>
            <w:vAlign w:val="center"/>
          </w:tcPr>
          <w:p w14:paraId="03459C86">
            <w:pPr>
              <w:jc w:val="right"/>
              <w:rPr>
                <w:rFonts w:cs="Times New Roman"/>
              </w:rPr>
            </w:pPr>
          </w:p>
        </w:tc>
        <w:tc>
          <w:tcPr>
            <w:tcW w:w="763" w:type="pct"/>
            <w:vAlign w:val="center"/>
          </w:tcPr>
          <w:p w14:paraId="1A1D7E42">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4AA03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78035CB6">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际华三五四三针织服饰有限公司</w:t>
            </w:r>
          </w:p>
        </w:tc>
        <w:tc>
          <w:tcPr>
            <w:tcW w:w="739" w:type="pct"/>
            <w:vAlign w:val="center"/>
          </w:tcPr>
          <w:p w14:paraId="151A6E55">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河北省涿州市</w:t>
            </w:r>
          </w:p>
        </w:tc>
        <w:tc>
          <w:tcPr>
            <w:tcW w:w="486" w:type="pct"/>
            <w:vAlign w:val="center"/>
          </w:tcPr>
          <w:p w14:paraId="1E0B420B">
            <w:pPr>
              <w:jc w:val="right"/>
              <w:textAlignment w:val="center"/>
              <w:rPr>
                <w:rFonts w:cs="Times New Roman"/>
              </w:rPr>
            </w:pPr>
            <w:r>
              <w:rPr>
                <w:rFonts w:eastAsia="Arial Narrow" w:cs="Times New Roman"/>
                <w:color w:val="000000"/>
                <w:lang w:bidi="ar"/>
              </w:rPr>
              <w:t>30,000.00</w:t>
            </w:r>
          </w:p>
        </w:tc>
        <w:tc>
          <w:tcPr>
            <w:tcW w:w="719" w:type="pct"/>
            <w:vAlign w:val="center"/>
          </w:tcPr>
          <w:p w14:paraId="6E99A773">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河北省涿州市</w:t>
            </w:r>
          </w:p>
        </w:tc>
        <w:tc>
          <w:tcPr>
            <w:tcW w:w="394" w:type="pct"/>
            <w:vAlign w:val="center"/>
          </w:tcPr>
          <w:p w14:paraId="794430D9">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6929A5A7">
            <w:pPr>
              <w:jc w:val="right"/>
              <w:textAlignment w:val="center"/>
              <w:rPr>
                <w:rFonts w:cs="Times New Roman"/>
              </w:rPr>
            </w:pPr>
            <w:r>
              <w:rPr>
                <w:rFonts w:eastAsia="Arial Narrow" w:cs="Times New Roman"/>
                <w:color w:val="000000"/>
                <w:lang w:bidi="ar"/>
              </w:rPr>
              <w:t>100.00</w:t>
            </w:r>
          </w:p>
        </w:tc>
        <w:tc>
          <w:tcPr>
            <w:tcW w:w="259" w:type="pct"/>
            <w:vAlign w:val="center"/>
          </w:tcPr>
          <w:p w14:paraId="67B46F1A">
            <w:pPr>
              <w:jc w:val="right"/>
              <w:rPr>
                <w:rFonts w:cs="Times New Roman"/>
              </w:rPr>
            </w:pPr>
          </w:p>
        </w:tc>
        <w:tc>
          <w:tcPr>
            <w:tcW w:w="763" w:type="pct"/>
            <w:vAlign w:val="center"/>
          </w:tcPr>
          <w:p w14:paraId="732E8045">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6CFB6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0BDD4A09">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湖北际华针织有限公司</w:t>
            </w:r>
          </w:p>
        </w:tc>
        <w:tc>
          <w:tcPr>
            <w:tcW w:w="739" w:type="pct"/>
            <w:vAlign w:val="center"/>
          </w:tcPr>
          <w:p w14:paraId="3E894B9F">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湖北省孝感市</w:t>
            </w:r>
          </w:p>
        </w:tc>
        <w:tc>
          <w:tcPr>
            <w:tcW w:w="486" w:type="pct"/>
            <w:vAlign w:val="center"/>
          </w:tcPr>
          <w:p w14:paraId="27A7A363">
            <w:pPr>
              <w:jc w:val="right"/>
              <w:textAlignment w:val="center"/>
              <w:rPr>
                <w:rFonts w:cs="Times New Roman"/>
              </w:rPr>
            </w:pPr>
            <w:r>
              <w:rPr>
                <w:rFonts w:eastAsia="Arial Narrow" w:cs="Times New Roman"/>
                <w:color w:val="000000"/>
                <w:lang w:bidi="ar"/>
              </w:rPr>
              <w:t>800.00</w:t>
            </w:r>
          </w:p>
        </w:tc>
        <w:tc>
          <w:tcPr>
            <w:tcW w:w="719" w:type="pct"/>
            <w:vAlign w:val="center"/>
          </w:tcPr>
          <w:p w14:paraId="1E24154C">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湖北省孝感市</w:t>
            </w:r>
          </w:p>
        </w:tc>
        <w:tc>
          <w:tcPr>
            <w:tcW w:w="394" w:type="pct"/>
            <w:vAlign w:val="center"/>
          </w:tcPr>
          <w:p w14:paraId="53E18DB4">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2E2CE2E0">
            <w:pPr>
              <w:jc w:val="right"/>
              <w:textAlignment w:val="center"/>
              <w:rPr>
                <w:rFonts w:cs="Times New Roman"/>
              </w:rPr>
            </w:pPr>
            <w:r>
              <w:rPr>
                <w:rFonts w:eastAsia="Arial Narrow" w:cs="Times New Roman"/>
                <w:color w:val="000000"/>
                <w:lang w:bidi="ar"/>
              </w:rPr>
              <w:t>51.00</w:t>
            </w:r>
          </w:p>
        </w:tc>
        <w:tc>
          <w:tcPr>
            <w:tcW w:w="259" w:type="pct"/>
            <w:vAlign w:val="center"/>
          </w:tcPr>
          <w:p w14:paraId="7736B40E">
            <w:pPr>
              <w:jc w:val="right"/>
              <w:rPr>
                <w:rFonts w:cs="Times New Roman"/>
              </w:rPr>
            </w:pPr>
          </w:p>
        </w:tc>
        <w:tc>
          <w:tcPr>
            <w:tcW w:w="763" w:type="pct"/>
            <w:vAlign w:val="center"/>
          </w:tcPr>
          <w:p w14:paraId="5DC907AB">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04F9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74F6D459">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咸阳际华新三零印染有限公司</w:t>
            </w:r>
          </w:p>
        </w:tc>
        <w:tc>
          <w:tcPr>
            <w:tcW w:w="739" w:type="pct"/>
            <w:vAlign w:val="center"/>
          </w:tcPr>
          <w:p w14:paraId="3461F6E2">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陕西省咸阳市</w:t>
            </w:r>
          </w:p>
        </w:tc>
        <w:tc>
          <w:tcPr>
            <w:tcW w:w="486" w:type="pct"/>
            <w:vAlign w:val="center"/>
          </w:tcPr>
          <w:p w14:paraId="660265E6">
            <w:pPr>
              <w:jc w:val="right"/>
              <w:textAlignment w:val="center"/>
              <w:rPr>
                <w:rFonts w:cs="Times New Roman"/>
              </w:rPr>
            </w:pPr>
            <w:r>
              <w:rPr>
                <w:rFonts w:eastAsia="Arial Narrow" w:cs="Times New Roman"/>
                <w:color w:val="000000"/>
                <w:lang w:bidi="ar"/>
              </w:rPr>
              <w:t>5,000.00</w:t>
            </w:r>
          </w:p>
        </w:tc>
        <w:tc>
          <w:tcPr>
            <w:tcW w:w="719" w:type="pct"/>
            <w:vAlign w:val="center"/>
          </w:tcPr>
          <w:p w14:paraId="3B404D04">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陕西省咸阳市</w:t>
            </w:r>
          </w:p>
        </w:tc>
        <w:tc>
          <w:tcPr>
            <w:tcW w:w="394" w:type="pct"/>
            <w:vAlign w:val="center"/>
          </w:tcPr>
          <w:p w14:paraId="221B0527">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2C46E920">
            <w:pPr>
              <w:jc w:val="right"/>
              <w:textAlignment w:val="center"/>
              <w:rPr>
                <w:rFonts w:cs="Times New Roman"/>
              </w:rPr>
            </w:pPr>
            <w:r>
              <w:rPr>
                <w:rFonts w:eastAsia="Arial Narrow" w:cs="Times New Roman"/>
                <w:color w:val="000000"/>
                <w:lang w:bidi="ar"/>
              </w:rPr>
              <w:t>68.10</w:t>
            </w:r>
          </w:p>
        </w:tc>
        <w:tc>
          <w:tcPr>
            <w:tcW w:w="259" w:type="pct"/>
            <w:vAlign w:val="center"/>
          </w:tcPr>
          <w:p w14:paraId="67F46FD7">
            <w:pPr>
              <w:jc w:val="right"/>
              <w:rPr>
                <w:rFonts w:cs="Times New Roman"/>
              </w:rPr>
            </w:pPr>
          </w:p>
        </w:tc>
        <w:tc>
          <w:tcPr>
            <w:tcW w:w="763" w:type="pct"/>
            <w:vAlign w:val="center"/>
          </w:tcPr>
          <w:p w14:paraId="3B772744">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48FD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66CFE685">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际华三五一二皮革服装有限公司</w:t>
            </w:r>
          </w:p>
        </w:tc>
        <w:tc>
          <w:tcPr>
            <w:tcW w:w="739" w:type="pct"/>
            <w:vAlign w:val="center"/>
          </w:tcPr>
          <w:p w14:paraId="01106C2E">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甘肃省兰州市</w:t>
            </w:r>
          </w:p>
        </w:tc>
        <w:tc>
          <w:tcPr>
            <w:tcW w:w="486" w:type="pct"/>
            <w:vAlign w:val="center"/>
          </w:tcPr>
          <w:p w14:paraId="6400CD66">
            <w:pPr>
              <w:jc w:val="right"/>
              <w:textAlignment w:val="center"/>
              <w:rPr>
                <w:rFonts w:cs="Times New Roman"/>
              </w:rPr>
            </w:pPr>
            <w:r>
              <w:rPr>
                <w:rFonts w:eastAsia="Arial Narrow" w:cs="Times New Roman"/>
                <w:color w:val="000000"/>
                <w:lang w:bidi="ar"/>
              </w:rPr>
              <w:t>15,000.00</w:t>
            </w:r>
          </w:p>
        </w:tc>
        <w:tc>
          <w:tcPr>
            <w:tcW w:w="719" w:type="pct"/>
            <w:vAlign w:val="center"/>
          </w:tcPr>
          <w:p w14:paraId="4CD3A1DC">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甘肃省兰州市</w:t>
            </w:r>
          </w:p>
        </w:tc>
        <w:tc>
          <w:tcPr>
            <w:tcW w:w="394" w:type="pct"/>
            <w:vAlign w:val="center"/>
          </w:tcPr>
          <w:p w14:paraId="065C0C2A">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0B507B94">
            <w:pPr>
              <w:jc w:val="right"/>
              <w:textAlignment w:val="center"/>
              <w:rPr>
                <w:rFonts w:cs="Times New Roman"/>
              </w:rPr>
            </w:pPr>
            <w:r>
              <w:rPr>
                <w:rFonts w:eastAsia="Arial Narrow" w:cs="Times New Roman"/>
                <w:color w:val="000000"/>
                <w:lang w:bidi="ar"/>
              </w:rPr>
              <w:t>100.00</w:t>
            </w:r>
          </w:p>
        </w:tc>
        <w:tc>
          <w:tcPr>
            <w:tcW w:w="259" w:type="pct"/>
            <w:vAlign w:val="center"/>
          </w:tcPr>
          <w:p w14:paraId="25AA8982">
            <w:pPr>
              <w:jc w:val="right"/>
              <w:rPr>
                <w:rFonts w:cs="Times New Roman"/>
              </w:rPr>
            </w:pPr>
          </w:p>
        </w:tc>
        <w:tc>
          <w:tcPr>
            <w:tcW w:w="763" w:type="pct"/>
            <w:vAlign w:val="center"/>
          </w:tcPr>
          <w:p w14:paraId="2CA18D60">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11C7D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3664B760">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际华三五一三实业有限公司</w:t>
            </w:r>
          </w:p>
        </w:tc>
        <w:tc>
          <w:tcPr>
            <w:tcW w:w="739" w:type="pct"/>
            <w:vAlign w:val="center"/>
          </w:tcPr>
          <w:p w14:paraId="1901F76C">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陕西省西安市</w:t>
            </w:r>
          </w:p>
        </w:tc>
        <w:tc>
          <w:tcPr>
            <w:tcW w:w="486" w:type="pct"/>
            <w:vAlign w:val="center"/>
          </w:tcPr>
          <w:p w14:paraId="74B597EA">
            <w:pPr>
              <w:jc w:val="right"/>
              <w:textAlignment w:val="center"/>
              <w:rPr>
                <w:rFonts w:cs="Times New Roman"/>
              </w:rPr>
            </w:pPr>
            <w:r>
              <w:rPr>
                <w:rFonts w:eastAsia="Arial Narrow" w:cs="Times New Roman"/>
                <w:color w:val="000000"/>
                <w:lang w:bidi="ar"/>
              </w:rPr>
              <w:t>34,500.00</w:t>
            </w:r>
          </w:p>
        </w:tc>
        <w:tc>
          <w:tcPr>
            <w:tcW w:w="719" w:type="pct"/>
            <w:vAlign w:val="center"/>
          </w:tcPr>
          <w:p w14:paraId="3CF33A90">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陕西省西安市</w:t>
            </w:r>
          </w:p>
        </w:tc>
        <w:tc>
          <w:tcPr>
            <w:tcW w:w="394" w:type="pct"/>
            <w:vAlign w:val="center"/>
          </w:tcPr>
          <w:p w14:paraId="31B38DAE">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00706130">
            <w:pPr>
              <w:jc w:val="right"/>
              <w:textAlignment w:val="center"/>
              <w:rPr>
                <w:rFonts w:cs="Times New Roman"/>
              </w:rPr>
            </w:pPr>
            <w:r>
              <w:rPr>
                <w:rFonts w:eastAsia="Arial Narrow" w:cs="Times New Roman"/>
                <w:color w:val="000000"/>
                <w:lang w:bidi="ar"/>
              </w:rPr>
              <w:t>100.00</w:t>
            </w:r>
          </w:p>
        </w:tc>
        <w:tc>
          <w:tcPr>
            <w:tcW w:w="259" w:type="pct"/>
            <w:vAlign w:val="center"/>
          </w:tcPr>
          <w:p w14:paraId="0E5AC54E">
            <w:pPr>
              <w:jc w:val="right"/>
              <w:rPr>
                <w:rFonts w:cs="Times New Roman"/>
              </w:rPr>
            </w:pPr>
          </w:p>
        </w:tc>
        <w:tc>
          <w:tcPr>
            <w:tcW w:w="763" w:type="pct"/>
            <w:vAlign w:val="center"/>
          </w:tcPr>
          <w:p w14:paraId="6CC384B6">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1753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721A3DE4">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际华三五一四制革制鞋有限公司</w:t>
            </w:r>
          </w:p>
        </w:tc>
        <w:tc>
          <w:tcPr>
            <w:tcW w:w="739" w:type="pct"/>
            <w:vAlign w:val="center"/>
          </w:tcPr>
          <w:p w14:paraId="35FC5BEE">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河北省石家庄市</w:t>
            </w:r>
          </w:p>
        </w:tc>
        <w:tc>
          <w:tcPr>
            <w:tcW w:w="486" w:type="pct"/>
            <w:vAlign w:val="center"/>
          </w:tcPr>
          <w:p w14:paraId="6B0F2B70">
            <w:pPr>
              <w:jc w:val="right"/>
              <w:textAlignment w:val="center"/>
              <w:rPr>
                <w:rFonts w:cs="Times New Roman"/>
              </w:rPr>
            </w:pPr>
            <w:r>
              <w:rPr>
                <w:rFonts w:eastAsia="Arial Narrow" w:cs="Times New Roman"/>
                <w:color w:val="000000"/>
                <w:lang w:bidi="ar"/>
              </w:rPr>
              <w:t>41,000.00</w:t>
            </w:r>
          </w:p>
        </w:tc>
        <w:tc>
          <w:tcPr>
            <w:tcW w:w="719" w:type="pct"/>
            <w:vAlign w:val="center"/>
          </w:tcPr>
          <w:p w14:paraId="46926A53">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河北省石家庄市</w:t>
            </w:r>
          </w:p>
        </w:tc>
        <w:tc>
          <w:tcPr>
            <w:tcW w:w="394" w:type="pct"/>
            <w:vAlign w:val="center"/>
          </w:tcPr>
          <w:p w14:paraId="2A63740E">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75BC13A9">
            <w:pPr>
              <w:jc w:val="right"/>
              <w:textAlignment w:val="center"/>
              <w:rPr>
                <w:rFonts w:cs="Times New Roman"/>
              </w:rPr>
            </w:pPr>
            <w:r>
              <w:rPr>
                <w:rFonts w:eastAsia="Arial Narrow" w:cs="Times New Roman"/>
                <w:color w:val="000000"/>
                <w:lang w:bidi="ar"/>
              </w:rPr>
              <w:t>100.00</w:t>
            </w:r>
          </w:p>
        </w:tc>
        <w:tc>
          <w:tcPr>
            <w:tcW w:w="259" w:type="pct"/>
            <w:vAlign w:val="center"/>
          </w:tcPr>
          <w:p w14:paraId="5A4D4E73">
            <w:pPr>
              <w:jc w:val="right"/>
              <w:rPr>
                <w:rFonts w:cs="Times New Roman"/>
              </w:rPr>
            </w:pPr>
          </w:p>
        </w:tc>
        <w:tc>
          <w:tcPr>
            <w:tcW w:w="763" w:type="pct"/>
            <w:vAlign w:val="center"/>
          </w:tcPr>
          <w:p w14:paraId="6ED04B26">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47106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0CE4F6AD">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际华三五一五皮革皮鞋有限公司</w:t>
            </w:r>
          </w:p>
        </w:tc>
        <w:tc>
          <w:tcPr>
            <w:tcW w:w="739" w:type="pct"/>
            <w:vAlign w:val="center"/>
          </w:tcPr>
          <w:p w14:paraId="0033E60E">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河南省漯河市</w:t>
            </w:r>
          </w:p>
        </w:tc>
        <w:tc>
          <w:tcPr>
            <w:tcW w:w="486" w:type="pct"/>
            <w:vAlign w:val="center"/>
          </w:tcPr>
          <w:p w14:paraId="6D2D1902">
            <w:pPr>
              <w:jc w:val="right"/>
              <w:textAlignment w:val="center"/>
              <w:rPr>
                <w:rFonts w:cs="Times New Roman"/>
              </w:rPr>
            </w:pPr>
            <w:r>
              <w:rPr>
                <w:rFonts w:eastAsia="Arial Narrow" w:cs="Times New Roman"/>
                <w:color w:val="000000"/>
                <w:lang w:bidi="ar"/>
              </w:rPr>
              <w:t>41,000.00</w:t>
            </w:r>
          </w:p>
        </w:tc>
        <w:tc>
          <w:tcPr>
            <w:tcW w:w="719" w:type="pct"/>
            <w:vAlign w:val="center"/>
          </w:tcPr>
          <w:p w14:paraId="3CDCF402">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河南省漯河市</w:t>
            </w:r>
          </w:p>
        </w:tc>
        <w:tc>
          <w:tcPr>
            <w:tcW w:w="394" w:type="pct"/>
            <w:vAlign w:val="center"/>
          </w:tcPr>
          <w:p w14:paraId="031518E6">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73BFBB54">
            <w:pPr>
              <w:jc w:val="right"/>
              <w:textAlignment w:val="center"/>
              <w:rPr>
                <w:rFonts w:cs="Times New Roman"/>
              </w:rPr>
            </w:pPr>
            <w:r>
              <w:rPr>
                <w:rFonts w:eastAsia="Arial Narrow" w:cs="Times New Roman"/>
                <w:color w:val="000000"/>
                <w:lang w:bidi="ar"/>
              </w:rPr>
              <w:t>100.00</w:t>
            </w:r>
          </w:p>
        </w:tc>
        <w:tc>
          <w:tcPr>
            <w:tcW w:w="259" w:type="pct"/>
            <w:vAlign w:val="center"/>
          </w:tcPr>
          <w:p w14:paraId="1533F1C1">
            <w:pPr>
              <w:jc w:val="right"/>
              <w:rPr>
                <w:rFonts w:cs="Times New Roman"/>
              </w:rPr>
            </w:pPr>
          </w:p>
        </w:tc>
        <w:tc>
          <w:tcPr>
            <w:tcW w:w="763" w:type="pct"/>
            <w:vAlign w:val="center"/>
          </w:tcPr>
          <w:p w14:paraId="03F14B60">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1C7FD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652170C3">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漯河强人商贸有限公司</w:t>
            </w:r>
          </w:p>
        </w:tc>
        <w:tc>
          <w:tcPr>
            <w:tcW w:w="739" w:type="pct"/>
            <w:vAlign w:val="center"/>
          </w:tcPr>
          <w:p w14:paraId="34E1AB1B">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河南省漯河市</w:t>
            </w:r>
          </w:p>
        </w:tc>
        <w:tc>
          <w:tcPr>
            <w:tcW w:w="486" w:type="pct"/>
            <w:vAlign w:val="center"/>
          </w:tcPr>
          <w:p w14:paraId="16A77D32">
            <w:pPr>
              <w:jc w:val="right"/>
              <w:textAlignment w:val="center"/>
              <w:rPr>
                <w:rFonts w:cs="Times New Roman"/>
              </w:rPr>
            </w:pPr>
            <w:r>
              <w:rPr>
                <w:rFonts w:eastAsia="Arial Narrow" w:cs="Times New Roman"/>
                <w:color w:val="000000"/>
                <w:lang w:bidi="ar"/>
              </w:rPr>
              <w:t>2,000.00</w:t>
            </w:r>
          </w:p>
        </w:tc>
        <w:tc>
          <w:tcPr>
            <w:tcW w:w="719" w:type="pct"/>
            <w:vAlign w:val="center"/>
          </w:tcPr>
          <w:p w14:paraId="6E9CF215">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河南省漯河市</w:t>
            </w:r>
          </w:p>
        </w:tc>
        <w:tc>
          <w:tcPr>
            <w:tcW w:w="394" w:type="pct"/>
            <w:vAlign w:val="center"/>
          </w:tcPr>
          <w:p w14:paraId="3D2BCDD6">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商贸</w:t>
            </w:r>
          </w:p>
        </w:tc>
        <w:tc>
          <w:tcPr>
            <w:tcW w:w="333" w:type="pct"/>
            <w:vAlign w:val="center"/>
          </w:tcPr>
          <w:p w14:paraId="6662FB8C">
            <w:pPr>
              <w:jc w:val="right"/>
              <w:textAlignment w:val="center"/>
              <w:rPr>
                <w:rFonts w:cs="Times New Roman"/>
              </w:rPr>
            </w:pPr>
            <w:r>
              <w:rPr>
                <w:rFonts w:eastAsia="Arial Narrow" w:cs="Times New Roman"/>
                <w:color w:val="000000"/>
                <w:lang w:bidi="ar"/>
              </w:rPr>
              <w:t>100.00</w:t>
            </w:r>
          </w:p>
        </w:tc>
        <w:tc>
          <w:tcPr>
            <w:tcW w:w="259" w:type="pct"/>
            <w:vAlign w:val="center"/>
          </w:tcPr>
          <w:p w14:paraId="0985A717">
            <w:pPr>
              <w:jc w:val="right"/>
              <w:rPr>
                <w:rFonts w:cs="Times New Roman"/>
              </w:rPr>
            </w:pPr>
          </w:p>
        </w:tc>
        <w:tc>
          <w:tcPr>
            <w:tcW w:w="763" w:type="pct"/>
            <w:vAlign w:val="center"/>
          </w:tcPr>
          <w:p w14:paraId="379BEB71">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3040E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3F75B535">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内蒙古际华森普利服装皮业有限公司</w:t>
            </w:r>
          </w:p>
        </w:tc>
        <w:tc>
          <w:tcPr>
            <w:tcW w:w="739" w:type="pct"/>
            <w:vAlign w:val="center"/>
          </w:tcPr>
          <w:p w14:paraId="101C4307">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内蒙古巴彦淖尔市</w:t>
            </w:r>
          </w:p>
        </w:tc>
        <w:tc>
          <w:tcPr>
            <w:tcW w:w="486" w:type="pct"/>
            <w:vAlign w:val="center"/>
          </w:tcPr>
          <w:p w14:paraId="58ED971F">
            <w:pPr>
              <w:jc w:val="right"/>
              <w:textAlignment w:val="center"/>
              <w:rPr>
                <w:rFonts w:cs="Times New Roman"/>
              </w:rPr>
            </w:pPr>
            <w:r>
              <w:rPr>
                <w:rFonts w:eastAsia="Arial Narrow" w:cs="Times New Roman"/>
                <w:color w:val="000000"/>
                <w:lang w:bidi="ar"/>
              </w:rPr>
              <w:t>10,100.00</w:t>
            </w:r>
          </w:p>
        </w:tc>
        <w:tc>
          <w:tcPr>
            <w:tcW w:w="719" w:type="pct"/>
            <w:vAlign w:val="center"/>
          </w:tcPr>
          <w:p w14:paraId="2FEF0E45">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内蒙古巴彦淖尔市</w:t>
            </w:r>
          </w:p>
        </w:tc>
        <w:tc>
          <w:tcPr>
            <w:tcW w:w="394" w:type="pct"/>
            <w:vAlign w:val="center"/>
          </w:tcPr>
          <w:p w14:paraId="38B7A0AA">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2F5CBEE5">
            <w:pPr>
              <w:jc w:val="right"/>
              <w:textAlignment w:val="center"/>
              <w:rPr>
                <w:rFonts w:cs="Times New Roman"/>
              </w:rPr>
            </w:pPr>
            <w:r>
              <w:rPr>
                <w:rFonts w:eastAsia="Arial Narrow" w:cs="Times New Roman"/>
                <w:color w:val="000000"/>
                <w:lang w:bidi="ar"/>
              </w:rPr>
              <w:t>100.00</w:t>
            </w:r>
          </w:p>
        </w:tc>
        <w:tc>
          <w:tcPr>
            <w:tcW w:w="259" w:type="pct"/>
            <w:vAlign w:val="center"/>
          </w:tcPr>
          <w:p w14:paraId="37E4B8C1">
            <w:pPr>
              <w:jc w:val="right"/>
              <w:rPr>
                <w:rFonts w:cs="Times New Roman"/>
              </w:rPr>
            </w:pPr>
          </w:p>
        </w:tc>
        <w:tc>
          <w:tcPr>
            <w:tcW w:w="763" w:type="pct"/>
            <w:vAlign w:val="center"/>
          </w:tcPr>
          <w:p w14:paraId="51A928DD">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304A4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5D3E6A05">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际华橡胶工业有限公司</w:t>
            </w:r>
          </w:p>
        </w:tc>
        <w:tc>
          <w:tcPr>
            <w:tcW w:w="739" w:type="pct"/>
            <w:vAlign w:val="center"/>
          </w:tcPr>
          <w:p w14:paraId="20E69A80">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湖南省岳阳市</w:t>
            </w:r>
          </w:p>
        </w:tc>
        <w:tc>
          <w:tcPr>
            <w:tcW w:w="486" w:type="pct"/>
            <w:vAlign w:val="center"/>
          </w:tcPr>
          <w:p w14:paraId="7F29526B">
            <w:pPr>
              <w:jc w:val="right"/>
              <w:textAlignment w:val="center"/>
              <w:rPr>
                <w:rFonts w:cs="Times New Roman"/>
              </w:rPr>
            </w:pPr>
            <w:r>
              <w:rPr>
                <w:rFonts w:eastAsia="Arial Narrow" w:cs="Times New Roman"/>
                <w:color w:val="000000"/>
                <w:lang w:bidi="ar"/>
              </w:rPr>
              <w:t>15,000.00</w:t>
            </w:r>
          </w:p>
        </w:tc>
        <w:tc>
          <w:tcPr>
            <w:tcW w:w="719" w:type="pct"/>
            <w:vAlign w:val="center"/>
          </w:tcPr>
          <w:p w14:paraId="6349A130">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湖南省岳阳市</w:t>
            </w:r>
          </w:p>
        </w:tc>
        <w:tc>
          <w:tcPr>
            <w:tcW w:w="394" w:type="pct"/>
            <w:vAlign w:val="center"/>
          </w:tcPr>
          <w:p w14:paraId="367250CE">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2FCD7984">
            <w:pPr>
              <w:jc w:val="right"/>
              <w:textAlignment w:val="center"/>
              <w:rPr>
                <w:rFonts w:cs="Times New Roman"/>
              </w:rPr>
            </w:pPr>
            <w:r>
              <w:rPr>
                <w:rFonts w:eastAsia="Arial Narrow" w:cs="Times New Roman"/>
                <w:color w:val="000000"/>
                <w:lang w:bidi="ar"/>
              </w:rPr>
              <w:t>100.00</w:t>
            </w:r>
          </w:p>
        </w:tc>
        <w:tc>
          <w:tcPr>
            <w:tcW w:w="259" w:type="pct"/>
            <w:vAlign w:val="center"/>
          </w:tcPr>
          <w:p w14:paraId="40A59CFE">
            <w:pPr>
              <w:jc w:val="right"/>
              <w:rPr>
                <w:rFonts w:cs="Times New Roman"/>
              </w:rPr>
            </w:pPr>
          </w:p>
        </w:tc>
        <w:tc>
          <w:tcPr>
            <w:tcW w:w="763" w:type="pct"/>
            <w:vAlign w:val="center"/>
          </w:tcPr>
          <w:p w14:paraId="34499DDD">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767DA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1218B528">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际华制鞋工业有限公司</w:t>
            </w:r>
          </w:p>
        </w:tc>
        <w:tc>
          <w:tcPr>
            <w:tcW w:w="739" w:type="pct"/>
            <w:vAlign w:val="center"/>
          </w:tcPr>
          <w:p w14:paraId="4870E8A7">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贵州省贵阳市</w:t>
            </w:r>
          </w:p>
        </w:tc>
        <w:tc>
          <w:tcPr>
            <w:tcW w:w="486" w:type="pct"/>
            <w:vAlign w:val="center"/>
          </w:tcPr>
          <w:p w14:paraId="665AACF7">
            <w:pPr>
              <w:jc w:val="right"/>
              <w:textAlignment w:val="center"/>
              <w:rPr>
                <w:rFonts w:cs="Times New Roman"/>
              </w:rPr>
            </w:pPr>
            <w:r>
              <w:rPr>
                <w:rFonts w:eastAsia="Arial Narrow" w:cs="Times New Roman"/>
                <w:color w:val="000000"/>
                <w:lang w:bidi="ar"/>
              </w:rPr>
              <w:t>25,100.00</w:t>
            </w:r>
          </w:p>
        </w:tc>
        <w:tc>
          <w:tcPr>
            <w:tcW w:w="719" w:type="pct"/>
            <w:vAlign w:val="center"/>
          </w:tcPr>
          <w:p w14:paraId="6A130CBE">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贵州省贵阳市</w:t>
            </w:r>
          </w:p>
        </w:tc>
        <w:tc>
          <w:tcPr>
            <w:tcW w:w="394" w:type="pct"/>
            <w:vAlign w:val="center"/>
          </w:tcPr>
          <w:p w14:paraId="07D44DD7">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0FBB1468">
            <w:pPr>
              <w:jc w:val="right"/>
              <w:textAlignment w:val="center"/>
              <w:rPr>
                <w:rFonts w:cs="Times New Roman"/>
              </w:rPr>
            </w:pPr>
            <w:r>
              <w:rPr>
                <w:rFonts w:eastAsia="Arial Narrow" w:cs="Times New Roman"/>
                <w:color w:val="000000"/>
                <w:lang w:bidi="ar"/>
              </w:rPr>
              <w:t>100.00</w:t>
            </w:r>
          </w:p>
        </w:tc>
        <w:tc>
          <w:tcPr>
            <w:tcW w:w="259" w:type="pct"/>
            <w:vAlign w:val="center"/>
          </w:tcPr>
          <w:p w14:paraId="1CCA178E">
            <w:pPr>
              <w:jc w:val="right"/>
              <w:rPr>
                <w:rFonts w:cs="Times New Roman"/>
              </w:rPr>
            </w:pPr>
          </w:p>
        </w:tc>
        <w:tc>
          <w:tcPr>
            <w:tcW w:w="763" w:type="pct"/>
            <w:vAlign w:val="center"/>
          </w:tcPr>
          <w:p w14:paraId="0D475CEB">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53A0D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7DE26F77">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际华三五三九制鞋有限公司</w:t>
            </w:r>
          </w:p>
        </w:tc>
        <w:tc>
          <w:tcPr>
            <w:tcW w:w="739" w:type="pct"/>
            <w:vAlign w:val="center"/>
          </w:tcPr>
          <w:p w14:paraId="515B78F8">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重庆市</w:t>
            </w:r>
          </w:p>
        </w:tc>
        <w:tc>
          <w:tcPr>
            <w:tcW w:w="486" w:type="pct"/>
            <w:vAlign w:val="center"/>
          </w:tcPr>
          <w:p w14:paraId="4775BE64">
            <w:pPr>
              <w:jc w:val="right"/>
              <w:textAlignment w:val="center"/>
              <w:rPr>
                <w:rFonts w:cs="Times New Roman"/>
              </w:rPr>
            </w:pPr>
            <w:r>
              <w:rPr>
                <w:rFonts w:eastAsia="Arial Narrow" w:cs="Times New Roman"/>
                <w:color w:val="000000"/>
                <w:lang w:bidi="ar"/>
              </w:rPr>
              <w:t>20,100.00</w:t>
            </w:r>
          </w:p>
        </w:tc>
        <w:tc>
          <w:tcPr>
            <w:tcW w:w="719" w:type="pct"/>
            <w:vAlign w:val="center"/>
          </w:tcPr>
          <w:p w14:paraId="0E97187C">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重庆市</w:t>
            </w:r>
          </w:p>
        </w:tc>
        <w:tc>
          <w:tcPr>
            <w:tcW w:w="394" w:type="pct"/>
            <w:vAlign w:val="center"/>
          </w:tcPr>
          <w:p w14:paraId="04065C8E">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67DC1398">
            <w:pPr>
              <w:jc w:val="right"/>
              <w:textAlignment w:val="center"/>
              <w:rPr>
                <w:rFonts w:cs="Times New Roman"/>
              </w:rPr>
            </w:pPr>
            <w:r>
              <w:rPr>
                <w:rFonts w:eastAsia="Arial Narrow" w:cs="Times New Roman"/>
                <w:color w:val="000000"/>
                <w:lang w:bidi="ar"/>
              </w:rPr>
              <w:t>100.00</w:t>
            </w:r>
          </w:p>
        </w:tc>
        <w:tc>
          <w:tcPr>
            <w:tcW w:w="259" w:type="pct"/>
            <w:vAlign w:val="center"/>
          </w:tcPr>
          <w:p w14:paraId="656F63BB">
            <w:pPr>
              <w:jc w:val="right"/>
              <w:rPr>
                <w:rFonts w:cs="Times New Roman"/>
              </w:rPr>
            </w:pPr>
          </w:p>
        </w:tc>
        <w:tc>
          <w:tcPr>
            <w:tcW w:w="763" w:type="pct"/>
            <w:vAlign w:val="center"/>
          </w:tcPr>
          <w:p w14:paraId="7819BB67">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7062B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70EC5C95">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重庆巨盾实业有限公司</w:t>
            </w:r>
          </w:p>
        </w:tc>
        <w:tc>
          <w:tcPr>
            <w:tcW w:w="739" w:type="pct"/>
            <w:vAlign w:val="center"/>
          </w:tcPr>
          <w:p w14:paraId="42869127">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重庆市</w:t>
            </w:r>
          </w:p>
        </w:tc>
        <w:tc>
          <w:tcPr>
            <w:tcW w:w="486" w:type="pct"/>
            <w:vAlign w:val="center"/>
          </w:tcPr>
          <w:p w14:paraId="67FD3ABC">
            <w:pPr>
              <w:jc w:val="right"/>
              <w:textAlignment w:val="center"/>
              <w:rPr>
                <w:rFonts w:cs="Times New Roman"/>
              </w:rPr>
            </w:pPr>
            <w:r>
              <w:rPr>
                <w:rFonts w:eastAsia="Arial Narrow" w:cs="Times New Roman"/>
                <w:color w:val="000000"/>
                <w:lang w:bidi="ar"/>
              </w:rPr>
              <w:t>2,000.00</w:t>
            </w:r>
          </w:p>
        </w:tc>
        <w:tc>
          <w:tcPr>
            <w:tcW w:w="719" w:type="pct"/>
            <w:vAlign w:val="center"/>
          </w:tcPr>
          <w:p w14:paraId="2DE2A2B6">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重庆市</w:t>
            </w:r>
          </w:p>
        </w:tc>
        <w:tc>
          <w:tcPr>
            <w:tcW w:w="394" w:type="pct"/>
            <w:vAlign w:val="center"/>
          </w:tcPr>
          <w:p w14:paraId="04FC835B">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0F326C5B">
            <w:pPr>
              <w:jc w:val="right"/>
              <w:textAlignment w:val="center"/>
              <w:rPr>
                <w:rFonts w:cs="Times New Roman"/>
              </w:rPr>
            </w:pPr>
            <w:r>
              <w:rPr>
                <w:rFonts w:eastAsia="Arial Narrow" w:cs="Times New Roman"/>
                <w:color w:val="000000"/>
                <w:lang w:bidi="ar"/>
              </w:rPr>
              <w:t>100.00</w:t>
            </w:r>
          </w:p>
        </w:tc>
        <w:tc>
          <w:tcPr>
            <w:tcW w:w="259" w:type="pct"/>
            <w:vAlign w:val="center"/>
          </w:tcPr>
          <w:p w14:paraId="576CA385">
            <w:pPr>
              <w:jc w:val="right"/>
              <w:rPr>
                <w:rFonts w:cs="Times New Roman"/>
              </w:rPr>
            </w:pPr>
          </w:p>
        </w:tc>
        <w:tc>
          <w:tcPr>
            <w:tcW w:w="763" w:type="pct"/>
            <w:vAlign w:val="center"/>
          </w:tcPr>
          <w:p w14:paraId="4F544342">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出资设立</w:t>
            </w:r>
          </w:p>
        </w:tc>
      </w:tr>
      <w:tr w14:paraId="3B497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587B5577">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南京际华三五二一特种装备有限公司</w:t>
            </w:r>
          </w:p>
        </w:tc>
        <w:tc>
          <w:tcPr>
            <w:tcW w:w="739" w:type="pct"/>
            <w:vAlign w:val="center"/>
          </w:tcPr>
          <w:p w14:paraId="7CF768A5">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江苏省南京市</w:t>
            </w:r>
          </w:p>
        </w:tc>
        <w:tc>
          <w:tcPr>
            <w:tcW w:w="486" w:type="pct"/>
            <w:vAlign w:val="center"/>
          </w:tcPr>
          <w:p w14:paraId="73FFAA26">
            <w:pPr>
              <w:jc w:val="right"/>
              <w:textAlignment w:val="center"/>
              <w:rPr>
                <w:rFonts w:cs="Times New Roman"/>
              </w:rPr>
            </w:pPr>
            <w:r>
              <w:rPr>
                <w:rFonts w:eastAsia="Arial Narrow" w:cs="Times New Roman"/>
                <w:color w:val="000000"/>
                <w:lang w:bidi="ar"/>
              </w:rPr>
              <w:t>30,000.00</w:t>
            </w:r>
          </w:p>
        </w:tc>
        <w:tc>
          <w:tcPr>
            <w:tcW w:w="719" w:type="pct"/>
            <w:vAlign w:val="center"/>
          </w:tcPr>
          <w:p w14:paraId="3EEBFE56">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江苏省南京市</w:t>
            </w:r>
          </w:p>
        </w:tc>
        <w:tc>
          <w:tcPr>
            <w:tcW w:w="394" w:type="pct"/>
            <w:vAlign w:val="center"/>
          </w:tcPr>
          <w:p w14:paraId="0E8E7511">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743FB320">
            <w:pPr>
              <w:jc w:val="right"/>
              <w:textAlignment w:val="center"/>
              <w:rPr>
                <w:rFonts w:cs="Times New Roman"/>
              </w:rPr>
            </w:pPr>
            <w:r>
              <w:rPr>
                <w:rFonts w:eastAsia="Arial Narrow" w:cs="Times New Roman"/>
                <w:color w:val="000000"/>
                <w:lang w:bidi="ar"/>
              </w:rPr>
              <w:t>100.00</w:t>
            </w:r>
          </w:p>
        </w:tc>
        <w:tc>
          <w:tcPr>
            <w:tcW w:w="259" w:type="pct"/>
            <w:vAlign w:val="center"/>
          </w:tcPr>
          <w:p w14:paraId="2949C5F0">
            <w:pPr>
              <w:jc w:val="right"/>
              <w:rPr>
                <w:rFonts w:cs="Times New Roman"/>
              </w:rPr>
            </w:pPr>
          </w:p>
        </w:tc>
        <w:tc>
          <w:tcPr>
            <w:tcW w:w="763" w:type="pct"/>
            <w:vAlign w:val="center"/>
          </w:tcPr>
          <w:p w14:paraId="58A3BBD6">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5BABE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0FA604B7">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南京际华三五二一环保科技有限公司</w:t>
            </w:r>
          </w:p>
        </w:tc>
        <w:tc>
          <w:tcPr>
            <w:tcW w:w="739" w:type="pct"/>
            <w:vAlign w:val="center"/>
          </w:tcPr>
          <w:p w14:paraId="1DDE6AE8">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江苏省南京市</w:t>
            </w:r>
          </w:p>
        </w:tc>
        <w:tc>
          <w:tcPr>
            <w:tcW w:w="486" w:type="pct"/>
            <w:vAlign w:val="center"/>
          </w:tcPr>
          <w:p w14:paraId="33E610EC">
            <w:pPr>
              <w:jc w:val="right"/>
              <w:textAlignment w:val="center"/>
              <w:rPr>
                <w:rFonts w:cs="Times New Roman"/>
              </w:rPr>
            </w:pPr>
            <w:r>
              <w:rPr>
                <w:rFonts w:eastAsia="Arial Narrow" w:cs="Times New Roman"/>
                <w:color w:val="000000"/>
                <w:lang w:bidi="ar"/>
              </w:rPr>
              <w:t>5,000.00</w:t>
            </w:r>
          </w:p>
        </w:tc>
        <w:tc>
          <w:tcPr>
            <w:tcW w:w="719" w:type="pct"/>
            <w:vAlign w:val="center"/>
          </w:tcPr>
          <w:p w14:paraId="1288D366">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江苏省南京市</w:t>
            </w:r>
          </w:p>
        </w:tc>
        <w:tc>
          <w:tcPr>
            <w:tcW w:w="394" w:type="pct"/>
            <w:vAlign w:val="center"/>
          </w:tcPr>
          <w:p w14:paraId="04F7786B">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环保滤材制造</w:t>
            </w:r>
          </w:p>
        </w:tc>
        <w:tc>
          <w:tcPr>
            <w:tcW w:w="333" w:type="pct"/>
            <w:vAlign w:val="center"/>
          </w:tcPr>
          <w:p w14:paraId="6E3C50F9">
            <w:pPr>
              <w:jc w:val="right"/>
              <w:textAlignment w:val="center"/>
              <w:rPr>
                <w:rFonts w:cs="Times New Roman"/>
              </w:rPr>
            </w:pPr>
            <w:r>
              <w:rPr>
                <w:rFonts w:eastAsia="Arial Narrow" w:cs="Times New Roman"/>
                <w:color w:val="000000"/>
                <w:lang w:bidi="ar"/>
              </w:rPr>
              <w:t>100.00</w:t>
            </w:r>
          </w:p>
        </w:tc>
        <w:tc>
          <w:tcPr>
            <w:tcW w:w="259" w:type="pct"/>
            <w:vAlign w:val="center"/>
          </w:tcPr>
          <w:p w14:paraId="06693928">
            <w:pPr>
              <w:jc w:val="right"/>
              <w:rPr>
                <w:rFonts w:cs="Times New Roman"/>
              </w:rPr>
            </w:pPr>
          </w:p>
        </w:tc>
        <w:tc>
          <w:tcPr>
            <w:tcW w:w="763" w:type="pct"/>
            <w:vAlign w:val="center"/>
          </w:tcPr>
          <w:p w14:paraId="4C20831C">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出资设立</w:t>
            </w:r>
          </w:p>
        </w:tc>
      </w:tr>
      <w:tr w14:paraId="48937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13DF5961">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南京际华国润过滤技术有限公司</w:t>
            </w:r>
          </w:p>
        </w:tc>
        <w:tc>
          <w:tcPr>
            <w:tcW w:w="739" w:type="pct"/>
            <w:vAlign w:val="center"/>
          </w:tcPr>
          <w:p w14:paraId="6C96E3FF">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江苏省南京市</w:t>
            </w:r>
          </w:p>
        </w:tc>
        <w:tc>
          <w:tcPr>
            <w:tcW w:w="486" w:type="pct"/>
            <w:vAlign w:val="center"/>
          </w:tcPr>
          <w:p w14:paraId="46B2B497">
            <w:pPr>
              <w:jc w:val="right"/>
              <w:textAlignment w:val="center"/>
              <w:rPr>
                <w:rFonts w:cs="Times New Roman"/>
              </w:rPr>
            </w:pPr>
            <w:r>
              <w:rPr>
                <w:rFonts w:eastAsia="Arial Narrow" w:cs="Times New Roman"/>
                <w:color w:val="000000"/>
                <w:lang w:bidi="ar"/>
              </w:rPr>
              <w:t>800.00</w:t>
            </w:r>
          </w:p>
        </w:tc>
        <w:tc>
          <w:tcPr>
            <w:tcW w:w="719" w:type="pct"/>
            <w:vAlign w:val="center"/>
          </w:tcPr>
          <w:p w14:paraId="74C6048D">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江苏省南京市</w:t>
            </w:r>
          </w:p>
        </w:tc>
        <w:tc>
          <w:tcPr>
            <w:tcW w:w="394" w:type="pct"/>
            <w:vAlign w:val="center"/>
          </w:tcPr>
          <w:p w14:paraId="71E7EE5F">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3A8CF87E">
            <w:pPr>
              <w:jc w:val="right"/>
              <w:textAlignment w:val="center"/>
              <w:rPr>
                <w:rFonts w:cs="Times New Roman"/>
              </w:rPr>
            </w:pPr>
            <w:r>
              <w:rPr>
                <w:rFonts w:eastAsia="Arial Narrow" w:cs="Times New Roman"/>
                <w:color w:val="000000"/>
                <w:lang w:bidi="ar"/>
              </w:rPr>
              <w:t>35.00</w:t>
            </w:r>
          </w:p>
        </w:tc>
        <w:tc>
          <w:tcPr>
            <w:tcW w:w="259" w:type="pct"/>
            <w:vAlign w:val="center"/>
          </w:tcPr>
          <w:p w14:paraId="0EAA385D">
            <w:pPr>
              <w:jc w:val="right"/>
              <w:rPr>
                <w:rFonts w:cs="Times New Roman"/>
              </w:rPr>
            </w:pPr>
          </w:p>
        </w:tc>
        <w:tc>
          <w:tcPr>
            <w:tcW w:w="763" w:type="pct"/>
            <w:vAlign w:val="center"/>
          </w:tcPr>
          <w:p w14:paraId="5A0F33B1">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出资设立</w:t>
            </w:r>
          </w:p>
        </w:tc>
      </w:tr>
      <w:tr w14:paraId="39B0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42044E30">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际华三五二二装具饰品有限公司</w:t>
            </w:r>
          </w:p>
        </w:tc>
        <w:tc>
          <w:tcPr>
            <w:tcW w:w="739" w:type="pct"/>
            <w:vAlign w:val="center"/>
          </w:tcPr>
          <w:p w14:paraId="18C9E500">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天津市</w:t>
            </w:r>
          </w:p>
        </w:tc>
        <w:tc>
          <w:tcPr>
            <w:tcW w:w="486" w:type="pct"/>
            <w:vAlign w:val="center"/>
          </w:tcPr>
          <w:p w14:paraId="7223E335">
            <w:pPr>
              <w:jc w:val="right"/>
              <w:textAlignment w:val="center"/>
              <w:rPr>
                <w:rFonts w:cs="Times New Roman"/>
              </w:rPr>
            </w:pPr>
            <w:r>
              <w:rPr>
                <w:rFonts w:eastAsia="Arial Narrow" w:cs="Times New Roman"/>
                <w:color w:val="000000"/>
                <w:lang w:bidi="ar"/>
              </w:rPr>
              <w:t>25,000.00</w:t>
            </w:r>
          </w:p>
        </w:tc>
        <w:tc>
          <w:tcPr>
            <w:tcW w:w="719" w:type="pct"/>
            <w:vAlign w:val="center"/>
          </w:tcPr>
          <w:p w14:paraId="36104DB2">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天津市</w:t>
            </w:r>
          </w:p>
        </w:tc>
        <w:tc>
          <w:tcPr>
            <w:tcW w:w="394" w:type="pct"/>
            <w:vAlign w:val="center"/>
          </w:tcPr>
          <w:p w14:paraId="4263223B">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0E656AC2">
            <w:pPr>
              <w:jc w:val="right"/>
              <w:textAlignment w:val="center"/>
              <w:rPr>
                <w:rFonts w:cs="Times New Roman"/>
              </w:rPr>
            </w:pPr>
            <w:r>
              <w:rPr>
                <w:rFonts w:eastAsia="Arial Narrow" w:cs="Times New Roman"/>
                <w:color w:val="000000"/>
                <w:lang w:bidi="ar"/>
              </w:rPr>
              <w:t>100.00</w:t>
            </w:r>
          </w:p>
        </w:tc>
        <w:tc>
          <w:tcPr>
            <w:tcW w:w="259" w:type="pct"/>
            <w:vAlign w:val="center"/>
          </w:tcPr>
          <w:p w14:paraId="3AA30706">
            <w:pPr>
              <w:jc w:val="right"/>
              <w:rPr>
                <w:rFonts w:cs="Times New Roman"/>
              </w:rPr>
            </w:pPr>
          </w:p>
        </w:tc>
        <w:tc>
          <w:tcPr>
            <w:tcW w:w="763" w:type="pct"/>
            <w:vAlign w:val="center"/>
          </w:tcPr>
          <w:p w14:paraId="105DE5DB">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7279B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3F490441">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际华（内蒙古）新能源发展有限公司</w:t>
            </w:r>
          </w:p>
        </w:tc>
        <w:tc>
          <w:tcPr>
            <w:tcW w:w="739" w:type="pct"/>
            <w:vAlign w:val="center"/>
          </w:tcPr>
          <w:p w14:paraId="17B68A84">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天津市</w:t>
            </w:r>
          </w:p>
        </w:tc>
        <w:tc>
          <w:tcPr>
            <w:tcW w:w="486" w:type="pct"/>
            <w:vAlign w:val="center"/>
          </w:tcPr>
          <w:p w14:paraId="4C593003">
            <w:pPr>
              <w:jc w:val="right"/>
              <w:textAlignment w:val="center"/>
              <w:rPr>
                <w:rFonts w:cs="Times New Roman"/>
              </w:rPr>
            </w:pPr>
            <w:r>
              <w:rPr>
                <w:rFonts w:eastAsia="Arial Narrow" w:cs="Times New Roman"/>
                <w:color w:val="000000"/>
                <w:lang w:bidi="ar"/>
              </w:rPr>
              <w:t>971.56</w:t>
            </w:r>
          </w:p>
        </w:tc>
        <w:tc>
          <w:tcPr>
            <w:tcW w:w="719" w:type="pct"/>
            <w:vAlign w:val="center"/>
          </w:tcPr>
          <w:p w14:paraId="75C1AEE9">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内蒙古巴彦淖尔市</w:t>
            </w:r>
          </w:p>
        </w:tc>
        <w:tc>
          <w:tcPr>
            <w:tcW w:w="394" w:type="pct"/>
            <w:vAlign w:val="center"/>
          </w:tcPr>
          <w:p w14:paraId="4A4B3737">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医疗器械制造</w:t>
            </w:r>
          </w:p>
        </w:tc>
        <w:tc>
          <w:tcPr>
            <w:tcW w:w="333" w:type="pct"/>
            <w:vAlign w:val="center"/>
          </w:tcPr>
          <w:p w14:paraId="28A55487">
            <w:pPr>
              <w:jc w:val="right"/>
              <w:textAlignment w:val="center"/>
              <w:rPr>
                <w:rFonts w:cs="Times New Roman"/>
              </w:rPr>
            </w:pPr>
            <w:r>
              <w:rPr>
                <w:rFonts w:eastAsia="Arial Narrow" w:cs="Times New Roman"/>
                <w:color w:val="000000"/>
                <w:lang w:bidi="ar"/>
              </w:rPr>
              <w:t>100.00</w:t>
            </w:r>
          </w:p>
        </w:tc>
        <w:tc>
          <w:tcPr>
            <w:tcW w:w="259" w:type="pct"/>
            <w:vAlign w:val="center"/>
          </w:tcPr>
          <w:p w14:paraId="12BC4836">
            <w:pPr>
              <w:jc w:val="right"/>
              <w:rPr>
                <w:rFonts w:cs="Times New Roman"/>
              </w:rPr>
            </w:pPr>
          </w:p>
        </w:tc>
        <w:tc>
          <w:tcPr>
            <w:tcW w:w="763" w:type="pct"/>
            <w:vAlign w:val="center"/>
          </w:tcPr>
          <w:p w14:paraId="792152E9">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37C98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5FF5CE19">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际华（天津）新能源投资有限公司</w:t>
            </w:r>
          </w:p>
        </w:tc>
        <w:tc>
          <w:tcPr>
            <w:tcW w:w="739" w:type="pct"/>
            <w:vAlign w:val="center"/>
          </w:tcPr>
          <w:p w14:paraId="5DB3467E">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天津市</w:t>
            </w:r>
          </w:p>
        </w:tc>
        <w:tc>
          <w:tcPr>
            <w:tcW w:w="486" w:type="pct"/>
            <w:vAlign w:val="center"/>
          </w:tcPr>
          <w:p w14:paraId="52F3D4A8">
            <w:pPr>
              <w:jc w:val="right"/>
              <w:textAlignment w:val="center"/>
              <w:rPr>
                <w:rFonts w:cs="Times New Roman"/>
              </w:rPr>
            </w:pPr>
            <w:r>
              <w:rPr>
                <w:rFonts w:eastAsia="Arial Narrow" w:cs="Times New Roman"/>
                <w:color w:val="000000"/>
                <w:lang w:bidi="ar"/>
              </w:rPr>
              <w:t>10,000.00</w:t>
            </w:r>
          </w:p>
        </w:tc>
        <w:tc>
          <w:tcPr>
            <w:tcW w:w="719" w:type="pct"/>
            <w:vAlign w:val="center"/>
          </w:tcPr>
          <w:p w14:paraId="7AFAEC7D">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天津市</w:t>
            </w:r>
          </w:p>
        </w:tc>
        <w:tc>
          <w:tcPr>
            <w:tcW w:w="394" w:type="pct"/>
            <w:vAlign w:val="center"/>
          </w:tcPr>
          <w:p w14:paraId="2F25F6AD">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投资管理</w:t>
            </w:r>
          </w:p>
        </w:tc>
        <w:tc>
          <w:tcPr>
            <w:tcW w:w="333" w:type="pct"/>
            <w:vAlign w:val="center"/>
          </w:tcPr>
          <w:p w14:paraId="1F190185">
            <w:pPr>
              <w:jc w:val="right"/>
              <w:textAlignment w:val="center"/>
              <w:rPr>
                <w:rFonts w:cs="Times New Roman"/>
              </w:rPr>
            </w:pPr>
            <w:r>
              <w:rPr>
                <w:rFonts w:eastAsia="Arial Narrow" w:cs="Times New Roman"/>
                <w:color w:val="000000"/>
                <w:lang w:bidi="ar"/>
              </w:rPr>
              <w:t>100.00</w:t>
            </w:r>
          </w:p>
        </w:tc>
        <w:tc>
          <w:tcPr>
            <w:tcW w:w="259" w:type="pct"/>
            <w:vAlign w:val="center"/>
          </w:tcPr>
          <w:p w14:paraId="44599944">
            <w:pPr>
              <w:jc w:val="right"/>
              <w:rPr>
                <w:rFonts w:cs="Times New Roman"/>
              </w:rPr>
            </w:pPr>
          </w:p>
        </w:tc>
        <w:tc>
          <w:tcPr>
            <w:tcW w:w="763" w:type="pct"/>
            <w:vAlign w:val="center"/>
          </w:tcPr>
          <w:p w14:paraId="72F71A1B">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出资设立</w:t>
            </w:r>
          </w:p>
        </w:tc>
      </w:tr>
      <w:tr w14:paraId="60066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2DEA590B">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沈阳际华三五四七特种装具有限公司</w:t>
            </w:r>
          </w:p>
        </w:tc>
        <w:tc>
          <w:tcPr>
            <w:tcW w:w="739" w:type="pct"/>
            <w:vAlign w:val="center"/>
          </w:tcPr>
          <w:p w14:paraId="528B5EF4">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辽宁省沈阳市</w:t>
            </w:r>
          </w:p>
        </w:tc>
        <w:tc>
          <w:tcPr>
            <w:tcW w:w="486" w:type="pct"/>
            <w:vAlign w:val="center"/>
          </w:tcPr>
          <w:p w14:paraId="3C8CB550">
            <w:pPr>
              <w:jc w:val="right"/>
              <w:textAlignment w:val="center"/>
              <w:rPr>
                <w:rFonts w:cs="Times New Roman"/>
              </w:rPr>
            </w:pPr>
            <w:r>
              <w:rPr>
                <w:rFonts w:eastAsia="Arial Narrow" w:cs="Times New Roman"/>
                <w:color w:val="000000"/>
                <w:lang w:bidi="ar"/>
              </w:rPr>
              <w:t>20,000.00</w:t>
            </w:r>
          </w:p>
        </w:tc>
        <w:tc>
          <w:tcPr>
            <w:tcW w:w="719" w:type="pct"/>
            <w:vAlign w:val="center"/>
          </w:tcPr>
          <w:p w14:paraId="709A6D58">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辽宁省沈阳市</w:t>
            </w:r>
          </w:p>
        </w:tc>
        <w:tc>
          <w:tcPr>
            <w:tcW w:w="394" w:type="pct"/>
            <w:vAlign w:val="center"/>
          </w:tcPr>
          <w:p w14:paraId="2211E7BA">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4E7E6F89">
            <w:pPr>
              <w:jc w:val="right"/>
              <w:textAlignment w:val="center"/>
              <w:rPr>
                <w:rFonts w:cs="Times New Roman"/>
              </w:rPr>
            </w:pPr>
            <w:r>
              <w:rPr>
                <w:rFonts w:eastAsia="Arial Narrow" w:cs="Times New Roman"/>
                <w:color w:val="000000"/>
                <w:lang w:bidi="ar"/>
              </w:rPr>
              <w:t>100.00</w:t>
            </w:r>
          </w:p>
        </w:tc>
        <w:tc>
          <w:tcPr>
            <w:tcW w:w="259" w:type="pct"/>
            <w:vAlign w:val="center"/>
          </w:tcPr>
          <w:p w14:paraId="27510F1F">
            <w:pPr>
              <w:jc w:val="right"/>
              <w:rPr>
                <w:rFonts w:cs="Times New Roman"/>
              </w:rPr>
            </w:pPr>
          </w:p>
        </w:tc>
        <w:tc>
          <w:tcPr>
            <w:tcW w:w="763" w:type="pct"/>
            <w:vAlign w:val="center"/>
          </w:tcPr>
          <w:p w14:paraId="1E3BDE5E">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79B83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7D4E70CB">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际华连锁商务有限公司</w:t>
            </w:r>
          </w:p>
        </w:tc>
        <w:tc>
          <w:tcPr>
            <w:tcW w:w="739" w:type="pct"/>
            <w:vAlign w:val="center"/>
          </w:tcPr>
          <w:p w14:paraId="525992AC">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北京市</w:t>
            </w:r>
          </w:p>
        </w:tc>
        <w:tc>
          <w:tcPr>
            <w:tcW w:w="486" w:type="pct"/>
            <w:vAlign w:val="center"/>
          </w:tcPr>
          <w:p w14:paraId="1DE61AD9">
            <w:pPr>
              <w:jc w:val="right"/>
              <w:textAlignment w:val="center"/>
              <w:rPr>
                <w:rFonts w:cs="Times New Roman"/>
              </w:rPr>
            </w:pPr>
            <w:r>
              <w:rPr>
                <w:rFonts w:eastAsia="Arial Narrow" w:cs="Times New Roman"/>
                <w:color w:val="000000"/>
                <w:lang w:bidi="ar"/>
              </w:rPr>
              <w:t>5,000.00</w:t>
            </w:r>
          </w:p>
        </w:tc>
        <w:tc>
          <w:tcPr>
            <w:tcW w:w="719" w:type="pct"/>
            <w:vAlign w:val="center"/>
          </w:tcPr>
          <w:p w14:paraId="7BF317C2">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北京市</w:t>
            </w:r>
          </w:p>
        </w:tc>
        <w:tc>
          <w:tcPr>
            <w:tcW w:w="394" w:type="pct"/>
            <w:vAlign w:val="center"/>
          </w:tcPr>
          <w:p w14:paraId="310AF023">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零售业</w:t>
            </w:r>
          </w:p>
        </w:tc>
        <w:tc>
          <w:tcPr>
            <w:tcW w:w="333" w:type="pct"/>
            <w:vAlign w:val="center"/>
          </w:tcPr>
          <w:p w14:paraId="743FA010">
            <w:pPr>
              <w:jc w:val="right"/>
              <w:textAlignment w:val="center"/>
              <w:rPr>
                <w:rFonts w:cs="Times New Roman"/>
              </w:rPr>
            </w:pPr>
            <w:r>
              <w:rPr>
                <w:rFonts w:eastAsia="Arial Narrow" w:cs="Times New Roman"/>
                <w:color w:val="000000"/>
                <w:lang w:bidi="ar"/>
              </w:rPr>
              <w:t>100.00</w:t>
            </w:r>
          </w:p>
        </w:tc>
        <w:tc>
          <w:tcPr>
            <w:tcW w:w="259" w:type="pct"/>
            <w:vAlign w:val="center"/>
          </w:tcPr>
          <w:p w14:paraId="411751A5">
            <w:pPr>
              <w:jc w:val="right"/>
              <w:rPr>
                <w:rFonts w:cs="Times New Roman"/>
              </w:rPr>
            </w:pPr>
          </w:p>
        </w:tc>
        <w:tc>
          <w:tcPr>
            <w:tcW w:w="763" w:type="pct"/>
            <w:vAlign w:val="center"/>
          </w:tcPr>
          <w:p w14:paraId="7F6DC950">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出资设立</w:t>
            </w:r>
          </w:p>
        </w:tc>
      </w:tr>
      <w:tr w14:paraId="7F09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7D3F9342">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新兴际华国际贸易有限公司</w:t>
            </w:r>
          </w:p>
        </w:tc>
        <w:tc>
          <w:tcPr>
            <w:tcW w:w="739" w:type="pct"/>
            <w:vAlign w:val="center"/>
          </w:tcPr>
          <w:p w14:paraId="7220544D">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北京市</w:t>
            </w:r>
          </w:p>
        </w:tc>
        <w:tc>
          <w:tcPr>
            <w:tcW w:w="486" w:type="pct"/>
            <w:vAlign w:val="center"/>
          </w:tcPr>
          <w:p w14:paraId="34C6F9AD">
            <w:pPr>
              <w:jc w:val="right"/>
              <w:textAlignment w:val="center"/>
              <w:rPr>
                <w:rFonts w:cs="Times New Roman"/>
              </w:rPr>
            </w:pPr>
            <w:r>
              <w:rPr>
                <w:rFonts w:eastAsia="Arial Narrow" w:cs="Times New Roman"/>
                <w:color w:val="000000"/>
                <w:lang w:bidi="ar"/>
              </w:rPr>
              <w:t>5,000.00</w:t>
            </w:r>
          </w:p>
        </w:tc>
        <w:tc>
          <w:tcPr>
            <w:tcW w:w="719" w:type="pct"/>
            <w:vAlign w:val="center"/>
          </w:tcPr>
          <w:p w14:paraId="1F21B177">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北京市</w:t>
            </w:r>
          </w:p>
        </w:tc>
        <w:tc>
          <w:tcPr>
            <w:tcW w:w="394" w:type="pct"/>
            <w:vAlign w:val="center"/>
          </w:tcPr>
          <w:p w14:paraId="0E4EBF36">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商贸</w:t>
            </w:r>
          </w:p>
        </w:tc>
        <w:tc>
          <w:tcPr>
            <w:tcW w:w="333" w:type="pct"/>
            <w:vAlign w:val="center"/>
          </w:tcPr>
          <w:p w14:paraId="1864A2D0">
            <w:pPr>
              <w:jc w:val="right"/>
              <w:textAlignment w:val="center"/>
              <w:rPr>
                <w:rFonts w:cs="Times New Roman"/>
              </w:rPr>
            </w:pPr>
            <w:r>
              <w:rPr>
                <w:rFonts w:eastAsia="Arial Narrow" w:cs="Times New Roman"/>
                <w:color w:val="000000"/>
                <w:lang w:bidi="ar"/>
              </w:rPr>
              <w:t>49.00</w:t>
            </w:r>
          </w:p>
        </w:tc>
        <w:tc>
          <w:tcPr>
            <w:tcW w:w="259" w:type="pct"/>
            <w:vAlign w:val="center"/>
          </w:tcPr>
          <w:p w14:paraId="243D54CF">
            <w:pPr>
              <w:jc w:val="right"/>
              <w:rPr>
                <w:rFonts w:cs="Times New Roman"/>
              </w:rPr>
            </w:pPr>
          </w:p>
        </w:tc>
        <w:tc>
          <w:tcPr>
            <w:tcW w:w="763" w:type="pct"/>
            <w:vAlign w:val="center"/>
          </w:tcPr>
          <w:p w14:paraId="0D53B6C4">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09F2F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40563F78">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新兴际华国际贸易（天津）有限公司</w:t>
            </w:r>
          </w:p>
        </w:tc>
        <w:tc>
          <w:tcPr>
            <w:tcW w:w="739" w:type="pct"/>
            <w:vAlign w:val="center"/>
          </w:tcPr>
          <w:p w14:paraId="52794CE5">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天津市</w:t>
            </w:r>
          </w:p>
        </w:tc>
        <w:tc>
          <w:tcPr>
            <w:tcW w:w="486" w:type="pct"/>
            <w:vAlign w:val="center"/>
          </w:tcPr>
          <w:p w14:paraId="563FC861">
            <w:pPr>
              <w:jc w:val="right"/>
              <w:textAlignment w:val="center"/>
              <w:rPr>
                <w:rFonts w:cs="Times New Roman"/>
              </w:rPr>
            </w:pPr>
            <w:r>
              <w:rPr>
                <w:rFonts w:eastAsia="Arial Narrow" w:cs="Times New Roman"/>
                <w:color w:val="000000"/>
                <w:lang w:bidi="ar"/>
              </w:rPr>
              <w:t>5,000.00</w:t>
            </w:r>
          </w:p>
        </w:tc>
        <w:tc>
          <w:tcPr>
            <w:tcW w:w="719" w:type="pct"/>
            <w:vAlign w:val="center"/>
          </w:tcPr>
          <w:p w14:paraId="783B508D">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天津市</w:t>
            </w:r>
          </w:p>
        </w:tc>
        <w:tc>
          <w:tcPr>
            <w:tcW w:w="394" w:type="pct"/>
            <w:vAlign w:val="center"/>
          </w:tcPr>
          <w:p w14:paraId="3C5D7DC4">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商贸</w:t>
            </w:r>
          </w:p>
        </w:tc>
        <w:tc>
          <w:tcPr>
            <w:tcW w:w="333" w:type="pct"/>
            <w:vAlign w:val="center"/>
          </w:tcPr>
          <w:p w14:paraId="055C2F16">
            <w:pPr>
              <w:jc w:val="right"/>
              <w:textAlignment w:val="center"/>
              <w:rPr>
                <w:rFonts w:cs="Times New Roman"/>
              </w:rPr>
            </w:pPr>
            <w:r>
              <w:rPr>
                <w:rFonts w:eastAsia="Arial Narrow" w:cs="Times New Roman"/>
                <w:color w:val="000000"/>
                <w:lang w:bidi="ar"/>
              </w:rPr>
              <w:t>49.00</w:t>
            </w:r>
          </w:p>
        </w:tc>
        <w:tc>
          <w:tcPr>
            <w:tcW w:w="259" w:type="pct"/>
            <w:vAlign w:val="center"/>
          </w:tcPr>
          <w:p w14:paraId="423D31CE">
            <w:pPr>
              <w:jc w:val="right"/>
              <w:rPr>
                <w:rFonts w:cs="Times New Roman"/>
              </w:rPr>
            </w:pPr>
          </w:p>
        </w:tc>
        <w:tc>
          <w:tcPr>
            <w:tcW w:w="763" w:type="pct"/>
            <w:vAlign w:val="center"/>
          </w:tcPr>
          <w:p w14:paraId="52D7A326">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同一控制下企业合并</w:t>
            </w:r>
          </w:p>
        </w:tc>
      </w:tr>
      <w:tr w14:paraId="16CF4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17870F63">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长春际华投资建设有限公司</w:t>
            </w:r>
          </w:p>
        </w:tc>
        <w:tc>
          <w:tcPr>
            <w:tcW w:w="739" w:type="pct"/>
            <w:vAlign w:val="center"/>
          </w:tcPr>
          <w:p w14:paraId="1D536DFB">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吉林省长春市</w:t>
            </w:r>
          </w:p>
        </w:tc>
        <w:tc>
          <w:tcPr>
            <w:tcW w:w="486" w:type="pct"/>
            <w:vAlign w:val="center"/>
          </w:tcPr>
          <w:p w14:paraId="04FF8D46">
            <w:pPr>
              <w:jc w:val="right"/>
              <w:textAlignment w:val="center"/>
              <w:rPr>
                <w:rFonts w:cs="Times New Roman"/>
              </w:rPr>
            </w:pPr>
            <w:r>
              <w:rPr>
                <w:rFonts w:eastAsia="Arial Narrow" w:cs="Times New Roman"/>
                <w:color w:val="000000"/>
                <w:lang w:bidi="ar"/>
              </w:rPr>
              <w:t>10,000.00</w:t>
            </w:r>
          </w:p>
        </w:tc>
        <w:tc>
          <w:tcPr>
            <w:tcW w:w="719" w:type="pct"/>
            <w:vAlign w:val="center"/>
          </w:tcPr>
          <w:p w14:paraId="57CECE5A">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吉林省长春市</w:t>
            </w:r>
          </w:p>
        </w:tc>
        <w:tc>
          <w:tcPr>
            <w:tcW w:w="394" w:type="pct"/>
            <w:vAlign w:val="center"/>
          </w:tcPr>
          <w:p w14:paraId="6D24F34F">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房地产开发业</w:t>
            </w:r>
          </w:p>
        </w:tc>
        <w:tc>
          <w:tcPr>
            <w:tcW w:w="333" w:type="pct"/>
            <w:vAlign w:val="center"/>
          </w:tcPr>
          <w:p w14:paraId="42E926C0">
            <w:pPr>
              <w:jc w:val="right"/>
              <w:textAlignment w:val="center"/>
              <w:rPr>
                <w:rFonts w:cs="Times New Roman"/>
              </w:rPr>
            </w:pPr>
            <w:r>
              <w:rPr>
                <w:rFonts w:eastAsia="Arial Narrow" w:cs="Times New Roman"/>
                <w:color w:val="000000"/>
                <w:lang w:bidi="ar"/>
              </w:rPr>
              <w:t>100.00</w:t>
            </w:r>
          </w:p>
        </w:tc>
        <w:tc>
          <w:tcPr>
            <w:tcW w:w="259" w:type="pct"/>
            <w:vAlign w:val="center"/>
          </w:tcPr>
          <w:p w14:paraId="17D47923">
            <w:pPr>
              <w:jc w:val="right"/>
              <w:rPr>
                <w:rFonts w:cs="Times New Roman"/>
              </w:rPr>
            </w:pPr>
          </w:p>
        </w:tc>
        <w:tc>
          <w:tcPr>
            <w:tcW w:w="763" w:type="pct"/>
            <w:vAlign w:val="center"/>
          </w:tcPr>
          <w:p w14:paraId="4CD9F5E2">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出资设立</w:t>
            </w:r>
          </w:p>
        </w:tc>
      </w:tr>
      <w:tr w14:paraId="3C35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58EFEC16">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际华（邢台）投资有限公司</w:t>
            </w:r>
          </w:p>
        </w:tc>
        <w:tc>
          <w:tcPr>
            <w:tcW w:w="739" w:type="pct"/>
            <w:vAlign w:val="center"/>
          </w:tcPr>
          <w:p w14:paraId="3BD856FC">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河北省邢台市</w:t>
            </w:r>
          </w:p>
        </w:tc>
        <w:tc>
          <w:tcPr>
            <w:tcW w:w="486" w:type="pct"/>
            <w:vAlign w:val="center"/>
          </w:tcPr>
          <w:p w14:paraId="71FEF18C">
            <w:pPr>
              <w:jc w:val="right"/>
              <w:textAlignment w:val="center"/>
              <w:rPr>
                <w:rFonts w:cs="Times New Roman"/>
              </w:rPr>
            </w:pPr>
            <w:r>
              <w:rPr>
                <w:rFonts w:eastAsia="Arial Narrow" w:cs="Times New Roman"/>
                <w:color w:val="000000"/>
                <w:lang w:bidi="ar"/>
              </w:rPr>
              <w:t>10,000.00</w:t>
            </w:r>
          </w:p>
        </w:tc>
        <w:tc>
          <w:tcPr>
            <w:tcW w:w="719" w:type="pct"/>
            <w:vAlign w:val="center"/>
          </w:tcPr>
          <w:p w14:paraId="3AF6907B">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河北省邢台市</w:t>
            </w:r>
          </w:p>
        </w:tc>
        <w:tc>
          <w:tcPr>
            <w:tcW w:w="394" w:type="pct"/>
            <w:vAlign w:val="center"/>
          </w:tcPr>
          <w:p w14:paraId="57EEC4A5">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投资管理</w:t>
            </w:r>
          </w:p>
        </w:tc>
        <w:tc>
          <w:tcPr>
            <w:tcW w:w="333" w:type="pct"/>
            <w:vAlign w:val="center"/>
          </w:tcPr>
          <w:p w14:paraId="7236C96E">
            <w:pPr>
              <w:jc w:val="right"/>
              <w:textAlignment w:val="center"/>
              <w:rPr>
                <w:rFonts w:cs="Times New Roman"/>
              </w:rPr>
            </w:pPr>
            <w:r>
              <w:rPr>
                <w:rFonts w:eastAsia="Arial Narrow" w:cs="Times New Roman"/>
                <w:color w:val="000000"/>
                <w:lang w:bidi="ar"/>
              </w:rPr>
              <w:t>100.00</w:t>
            </w:r>
          </w:p>
        </w:tc>
        <w:tc>
          <w:tcPr>
            <w:tcW w:w="259" w:type="pct"/>
            <w:vAlign w:val="center"/>
          </w:tcPr>
          <w:p w14:paraId="162CD506">
            <w:pPr>
              <w:jc w:val="right"/>
              <w:rPr>
                <w:rFonts w:cs="Times New Roman"/>
              </w:rPr>
            </w:pPr>
          </w:p>
        </w:tc>
        <w:tc>
          <w:tcPr>
            <w:tcW w:w="763" w:type="pct"/>
            <w:vAlign w:val="center"/>
          </w:tcPr>
          <w:p w14:paraId="04828364">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出资设立</w:t>
            </w:r>
          </w:p>
        </w:tc>
      </w:tr>
      <w:tr w14:paraId="30F11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4871A331">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际华海外投资有限公司</w:t>
            </w:r>
          </w:p>
        </w:tc>
        <w:tc>
          <w:tcPr>
            <w:tcW w:w="739" w:type="pct"/>
            <w:vAlign w:val="center"/>
          </w:tcPr>
          <w:p w14:paraId="5B2D7EBB">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北京市</w:t>
            </w:r>
          </w:p>
        </w:tc>
        <w:tc>
          <w:tcPr>
            <w:tcW w:w="486" w:type="pct"/>
            <w:vAlign w:val="center"/>
          </w:tcPr>
          <w:p w14:paraId="1C4142C7">
            <w:pPr>
              <w:jc w:val="right"/>
              <w:textAlignment w:val="center"/>
              <w:rPr>
                <w:rFonts w:cs="Times New Roman"/>
              </w:rPr>
            </w:pPr>
            <w:r>
              <w:rPr>
                <w:rFonts w:eastAsia="Arial Narrow" w:cs="Times New Roman"/>
                <w:color w:val="000000"/>
                <w:lang w:bidi="ar"/>
              </w:rPr>
              <w:t>14,514.20</w:t>
            </w:r>
          </w:p>
        </w:tc>
        <w:tc>
          <w:tcPr>
            <w:tcW w:w="719" w:type="pct"/>
            <w:vAlign w:val="center"/>
          </w:tcPr>
          <w:p w14:paraId="78B2F0FE">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中国香港</w:t>
            </w:r>
          </w:p>
        </w:tc>
        <w:tc>
          <w:tcPr>
            <w:tcW w:w="394" w:type="pct"/>
            <w:vAlign w:val="center"/>
          </w:tcPr>
          <w:p w14:paraId="152AEA16">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对外投资</w:t>
            </w:r>
          </w:p>
        </w:tc>
        <w:tc>
          <w:tcPr>
            <w:tcW w:w="333" w:type="pct"/>
            <w:vAlign w:val="center"/>
          </w:tcPr>
          <w:p w14:paraId="69A8E942">
            <w:pPr>
              <w:jc w:val="right"/>
              <w:textAlignment w:val="center"/>
              <w:rPr>
                <w:rFonts w:cs="Times New Roman"/>
              </w:rPr>
            </w:pPr>
            <w:r>
              <w:rPr>
                <w:rFonts w:eastAsia="Arial Narrow" w:cs="Times New Roman"/>
                <w:color w:val="000000"/>
                <w:lang w:bidi="ar"/>
              </w:rPr>
              <w:t>100.00</w:t>
            </w:r>
          </w:p>
        </w:tc>
        <w:tc>
          <w:tcPr>
            <w:tcW w:w="259" w:type="pct"/>
            <w:vAlign w:val="center"/>
          </w:tcPr>
          <w:p w14:paraId="33C93373">
            <w:pPr>
              <w:jc w:val="right"/>
              <w:rPr>
                <w:rFonts w:cs="Times New Roman"/>
              </w:rPr>
            </w:pPr>
          </w:p>
        </w:tc>
        <w:tc>
          <w:tcPr>
            <w:tcW w:w="763" w:type="pct"/>
            <w:vAlign w:val="center"/>
          </w:tcPr>
          <w:p w14:paraId="24E93E66">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出资设立</w:t>
            </w:r>
          </w:p>
        </w:tc>
      </w:tr>
      <w:tr w14:paraId="33EF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1B9B544A">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重庆际华目的地中心实业有限公司</w:t>
            </w:r>
          </w:p>
        </w:tc>
        <w:tc>
          <w:tcPr>
            <w:tcW w:w="739" w:type="pct"/>
            <w:vAlign w:val="center"/>
          </w:tcPr>
          <w:p w14:paraId="50AC88F3">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重庆市</w:t>
            </w:r>
          </w:p>
        </w:tc>
        <w:tc>
          <w:tcPr>
            <w:tcW w:w="486" w:type="pct"/>
            <w:vAlign w:val="center"/>
          </w:tcPr>
          <w:p w14:paraId="2CB14FE1">
            <w:pPr>
              <w:jc w:val="right"/>
              <w:textAlignment w:val="center"/>
              <w:rPr>
                <w:rFonts w:cs="Times New Roman"/>
              </w:rPr>
            </w:pPr>
            <w:r>
              <w:rPr>
                <w:rFonts w:eastAsia="Arial Narrow" w:cs="Times New Roman"/>
                <w:color w:val="000000"/>
                <w:lang w:bidi="ar"/>
              </w:rPr>
              <w:t>15,000.00</w:t>
            </w:r>
          </w:p>
        </w:tc>
        <w:tc>
          <w:tcPr>
            <w:tcW w:w="719" w:type="pct"/>
            <w:vAlign w:val="center"/>
          </w:tcPr>
          <w:p w14:paraId="5157D988">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重庆市</w:t>
            </w:r>
          </w:p>
        </w:tc>
        <w:tc>
          <w:tcPr>
            <w:tcW w:w="394" w:type="pct"/>
            <w:vAlign w:val="center"/>
          </w:tcPr>
          <w:p w14:paraId="59BCB625">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投资管理</w:t>
            </w:r>
          </w:p>
        </w:tc>
        <w:tc>
          <w:tcPr>
            <w:tcW w:w="333" w:type="pct"/>
            <w:vAlign w:val="center"/>
          </w:tcPr>
          <w:p w14:paraId="12F3F12F">
            <w:pPr>
              <w:jc w:val="right"/>
              <w:textAlignment w:val="center"/>
              <w:rPr>
                <w:rFonts w:cs="Times New Roman"/>
              </w:rPr>
            </w:pPr>
            <w:r>
              <w:rPr>
                <w:rFonts w:eastAsia="Arial Narrow" w:cs="Times New Roman"/>
                <w:color w:val="000000"/>
                <w:lang w:bidi="ar"/>
              </w:rPr>
              <w:t>100.00</w:t>
            </w:r>
          </w:p>
        </w:tc>
        <w:tc>
          <w:tcPr>
            <w:tcW w:w="259" w:type="pct"/>
            <w:vAlign w:val="center"/>
          </w:tcPr>
          <w:p w14:paraId="6A2417E5">
            <w:pPr>
              <w:jc w:val="right"/>
              <w:rPr>
                <w:rFonts w:cs="Times New Roman"/>
              </w:rPr>
            </w:pPr>
          </w:p>
        </w:tc>
        <w:tc>
          <w:tcPr>
            <w:tcW w:w="763" w:type="pct"/>
            <w:vAlign w:val="center"/>
          </w:tcPr>
          <w:p w14:paraId="012C8C42">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出资设立</w:t>
            </w:r>
          </w:p>
        </w:tc>
      </w:tr>
      <w:tr w14:paraId="0AB8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4BCDF0DB">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岳阳际华置业有限公司</w:t>
            </w:r>
          </w:p>
        </w:tc>
        <w:tc>
          <w:tcPr>
            <w:tcW w:w="739" w:type="pct"/>
            <w:vAlign w:val="center"/>
          </w:tcPr>
          <w:p w14:paraId="5E6F8303">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湖南省岳阳市</w:t>
            </w:r>
          </w:p>
        </w:tc>
        <w:tc>
          <w:tcPr>
            <w:tcW w:w="486" w:type="pct"/>
            <w:vAlign w:val="center"/>
          </w:tcPr>
          <w:p w14:paraId="6F4C39AC">
            <w:pPr>
              <w:jc w:val="right"/>
              <w:textAlignment w:val="center"/>
              <w:rPr>
                <w:rFonts w:cs="Times New Roman"/>
              </w:rPr>
            </w:pPr>
            <w:r>
              <w:rPr>
                <w:rFonts w:eastAsia="Arial Narrow" w:cs="Times New Roman"/>
                <w:color w:val="000000"/>
                <w:lang w:bidi="ar"/>
              </w:rPr>
              <w:t>5,000.00</w:t>
            </w:r>
          </w:p>
        </w:tc>
        <w:tc>
          <w:tcPr>
            <w:tcW w:w="719" w:type="pct"/>
            <w:vAlign w:val="center"/>
          </w:tcPr>
          <w:p w14:paraId="2DC07218">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湖南省岳阳市</w:t>
            </w:r>
          </w:p>
        </w:tc>
        <w:tc>
          <w:tcPr>
            <w:tcW w:w="394" w:type="pct"/>
            <w:vAlign w:val="center"/>
          </w:tcPr>
          <w:p w14:paraId="7EED05B6">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房地产开发</w:t>
            </w:r>
          </w:p>
        </w:tc>
        <w:tc>
          <w:tcPr>
            <w:tcW w:w="333" w:type="pct"/>
            <w:vAlign w:val="center"/>
          </w:tcPr>
          <w:p w14:paraId="2B230903">
            <w:pPr>
              <w:jc w:val="right"/>
              <w:textAlignment w:val="center"/>
              <w:rPr>
                <w:rFonts w:cs="Times New Roman"/>
              </w:rPr>
            </w:pPr>
            <w:r>
              <w:rPr>
                <w:rFonts w:eastAsia="Arial Narrow" w:cs="Times New Roman"/>
                <w:color w:val="000000"/>
                <w:lang w:bidi="ar"/>
              </w:rPr>
              <w:t>100.00</w:t>
            </w:r>
          </w:p>
        </w:tc>
        <w:tc>
          <w:tcPr>
            <w:tcW w:w="259" w:type="pct"/>
            <w:vAlign w:val="center"/>
          </w:tcPr>
          <w:p w14:paraId="7048B658">
            <w:pPr>
              <w:jc w:val="right"/>
              <w:rPr>
                <w:rFonts w:cs="Times New Roman"/>
              </w:rPr>
            </w:pPr>
          </w:p>
        </w:tc>
        <w:tc>
          <w:tcPr>
            <w:tcW w:w="763" w:type="pct"/>
            <w:vAlign w:val="center"/>
          </w:tcPr>
          <w:p w14:paraId="6CBD7161">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出资设立</w:t>
            </w:r>
          </w:p>
        </w:tc>
      </w:tr>
      <w:tr w14:paraId="02C19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78836B71">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南京际华装备科技有限公司</w:t>
            </w:r>
          </w:p>
        </w:tc>
        <w:tc>
          <w:tcPr>
            <w:tcW w:w="739" w:type="pct"/>
            <w:vAlign w:val="center"/>
          </w:tcPr>
          <w:p w14:paraId="21966FA8">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江苏南京市</w:t>
            </w:r>
          </w:p>
        </w:tc>
        <w:tc>
          <w:tcPr>
            <w:tcW w:w="486" w:type="pct"/>
            <w:vAlign w:val="center"/>
          </w:tcPr>
          <w:p w14:paraId="676E33E5">
            <w:pPr>
              <w:jc w:val="right"/>
              <w:textAlignment w:val="center"/>
              <w:rPr>
                <w:rFonts w:cs="Times New Roman"/>
              </w:rPr>
            </w:pPr>
            <w:r>
              <w:rPr>
                <w:rFonts w:eastAsia="Arial Narrow" w:cs="Times New Roman"/>
                <w:color w:val="000000"/>
                <w:lang w:bidi="ar"/>
              </w:rPr>
              <w:t>5,000.00</w:t>
            </w:r>
          </w:p>
        </w:tc>
        <w:tc>
          <w:tcPr>
            <w:tcW w:w="719" w:type="pct"/>
            <w:vAlign w:val="center"/>
          </w:tcPr>
          <w:p w14:paraId="7D9F6D25">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江苏南京市</w:t>
            </w:r>
          </w:p>
        </w:tc>
        <w:tc>
          <w:tcPr>
            <w:tcW w:w="394" w:type="pct"/>
            <w:vAlign w:val="center"/>
          </w:tcPr>
          <w:p w14:paraId="052E8276">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2C3B733E">
            <w:pPr>
              <w:jc w:val="right"/>
              <w:textAlignment w:val="center"/>
              <w:rPr>
                <w:rFonts w:cs="Times New Roman"/>
              </w:rPr>
            </w:pPr>
            <w:r>
              <w:rPr>
                <w:rFonts w:eastAsia="Arial Narrow" w:cs="Times New Roman"/>
                <w:color w:val="000000"/>
                <w:lang w:bidi="ar"/>
              </w:rPr>
              <w:t>100.00</w:t>
            </w:r>
          </w:p>
        </w:tc>
        <w:tc>
          <w:tcPr>
            <w:tcW w:w="259" w:type="pct"/>
            <w:vAlign w:val="center"/>
          </w:tcPr>
          <w:p w14:paraId="7A5464D8">
            <w:pPr>
              <w:jc w:val="right"/>
              <w:rPr>
                <w:rFonts w:cs="Times New Roman"/>
              </w:rPr>
            </w:pPr>
          </w:p>
        </w:tc>
        <w:tc>
          <w:tcPr>
            <w:tcW w:w="763" w:type="pct"/>
            <w:vAlign w:val="center"/>
          </w:tcPr>
          <w:p w14:paraId="7BFF2806">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出资设立</w:t>
            </w:r>
          </w:p>
        </w:tc>
      </w:tr>
      <w:tr w14:paraId="0806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2ADA9A6F">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新疆际华服装科技有限公司</w:t>
            </w:r>
          </w:p>
        </w:tc>
        <w:tc>
          <w:tcPr>
            <w:tcW w:w="739" w:type="pct"/>
            <w:vAlign w:val="center"/>
          </w:tcPr>
          <w:p w14:paraId="1D0F8F08">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新疆阿克苏市</w:t>
            </w:r>
          </w:p>
        </w:tc>
        <w:tc>
          <w:tcPr>
            <w:tcW w:w="486" w:type="pct"/>
            <w:vAlign w:val="center"/>
          </w:tcPr>
          <w:p w14:paraId="24B0CB65">
            <w:pPr>
              <w:jc w:val="right"/>
              <w:textAlignment w:val="center"/>
              <w:rPr>
                <w:rFonts w:cs="Times New Roman"/>
              </w:rPr>
            </w:pPr>
            <w:r>
              <w:rPr>
                <w:rFonts w:eastAsia="Arial Narrow" w:cs="Times New Roman"/>
                <w:color w:val="000000"/>
                <w:lang w:bidi="ar"/>
              </w:rPr>
              <w:t>2,200.00</w:t>
            </w:r>
          </w:p>
        </w:tc>
        <w:tc>
          <w:tcPr>
            <w:tcW w:w="719" w:type="pct"/>
            <w:vAlign w:val="center"/>
          </w:tcPr>
          <w:p w14:paraId="3DDE5CFC">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新疆阿克苏市</w:t>
            </w:r>
          </w:p>
        </w:tc>
        <w:tc>
          <w:tcPr>
            <w:tcW w:w="394" w:type="pct"/>
            <w:vAlign w:val="center"/>
          </w:tcPr>
          <w:p w14:paraId="6064706C">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369A05B5">
            <w:pPr>
              <w:jc w:val="right"/>
              <w:textAlignment w:val="center"/>
              <w:rPr>
                <w:rFonts w:cs="Times New Roman"/>
              </w:rPr>
            </w:pPr>
            <w:r>
              <w:rPr>
                <w:rFonts w:eastAsia="Arial Narrow" w:cs="Times New Roman"/>
                <w:color w:val="000000"/>
                <w:lang w:bidi="ar"/>
              </w:rPr>
              <w:t>100.00</w:t>
            </w:r>
          </w:p>
        </w:tc>
        <w:tc>
          <w:tcPr>
            <w:tcW w:w="259" w:type="pct"/>
            <w:vAlign w:val="center"/>
          </w:tcPr>
          <w:p w14:paraId="30060AAE">
            <w:pPr>
              <w:jc w:val="right"/>
              <w:rPr>
                <w:rFonts w:cs="Times New Roman"/>
              </w:rPr>
            </w:pPr>
          </w:p>
        </w:tc>
        <w:tc>
          <w:tcPr>
            <w:tcW w:w="763" w:type="pct"/>
            <w:vAlign w:val="center"/>
          </w:tcPr>
          <w:p w14:paraId="1FC8C536">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出资设立</w:t>
            </w:r>
          </w:p>
        </w:tc>
      </w:tr>
      <w:tr w14:paraId="33B31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551F20E7">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新疆际华科技产业发展有限公司</w:t>
            </w:r>
          </w:p>
        </w:tc>
        <w:tc>
          <w:tcPr>
            <w:tcW w:w="739" w:type="pct"/>
            <w:vAlign w:val="center"/>
          </w:tcPr>
          <w:p w14:paraId="0A429DDB">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新疆和田市</w:t>
            </w:r>
          </w:p>
        </w:tc>
        <w:tc>
          <w:tcPr>
            <w:tcW w:w="486" w:type="pct"/>
            <w:vAlign w:val="center"/>
          </w:tcPr>
          <w:p w14:paraId="6D923D0C">
            <w:pPr>
              <w:jc w:val="right"/>
              <w:textAlignment w:val="center"/>
              <w:rPr>
                <w:rFonts w:cs="Times New Roman"/>
              </w:rPr>
            </w:pPr>
            <w:r>
              <w:rPr>
                <w:rFonts w:eastAsia="Arial Narrow" w:cs="Times New Roman"/>
                <w:color w:val="000000"/>
                <w:lang w:bidi="ar"/>
              </w:rPr>
              <w:t>1,000.00</w:t>
            </w:r>
          </w:p>
        </w:tc>
        <w:tc>
          <w:tcPr>
            <w:tcW w:w="719" w:type="pct"/>
            <w:vAlign w:val="center"/>
          </w:tcPr>
          <w:p w14:paraId="51FD5BF8">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新疆和田市</w:t>
            </w:r>
          </w:p>
        </w:tc>
        <w:tc>
          <w:tcPr>
            <w:tcW w:w="394" w:type="pct"/>
            <w:vAlign w:val="center"/>
          </w:tcPr>
          <w:p w14:paraId="5FFC819A">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5F0F175A">
            <w:pPr>
              <w:jc w:val="right"/>
              <w:textAlignment w:val="center"/>
              <w:rPr>
                <w:rFonts w:cs="Times New Roman"/>
              </w:rPr>
            </w:pPr>
            <w:r>
              <w:rPr>
                <w:rFonts w:eastAsia="Arial Narrow" w:cs="Times New Roman"/>
                <w:color w:val="000000"/>
                <w:lang w:bidi="ar"/>
              </w:rPr>
              <w:t>51.00</w:t>
            </w:r>
          </w:p>
        </w:tc>
        <w:tc>
          <w:tcPr>
            <w:tcW w:w="259" w:type="pct"/>
            <w:vAlign w:val="center"/>
          </w:tcPr>
          <w:p w14:paraId="4F8548EB">
            <w:pPr>
              <w:jc w:val="right"/>
              <w:rPr>
                <w:rFonts w:cs="Times New Roman"/>
              </w:rPr>
            </w:pPr>
          </w:p>
        </w:tc>
        <w:tc>
          <w:tcPr>
            <w:tcW w:w="763" w:type="pct"/>
            <w:vAlign w:val="center"/>
          </w:tcPr>
          <w:p w14:paraId="515D95E5">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出资设立</w:t>
            </w:r>
          </w:p>
        </w:tc>
      </w:tr>
      <w:tr w14:paraId="6896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35BB0E12">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际华置业（兰州）有限公司</w:t>
            </w:r>
          </w:p>
        </w:tc>
        <w:tc>
          <w:tcPr>
            <w:tcW w:w="739" w:type="pct"/>
            <w:vAlign w:val="center"/>
          </w:tcPr>
          <w:p w14:paraId="709D52B2">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甘肃省兰州市</w:t>
            </w:r>
          </w:p>
        </w:tc>
        <w:tc>
          <w:tcPr>
            <w:tcW w:w="486" w:type="pct"/>
            <w:vAlign w:val="center"/>
          </w:tcPr>
          <w:p w14:paraId="7162C59A">
            <w:pPr>
              <w:jc w:val="right"/>
              <w:textAlignment w:val="center"/>
              <w:rPr>
                <w:rFonts w:cs="Times New Roman"/>
              </w:rPr>
            </w:pPr>
            <w:r>
              <w:rPr>
                <w:rFonts w:eastAsia="Arial Narrow" w:cs="Times New Roman"/>
                <w:color w:val="000000"/>
                <w:lang w:bidi="ar"/>
              </w:rPr>
              <w:t>800.00</w:t>
            </w:r>
          </w:p>
        </w:tc>
        <w:tc>
          <w:tcPr>
            <w:tcW w:w="719" w:type="pct"/>
            <w:vAlign w:val="center"/>
          </w:tcPr>
          <w:p w14:paraId="76052286">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甘肃省兰州市</w:t>
            </w:r>
          </w:p>
        </w:tc>
        <w:tc>
          <w:tcPr>
            <w:tcW w:w="394" w:type="pct"/>
            <w:vAlign w:val="center"/>
          </w:tcPr>
          <w:p w14:paraId="044A7FDE">
            <w:pPr>
              <w:jc w:val="center"/>
              <w:textAlignment w:val="center"/>
              <w:rPr>
                <w:rFonts w:asciiTheme="minorEastAsia" w:hAnsiTheme="minorEastAsia" w:eastAsiaTheme="minorEastAsia" w:cstheme="minorEastAsia"/>
                <w:color w:val="000000"/>
                <w:lang w:bidi="ar"/>
              </w:rPr>
            </w:pPr>
            <w:r>
              <w:rPr>
                <w:rFonts w:hint="eastAsia" w:asciiTheme="minorEastAsia" w:hAnsiTheme="minorEastAsia" w:eastAsiaTheme="minorEastAsia" w:cstheme="minorEastAsia"/>
                <w:color w:val="000000"/>
                <w:lang w:bidi="ar"/>
              </w:rPr>
              <w:t>房地产</w:t>
            </w:r>
          </w:p>
          <w:p w14:paraId="5448CB25">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开发</w:t>
            </w:r>
          </w:p>
        </w:tc>
        <w:tc>
          <w:tcPr>
            <w:tcW w:w="333" w:type="pct"/>
            <w:vAlign w:val="center"/>
          </w:tcPr>
          <w:p w14:paraId="33D788B9">
            <w:pPr>
              <w:jc w:val="right"/>
              <w:textAlignment w:val="center"/>
              <w:rPr>
                <w:rFonts w:cs="Times New Roman"/>
              </w:rPr>
            </w:pPr>
            <w:r>
              <w:rPr>
                <w:rFonts w:eastAsia="Arial Narrow" w:cs="Times New Roman"/>
                <w:color w:val="000000"/>
                <w:lang w:bidi="ar"/>
              </w:rPr>
              <w:t>100.00</w:t>
            </w:r>
          </w:p>
        </w:tc>
        <w:tc>
          <w:tcPr>
            <w:tcW w:w="259" w:type="pct"/>
            <w:vAlign w:val="center"/>
          </w:tcPr>
          <w:p w14:paraId="02E726E2">
            <w:pPr>
              <w:jc w:val="right"/>
              <w:rPr>
                <w:rFonts w:cs="Times New Roman"/>
              </w:rPr>
            </w:pPr>
          </w:p>
        </w:tc>
        <w:tc>
          <w:tcPr>
            <w:tcW w:w="763" w:type="pct"/>
            <w:vAlign w:val="center"/>
          </w:tcPr>
          <w:p w14:paraId="4ADDE9A6">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出资设立</w:t>
            </w:r>
          </w:p>
        </w:tc>
      </w:tr>
      <w:tr w14:paraId="55520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4645C833">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新疆华锦生态纺织印染有限责任公司</w:t>
            </w:r>
          </w:p>
        </w:tc>
        <w:tc>
          <w:tcPr>
            <w:tcW w:w="739" w:type="pct"/>
            <w:vAlign w:val="center"/>
          </w:tcPr>
          <w:p w14:paraId="4A74871A">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新疆库尔勒市</w:t>
            </w:r>
          </w:p>
        </w:tc>
        <w:tc>
          <w:tcPr>
            <w:tcW w:w="486" w:type="pct"/>
            <w:vAlign w:val="center"/>
          </w:tcPr>
          <w:p w14:paraId="59B30729">
            <w:pPr>
              <w:jc w:val="right"/>
              <w:textAlignment w:val="center"/>
              <w:rPr>
                <w:rFonts w:cs="Times New Roman"/>
              </w:rPr>
            </w:pPr>
            <w:r>
              <w:rPr>
                <w:rFonts w:eastAsia="Arial Narrow" w:cs="Times New Roman"/>
                <w:color w:val="000000"/>
                <w:lang w:bidi="ar"/>
              </w:rPr>
              <w:t>16,500.00</w:t>
            </w:r>
          </w:p>
        </w:tc>
        <w:tc>
          <w:tcPr>
            <w:tcW w:w="719" w:type="pct"/>
            <w:vAlign w:val="center"/>
          </w:tcPr>
          <w:p w14:paraId="1EBBA822">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新疆库尔勒市</w:t>
            </w:r>
          </w:p>
        </w:tc>
        <w:tc>
          <w:tcPr>
            <w:tcW w:w="394" w:type="pct"/>
            <w:vAlign w:val="center"/>
          </w:tcPr>
          <w:p w14:paraId="17CDCA21">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333" w:type="pct"/>
            <w:vAlign w:val="center"/>
          </w:tcPr>
          <w:p w14:paraId="7C6515F1">
            <w:pPr>
              <w:jc w:val="right"/>
              <w:textAlignment w:val="center"/>
              <w:rPr>
                <w:rFonts w:cs="Times New Roman"/>
              </w:rPr>
            </w:pPr>
            <w:r>
              <w:rPr>
                <w:rFonts w:eastAsia="Arial Narrow" w:cs="Times New Roman"/>
                <w:color w:val="000000"/>
                <w:lang w:bidi="ar"/>
              </w:rPr>
              <w:t>100.00</w:t>
            </w:r>
          </w:p>
        </w:tc>
        <w:tc>
          <w:tcPr>
            <w:tcW w:w="259" w:type="pct"/>
            <w:vAlign w:val="center"/>
          </w:tcPr>
          <w:p w14:paraId="5C9E2F0D">
            <w:pPr>
              <w:jc w:val="right"/>
              <w:rPr>
                <w:rFonts w:cs="Times New Roman"/>
              </w:rPr>
            </w:pPr>
          </w:p>
        </w:tc>
        <w:tc>
          <w:tcPr>
            <w:tcW w:w="763" w:type="pct"/>
            <w:vAlign w:val="center"/>
          </w:tcPr>
          <w:p w14:paraId="1FD34F1D">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出资设立</w:t>
            </w:r>
          </w:p>
        </w:tc>
      </w:tr>
      <w:tr w14:paraId="64D5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pct"/>
            <w:vAlign w:val="center"/>
          </w:tcPr>
          <w:p w14:paraId="5670CF9B">
            <w:pP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天津兴华科技产业有限公司</w:t>
            </w:r>
          </w:p>
        </w:tc>
        <w:tc>
          <w:tcPr>
            <w:tcW w:w="739" w:type="pct"/>
            <w:vAlign w:val="center"/>
          </w:tcPr>
          <w:p w14:paraId="3AC4BE5D">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天津市</w:t>
            </w:r>
          </w:p>
        </w:tc>
        <w:tc>
          <w:tcPr>
            <w:tcW w:w="486" w:type="pct"/>
            <w:vAlign w:val="center"/>
          </w:tcPr>
          <w:p w14:paraId="2335ECA3">
            <w:pPr>
              <w:jc w:val="right"/>
              <w:textAlignment w:val="center"/>
              <w:rPr>
                <w:rFonts w:cs="Times New Roman"/>
              </w:rPr>
            </w:pPr>
            <w:r>
              <w:rPr>
                <w:rFonts w:eastAsia="Arial Narrow" w:cs="Times New Roman"/>
                <w:color w:val="000000"/>
                <w:lang w:bidi="ar"/>
              </w:rPr>
              <w:t>100.00</w:t>
            </w:r>
          </w:p>
        </w:tc>
        <w:tc>
          <w:tcPr>
            <w:tcW w:w="719" w:type="pct"/>
            <w:vAlign w:val="center"/>
          </w:tcPr>
          <w:p w14:paraId="4CD3E05E">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天津市</w:t>
            </w:r>
          </w:p>
        </w:tc>
        <w:tc>
          <w:tcPr>
            <w:tcW w:w="394" w:type="pct"/>
            <w:vAlign w:val="center"/>
          </w:tcPr>
          <w:p w14:paraId="319A2355">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科技推广和应用服务业</w:t>
            </w:r>
          </w:p>
        </w:tc>
        <w:tc>
          <w:tcPr>
            <w:tcW w:w="333" w:type="pct"/>
            <w:vAlign w:val="center"/>
          </w:tcPr>
          <w:p w14:paraId="7078EFB4">
            <w:pPr>
              <w:jc w:val="right"/>
              <w:textAlignment w:val="center"/>
              <w:rPr>
                <w:rFonts w:cs="Times New Roman"/>
              </w:rPr>
            </w:pPr>
            <w:r>
              <w:rPr>
                <w:rFonts w:eastAsia="Arial Narrow" w:cs="Times New Roman"/>
                <w:color w:val="000000"/>
                <w:lang w:bidi="ar"/>
              </w:rPr>
              <w:t>100.00</w:t>
            </w:r>
          </w:p>
        </w:tc>
        <w:tc>
          <w:tcPr>
            <w:tcW w:w="259" w:type="pct"/>
            <w:vAlign w:val="center"/>
          </w:tcPr>
          <w:p w14:paraId="715D52C7">
            <w:pPr>
              <w:jc w:val="right"/>
              <w:rPr>
                <w:rFonts w:cs="Times New Roman"/>
              </w:rPr>
            </w:pPr>
          </w:p>
        </w:tc>
        <w:tc>
          <w:tcPr>
            <w:tcW w:w="763" w:type="pct"/>
            <w:vAlign w:val="center"/>
          </w:tcPr>
          <w:p w14:paraId="7DF11AE9">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出资设立</w:t>
            </w:r>
          </w:p>
        </w:tc>
      </w:tr>
    </w:tbl>
    <w:p w14:paraId="6C733F65">
      <w:pPr>
        <w:pStyle w:val="55"/>
      </w:pPr>
    </w:p>
    <w:p w14:paraId="00E6ADC8">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在子公司的持股比例不同于表决权比例的说明：</w:t>
      </w:r>
    </w:p>
    <w:p w14:paraId="289D4557">
      <w:pPr>
        <w:rPr>
          <w:rFonts w:cs="Arial"/>
          <w:color w:val="000000" w:themeColor="text1"/>
          <w14:textFill>
            <w14:solidFill>
              <w14:schemeClr w14:val="tx1"/>
            </w14:solidFill>
          </w14:textFill>
        </w:rPr>
      </w:pPr>
      <w:sdt>
        <w:sdtPr>
          <w:rPr>
            <w:rFonts w:cs="Arial"/>
            <w:color w:val="000000" w:themeColor="text1"/>
            <w14:textFill>
              <w14:solidFill>
                <w14:schemeClr w14:val="tx1"/>
              </w14:solidFill>
            </w14:textFill>
          </w:rPr>
          <w:alias w:val="在子公司的持股比例不同于表决权比例的说明"/>
          <w:tag w:val="_GBC_f369e5dd5f6e430ebbede4953d1e5b82"/>
          <w:id w:val="147475681"/>
          <w:placeholder>
            <w:docPart w:val="GBC22222222222222222222222222222"/>
          </w:placeholder>
        </w:sdtPr>
        <w:sdtEndPr>
          <w:rPr>
            <w:rFonts w:cs="Arial"/>
            <w:color w:val="000000" w:themeColor="text1"/>
            <w14:textFill>
              <w14:solidFill>
                <w14:schemeClr w14:val="tx1"/>
              </w14:solidFill>
            </w14:textFill>
          </w:rPr>
        </w:sdtEndPr>
        <w:sdtContent>
          <w:r>
            <w:rPr>
              <w:rFonts w:hint="eastAsia" w:cs="Arial"/>
              <w:color w:val="000000" w:themeColor="text1"/>
              <w14:textFill>
                <w14:solidFill>
                  <w14:schemeClr w14:val="tx1"/>
                </w14:solidFill>
              </w14:textFill>
            </w:rPr>
            <w:t xml:space="preserve">    南京际华国润过滤技术有限公司章程约定：公司设董事会，成员为5人，南京际华三五二一环保科技有限公司委派3名，山东怀信环境科技有限公司委派1名，璟坤过滤技术（上海）有限公司委派1名。董事会会议的表决权实行一人一票，董事会作出决议，必须过半数董事通过。</w:t>
          </w:r>
        </w:sdtContent>
      </w:sdt>
    </w:p>
    <w:p w14:paraId="125DA7E4">
      <w:pPr>
        <w:rPr>
          <w:rFonts w:cs="Arial"/>
          <w:color w:val="000000" w:themeColor="text1"/>
          <w14:textFill>
            <w14:solidFill>
              <w14:schemeClr w14:val="tx1"/>
            </w14:solidFill>
          </w14:textFill>
        </w:rPr>
      </w:pPr>
    </w:p>
    <w:p w14:paraId="5218B350">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持有半数或以下表决权但仍控制被投资单位、以及持有半数以上表决权但不控制被投资单位的依据：</w:t>
      </w:r>
    </w:p>
    <w:sdt>
      <w:sdtPr>
        <w:rPr>
          <w:rFonts w:cs="Arial"/>
          <w:color w:val="000000" w:themeColor="text1"/>
          <w14:textFill>
            <w14:solidFill>
              <w14:schemeClr w14:val="tx1"/>
            </w14:solidFill>
          </w14:textFill>
        </w:rPr>
        <w:alias w:val="持有半数或以下表决权但仍控制被投资单位、以及持有半数以上表决权但不控制被投资单位的依据"/>
        <w:tag w:val="_GBC_140bd5da597c40feaa9310db1d6dc624"/>
        <w:id w:val="147453268"/>
        <w:placeholder>
          <w:docPart w:val="GBC22222222222222222222222222222"/>
        </w:placeholder>
      </w:sdtPr>
      <w:sdtEndPr>
        <w:rPr>
          <w:rFonts w:cs="Arial"/>
          <w:color w:val="000000" w:themeColor="text1"/>
          <w14:textFill>
            <w14:solidFill>
              <w14:schemeClr w14:val="tx1"/>
            </w14:solidFill>
          </w14:textFill>
        </w:rPr>
      </w:sdtEndPr>
      <w:sdtContent>
        <w:p w14:paraId="44DDEE84">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    2012年5月，本公司与母公司新兴际华集团有限公司共同对新兴际华国际贸易有限公司（以下简称“际华国贸”）进行增资，增资完成后，本公司持有际华国贸49%股权，新兴际华持有其51%股权。根据新兴际华与本公司的协议，际华国贸执行董事由本公司派出，新兴际华委托本公司决定际华国贸的财务和经营政策，同意际华国贸由本公司实际控制，纳入本公司合并范围。</w:t>
          </w:r>
        </w:p>
      </w:sdtContent>
    </w:sdt>
    <w:p w14:paraId="1A2CB0F1">
      <w:pPr>
        <w:rPr>
          <w:rFonts w:cs="Arial"/>
          <w:color w:val="000000" w:themeColor="text1"/>
          <w14:textFill>
            <w14:solidFill>
              <w14:schemeClr w14:val="tx1"/>
            </w14:solidFill>
          </w14:textFill>
        </w:rPr>
      </w:pPr>
    </w:p>
    <w:p w14:paraId="7134D028">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对于纳入合并范围的重要的结构化主体，控制的依据：</w:t>
      </w:r>
    </w:p>
    <w:sdt>
      <w:sdtPr>
        <w:rPr>
          <w:rFonts w:hint="eastAsia" w:cs="Arial"/>
          <w:color w:val="000000" w:themeColor="text1"/>
          <w14:textFill>
            <w14:solidFill>
              <w14:schemeClr w14:val="tx1"/>
            </w14:solidFill>
          </w14:textFill>
        </w:rPr>
        <w:alias w:val="对于纳入合并范围的重要的结构化主体，控制的依据"/>
        <w:tag w:val="_GBC_2d237439b4094e01b636ce2eb1be2008"/>
        <w:id w:val="147478243"/>
        <w:placeholder>
          <w:docPart w:val="GBC22222222222222222222222222222"/>
        </w:placeholder>
      </w:sdtPr>
      <w:sdtEndPr>
        <w:rPr>
          <w:rFonts w:hint="eastAsia" w:cs="Arial"/>
          <w:color w:val="000000" w:themeColor="text1"/>
          <w14:textFill>
            <w14:solidFill>
              <w14:schemeClr w14:val="tx1"/>
            </w14:solidFill>
          </w14:textFill>
        </w:rPr>
      </w:sdtEndPr>
      <w:sdtContent>
        <w:p w14:paraId="74EF4038">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无</w:t>
          </w:r>
        </w:p>
      </w:sdtContent>
    </w:sdt>
    <w:p w14:paraId="6E1DCE80">
      <w:pPr>
        <w:rPr>
          <w:rFonts w:cs="Arial"/>
          <w:color w:val="000000" w:themeColor="text1"/>
          <w14:textFill>
            <w14:solidFill>
              <w14:schemeClr w14:val="tx1"/>
            </w14:solidFill>
          </w14:textFill>
        </w:rPr>
      </w:pPr>
    </w:p>
    <w:p w14:paraId="3FDDA987">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确定公司是代理人还是委托人的依据：</w:t>
      </w:r>
    </w:p>
    <w:sdt>
      <w:sdtPr>
        <w:rPr>
          <w:rFonts w:hint="eastAsia" w:cs="Arial"/>
          <w:color w:val="000000" w:themeColor="text1"/>
          <w14:textFill>
            <w14:solidFill>
              <w14:schemeClr w14:val="tx1"/>
            </w14:solidFill>
          </w14:textFill>
        </w:rPr>
        <w:alias w:val="确定公司是代理人还是委托人的依据"/>
        <w:tag w:val="_GBC_6e0bd1ebb4c2474da455b4f5a3a59699"/>
        <w:id w:val="147460048"/>
        <w:placeholder>
          <w:docPart w:val="GBC22222222222222222222222222222"/>
        </w:placeholder>
      </w:sdtPr>
      <w:sdtEndPr>
        <w:rPr>
          <w:rFonts w:hint="eastAsia" w:cs="Arial"/>
          <w:color w:val="000000" w:themeColor="text1"/>
          <w14:textFill>
            <w14:solidFill>
              <w14:schemeClr w14:val="tx1"/>
            </w14:solidFill>
          </w14:textFill>
        </w:rPr>
      </w:sdtEndPr>
      <w:sdtContent>
        <w:p w14:paraId="5F9867FF">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    2012 年5月，本公司与母公司新兴际华集团有限公司共同对际华国贸进行增资，增资完成后，本公司持有际华国贸49%股权，新兴际华持有其51%股权。根据新兴际华与本公司的协议，际华国贸执行董事由本公司派出，新兴际华委托本公司决定际华国贸的财务和经营政策，同意际华国贸由本公司实际控制，纳入本公司合并范围。</w:t>
          </w:r>
        </w:p>
      </w:sdtContent>
    </w:sdt>
    <w:p w14:paraId="18D297AD">
      <w:pPr>
        <w:rPr>
          <w:rFonts w:cs="Arial"/>
          <w:color w:val="000000" w:themeColor="text1"/>
          <w14:textFill>
            <w14:solidFill>
              <w14:schemeClr w14:val="tx1"/>
            </w14:solidFill>
          </w14:textFill>
        </w:rPr>
      </w:pPr>
    </w:p>
    <w:p w14:paraId="6D271983">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其他说明：</w:t>
      </w:r>
    </w:p>
    <w:sdt>
      <w:sdtPr>
        <w:rPr>
          <w:rFonts w:cs="Arial"/>
          <w:color w:val="000000" w:themeColor="text1"/>
          <w14:textFill>
            <w14:solidFill>
              <w14:schemeClr w14:val="tx1"/>
            </w14:solidFill>
          </w14:textFill>
        </w:rPr>
        <w:alias w:val="企业集团的构成的其他需要说明的事项"/>
        <w:tag w:val="_GBC_6b7d2d3a14224f7e90a4df3c02b8e3b3"/>
        <w:id w:val="147472715"/>
        <w:placeholder>
          <w:docPart w:val="GBC22222222222222222222222222222"/>
        </w:placeholder>
      </w:sdtPr>
      <w:sdtEndPr>
        <w:rPr>
          <w:rFonts w:cs="Arial"/>
          <w:color w:val="000000" w:themeColor="text1"/>
          <w14:textFill>
            <w14:solidFill>
              <w14:schemeClr w14:val="tx1"/>
            </w14:solidFill>
          </w14:textFill>
        </w:rPr>
      </w:sdtEndPr>
      <w:sdtContent>
        <w:p w14:paraId="6C11336A">
          <w:pPr>
            <w:rPr>
              <w:rFonts w:cstheme="minorBidi"/>
              <w:color w:val="000000" w:themeColor="text1"/>
              <w14:textFill>
                <w14:solidFill>
                  <w14:schemeClr w14:val="tx1"/>
                </w14:solidFill>
              </w14:textFill>
            </w:rPr>
          </w:pPr>
          <w:r>
            <w:rPr>
              <w:rFonts w:hint="eastAsia" w:cs="Arial"/>
              <w:color w:val="000000" w:themeColor="text1"/>
              <w14:textFill>
                <w14:solidFill>
                  <w14:schemeClr w14:val="tx1"/>
                </w14:solidFill>
              </w14:textFill>
            </w:rPr>
            <w:t>无</w:t>
          </w:r>
        </w:p>
      </w:sdtContent>
    </w:sdt>
    <w:bookmarkEnd w:id="403"/>
    <w:p w14:paraId="3C79CAAD">
      <w:pPr>
        <w:rPr>
          <w:rFonts w:cs="Arial"/>
          <w:color w:val="000000" w:themeColor="text1"/>
          <w14:textFill>
            <w14:solidFill>
              <w14:schemeClr w14:val="tx1"/>
            </w14:solidFill>
          </w14:textFill>
        </w:rPr>
      </w:pPr>
    </w:p>
    <w:p w14:paraId="55641C31">
      <w:pPr>
        <w:pStyle w:val="58"/>
        <w:numPr>
          <w:ilvl w:val="3"/>
          <w:numId w:val="97"/>
        </w:numPr>
        <w:ind w:left="406" w:hanging="406" w:hangingChars="202"/>
        <w:rPr>
          <w:color w:val="000000" w:themeColor="text1"/>
          <w14:textFill>
            <w14:solidFill>
              <w14:schemeClr w14:val="tx1"/>
            </w14:solidFill>
          </w14:textFill>
        </w:rPr>
      </w:pPr>
      <w:r>
        <w:rPr>
          <w:rFonts w:hint="eastAsia"/>
          <w:color w:val="000000" w:themeColor="text1"/>
          <w14:textFill>
            <w14:solidFill>
              <w14:schemeClr w14:val="tx1"/>
            </w14:solidFill>
          </w14:textFill>
        </w:rPr>
        <w:t>重要的非全资子公司</w:t>
      </w:r>
    </w:p>
    <w:sdt>
      <w:sdtPr>
        <w:rPr>
          <w:color w:val="000000" w:themeColor="text1"/>
          <w14:textFill>
            <w14:solidFill>
              <w14:schemeClr w14:val="tx1"/>
            </w14:solidFill>
          </w14:textFill>
        </w:rPr>
        <w:alias w:val="是否适用：重要的非全资子公司[双击切换]"/>
        <w:tag w:val="_GBC_b83f349d0d754e2d93b12d2112b4c3ec"/>
        <w:id w:val="147454181"/>
        <w:placeholder>
          <w:docPart w:val="GBC22222222222222222222222222222"/>
        </w:placeholder>
      </w:sdtPr>
      <w:sdtEndPr>
        <w:rPr>
          <w:color w:val="000000" w:themeColor="text1"/>
          <w14:textFill>
            <w14:solidFill>
              <w14:schemeClr w14:val="tx1"/>
            </w14:solidFill>
          </w14:textFill>
        </w:rPr>
      </w:sdtEndPr>
      <w:sdtContent>
        <w:p w14:paraId="7B4ECDA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C4D6A2A">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重要的非全资子公司"/>
          <w:tag w:val="_GBC_e5936e9952394755bacf71d437afcd44"/>
          <w:id w:val="1474589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重要的非全资子公司"/>
          <w:tag w:val="_GBC_5ffac6aa0e464031b94de604fccc76c7"/>
          <w:id w:val="1474597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1"/>
        <w:gridCol w:w="2471"/>
        <w:gridCol w:w="3843"/>
        <w:gridCol w:w="3458"/>
      </w:tblGrid>
      <w:tr w14:paraId="0A522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rPr>
              <w:rFonts w:cs="Times New Roman"/>
            </w:rPr>
            <w:tag w:val="_PLD_214f5d23d0ff4cd08577f444026e3bf2"/>
            <w:id w:val="147480189"/>
          </w:sdtPr>
          <w:sdtEndPr>
            <w:rPr>
              <w:rFonts w:cs="Times New Roman"/>
            </w:rPr>
          </w:sdtEndPr>
          <w:sdtContent>
            <w:tc>
              <w:tcPr>
                <w:tcW w:w="1530" w:type="pct"/>
                <w:vAlign w:val="center"/>
              </w:tcPr>
              <w:p w14:paraId="7D64C64C">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子公司名称</w:t>
                </w:r>
              </w:p>
            </w:tc>
          </w:sdtContent>
        </w:sdt>
        <w:sdt>
          <w:sdtPr>
            <w:rPr>
              <w:rFonts w:cs="Times New Roman"/>
            </w:rPr>
            <w:tag w:val="_PLD_8f337a5f047e4f5eb2e03caf3b5ce2bb"/>
            <w:id w:val="147457358"/>
          </w:sdtPr>
          <w:sdtEndPr>
            <w:rPr>
              <w:rFonts w:cs="Times New Roman"/>
            </w:rPr>
          </w:sdtEndPr>
          <w:sdtContent>
            <w:tc>
              <w:tcPr>
                <w:tcW w:w="877" w:type="pct"/>
                <w:vAlign w:val="center"/>
              </w:tcPr>
              <w:p w14:paraId="08FFB81C">
                <w:pPr>
                  <w:jc w:val="center"/>
                  <w:rPr>
                    <w:rFonts w:cs="Times New Roman"/>
                    <w:bCs w:val="0"/>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少数股东持股</w:t>
                </w:r>
              </w:p>
              <w:p w14:paraId="103CC539">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比例</w:t>
                </w:r>
                <w:r>
                  <w:rPr>
                    <w:rFonts w:cs="Times New Roman"/>
                    <w:color w:val="000000" w:themeColor="text1"/>
                    <w14:textFill>
                      <w14:solidFill>
                        <w14:schemeClr w14:val="tx1"/>
                      </w14:solidFill>
                    </w14:textFill>
                  </w:rPr>
                  <w:t>（%）</w:t>
                </w:r>
              </w:p>
            </w:tc>
          </w:sdtContent>
        </w:sdt>
        <w:sdt>
          <w:sdtPr>
            <w:rPr>
              <w:rFonts w:cs="Times New Roman"/>
            </w:rPr>
            <w:tag w:val="_PLD_70aca7c8f09a4a579e632e06c25a6ab5"/>
            <w:id w:val="147466253"/>
          </w:sdtPr>
          <w:sdtEndPr>
            <w:rPr>
              <w:rFonts w:cs="Times New Roman"/>
            </w:rPr>
          </w:sdtEndPr>
          <w:sdtContent>
            <w:tc>
              <w:tcPr>
                <w:tcW w:w="1364" w:type="pct"/>
                <w:vAlign w:val="center"/>
              </w:tcPr>
              <w:p w14:paraId="06F9747C">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本期归属于少数股东的损益</w:t>
                </w:r>
              </w:p>
            </w:tc>
          </w:sdtContent>
        </w:sdt>
        <w:sdt>
          <w:sdtPr>
            <w:rPr>
              <w:rFonts w:cs="Times New Roman"/>
            </w:rPr>
            <w:tag w:val="_PLD_cea34ef7af164cc8816d90890b528f36"/>
            <w:id w:val="147460565"/>
          </w:sdtPr>
          <w:sdtEndPr>
            <w:rPr>
              <w:rFonts w:cs="Times New Roman"/>
            </w:rPr>
          </w:sdtEndPr>
          <w:sdtContent>
            <w:tc>
              <w:tcPr>
                <w:tcW w:w="1227" w:type="pct"/>
                <w:vAlign w:val="center"/>
              </w:tcPr>
              <w:p w14:paraId="4B750D94">
                <w:pPr>
                  <w:ind w:right="-16"/>
                  <w:jc w:val="center"/>
                  <w:rPr>
                    <w:rFonts w:cs="Times New Roman"/>
                    <w:bCs w:val="0"/>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期末少数股东权益余额</w:t>
                </w:r>
              </w:p>
            </w:tc>
          </w:sdtContent>
        </w:sdt>
      </w:tr>
      <w:tr w14:paraId="0770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pct"/>
            <w:vAlign w:val="center"/>
          </w:tcPr>
          <w:p w14:paraId="033AE1AA">
            <w:pPr>
              <w:jc w:val="center"/>
              <w:textAlignment w:val="center"/>
              <w:rPr>
                <w:rFonts w:cs="Times New Roman"/>
              </w:rPr>
            </w:pPr>
            <w:r>
              <w:rPr>
                <w:rFonts w:cs="Times New Roman"/>
                <w:color w:val="000000"/>
                <w:lang w:bidi="ar"/>
              </w:rPr>
              <w:t>湖北际华针织有限公司</w:t>
            </w:r>
          </w:p>
        </w:tc>
        <w:tc>
          <w:tcPr>
            <w:tcW w:w="877" w:type="pct"/>
            <w:vAlign w:val="center"/>
          </w:tcPr>
          <w:p w14:paraId="2F27EA47">
            <w:pPr>
              <w:jc w:val="right"/>
              <w:textAlignment w:val="center"/>
              <w:rPr>
                <w:rFonts w:cs="Times New Roman"/>
              </w:rPr>
            </w:pPr>
            <w:r>
              <w:rPr>
                <w:rFonts w:cs="Times New Roman"/>
                <w:color w:val="000000"/>
              </w:rPr>
              <w:t>49.00</w:t>
            </w:r>
          </w:p>
        </w:tc>
        <w:tc>
          <w:tcPr>
            <w:tcW w:w="1364" w:type="pct"/>
            <w:vAlign w:val="center"/>
          </w:tcPr>
          <w:p w14:paraId="5380AB3D">
            <w:pPr>
              <w:jc w:val="right"/>
              <w:textAlignment w:val="center"/>
              <w:rPr>
                <w:rFonts w:cs="Times New Roman"/>
              </w:rPr>
            </w:pPr>
            <w:r>
              <w:rPr>
                <w:rFonts w:cs="Times New Roman"/>
                <w:color w:val="000000"/>
              </w:rPr>
              <w:t>-1,814,920.55</w:t>
            </w:r>
          </w:p>
        </w:tc>
        <w:tc>
          <w:tcPr>
            <w:tcW w:w="1227" w:type="pct"/>
            <w:vAlign w:val="center"/>
          </w:tcPr>
          <w:p w14:paraId="02412300">
            <w:pPr>
              <w:jc w:val="right"/>
              <w:textAlignment w:val="center"/>
              <w:rPr>
                <w:rFonts w:cs="Times New Roman"/>
              </w:rPr>
            </w:pPr>
            <w:r>
              <w:rPr>
                <w:rFonts w:cs="Times New Roman"/>
                <w:color w:val="000000"/>
              </w:rPr>
              <w:t>86,364,842.59</w:t>
            </w:r>
          </w:p>
        </w:tc>
      </w:tr>
      <w:tr w14:paraId="4CD8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pct"/>
            <w:vAlign w:val="center"/>
          </w:tcPr>
          <w:p w14:paraId="0B4EF0FB">
            <w:pPr>
              <w:jc w:val="center"/>
              <w:textAlignment w:val="center"/>
              <w:rPr>
                <w:rFonts w:cs="Times New Roman"/>
              </w:rPr>
            </w:pPr>
            <w:r>
              <w:rPr>
                <w:rFonts w:cs="Times New Roman"/>
                <w:color w:val="000000"/>
                <w:lang w:bidi="ar"/>
              </w:rPr>
              <w:t>新兴际华国际贸易有限公司</w:t>
            </w:r>
          </w:p>
        </w:tc>
        <w:tc>
          <w:tcPr>
            <w:tcW w:w="877" w:type="pct"/>
            <w:vAlign w:val="center"/>
          </w:tcPr>
          <w:p w14:paraId="3E2FFCFC">
            <w:pPr>
              <w:jc w:val="right"/>
              <w:textAlignment w:val="center"/>
              <w:rPr>
                <w:rFonts w:cs="Times New Roman"/>
              </w:rPr>
            </w:pPr>
            <w:r>
              <w:rPr>
                <w:rFonts w:cs="Times New Roman"/>
                <w:color w:val="000000"/>
              </w:rPr>
              <w:t>51.00</w:t>
            </w:r>
          </w:p>
        </w:tc>
        <w:tc>
          <w:tcPr>
            <w:tcW w:w="1364" w:type="pct"/>
            <w:vAlign w:val="center"/>
          </w:tcPr>
          <w:p w14:paraId="15D77D8F">
            <w:pPr>
              <w:jc w:val="right"/>
              <w:textAlignment w:val="center"/>
              <w:rPr>
                <w:rFonts w:cs="Times New Roman"/>
              </w:rPr>
            </w:pPr>
            <w:r>
              <w:rPr>
                <w:rFonts w:cs="Times New Roman"/>
                <w:color w:val="000000"/>
              </w:rPr>
              <w:t>529,010.25</w:t>
            </w:r>
          </w:p>
        </w:tc>
        <w:tc>
          <w:tcPr>
            <w:tcW w:w="1227" w:type="pct"/>
            <w:vAlign w:val="center"/>
          </w:tcPr>
          <w:p w14:paraId="26C365FD">
            <w:pPr>
              <w:jc w:val="right"/>
              <w:textAlignment w:val="center"/>
              <w:rPr>
                <w:rFonts w:cs="Times New Roman"/>
              </w:rPr>
            </w:pPr>
            <w:r>
              <w:rPr>
                <w:rFonts w:cs="Times New Roman"/>
                <w:color w:val="000000"/>
              </w:rPr>
              <w:t>-171,533,938.65</w:t>
            </w:r>
          </w:p>
        </w:tc>
      </w:tr>
    </w:tbl>
    <w:p w14:paraId="496C5D58">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子公司少数股东的持股比例不同于表决权比例的说明：</w:t>
      </w:r>
    </w:p>
    <w:sdt>
      <w:sdtPr>
        <w:rPr>
          <w:rFonts w:cs="Arial"/>
          <w:color w:val="000000" w:themeColor="text1"/>
          <w14:textFill>
            <w14:solidFill>
              <w14:schemeClr w14:val="tx1"/>
            </w14:solidFill>
          </w14:textFill>
        </w:rPr>
        <w:alias w:val="是否适用：子公司少数股东的持股比例不同于表决权比例的说明[双击切换]"/>
        <w:tag w:val="_GBC_8bf91d6e05c644d1b37f5d88e434cb9e"/>
        <w:id w:val="147473004"/>
        <w:placeholder>
          <w:docPart w:val="GBC22222222222222222222222222222"/>
        </w:placeholder>
      </w:sdtPr>
      <w:sdtEndPr>
        <w:rPr>
          <w:rFonts w:cs="Arial"/>
          <w:color w:val="000000" w:themeColor="text1"/>
          <w14:textFill>
            <w14:solidFill>
              <w14:schemeClr w14:val="tx1"/>
            </w14:solidFill>
          </w14:textFill>
        </w:rPr>
      </w:sdtEndPr>
      <w:sdtContent>
        <w:p w14:paraId="714C40A2">
          <w:pPr>
            <w:rPr>
              <w:rFonts w:cs="Arial"/>
              <w:color w:val="000000" w:themeColor="text1"/>
              <w14:textFill>
                <w14:solidFill>
                  <w14:schemeClr w14:val="tx1"/>
                </w14:solidFill>
              </w14:textFill>
            </w:rPr>
          </w:pPr>
          <w:r>
            <w:rPr>
              <w:rFonts w:ascii="宋体" w:hAnsi="宋体" w:cs="Arial"/>
              <w:color w:val="000000" w:themeColor="text1"/>
              <w14:textFill>
                <w14:solidFill>
                  <w14:schemeClr w14:val="tx1"/>
                </w14:solidFill>
              </w14:textFill>
            </w:rPr>
            <w:fldChar w:fldCharType="begin"/>
          </w:r>
          <w:r>
            <w:rPr>
              <w:rFonts w:ascii="宋体" w:hAnsi="宋体" w:cs="Arial"/>
              <w:color w:val="000000" w:themeColor="text1"/>
              <w14:textFill>
                <w14:solidFill>
                  <w14:schemeClr w14:val="tx1"/>
                </w14:solidFill>
              </w14:textFill>
            </w:rPr>
            <w:instrText xml:space="preserve"> MACROBUTTON  SnrToggleCheckbox √适用 </w:instrText>
          </w:r>
          <w:r>
            <w:rPr>
              <w:rFonts w:ascii="宋体" w:hAnsi="宋体" w:cs="Arial"/>
              <w:color w:val="000000" w:themeColor="text1"/>
              <w14:textFill>
                <w14:solidFill>
                  <w14:schemeClr w14:val="tx1"/>
                </w14:solidFill>
              </w14:textFill>
            </w:rPr>
            <w:fldChar w:fldCharType="end"/>
          </w:r>
          <w:r>
            <w:rPr>
              <w:rFonts w:ascii="宋体" w:hAnsi="宋体" w:cs="Arial"/>
              <w:color w:val="000000" w:themeColor="text1"/>
              <w14:textFill>
                <w14:solidFill>
                  <w14:schemeClr w14:val="tx1"/>
                </w14:solidFill>
              </w14:textFill>
            </w:rPr>
            <w:fldChar w:fldCharType="begin"/>
          </w:r>
          <w:r>
            <w:rPr>
              <w:rFonts w:ascii="宋体" w:hAnsi="宋体" w:cs="Arial"/>
              <w:color w:val="000000" w:themeColor="text1"/>
              <w14:textFill>
                <w14:solidFill>
                  <w14:schemeClr w14:val="tx1"/>
                </w14:solidFill>
              </w14:textFill>
            </w:rPr>
            <w:instrText xml:space="preserve"> MACROBUTTON  SnrToggleCheckbox □不适用 </w:instrText>
          </w:r>
          <w:r>
            <w:rPr>
              <w:rFonts w:ascii="宋体" w:hAnsi="宋体" w:cs="Arial"/>
              <w:color w:val="000000" w:themeColor="text1"/>
              <w14:textFill>
                <w14:solidFill>
                  <w14:schemeClr w14:val="tx1"/>
                </w14:solidFill>
              </w14:textFill>
            </w:rPr>
            <w:fldChar w:fldCharType="end"/>
          </w:r>
        </w:p>
      </w:sdtContent>
    </w:sdt>
    <w:p w14:paraId="4DA28CEC">
      <w:pPr>
        <w:rPr>
          <w:rFonts w:cs="Arial"/>
          <w:color w:val="000000" w:themeColor="text1"/>
          <w14:textFill>
            <w14:solidFill>
              <w14:schemeClr w14:val="tx1"/>
            </w14:solidFill>
          </w14:textFill>
        </w:rPr>
      </w:pPr>
      <w:sdt>
        <w:sdtPr>
          <w:rPr>
            <w:rFonts w:cs="Arial"/>
            <w:color w:val="000000" w:themeColor="text1"/>
            <w14:textFill>
              <w14:solidFill>
                <w14:schemeClr w14:val="tx1"/>
              </w14:solidFill>
            </w14:textFill>
          </w:rPr>
          <w:alias w:val="子公司少数股东的持股比例不同于表决权比例的原因说明"/>
          <w:tag w:val="_GBC_fbc604c8ca7f4a248fbf762126693e45"/>
          <w:id w:val="147465480"/>
          <w:placeholder>
            <w:docPart w:val="GBC22222222222222222222222222222"/>
          </w:placeholder>
        </w:sdtPr>
        <w:sdtEndPr>
          <w:rPr>
            <w:rFonts w:cs="Arial"/>
            <w:color w:val="000000" w:themeColor="text1"/>
            <w14:textFill>
              <w14:solidFill>
                <w14:schemeClr w14:val="tx1"/>
              </w14:solidFill>
            </w14:textFill>
          </w:rPr>
        </w:sdtEndPr>
        <w:sdtContent>
          <w:r>
            <w:rPr>
              <w:rFonts w:hint="eastAsia" w:cs="Arial"/>
              <w:color w:val="000000" w:themeColor="text1"/>
              <w14:textFill>
                <w14:solidFill>
                  <w14:schemeClr w14:val="tx1"/>
                </w14:solidFill>
              </w14:textFill>
            </w:rPr>
            <w:t xml:space="preserve">    2012 年5月，本公司与母公司新兴际华集团有限公司共同对际华国贸进行增资，增资完成后，本公司持有际华国贸49%股权，新兴际华持有其51%股权。根据新兴际华与本公司的协议，际华国贸执行董事由本公司派出，新兴际华委托本公司决定际华国贸的财务和经营政策，同意际华国贸由本公司实际控制，纳入本公司合并范围。</w:t>
          </w:r>
        </w:sdtContent>
      </w:sdt>
    </w:p>
    <w:p w14:paraId="5AFBEE52">
      <w:pPr>
        <w:rPr>
          <w:rFonts w:cs="Arial"/>
          <w:color w:val="000000" w:themeColor="text1"/>
          <w14:textFill>
            <w14:solidFill>
              <w14:schemeClr w14:val="tx1"/>
            </w14:solidFill>
          </w14:textFill>
        </w:rPr>
      </w:pPr>
    </w:p>
    <w:p w14:paraId="49CCAC7D">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其他说明：</w:t>
      </w:r>
    </w:p>
    <w:sdt>
      <w:sdtPr>
        <w:rPr>
          <w:rFonts w:cs="Arial"/>
          <w:color w:val="000000" w:themeColor="text1"/>
          <w14:textFill>
            <w14:solidFill>
              <w14:schemeClr w14:val="tx1"/>
            </w14:solidFill>
          </w14:textFill>
        </w:rPr>
        <w:alias w:val="是否适用：重要的非全资子公司其他说明[双击切换]"/>
        <w:tag w:val="_GBC_c511ac7f8f1f42bfa9130e28b68d1f19"/>
        <w:id w:val="147482974"/>
        <w:placeholder>
          <w:docPart w:val="GBC22222222222222222222222222222"/>
        </w:placeholder>
      </w:sdtPr>
      <w:sdtEndPr>
        <w:rPr>
          <w:rFonts w:cs="Arial"/>
          <w:color w:val="000000" w:themeColor="text1"/>
          <w14:textFill>
            <w14:solidFill>
              <w14:schemeClr w14:val="tx1"/>
            </w14:solidFill>
          </w14:textFill>
        </w:rPr>
      </w:sdtEndPr>
      <w:sdtContent>
        <w:p w14:paraId="1345D2E4">
          <w:pPr>
            <w:rPr>
              <w:rFonts w:cs="Arial"/>
              <w:color w:val="000000" w:themeColor="text1"/>
              <w14:textFill>
                <w14:solidFill>
                  <w14:schemeClr w14:val="tx1"/>
                </w14:solidFill>
              </w14:textFill>
            </w:rPr>
          </w:pPr>
          <w:r>
            <w:rPr>
              <w:rFonts w:ascii="宋体" w:hAnsi="宋体" w:cs="Arial"/>
              <w:color w:val="000000" w:themeColor="text1"/>
              <w14:textFill>
                <w14:solidFill>
                  <w14:schemeClr w14:val="tx1"/>
                </w14:solidFill>
              </w14:textFill>
            </w:rPr>
            <w:fldChar w:fldCharType="begin"/>
          </w:r>
          <w:r>
            <w:rPr>
              <w:rFonts w:hint="eastAsia" w:ascii="宋体" w:hAnsi="宋体" w:cs="Arial"/>
              <w:color w:val="000000" w:themeColor="text1"/>
              <w14:textFill>
                <w14:solidFill>
                  <w14:schemeClr w14:val="tx1"/>
                </w14:solidFill>
              </w14:textFill>
            </w:rPr>
            <w:instrText xml:space="preserve"> MACROBUTTON  SnrToggleCheckbox □适用 </w:instrText>
          </w:r>
          <w:r>
            <w:rPr>
              <w:rFonts w:ascii="宋体" w:hAnsi="宋体" w:cs="Arial"/>
              <w:color w:val="000000" w:themeColor="text1"/>
              <w14:textFill>
                <w14:solidFill>
                  <w14:schemeClr w14:val="tx1"/>
                </w14:solidFill>
              </w14:textFill>
            </w:rPr>
            <w:fldChar w:fldCharType="end"/>
          </w:r>
          <w:r>
            <w:rPr>
              <w:rFonts w:ascii="宋体" w:hAnsi="宋体" w:cs="Arial"/>
              <w:color w:val="000000" w:themeColor="text1"/>
              <w14:textFill>
                <w14:solidFill>
                  <w14:schemeClr w14:val="tx1"/>
                </w14:solidFill>
              </w14:textFill>
            </w:rPr>
            <w:fldChar w:fldCharType="begin"/>
          </w:r>
          <w:r>
            <w:rPr>
              <w:rFonts w:hint="eastAsia" w:ascii="宋体" w:hAnsi="宋体" w:cs="Arial"/>
              <w:color w:val="000000" w:themeColor="text1"/>
              <w14:textFill>
                <w14:solidFill>
                  <w14:schemeClr w14:val="tx1"/>
                </w14:solidFill>
              </w14:textFill>
            </w:rPr>
            <w:instrText xml:space="preserve"> MACROBUTTON  SnrToggleCheckbox √不适用 </w:instrText>
          </w:r>
          <w:r>
            <w:rPr>
              <w:rFonts w:ascii="宋体" w:hAnsi="宋体" w:cs="Arial"/>
              <w:color w:val="000000" w:themeColor="text1"/>
              <w14:textFill>
                <w14:solidFill>
                  <w14:schemeClr w14:val="tx1"/>
                </w14:solidFill>
              </w14:textFill>
            </w:rPr>
            <w:fldChar w:fldCharType="end"/>
          </w:r>
        </w:p>
      </w:sdtContent>
    </w:sdt>
    <w:p w14:paraId="676D9E86">
      <w:pPr>
        <w:rPr>
          <w:rFonts w:cs="Arial"/>
          <w:color w:val="000000" w:themeColor="text1"/>
          <w14:textFill>
            <w14:solidFill>
              <w14:schemeClr w14:val="tx1"/>
            </w14:solidFill>
          </w14:textFill>
        </w:rPr>
      </w:pPr>
    </w:p>
    <w:p w14:paraId="25CC3948">
      <w:pPr>
        <w:pStyle w:val="58"/>
        <w:numPr>
          <w:ilvl w:val="3"/>
          <w:numId w:val="97"/>
        </w:numPr>
        <w:ind w:left="406" w:hanging="406" w:hangingChars="202"/>
        <w:rPr>
          <w:color w:val="000000" w:themeColor="text1"/>
          <w14:textFill>
            <w14:solidFill>
              <w14:schemeClr w14:val="tx1"/>
            </w14:solidFill>
          </w14:textFill>
        </w:rPr>
      </w:pPr>
      <w:r>
        <w:rPr>
          <w:rFonts w:hint="eastAsia"/>
          <w:color w:val="000000" w:themeColor="text1"/>
          <w14:textFill>
            <w14:solidFill>
              <w14:schemeClr w14:val="tx1"/>
            </w14:solidFill>
          </w14:textFill>
        </w:rPr>
        <w:t>重要非全资子公司的主要财务信息</w:t>
      </w:r>
    </w:p>
    <w:sdt>
      <w:sdtPr>
        <w:rPr>
          <w:color w:val="000000" w:themeColor="text1"/>
          <w14:textFill>
            <w14:solidFill>
              <w14:schemeClr w14:val="tx1"/>
            </w14:solidFill>
          </w14:textFill>
        </w:rPr>
        <w:alias w:val="是否适用：重要非全资子公司的主要财务信息[双击切换]"/>
        <w:tag w:val="_GBC_c10a7c42e39b4ac9a711e2e9d367799e"/>
        <w:id w:val="147471342"/>
        <w:placeholder>
          <w:docPart w:val="GBC22222222222222222222222222222"/>
        </w:placeholder>
      </w:sdtPr>
      <w:sdtEndPr>
        <w:rPr>
          <w:color w:val="000000" w:themeColor="text1"/>
          <w14:textFill>
            <w14:solidFill>
              <w14:schemeClr w14:val="tx1"/>
            </w14:solidFill>
          </w14:textFill>
        </w:rPr>
      </w:sdtEndPr>
      <w:sdtContent>
        <w:p w14:paraId="7371E96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399B1CA">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重要非全资子公司的主要财务信息"/>
          <w:tag w:val="_GBC_ba918360b15748859fb63cacad1f617d"/>
          <w:id w:val="1474542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万元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重要非全资子公司的主要财务信息"/>
          <w:tag w:val="_GBC_af5cc4f1e7a74e3d8f9c9fea25fdf05f"/>
          <w:id w:val="1474658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1084"/>
        <w:gridCol w:w="1085"/>
        <w:gridCol w:w="1085"/>
        <w:gridCol w:w="1085"/>
        <w:gridCol w:w="1085"/>
        <w:gridCol w:w="1085"/>
        <w:gridCol w:w="1085"/>
        <w:gridCol w:w="1085"/>
        <w:gridCol w:w="1085"/>
        <w:gridCol w:w="1085"/>
        <w:gridCol w:w="1085"/>
        <w:gridCol w:w="1071"/>
      </w:tblGrid>
      <w:tr w14:paraId="0C4FD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rPr>
              <w:rFonts w:cs="Times New Roman"/>
            </w:rPr>
            <w:tag w:val="_PLD_e65ae60c1beb4e5aa4e9c5250ffb188a"/>
            <w:id w:val="147464620"/>
          </w:sdtPr>
          <w:sdtEndPr>
            <w:rPr>
              <w:rFonts w:cs="Times New Roman"/>
            </w:rPr>
          </w:sdtEndPr>
          <w:sdtContent>
            <w:tc>
              <w:tcPr>
                <w:tcW w:w="385" w:type="pct"/>
                <w:vMerge w:val="restart"/>
                <w:vAlign w:val="center"/>
              </w:tcPr>
              <w:p w14:paraId="2E8EA341">
                <w:pPr>
                  <w:ind w:right="-16"/>
                  <w:jc w:val="center"/>
                  <w:rPr>
                    <w:rFonts w:cs="Times New Roman"/>
                    <w:bCs w:val="0"/>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子公司名称</w:t>
                </w:r>
              </w:p>
            </w:tc>
          </w:sdtContent>
        </w:sdt>
        <w:sdt>
          <w:sdtPr>
            <w:rPr>
              <w:rFonts w:cs="Times New Roman"/>
            </w:rPr>
            <w:tag w:val="_PLD_878e21e6ce5e466eb427e7200cc9e5bb"/>
            <w:id w:val="147476871"/>
          </w:sdtPr>
          <w:sdtEndPr>
            <w:rPr>
              <w:rFonts w:cs="Times New Roman"/>
            </w:rPr>
          </w:sdtEndPr>
          <w:sdtContent>
            <w:tc>
              <w:tcPr>
                <w:tcW w:w="2310" w:type="pct"/>
                <w:gridSpan w:val="6"/>
                <w:vAlign w:val="center"/>
              </w:tcPr>
              <w:p w14:paraId="6C179E64">
                <w:pPr>
                  <w:ind w:right="-16"/>
                  <w:jc w:val="center"/>
                  <w:rPr>
                    <w:rFonts w:cs="Times New Roman"/>
                    <w:bCs w:val="0"/>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期末余额</w:t>
                </w:r>
              </w:p>
            </w:tc>
          </w:sdtContent>
        </w:sdt>
        <w:sdt>
          <w:sdtPr>
            <w:rPr>
              <w:rFonts w:cs="Times New Roman"/>
            </w:rPr>
            <w:tag w:val="_PLD_86b93e4e78424106874bd84d54fb24df"/>
            <w:id w:val="147464646"/>
          </w:sdtPr>
          <w:sdtEndPr>
            <w:rPr>
              <w:rFonts w:cs="Times New Roman"/>
            </w:rPr>
          </w:sdtEndPr>
          <w:sdtContent>
            <w:tc>
              <w:tcPr>
                <w:tcW w:w="2304" w:type="pct"/>
                <w:gridSpan w:val="6"/>
                <w:vAlign w:val="center"/>
              </w:tcPr>
              <w:p w14:paraId="1CBFE51D">
                <w:pPr>
                  <w:ind w:right="-16"/>
                  <w:jc w:val="center"/>
                  <w:rPr>
                    <w:rFonts w:cs="Times New Roman"/>
                    <w:bCs w:val="0"/>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期初余额</w:t>
                </w:r>
              </w:p>
            </w:tc>
          </w:sdtContent>
        </w:sdt>
      </w:tr>
      <w:tr w14:paraId="4516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385" w:type="pct"/>
            <w:vMerge w:val="continue"/>
            <w:vAlign w:val="center"/>
          </w:tcPr>
          <w:p w14:paraId="64BD6D69">
            <w:pPr>
              <w:rPr>
                <w:rFonts w:cs="Times New Roman"/>
                <w:bCs w:val="0"/>
                <w:color w:val="000000" w:themeColor="text1"/>
                <w14:textFill>
                  <w14:solidFill>
                    <w14:schemeClr w14:val="tx1"/>
                  </w14:solidFill>
                </w14:textFill>
              </w:rPr>
            </w:pPr>
          </w:p>
        </w:tc>
        <w:sdt>
          <w:sdtPr>
            <w:rPr>
              <w:rFonts w:cs="Times New Roman"/>
            </w:rPr>
            <w:tag w:val="_PLD_0154d63f3f2c482ebe0cf00460d87fbd"/>
            <w:id w:val="147456811"/>
          </w:sdtPr>
          <w:sdtEndPr>
            <w:rPr>
              <w:rFonts w:cs="Times New Roman"/>
            </w:rPr>
          </w:sdtEndPr>
          <w:sdtContent>
            <w:tc>
              <w:tcPr>
                <w:tcW w:w="385" w:type="pct"/>
                <w:vAlign w:val="center"/>
              </w:tcPr>
              <w:p w14:paraId="0DCEC156">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流动资产</w:t>
                </w:r>
              </w:p>
            </w:tc>
          </w:sdtContent>
        </w:sdt>
        <w:sdt>
          <w:sdtPr>
            <w:rPr>
              <w:rFonts w:cs="Times New Roman"/>
            </w:rPr>
            <w:tag w:val="_PLD_0f817c02730447aca042c6a931d447e8"/>
            <w:id w:val="147477474"/>
          </w:sdtPr>
          <w:sdtEndPr>
            <w:rPr>
              <w:rFonts w:cs="Times New Roman"/>
            </w:rPr>
          </w:sdtEndPr>
          <w:sdtContent>
            <w:tc>
              <w:tcPr>
                <w:tcW w:w="385" w:type="pct"/>
                <w:vAlign w:val="center"/>
              </w:tcPr>
              <w:p w14:paraId="2C9BF877">
                <w:pPr>
                  <w:ind w:left="-40" w:right="-97"/>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非流动资产</w:t>
                </w:r>
              </w:p>
            </w:tc>
          </w:sdtContent>
        </w:sdt>
        <w:sdt>
          <w:sdtPr>
            <w:rPr>
              <w:rFonts w:cs="Times New Roman"/>
            </w:rPr>
            <w:tag w:val="_PLD_553e0814e94f491784b88cc5aa7d6adb"/>
            <w:id w:val="147456278"/>
          </w:sdtPr>
          <w:sdtEndPr>
            <w:rPr>
              <w:rFonts w:cs="Times New Roman"/>
            </w:rPr>
          </w:sdtEndPr>
          <w:sdtContent>
            <w:tc>
              <w:tcPr>
                <w:tcW w:w="385" w:type="pct"/>
                <w:vAlign w:val="center"/>
              </w:tcPr>
              <w:p w14:paraId="3FFF3F82">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资产合计</w:t>
                </w:r>
              </w:p>
            </w:tc>
          </w:sdtContent>
        </w:sdt>
        <w:sdt>
          <w:sdtPr>
            <w:rPr>
              <w:rFonts w:cs="Times New Roman"/>
            </w:rPr>
            <w:tag w:val="_PLD_3db84901ffa544afb174531f0384a82f"/>
            <w:id w:val="147480900"/>
          </w:sdtPr>
          <w:sdtEndPr>
            <w:rPr>
              <w:rFonts w:cs="Times New Roman"/>
            </w:rPr>
          </w:sdtEndPr>
          <w:sdtContent>
            <w:tc>
              <w:tcPr>
                <w:tcW w:w="385" w:type="pct"/>
                <w:vAlign w:val="center"/>
              </w:tcPr>
              <w:p w14:paraId="4C270296">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流动负债</w:t>
                </w:r>
              </w:p>
            </w:tc>
          </w:sdtContent>
        </w:sdt>
        <w:sdt>
          <w:sdtPr>
            <w:rPr>
              <w:rFonts w:cs="Times New Roman"/>
            </w:rPr>
            <w:tag w:val="_PLD_50c217cc437b4c3496e1aab622fba053"/>
            <w:id w:val="147453930"/>
          </w:sdtPr>
          <w:sdtEndPr>
            <w:rPr>
              <w:rFonts w:cs="Times New Roman"/>
            </w:rPr>
          </w:sdtEndPr>
          <w:sdtContent>
            <w:tc>
              <w:tcPr>
                <w:tcW w:w="385" w:type="pct"/>
                <w:vAlign w:val="center"/>
              </w:tcPr>
              <w:p w14:paraId="2996E5C8">
                <w:pPr>
                  <w:ind w:left="-40" w:right="-97"/>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非流动负债</w:t>
                </w:r>
              </w:p>
            </w:tc>
          </w:sdtContent>
        </w:sdt>
        <w:sdt>
          <w:sdtPr>
            <w:rPr>
              <w:rFonts w:cs="Times New Roman"/>
            </w:rPr>
            <w:tag w:val="_PLD_ccd9a8d3652e4485a763cfb37eb6fa37"/>
            <w:id w:val="147456694"/>
          </w:sdtPr>
          <w:sdtEndPr>
            <w:rPr>
              <w:rFonts w:cs="Times New Roman"/>
            </w:rPr>
          </w:sdtEndPr>
          <w:sdtContent>
            <w:tc>
              <w:tcPr>
                <w:tcW w:w="385" w:type="pct"/>
                <w:vAlign w:val="center"/>
              </w:tcPr>
              <w:p w14:paraId="65EBD1FF">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负债合计</w:t>
                </w:r>
              </w:p>
            </w:tc>
          </w:sdtContent>
        </w:sdt>
        <w:sdt>
          <w:sdtPr>
            <w:rPr>
              <w:rFonts w:cs="Times New Roman"/>
            </w:rPr>
            <w:tag w:val="_PLD_ec07cd6513b74d49b586125d4b66dd0a"/>
            <w:id w:val="147478826"/>
          </w:sdtPr>
          <w:sdtEndPr>
            <w:rPr>
              <w:rFonts w:cs="Times New Roman"/>
            </w:rPr>
          </w:sdtEndPr>
          <w:sdtContent>
            <w:tc>
              <w:tcPr>
                <w:tcW w:w="385" w:type="pct"/>
                <w:vAlign w:val="center"/>
              </w:tcPr>
              <w:p w14:paraId="4D31AD20">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流动资产</w:t>
                </w:r>
              </w:p>
            </w:tc>
          </w:sdtContent>
        </w:sdt>
        <w:sdt>
          <w:sdtPr>
            <w:rPr>
              <w:rFonts w:cs="Times New Roman"/>
            </w:rPr>
            <w:tag w:val="_PLD_fb97ce65ab144768b4fb9978546fce37"/>
            <w:id w:val="147458071"/>
          </w:sdtPr>
          <w:sdtEndPr>
            <w:rPr>
              <w:rFonts w:cs="Times New Roman"/>
            </w:rPr>
          </w:sdtEndPr>
          <w:sdtContent>
            <w:tc>
              <w:tcPr>
                <w:tcW w:w="385" w:type="pct"/>
                <w:vAlign w:val="center"/>
              </w:tcPr>
              <w:p w14:paraId="6A8C730F">
                <w:pPr>
                  <w:ind w:left="-40" w:right="-97"/>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非流动资产</w:t>
                </w:r>
              </w:p>
            </w:tc>
          </w:sdtContent>
        </w:sdt>
        <w:sdt>
          <w:sdtPr>
            <w:rPr>
              <w:rFonts w:cs="Times New Roman"/>
            </w:rPr>
            <w:tag w:val="_PLD_412845ecfd2e45e8ae03b43cf8ca32f4"/>
            <w:id w:val="147480579"/>
          </w:sdtPr>
          <w:sdtEndPr>
            <w:rPr>
              <w:rFonts w:cs="Times New Roman"/>
            </w:rPr>
          </w:sdtEndPr>
          <w:sdtContent>
            <w:tc>
              <w:tcPr>
                <w:tcW w:w="385" w:type="pct"/>
                <w:vAlign w:val="center"/>
              </w:tcPr>
              <w:p w14:paraId="537D48F0">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资产合计</w:t>
                </w:r>
              </w:p>
            </w:tc>
          </w:sdtContent>
        </w:sdt>
        <w:sdt>
          <w:sdtPr>
            <w:rPr>
              <w:rFonts w:cs="Times New Roman"/>
            </w:rPr>
            <w:tag w:val="_PLD_2a24724c66b442e994f401266a55d5df"/>
            <w:id w:val="147453816"/>
          </w:sdtPr>
          <w:sdtEndPr>
            <w:rPr>
              <w:rFonts w:cs="Times New Roman"/>
            </w:rPr>
          </w:sdtEndPr>
          <w:sdtContent>
            <w:tc>
              <w:tcPr>
                <w:tcW w:w="385" w:type="pct"/>
                <w:vAlign w:val="center"/>
              </w:tcPr>
              <w:p w14:paraId="6347C58A">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流动负债</w:t>
                </w:r>
              </w:p>
            </w:tc>
          </w:sdtContent>
        </w:sdt>
        <w:sdt>
          <w:sdtPr>
            <w:rPr>
              <w:rFonts w:cs="Times New Roman"/>
            </w:rPr>
            <w:tag w:val="_PLD_937f557a5cdb4ea99a0a914e755f781f"/>
            <w:id w:val="147467140"/>
          </w:sdtPr>
          <w:sdtEndPr>
            <w:rPr>
              <w:rFonts w:cs="Times New Roman"/>
            </w:rPr>
          </w:sdtEndPr>
          <w:sdtContent>
            <w:tc>
              <w:tcPr>
                <w:tcW w:w="385" w:type="pct"/>
                <w:vAlign w:val="center"/>
              </w:tcPr>
              <w:p w14:paraId="73CC2185">
                <w:pPr>
                  <w:ind w:left="-40" w:right="-97"/>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非流动负债</w:t>
                </w:r>
              </w:p>
            </w:tc>
          </w:sdtContent>
        </w:sdt>
        <w:sdt>
          <w:sdtPr>
            <w:rPr>
              <w:rFonts w:cs="Times New Roman"/>
            </w:rPr>
            <w:tag w:val="_PLD_c4b998a44f394e1eb0924a4f19409ff8"/>
            <w:id w:val="147478508"/>
          </w:sdtPr>
          <w:sdtEndPr>
            <w:rPr>
              <w:rFonts w:cs="Times New Roman"/>
            </w:rPr>
          </w:sdtEndPr>
          <w:sdtContent>
            <w:tc>
              <w:tcPr>
                <w:tcW w:w="380" w:type="pct"/>
                <w:vAlign w:val="center"/>
              </w:tcPr>
              <w:p w14:paraId="1E78B354">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负债合计</w:t>
                </w:r>
              </w:p>
            </w:tc>
          </w:sdtContent>
        </w:sdt>
      </w:tr>
      <w:tr w14:paraId="17D48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346D0465">
            <w:pPr>
              <w:jc w:val="center"/>
              <w:textAlignment w:val="center"/>
              <w:rPr>
                <w:rFonts w:cs="Times New Roman"/>
              </w:rPr>
            </w:pPr>
            <w:r>
              <w:rPr>
                <w:rFonts w:cs="Times New Roman"/>
                <w:color w:val="000000"/>
                <w:lang w:bidi="ar"/>
              </w:rPr>
              <w:t>湖北际华针织有限公司</w:t>
            </w:r>
          </w:p>
        </w:tc>
        <w:tc>
          <w:tcPr>
            <w:tcW w:w="385" w:type="pct"/>
            <w:vAlign w:val="center"/>
          </w:tcPr>
          <w:p w14:paraId="6D05F42F">
            <w:pPr>
              <w:jc w:val="right"/>
              <w:textAlignment w:val="center"/>
              <w:rPr>
                <w:rFonts w:cs="Times New Roman"/>
              </w:rPr>
            </w:pPr>
            <w:r>
              <w:rPr>
                <w:rFonts w:cs="Times New Roman"/>
                <w:color w:val="000000"/>
              </w:rPr>
              <w:t>14,536.58</w:t>
            </w:r>
          </w:p>
        </w:tc>
        <w:tc>
          <w:tcPr>
            <w:tcW w:w="385" w:type="pct"/>
            <w:vAlign w:val="center"/>
          </w:tcPr>
          <w:p w14:paraId="76336B4F">
            <w:pPr>
              <w:jc w:val="right"/>
              <w:textAlignment w:val="center"/>
              <w:rPr>
                <w:rFonts w:cs="Times New Roman"/>
              </w:rPr>
            </w:pPr>
            <w:r>
              <w:rPr>
                <w:rFonts w:cs="Times New Roman"/>
                <w:color w:val="000000"/>
              </w:rPr>
              <w:t>8,524.78</w:t>
            </w:r>
          </w:p>
        </w:tc>
        <w:tc>
          <w:tcPr>
            <w:tcW w:w="385" w:type="pct"/>
            <w:vAlign w:val="center"/>
          </w:tcPr>
          <w:p w14:paraId="4442DF82">
            <w:pPr>
              <w:jc w:val="right"/>
              <w:textAlignment w:val="center"/>
              <w:rPr>
                <w:rFonts w:cs="Times New Roman"/>
              </w:rPr>
            </w:pPr>
            <w:r>
              <w:rPr>
                <w:rFonts w:cs="Times New Roman"/>
                <w:color w:val="000000"/>
              </w:rPr>
              <w:t>23,061.36</w:t>
            </w:r>
          </w:p>
        </w:tc>
        <w:tc>
          <w:tcPr>
            <w:tcW w:w="385" w:type="pct"/>
            <w:vAlign w:val="center"/>
          </w:tcPr>
          <w:p w14:paraId="4AE8DC20">
            <w:pPr>
              <w:jc w:val="right"/>
              <w:textAlignment w:val="center"/>
              <w:rPr>
                <w:rFonts w:cs="Times New Roman"/>
              </w:rPr>
            </w:pPr>
            <w:r>
              <w:rPr>
                <w:rFonts w:cs="Times New Roman"/>
                <w:color w:val="000000"/>
              </w:rPr>
              <w:t>5,435.88</w:t>
            </w:r>
          </w:p>
        </w:tc>
        <w:tc>
          <w:tcPr>
            <w:tcW w:w="385" w:type="pct"/>
            <w:vAlign w:val="center"/>
          </w:tcPr>
          <w:p w14:paraId="42743E23">
            <w:pPr>
              <w:jc w:val="right"/>
              <w:rPr>
                <w:rFonts w:cs="Times New Roman"/>
              </w:rPr>
            </w:pPr>
          </w:p>
        </w:tc>
        <w:tc>
          <w:tcPr>
            <w:tcW w:w="385" w:type="pct"/>
            <w:vAlign w:val="center"/>
          </w:tcPr>
          <w:p w14:paraId="053237E5">
            <w:pPr>
              <w:jc w:val="right"/>
              <w:textAlignment w:val="center"/>
              <w:rPr>
                <w:rFonts w:cs="Times New Roman"/>
              </w:rPr>
            </w:pPr>
            <w:r>
              <w:rPr>
                <w:rFonts w:cs="Times New Roman"/>
                <w:color w:val="000000"/>
              </w:rPr>
              <w:t>5,435.88</w:t>
            </w:r>
          </w:p>
        </w:tc>
        <w:tc>
          <w:tcPr>
            <w:tcW w:w="385" w:type="pct"/>
            <w:vAlign w:val="center"/>
          </w:tcPr>
          <w:p w14:paraId="3CC3D46B">
            <w:pPr>
              <w:jc w:val="right"/>
              <w:textAlignment w:val="center"/>
              <w:rPr>
                <w:rFonts w:cs="Times New Roman"/>
              </w:rPr>
            </w:pPr>
            <w:r>
              <w:rPr>
                <w:rFonts w:cs="Times New Roman"/>
                <w:color w:val="000000"/>
              </w:rPr>
              <w:t>14,137.02</w:t>
            </w:r>
          </w:p>
        </w:tc>
        <w:tc>
          <w:tcPr>
            <w:tcW w:w="385" w:type="pct"/>
            <w:vAlign w:val="center"/>
          </w:tcPr>
          <w:p w14:paraId="7D6D3709">
            <w:pPr>
              <w:jc w:val="right"/>
              <w:textAlignment w:val="center"/>
              <w:rPr>
                <w:rFonts w:cs="Times New Roman"/>
              </w:rPr>
            </w:pPr>
            <w:r>
              <w:rPr>
                <w:rFonts w:cs="Times New Roman"/>
                <w:color w:val="000000"/>
              </w:rPr>
              <w:t>8,430.08</w:t>
            </w:r>
          </w:p>
        </w:tc>
        <w:tc>
          <w:tcPr>
            <w:tcW w:w="385" w:type="pct"/>
            <w:vAlign w:val="center"/>
          </w:tcPr>
          <w:p w14:paraId="7E7C548D">
            <w:pPr>
              <w:jc w:val="right"/>
              <w:textAlignment w:val="center"/>
              <w:rPr>
                <w:rFonts w:cs="Times New Roman"/>
              </w:rPr>
            </w:pPr>
            <w:r>
              <w:rPr>
                <w:rFonts w:cs="Times New Roman"/>
                <w:color w:val="000000"/>
              </w:rPr>
              <w:t>22,567.10</w:t>
            </w:r>
          </w:p>
        </w:tc>
        <w:tc>
          <w:tcPr>
            <w:tcW w:w="385" w:type="pct"/>
            <w:vAlign w:val="center"/>
          </w:tcPr>
          <w:p w14:paraId="4EEA317B">
            <w:pPr>
              <w:jc w:val="right"/>
              <w:textAlignment w:val="center"/>
              <w:rPr>
                <w:rFonts w:cs="Times New Roman"/>
              </w:rPr>
            </w:pPr>
            <w:r>
              <w:rPr>
                <w:rFonts w:cs="Times New Roman"/>
                <w:color w:val="000000"/>
              </w:rPr>
              <w:t>4,571.23</w:t>
            </w:r>
          </w:p>
        </w:tc>
        <w:tc>
          <w:tcPr>
            <w:tcW w:w="385" w:type="pct"/>
            <w:vAlign w:val="center"/>
          </w:tcPr>
          <w:p w14:paraId="48785ED2">
            <w:pPr>
              <w:jc w:val="right"/>
              <w:rPr>
                <w:rFonts w:cs="Times New Roman"/>
              </w:rPr>
            </w:pPr>
          </w:p>
        </w:tc>
        <w:tc>
          <w:tcPr>
            <w:tcW w:w="380" w:type="pct"/>
            <w:vAlign w:val="center"/>
          </w:tcPr>
          <w:p w14:paraId="0D60C98B">
            <w:pPr>
              <w:jc w:val="right"/>
              <w:textAlignment w:val="center"/>
              <w:rPr>
                <w:rFonts w:cs="Times New Roman"/>
              </w:rPr>
            </w:pPr>
            <w:r>
              <w:rPr>
                <w:rFonts w:cs="Times New Roman"/>
                <w:color w:val="000000"/>
              </w:rPr>
              <w:t>4,571.23</w:t>
            </w:r>
          </w:p>
        </w:tc>
      </w:tr>
      <w:tr w14:paraId="760D1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06B2760A">
            <w:pPr>
              <w:jc w:val="center"/>
              <w:textAlignment w:val="center"/>
              <w:rPr>
                <w:rFonts w:cs="Times New Roman"/>
              </w:rPr>
            </w:pPr>
            <w:r>
              <w:rPr>
                <w:rFonts w:cs="Times New Roman"/>
                <w:color w:val="000000"/>
                <w:lang w:bidi="ar"/>
              </w:rPr>
              <w:t>新兴际华国际贸易有限公司</w:t>
            </w:r>
          </w:p>
        </w:tc>
        <w:tc>
          <w:tcPr>
            <w:tcW w:w="385" w:type="pct"/>
            <w:vAlign w:val="center"/>
          </w:tcPr>
          <w:p w14:paraId="236EE498">
            <w:pPr>
              <w:jc w:val="right"/>
              <w:textAlignment w:val="center"/>
              <w:rPr>
                <w:rFonts w:cs="Times New Roman"/>
              </w:rPr>
            </w:pPr>
            <w:r>
              <w:rPr>
                <w:rFonts w:cs="Times New Roman"/>
                <w:color w:val="000000"/>
              </w:rPr>
              <w:t>21,696.15</w:t>
            </w:r>
          </w:p>
        </w:tc>
        <w:tc>
          <w:tcPr>
            <w:tcW w:w="385" w:type="pct"/>
            <w:vAlign w:val="center"/>
          </w:tcPr>
          <w:p w14:paraId="1F60809F">
            <w:pPr>
              <w:jc w:val="right"/>
              <w:textAlignment w:val="center"/>
              <w:rPr>
                <w:rFonts w:cs="Times New Roman"/>
              </w:rPr>
            </w:pPr>
            <w:r>
              <w:rPr>
                <w:rFonts w:cs="Times New Roman"/>
                <w:color w:val="000000"/>
              </w:rPr>
              <w:t>1,453.25</w:t>
            </w:r>
          </w:p>
        </w:tc>
        <w:tc>
          <w:tcPr>
            <w:tcW w:w="385" w:type="pct"/>
            <w:vAlign w:val="center"/>
          </w:tcPr>
          <w:p w14:paraId="27C4F3B9">
            <w:pPr>
              <w:jc w:val="right"/>
              <w:textAlignment w:val="center"/>
              <w:rPr>
                <w:rFonts w:cs="Times New Roman"/>
              </w:rPr>
            </w:pPr>
            <w:r>
              <w:rPr>
                <w:rFonts w:cs="Times New Roman"/>
                <w:color w:val="000000"/>
              </w:rPr>
              <w:t>23,149.40</w:t>
            </w:r>
          </w:p>
        </w:tc>
        <w:tc>
          <w:tcPr>
            <w:tcW w:w="385" w:type="pct"/>
            <w:vAlign w:val="center"/>
          </w:tcPr>
          <w:p w14:paraId="1E2733B8">
            <w:pPr>
              <w:jc w:val="right"/>
              <w:textAlignment w:val="center"/>
              <w:rPr>
                <w:rFonts w:cs="Times New Roman"/>
              </w:rPr>
            </w:pPr>
            <w:r>
              <w:rPr>
                <w:rFonts w:cs="Times New Roman"/>
                <w:color w:val="000000"/>
              </w:rPr>
              <w:t>56,783.51</w:t>
            </w:r>
          </w:p>
        </w:tc>
        <w:tc>
          <w:tcPr>
            <w:tcW w:w="385" w:type="pct"/>
            <w:vAlign w:val="center"/>
          </w:tcPr>
          <w:p w14:paraId="53B2410A">
            <w:pPr>
              <w:jc w:val="right"/>
              <w:rPr>
                <w:rFonts w:cs="Times New Roman"/>
              </w:rPr>
            </w:pPr>
          </w:p>
        </w:tc>
        <w:tc>
          <w:tcPr>
            <w:tcW w:w="385" w:type="pct"/>
            <w:vAlign w:val="center"/>
          </w:tcPr>
          <w:p w14:paraId="6C32D87D">
            <w:pPr>
              <w:jc w:val="right"/>
              <w:textAlignment w:val="center"/>
              <w:rPr>
                <w:rFonts w:cs="Times New Roman"/>
              </w:rPr>
            </w:pPr>
            <w:r>
              <w:rPr>
                <w:rFonts w:cs="Times New Roman"/>
                <w:color w:val="000000"/>
              </w:rPr>
              <w:t>56,783.51</w:t>
            </w:r>
          </w:p>
        </w:tc>
        <w:tc>
          <w:tcPr>
            <w:tcW w:w="385" w:type="pct"/>
            <w:vAlign w:val="center"/>
          </w:tcPr>
          <w:p w14:paraId="52EF6471">
            <w:pPr>
              <w:jc w:val="right"/>
              <w:textAlignment w:val="center"/>
              <w:rPr>
                <w:rFonts w:cs="Times New Roman"/>
              </w:rPr>
            </w:pPr>
            <w:r>
              <w:rPr>
                <w:rFonts w:cs="Times New Roman"/>
                <w:color w:val="000000"/>
              </w:rPr>
              <w:t>18,885.73</w:t>
            </w:r>
          </w:p>
        </w:tc>
        <w:tc>
          <w:tcPr>
            <w:tcW w:w="385" w:type="pct"/>
            <w:vAlign w:val="center"/>
          </w:tcPr>
          <w:p w14:paraId="413D4C49">
            <w:pPr>
              <w:jc w:val="right"/>
              <w:textAlignment w:val="center"/>
              <w:rPr>
                <w:rFonts w:cs="Times New Roman"/>
              </w:rPr>
            </w:pPr>
            <w:r>
              <w:rPr>
                <w:rFonts w:cs="Times New Roman"/>
                <w:color w:val="000000"/>
              </w:rPr>
              <w:t>1,453.99</w:t>
            </w:r>
          </w:p>
        </w:tc>
        <w:tc>
          <w:tcPr>
            <w:tcW w:w="385" w:type="pct"/>
            <w:vAlign w:val="center"/>
          </w:tcPr>
          <w:p w14:paraId="3DD5C642">
            <w:pPr>
              <w:jc w:val="right"/>
              <w:textAlignment w:val="center"/>
              <w:rPr>
                <w:rFonts w:cs="Times New Roman"/>
              </w:rPr>
            </w:pPr>
            <w:r>
              <w:rPr>
                <w:rFonts w:cs="Times New Roman"/>
                <w:color w:val="000000"/>
              </w:rPr>
              <w:t>20,339.72</w:t>
            </w:r>
          </w:p>
        </w:tc>
        <w:tc>
          <w:tcPr>
            <w:tcW w:w="385" w:type="pct"/>
            <w:vAlign w:val="center"/>
          </w:tcPr>
          <w:p w14:paraId="09EE2EFF">
            <w:pPr>
              <w:jc w:val="right"/>
              <w:textAlignment w:val="center"/>
              <w:rPr>
                <w:rFonts w:cs="Times New Roman"/>
              </w:rPr>
            </w:pPr>
            <w:r>
              <w:rPr>
                <w:rFonts w:cs="Times New Roman"/>
                <w:color w:val="000000"/>
              </w:rPr>
              <w:t>54,077.55</w:t>
            </w:r>
          </w:p>
        </w:tc>
        <w:tc>
          <w:tcPr>
            <w:tcW w:w="385" w:type="pct"/>
            <w:vAlign w:val="center"/>
          </w:tcPr>
          <w:p w14:paraId="59D60BAA">
            <w:pPr>
              <w:jc w:val="right"/>
              <w:rPr>
                <w:rFonts w:cs="Times New Roman"/>
              </w:rPr>
            </w:pPr>
          </w:p>
        </w:tc>
        <w:tc>
          <w:tcPr>
            <w:tcW w:w="380" w:type="pct"/>
            <w:vAlign w:val="center"/>
          </w:tcPr>
          <w:p w14:paraId="2CB9EFD4">
            <w:pPr>
              <w:jc w:val="right"/>
              <w:textAlignment w:val="center"/>
              <w:rPr>
                <w:rFonts w:cs="Times New Roman"/>
              </w:rPr>
            </w:pPr>
            <w:r>
              <w:rPr>
                <w:rFonts w:cs="Times New Roman"/>
                <w:color w:val="000000"/>
              </w:rPr>
              <w:t>54,077.55</w:t>
            </w:r>
          </w:p>
        </w:tc>
      </w:tr>
    </w:tbl>
    <w:p w14:paraId="19E1C6D1">
      <w:pPr>
        <w:rPr>
          <w:rFonts w:cs="Arial"/>
          <w:color w:val="000000" w:themeColor="text1"/>
          <w14:textFill>
            <w14:solidFill>
              <w14:schemeClr w14:val="tx1"/>
            </w14:solidFill>
          </w14:textFill>
        </w:rPr>
      </w:pP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7"/>
        <w:gridCol w:w="1403"/>
        <w:gridCol w:w="1341"/>
        <w:gridCol w:w="1485"/>
        <w:gridCol w:w="1643"/>
        <w:gridCol w:w="1403"/>
        <w:gridCol w:w="1341"/>
        <w:gridCol w:w="1485"/>
        <w:gridCol w:w="1641"/>
      </w:tblGrid>
      <w:tr w14:paraId="26639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rPr>
              <w:rFonts w:cs="Times New Roman"/>
            </w:rPr>
            <w:tag w:val="_PLD_87ab97227e5642b988e110c5a28abb39"/>
            <w:id w:val="147460510"/>
          </w:sdtPr>
          <w:sdtEndPr>
            <w:rPr>
              <w:rFonts w:cs="Times New Roman"/>
            </w:rPr>
          </w:sdtEndPr>
          <w:sdtContent>
            <w:tc>
              <w:tcPr>
                <w:tcW w:w="833" w:type="pct"/>
                <w:vMerge w:val="restart"/>
                <w:vAlign w:val="center"/>
              </w:tcPr>
              <w:p w14:paraId="30F02C05">
                <w:pPr>
                  <w:spacing w:line="276" w:lineRule="auto"/>
                  <w:ind w:right="-16"/>
                  <w:jc w:val="center"/>
                  <w:rPr>
                    <w:rFonts w:cs="Times New Roman"/>
                    <w:bCs w:val="0"/>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子公司名称</w:t>
                </w:r>
              </w:p>
            </w:tc>
          </w:sdtContent>
        </w:sdt>
        <w:sdt>
          <w:sdtPr>
            <w:rPr>
              <w:rFonts w:cs="Times New Roman"/>
            </w:rPr>
            <w:tag w:val="_PLD_85f8737cebf641b2aa266052f4118ba8"/>
            <w:id w:val="147463709"/>
          </w:sdtPr>
          <w:sdtEndPr>
            <w:rPr>
              <w:rFonts w:cs="Times New Roman"/>
            </w:rPr>
          </w:sdtEndPr>
          <w:sdtContent>
            <w:tc>
              <w:tcPr>
                <w:tcW w:w="2084" w:type="pct"/>
                <w:gridSpan w:val="4"/>
                <w:vAlign w:val="center"/>
              </w:tcPr>
              <w:p w14:paraId="4A4AE2DD">
                <w:pPr>
                  <w:spacing w:line="276" w:lineRule="auto"/>
                  <w:ind w:right="-16"/>
                  <w:jc w:val="center"/>
                  <w:rPr>
                    <w:rFonts w:cs="Times New Roman"/>
                    <w:bCs w:val="0"/>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本期发生额</w:t>
                </w:r>
              </w:p>
            </w:tc>
          </w:sdtContent>
        </w:sdt>
        <w:sdt>
          <w:sdtPr>
            <w:rPr>
              <w:rFonts w:cs="Times New Roman"/>
            </w:rPr>
            <w:tag w:val="_PLD_32dac50c80854f268b3afdebef20332e"/>
            <w:id w:val="147466484"/>
          </w:sdtPr>
          <w:sdtEndPr>
            <w:rPr>
              <w:rFonts w:cs="Times New Roman"/>
            </w:rPr>
          </w:sdtEndPr>
          <w:sdtContent>
            <w:tc>
              <w:tcPr>
                <w:tcW w:w="2083" w:type="pct"/>
                <w:gridSpan w:val="4"/>
                <w:vAlign w:val="center"/>
              </w:tcPr>
              <w:p w14:paraId="6E99A4D9">
                <w:pPr>
                  <w:spacing w:line="276" w:lineRule="auto"/>
                  <w:ind w:right="-16"/>
                  <w:jc w:val="center"/>
                  <w:rPr>
                    <w:rFonts w:cs="Times New Roman"/>
                    <w:bCs w:val="0"/>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上期发生额</w:t>
                </w:r>
              </w:p>
            </w:tc>
          </w:sdtContent>
        </w:sdt>
      </w:tr>
      <w:tr w14:paraId="69C4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33" w:type="pct"/>
            <w:vMerge w:val="continue"/>
            <w:vAlign w:val="center"/>
          </w:tcPr>
          <w:p w14:paraId="033F4EEA">
            <w:pPr>
              <w:jc w:val="center"/>
              <w:rPr>
                <w:rFonts w:cs="Times New Roman"/>
                <w:bCs w:val="0"/>
                <w:color w:val="000000" w:themeColor="text1"/>
                <w14:textFill>
                  <w14:solidFill>
                    <w14:schemeClr w14:val="tx1"/>
                  </w14:solidFill>
                </w14:textFill>
              </w:rPr>
            </w:pPr>
          </w:p>
        </w:tc>
        <w:sdt>
          <w:sdtPr>
            <w:rPr>
              <w:rFonts w:cs="Times New Roman"/>
            </w:rPr>
            <w:tag w:val="_PLD_29407a86c6924579a6442f5b24e6decd"/>
            <w:id w:val="147464259"/>
          </w:sdtPr>
          <w:sdtEndPr>
            <w:rPr>
              <w:rFonts w:cs="Times New Roman"/>
            </w:rPr>
          </w:sdtEndPr>
          <w:sdtContent>
            <w:tc>
              <w:tcPr>
                <w:tcW w:w="498" w:type="pct"/>
                <w:vAlign w:val="center"/>
              </w:tcPr>
              <w:p w14:paraId="2F53BA99">
                <w:pPr>
                  <w:spacing w:line="276" w:lineRule="auto"/>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营业收入</w:t>
                </w:r>
              </w:p>
            </w:tc>
          </w:sdtContent>
        </w:sdt>
        <w:sdt>
          <w:sdtPr>
            <w:rPr>
              <w:rFonts w:cs="Times New Roman"/>
            </w:rPr>
            <w:tag w:val="_PLD_bc59f1076f2243f8984efa8df921ad2c"/>
            <w:id w:val="147470441"/>
          </w:sdtPr>
          <w:sdtEndPr>
            <w:rPr>
              <w:rFonts w:cs="Times New Roman"/>
            </w:rPr>
          </w:sdtEndPr>
          <w:sdtContent>
            <w:tc>
              <w:tcPr>
                <w:tcW w:w="476" w:type="pct"/>
                <w:vAlign w:val="center"/>
              </w:tcPr>
              <w:p w14:paraId="0884B366">
                <w:pPr>
                  <w:spacing w:line="276" w:lineRule="auto"/>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净利润</w:t>
                </w:r>
              </w:p>
            </w:tc>
          </w:sdtContent>
        </w:sdt>
        <w:sdt>
          <w:sdtPr>
            <w:rPr>
              <w:rFonts w:cs="Times New Roman"/>
            </w:rPr>
            <w:tag w:val="_PLD_90f87c27e3fb4843892cceb85599a3b1"/>
            <w:id w:val="147481868"/>
          </w:sdtPr>
          <w:sdtEndPr>
            <w:rPr>
              <w:rFonts w:cs="Times New Roman"/>
            </w:rPr>
          </w:sdtEndPr>
          <w:sdtContent>
            <w:tc>
              <w:tcPr>
                <w:tcW w:w="527" w:type="pct"/>
                <w:vAlign w:val="center"/>
              </w:tcPr>
              <w:p w14:paraId="57348564">
                <w:pPr>
                  <w:spacing w:line="276" w:lineRule="auto"/>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综合收益总额</w:t>
                </w:r>
              </w:p>
            </w:tc>
          </w:sdtContent>
        </w:sdt>
        <w:sdt>
          <w:sdtPr>
            <w:rPr>
              <w:rFonts w:cs="Times New Roman"/>
            </w:rPr>
            <w:tag w:val="_PLD_3126fb1798f346de95a39458603c4301"/>
            <w:id w:val="147455132"/>
          </w:sdtPr>
          <w:sdtEndPr>
            <w:rPr>
              <w:rFonts w:cs="Times New Roman"/>
            </w:rPr>
          </w:sdtEndPr>
          <w:sdtContent>
            <w:tc>
              <w:tcPr>
                <w:tcW w:w="583" w:type="pct"/>
                <w:vAlign w:val="center"/>
              </w:tcPr>
              <w:p w14:paraId="7C0A6888">
                <w:pPr>
                  <w:spacing w:line="276" w:lineRule="auto"/>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经营活动现金流量</w:t>
                </w:r>
              </w:p>
            </w:tc>
          </w:sdtContent>
        </w:sdt>
        <w:sdt>
          <w:sdtPr>
            <w:rPr>
              <w:rFonts w:cs="Times New Roman"/>
            </w:rPr>
            <w:tag w:val="_PLD_44ccfb27fc6943ac84654ba7c7bef20e"/>
            <w:id w:val="147475219"/>
          </w:sdtPr>
          <w:sdtEndPr>
            <w:rPr>
              <w:rFonts w:cs="Times New Roman"/>
            </w:rPr>
          </w:sdtEndPr>
          <w:sdtContent>
            <w:tc>
              <w:tcPr>
                <w:tcW w:w="498" w:type="pct"/>
                <w:vAlign w:val="center"/>
              </w:tcPr>
              <w:p w14:paraId="318B6474">
                <w:pPr>
                  <w:spacing w:line="276" w:lineRule="auto"/>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营业收入</w:t>
                </w:r>
              </w:p>
            </w:tc>
          </w:sdtContent>
        </w:sdt>
        <w:sdt>
          <w:sdtPr>
            <w:rPr>
              <w:rFonts w:cs="Times New Roman"/>
            </w:rPr>
            <w:tag w:val="_PLD_c08aebbf24fa4b1aa2c4f79232c7c630"/>
            <w:id w:val="147475626"/>
          </w:sdtPr>
          <w:sdtEndPr>
            <w:rPr>
              <w:rFonts w:cs="Times New Roman"/>
            </w:rPr>
          </w:sdtEndPr>
          <w:sdtContent>
            <w:tc>
              <w:tcPr>
                <w:tcW w:w="476" w:type="pct"/>
                <w:vAlign w:val="center"/>
              </w:tcPr>
              <w:p w14:paraId="51B7FA57">
                <w:pPr>
                  <w:spacing w:line="276" w:lineRule="auto"/>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净利润</w:t>
                </w:r>
              </w:p>
            </w:tc>
          </w:sdtContent>
        </w:sdt>
        <w:sdt>
          <w:sdtPr>
            <w:rPr>
              <w:rFonts w:cs="Times New Roman"/>
            </w:rPr>
            <w:tag w:val="_PLD_0a377a03553f4d909179190a153a31b7"/>
            <w:id w:val="147462148"/>
          </w:sdtPr>
          <w:sdtEndPr>
            <w:rPr>
              <w:rFonts w:cs="Times New Roman"/>
            </w:rPr>
          </w:sdtEndPr>
          <w:sdtContent>
            <w:tc>
              <w:tcPr>
                <w:tcW w:w="527" w:type="pct"/>
                <w:vAlign w:val="center"/>
              </w:tcPr>
              <w:p w14:paraId="79603E9E">
                <w:pPr>
                  <w:spacing w:line="276" w:lineRule="auto"/>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综合收益总额</w:t>
                </w:r>
              </w:p>
            </w:tc>
          </w:sdtContent>
        </w:sdt>
        <w:sdt>
          <w:sdtPr>
            <w:rPr>
              <w:rFonts w:cs="Times New Roman"/>
            </w:rPr>
            <w:tag w:val="_PLD_400ec1e5e2cf42e5a9eea23ddbdbd572"/>
            <w:id w:val="147472485"/>
          </w:sdtPr>
          <w:sdtEndPr>
            <w:rPr>
              <w:rFonts w:cs="Times New Roman"/>
            </w:rPr>
          </w:sdtEndPr>
          <w:sdtContent>
            <w:tc>
              <w:tcPr>
                <w:tcW w:w="582" w:type="pct"/>
                <w:vAlign w:val="center"/>
              </w:tcPr>
              <w:p w14:paraId="12BDF056">
                <w:pPr>
                  <w:spacing w:line="276" w:lineRule="auto"/>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经营活动现金流量</w:t>
                </w:r>
              </w:p>
            </w:tc>
          </w:sdtContent>
        </w:sdt>
      </w:tr>
      <w:tr w14:paraId="3F24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41F32031">
            <w:pPr>
              <w:jc w:val="center"/>
              <w:textAlignment w:val="center"/>
              <w:rPr>
                <w:rFonts w:cs="Times New Roman"/>
              </w:rPr>
            </w:pPr>
            <w:r>
              <w:rPr>
                <w:rFonts w:cs="Times New Roman"/>
                <w:color w:val="000000"/>
                <w:lang w:bidi="ar"/>
              </w:rPr>
              <w:t>湖北际华针织有限公司</w:t>
            </w:r>
          </w:p>
        </w:tc>
        <w:tc>
          <w:tcPr>
            <w:tcW w:w="498" w:type="pct"/>
            <w:vAlign w:val="center"/>
          </w:tcPr>
          <w:p w14:paraId="75C8E7D2">
            <w:pPr>
              <w:jc w:val="right"/>
              <w:textAlignment w:val="center"/>
              <w:rPr>
                <w:rFonts w:cs="Times New Roman"/>
              </w:rPr>
            </w:pPr>
            <w:r>
              <w:rPr>
                <w:rFonts w:cs="Times New Roman"/>
                <w:color w:val="000000"/>
              </w:rPr>
              <w:t>4,295.65</w:t>
            </w:r>
          </w:p>
        </w:tc>
        <w:tc>
          <w:tcPr>
            <w:tcW w:w="476" w:type="pct"/>
            <w:vAlign w:val="center"/>
          </w:tcPr>
          <w:p w14:paraId="3B9F5D7F">
            <w:pPr>
              <w:jc w:val="right"/>
              <w:textAlignment w:val="center"/>
              <w:rPr>
                <w:rFonts w:cs="Times New Roman"/>
              </w:rPr>
            </w:pPr>
            <w:r>
              <w:rPr>
                <w:rFonts w:cs="Times New Roman"/>
                <w:color w:val="000000"/>
              </w:rPr>
              <w:t>-370.39</w:t>
            </w:r>
          </w:p>
        </w:tc>
        <w:tc>
          <w:tcPr>
            <w:tcW w:w="527" w:type="pct"/>
            <w:vAlign w:val="center"/>
          </w:tcPr>
          <w:p w14:paraId="68C9C83E">
            <w:pPr>
              <w:jc w:val="right"/>
              <w:textAlignment w:val="center"/>
              <w:rPr>
                <w:rFonts w:cs="Times New Roman"/>
              </w:rPr>
            </w:pPr>
            <w:r>
              <w:rPr>
                <w:rFonts w:cs="Times New Roman"/>
                <w:color w:val="000000"/>
              </w:rPr>
              <w:t>-370.39</w:t>
            </w:r>
          </w:p>
        </w:tc>
        <w:tc>
          <w:tcPr>
            <w:tcW w:w="583" w:type="pct"/>
            <w:vAlign w:val="center"/>
          </w:tcPr>
          <w:p w14:paraId="4BC19B1A">
            <w:pPr>
              <w:jc w:val="right"/>
              <w:textAlignment w:val="center"/>
              <w:rPr>
                <w:rFonts w:cs="Times New Roman"/>
              </w:rPr>
            </w:pPr>
            <w:r>
              <w:rPr>
                <w:rFonts w:cs="Times New Roman"/>
                <w:color w:val="000000"/>
              </w:rPr>
              <w:t>-967.10</w:t>
            </w:r>
          </w:p>
        </w:tc>
        <w:tc>
          <w:tcPr>
            <w:tcW w:w="498" w:type="pct"/>
            <w:vAlign w:val="center"/>
          </w:tcPr>
          <w:p w14:paraId="46DA1CB8">
            <w:pPr>
              <w:jc w:val="right"/>
              <w:textAlignment w:val="center"/>
              <w:rPr>
                <w:rFonts w:cs="Times New Roman"/>
              </w:rPr>
            </w:pPr>
            <w:r>
              <w:rPr>
                <w:rFonts w:cs="Times New Roman"/>
                <w:color w:val="000000"/>
              </w:rPr>
              <w:t>10,688.05</w:t>
            </w:r>
          </w:p>
        </w:tc>
        <w:tc>
          <w:tcPr>
            <w:tcW w:w="476" w:type="pct"/>
            <w:vAlign w:val="center"/>
          </w:tcPr>
          <w:p w14:paraId="1F981983">
            <w:pPr>
              <w:jc w:val="right"/>
              <w:textAlignment w:val="center"/>
              <w:rPr>
                <w:rFonts w:cs="Times New Roman"/>
              </w:rPr>
            </w:pPr>
            <w:r>
              <w:rPr>
                <w:rFonts w:cs="Times New Roman"/>
                <w:color w:val="000000"/>
              </w:rPr>
              <w:t>360.89</w:t>
            </w:r>
          </w:p>
        </w:tc>
        <w:tc>
          <w:tcPr>
            <w:tcW w:w="527" w:type="pct"/>
            <w:vAlign w:val="center"/>
          </w:tcPr>
          <w:p w14:paraId="3AB1D036">
            <w:pPr>
              <w:jc w:val="right"/>
              <w:textAlignment w:val="center"/>
              <w:rPr>
                <w:rFonts w:cs="Times New Roman"/>
              </w:rPr>
            </w:pPr>
            <w:r>
              <w:rPr>
                <w:rFonts w:cs="Times New Roman"/>
                <w:color w:val="000000"/>
              </w:rPr>
              <w:t>360.89</w:t>
            </w:r>
          </w:p>
        </w:tc>
        <w:tc>
          <w:tcPr>
            <w:tcW w:w="582" w:type="pct"/>
            <w:vAlign w:val="center"/>
          </w:tcPr>
          <w:p w14:paraId="4DF71D64">
            <w:pPr>
              <w:jc w:val="right"/>
              <w:textAlignment w:val="center"/>
              <w:rPr>
                <w:rFonts w:cs="Times New Roman"/>
              </w:rPr>
            </w:pPr>
            <w:r>
              <w:rPr>
                <w:rFonts w:cs="Times New Roman"/>
                <w:color w:val="000000"/>
              </w:rPr>
              <w:t>-1,569.70</w:t>
            </w:r>
          </w:p>
        </w:tc>
      </w:tr>
      <w:tr w14:paraId="38FD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52C5BFB2">
            <w:pPr>
              <w:jc w:val="center"/>
              <w:textAlignment w:val="center"/>
              <w:rPr>
                <w:rFonts w:cs="Times New Roman"/>
              </w:rPr>
            </w:pPr>
            <w:r>
              <w:rPr>
                <w:rFonts w:cs="Times New Roman"/>
                <w:color w:val="000000"/>
                <w:lang w:bidi="ar"/>
              </w:rPr>
              <w:t>新兴际华国际贸易有限公司</w:t>
            </w:r>
          </w:p>
        </w:tc>
        <w:tc>
          <w:tcPr>
            <w:tcW w:w="498" w:type="pct"/>
            <w:vAlign w:val="center"/>
          </w:tcPr>
          <w:p w14:paraId="650EE1D6">
            <w:pPr>
              <w:jc w:val="right"/>
              <w:textAlignment w:val="center"/>
              <w:rPr>
                <w:rFonts w:cs="Times New Roman"/>
              </w:rPr>
            </w:pPr>
            <w:r>
              <w:rPr>
                <w:rFonts w:cs="Times New Roman"/>
                <w:color w:val="000000"/>
              </w:rPr>
              <w:t>2,500.34</w:t>
            </w:r>
          </w:p>
        </w:tc>
        <w:tc>
          <w:tcPr>
            <w:tcW w:w="476" w:type="pct"/>
            <w:vAlign w:val="center"/>
          </w:tcPr>
          <w:p w14:paraId="42ACC6C7">
            <w:pPr>
              <w:jc w:val="right"/>
              <w:textAlignment w:val="center"/>
              <w:rPr>
                <w:rFonts w:cs="Times New Roman"/>
              </w:rPr>
            </w:pPr>
            <w:r>
              <w:rPr>
                <w:rFonts w:cs="Times New Roman"/>
                <w:color w:val="000000"/>
              </w:rPr>
              <w:t>103.73</w:t>
            </w:r>
          </w:p>
        </w:tc>
        <w:tc>
          <w:tcPr>
            <w:tcW w:w="1461" w:type="dxa"/>
            <w:vAlign w:val="center"/>
          </w:tcPr>
          <w:p w14:paraId="7D43BC06">
            <w:pPr>
              <w:jc w:val="right"/>
              <w:textAlignment w:val="center"/>
              <w:rPr>
                <w:rFonts w:cs="Times New Roman"/>
              </w:rPr>
            </w:pPr>
            <w:r>
              <w:rPr>
                <w:rFonts w:eastAsia="Arial Narrow" w:cs="Times New Roman"/>
                <w:color w:val="000000"/>
                <w:lang w:bidi="ar"/>
              </w:rPr>
              <w:t>103.73</w:t>
            </w:r>
          </w:p>
        </w:tc>
        <w:tc>
          <w:tcPr>
            <w:tcW w:w="1616" w:type="dxa"/>
            <w:vAlign w:val="center"/>
          </w:tcPr>
          <w:p w14:paraId="4DD865C2">
            <w:pPr>
              <w:jc w:val="right"/>
              <w:textAlignment w:val="center"/>
              <w:rPr>
                <w:rFonts w:cs="Times New Roman"/>
              </w:rPr>
            </w:pPr>
            <w:r>
              <w:rPr>
                <w:rFonts w:eastAsia="Arial Narrow" w:cs="Times New Roman"/>
                <w:color w:val="000000"/>
                <w:lang w:bidi="ar"/>
              </w:rPr>
              <w:t>2,767.39</w:t>
            </w:r>
          </w:p>
        </w:tc>
        <w:tc>
          <w:tcPr>
            <w:tcW w:w="498" w:type="pct"/>
            <w:vAlign w:val="center"/>
          </w:tcPr>
          <w:p w14:paraId="71D40347">
            <w:pPr>
              <w:jc w:val="right"/>
              <w:textAlignment w:val="center"/>
              <w:rPr>
                <w:rFonts w:cs="Times New Roman"/>
              </w:rPr>
            </w:pPr>
            <w:r>
              <w:rPr>
                <w:rFonts w:cs="Times New Roman"/>
                <w:color w:val="000000"/>
              </w:rPr>
              <w:t>12,252.40</w:t>
            </w:r>
          </w:p>
        </w:tc>
        <w:tc>
          <w:tcPr>
            <w:tcW w:w="476" w:type="pct"/>
            <w:vAlign w:val="center"/>
          </w:tcPr>
          <w:p w14:paraId="1CDC7851">
            <w:pPr>
              <w:jc w:val="right"/>
              <w:textAlignment w:val="center"/>
              <w:rPr>
                <w:rFonts w:cs="Times New Roman"/>
              </w:rPr>
            </w:pPr>
            <w:r>
              <w:rPr>
                <w:rFonts w:cs="Times New Roman"/>
                <w:color w:val="000000"/>
              </w:rPr>
              <w:t>-6,833.52</w:t>
            </w:r>
          </w:p>
        </w:tc>
        <w:tc>
          <w:tcPr>
            <w:tcW w:w="527" w:type="pct"/>
            <w:vAlign w:val="center"/>
          </w:tcPr>
          <w:p w14:paraId="69291377">
            <w:pPr>
              <w:jc w:val="right"/>
              <w:textAlignment w:val="center"/>
              <w:rPr>
                <w:rFonts w:cs="Times New Roman"/>
              </w:rPr>
            </w:pPr>
            <w:r>
              <w:rPr>
                <w:rFonts w:cs="Times New Roman"/>
                <w:color w:val="000000"/>
              </w:rPr>
              <w:t>-6,833.52</w:t>
            </w:r>
          </w:p>
        </w:tc>
        <w:tc>
          <w:tcPr>
            <w:tcW w:w="582" w:type="pct"/>
            <w:vAlign w:val="center"/>
          </w:tcPr>
          <w:p w14:paraId="29CA21EB">
            <w:pPr>
              <w:jc w:val="right"/>
              <w:textAlignment w:val="center"/>
              <w:rPr>
                <w:rFonts w:cs="Times New Roman"/>
              </w:rPr>
            </w:pPr>
            <w:r>
              <w:rPr>
                <w:rFonts w:cs="Times New Roman"/>
                <w:color w:val="000000"/>
              </w:rPr>
              <w:t>198.63</w:t>
            </w:r>
          </w:p>
        </w:tc>
      </w:tr>
    </w:tbl>
    <w:p w14:paraId="6B1702A3">
      <w:pPr>
        <w:rPr>
          <w:rFonts w:cs="Arial"/>
          <w:color w:val="000000" w:themeColor="text1"/>
          <w14:textFill>
            <w14:solidFill>
              <w14:schemeClr w14:val="tx1"/>
            </w14:solidFill>
          </w14:textFill>
        </w:rPr>
      </w:pPr>
    </w:p>
    <w:p w14:paraId="7C60F7B4">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其他说明：</w:t>
      </w:r>
    </w:p>
    <w:sdt>
      <w:sdtPr>
        <w:rPr>
          <w:rFonts w:cs="Arial"/>
          <w:color w:val="000000" w:themeColor="text1"/>
          <w14:textFill>
            <w14:solidFill>
              <w14:schemeClr w14:val="tx1"/>
            </w14:solidFill>
          </w14:textFill>
        </w:rPr>
        <w:alias w:val="重要非全资子公司的主要财务信息的其他说明"/>
        <w:tag w:val="_GBC_c6413d961dad488aae6fcf0fda2bf33a"/>
        <w:id w:val="147453830"/>
        <w:placeholder>
          <w:docPart w:val="GBC22222222222222222222222222222"/>
        </w:placeholder>
      </w:sdtPr>
      <w:sdtEndPr>
        <w:rPr>
          <w:rFonts w:cs="Arial"/>
          <w:color w:val="000000" w:themeColor="text1"/>
          <w14:textFill>
            <w14:solidFill>
              <w14:schemeClr w14:val="tx1"/>
            </w14:solidFill>
          </w14:textFill>
        </w:rPr>
      </w:sdtEndPr>
      <w:sdtContent>
        <w:p w14:paraId="6378EDF0">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无</w:t>
          </w:r>
        </w:p>
      </w:sdtContent>
    </w:sdt>
    <w:p w14:paraId="11817C26">
      <w:pPr>
        <w:rPr>
          <w:rFonts w:cs="Arial"/>
          <w:color w:val="000000" w:themeColor="text1"/>
          <w14:textFill>
            <w14:solidFill>
              <w14:schemeClr w14:val="tx1"/>
            </w14:solidFill>
          </w14:textFill>
        </w:rPr>
      </w:pPr>
    </w:p>
    <w:p w14:paraId="460104F2">
      <w:pPr>
        <w:rPr>
          <w:rFonts w:cs="Arial"/>
          <w:color w:val="000000" w:themeColor="text1"/>
          <w14:textFill>
            <w14:solidFill>
              <w14:schemeClr w14:val="tx1"/>
            </w14:solidFill>
          </w14:textFill>
        </w:rPr>
        <w:sectPr>
          <w:pgSz w:w="16838" w:h="11906" w:orient="landscape"/>
          <w:pgMar w:top="1797" w:right="1525" w:bottom="1276" w:left="1440" w:header="856" w:footer="992" w:gutter="0"/>
          <w:cols w:space="425" w:num="1"/>
          <w:docGrid w:linePitch="312" w:charSpace="0"/>
        </w:sectPr>
      </w:pPr>
    </w:p>
    <w:p w14:paraId="1E35EBB0">
      <w:pPr>
        <w:pStyle w:val="58"/>
        <w:numPr>
          <w:ilvl w:val="3"/>
          <w:numId w:val="97"/>
        </w:numPr>
        <w:ind w:left="406" w:hanging="406" w:hangingChars="202"/>
        <w:rPr>
          <w:color w:val="000000" w:themeColor="text1"/>
          <w14:textFill>
            <w14:solidFill>
              <w14:schemeClr w14:val="tx1"/>
            </w14:solidFill>
          </w14:textFill>
        </w:rPr>
      </w:pPr>
      <w:r>
        <w:rPr>
          <w:rFonts w:hint="eastAsia"/>
          <w:color w:val="000000" w:themeColor="text1"/>
          <w14:textFill>
            <w14:solidFill>
              <w14:schemeClr w14:val="tx1"/>
            </w14:solidFill>
          </w14:textFill>
        </w:rPr>
        <w:t>使用企业集团资产和清偿企业集团债务的重大限制：</w:t>
      </w:r>
    </w:p>
    <w:sdt>
      <w:sdtPr>
        <w:rPr>
          <w:color w:val="000000" w:themeColor="text1"/>
          <w14:textFill>
            <w14:solidFill>
              <w14:schemeClr w14:val="tx1"/>
            </w14:solidFill>
          </w14:textFill>
        </w:rPr>
        <w:alias w:val="是否适用：使用企业集团资产和清偿企业集团债务的重大限制[双击切换]"/>
        <w:tag w:val="_GBC_d4aaeca51c634ffea892b86812441771"/>
        <w:id w:val="147460774"/>
        <w:placeholder>
          <w:docPart w:val="GBC22222222222222222222222222222"/>
        </w:placeholder>
      </w:sdtPr>
      <w:sdtEndPr>
        <w:rPr>
          <w:color w:val="000000" w:themeColor="text1"/>
          <w14:textFill>
            <w14:solidFill>
              <w14:schemeClr w14:val="tx1"/>
            </w14:solidFill>
          </w14:textFill>
        </w:rPr>
      </w:sdtEndPr>
      <w:sdtContent>
        <w:p w14:paraId="68D1809B">
          <w:pPr>
            <w:rPr>
              <w:rFonts w:cs="Arial"/>
              <w:b/>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90CD8F7">
      <w:pPr>
        <w:rPr>
          <w:rFonts w:cs="Arial"/>
          <w:color w:val="000000" w:themeColor="text1"/>
          <w14:textFill>
            <w14:solidFill>
              <w14:schemeClr w14:val="tx1"/>
            </w14:solidFill>
          </w14:textFill>
        </w:rPr>
      </w:pPr>
    </w:p>
    <w:p w14:paraId="5C8B0000">
      <w:pPr>
        <w:pStyle w:val="58"/>
        <w:numPr>
          <w:ilvl w:val="3"/>
          <w:numId w:val="97"/>
        </w:numPr>
        <w:ind w:left="406" w:hanging="406" w:hangingChars="202"/>
        <w:rPr>
          <w:color w:val="000000" w:themeColor="text1"/>
          <w14:textFill>
            <w14:solidFill>
              <w14:schemeClr w14:val="tx1"/>
            </w14:solidFill>
          </w14:textFill>
        </w:rPr>
      </w:pPr>
      <w:r>
        <w:rPr>
          <w:rFonts w:hint="eastAsia"/>
          <w:color w:val="000000" w:themeColor="text1"/>
          <w14:textFill>
            <w14:solidFill>
              <w14:schemeClr w14:val="tx1"/>
            </w14:solidFill>
          </w14:textFill>
        </w:rPr>
        <w:t>向纳入合并财务报表范围的结构化主体提供的财务支持或其他支持：</w:t>
      </w:r>
    </w:p>
    <w:sdt>
      <w:sdtPr>
        <w:rPr>
          <w:color w:val="000000" w:themeColor="text1"/>
          <w14:textFill>
            <w14:solidFill>
              <w14:schemeClr w14:val="tx1"/>
            </w14:solidFill>
          </w14:textFill>
        </w:rPr>
        <w:alias w:val="是否适用：向纳入合并财务报表范围的结构化主体提供的财务支持或其他支持[双击切换]"/>
        <w:tag w:val="_GBC_3ee0b326ed544ace8060843f29d4cd3a"/>
        <w:id w:val="147475402"/>
        <w:placeholder>
          <w:docPart w:val="GBC22222222222222222222222222222"/>
        </w:placeholder>
      </w:sdtPr>
      <w:sdtEndPr>
        <w:rPr>
          <w:color w:val="000000" w:themeColor="text1"/>
          <w14:textFill>
            <w14:solidFill>
              <w14:schemeClr w14:val="tx1"/>
            </w14:solidFill>
          </w14:textFill>
        </w:rPr>
      </w:sdtEndPr>
      <w:sdtContent>
        <w:p w14:paraId="1F234F09">
          <w:pPr>
            <w:rPr>
              <w:rFonts w:cs="Arial"/>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188E97C">
      <w:pPr>
        <w:rPr>
          <w:rFonts w:cs="Arial"/>
          <w:b/>
          <w:color w:val="000000" w:themeColor="text1"/>
          <w14:textFill>
            <w14:solidFill>
              <w14:schemeClr w14:val="tx1"/>
            </w14:solidFill>
          </w14:textFill>
        </w:rPr>
      </w:pPr>
    </w:p>
    <w:p w14:paraId="743F7A55">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在子公司中的权益其他说明[双击切换]"/>
        <w:tag w:val="_GBC_e4c33fb40d7a42bc88681a9facbf5ba5"/>
        <w:id w:val="147479713"/>
        <w:placeholder>
          <w:docPart w:val="GBC22222222222222222222222222222"/>
        </w:placeholder>
      </w:sdtPr>
      <w:sdtEndPr>
        <w:rPr>
          <w:color w:val="000000" w:themeColor="text1"/>
          <w14:textFill>
            <w14:solidFill>
              <w14:schemeClr w14:val="tx1"/>
            </w14:solidFill>
          </w14:textFill>
        </w:rPr>
      </w:sdtEndPr>
      <w:sdtContent>
        <w:p w14:paraId="13194D4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2F5B7A0">
      <w:pPr>
        <w:rPr>
          <w:color w:val="000000" w:themeColor="text1"/>
          <w14:textFill>
            <w14:solidFill>
              <w14:schemeClr w14:val="tx1"/>
            </w14:solidFill>
          </w14:textFill>
        </w:rPr>
      </w:pPr>
    </w:p>
    <w:p w14:paraId="02606A8D">
      <w:pPr>
        <w:pStyle w:val="57"/>
        <w:numPr>
          <w:ilvl w:val="2"/>
          <w:numId w:val="9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在子公司的所有者权益份额发生变化且仍控制子公司的交易</w:t>
      </w:r>
    </w:p>
    <w:sdt>
      <w:sdtPr>
        <w:rPr>
          <w:color w:val="000000" w:themeColor="text1"/>
          <w14:textFill>
            <w14:solidFill>
              <w14:schemeClr w14:val="tx1"/>
            </w14:solidFill>
          </w14:textFill>
        </w:rPr>
        <w:alias w:val="是否适用：在子公司的所有者权益份额发生变化且仍控制子公司的交易[双击切换]"/>
        <w:tag w:val="_GBC_51b903d8f50944dc91e91048eba723cd"/>
        <w:id w:val="147464679"/>
        <w:placeholder>
          <w:docPart w:val="GBC22222222222222222222222222222"/>
        </w:placeholder>
      </w:sdtPr>
      <w:sdtEndPr>
        <w:rPr>
          <w:color w:val="000000" w:themeColor="text1"/>
          <w14:textFill>
            <w14:solidFill>
              <w14:schemeClr w14:val="tx1"/>
            </w14:solidFill>
          </w14:textFill>
        </w:rPr>
      </w:sdtEndPr>
      <w:sdtContent>
        <w:p w14:paraId="111862A3">
          <w:pPr>
            <w:rPr>
              <w:rFonts w:cs="Arial"/>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C276E4D">
      <w:pPr>
        <w:rPr>
          <w:color w:val="000000" w:themeColor="text1"/>
          <w14:textFill>
            <w14:solidFill>
              <w14:schemeClr w14:val="tx1"/>
            </w14:solidFill>
          </w14:textFill>
        </w:rPr>
      </w:pPr>
    </w:p>
    <w:p w14:paraId="2CCF26F6">
      <w:pPr>
        <w:pStyle w:val="57"/>
        <w:numPr>
          <w:ilvl w:val="2"/>
          <w:numId w:val="9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在合营企业或联营企业中的权益</w:t>
      </w:r>
    </w:p>
    <w:sdt>
      <w:sdtPr>
        <w:rPr>
          <w:color w:val="000000" w:themeColor="text1"/>
          <w14:textFill>
            <w14:solidFill>
              <w14:schemeClr w14:val="tx1"/>
            </w14:solidFill>
          </w14:textFill>
        </w:rPr>
        <w:alias w:val="是否适用：在合营企业或联营企业中的权益[双击切换]"/>
        <w:tag w:val="_GBC_31c0fe2068fd4a898e4269df4925aa76"/>
        <w:id w:val="147465477"/>
        <w:placeholder>
          <w:docPart w:val="GBC22222222222222222222222222222"/>
        </w:placeholder>
      </w:sdtPr>
      <w:sdtEndPr>
        <w:rPr>
          <w:color w:val="000000" w:themeColor="text1"/>
          <w14:textFill>
            <w14:solidFill>
              <w14:schemeClr w14:val="tx1"/>
            </w14:solidFill>
          </w14:textFill>
        </w:rPr>
      </w:sdtEndPr>
      <w:sdtContent>
        <w:p w14:paraId="53F6C8E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1200332">
      <w:pPr>
        <w:pStyle w:val="58"/>
        <w:numPr>
          <w:ilvl w:val="3"/>
          <w:numId w:val="98"/>
        </w:numPr>
        <w:tabs>
          <w:tab w:val="left" w:pos="630"/>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重要的合营企业或联营企业</w:t>
      </w:r>
    </w:p>
    <w:sdt>
      <w:sdtPr>
        <w:rPr>
          <w:color w:val="000000" w:themeColor="text1"/>
          <w14:textFill>
            <w14:solidFill>
              <w14:schemeClr w14:val="tx1"/>
            </w14:solidFill>
          </w14:textFill>
        </w:rPr>
        <w:alias w:val="是否适用：重要的合营企业或联营企业[双击切换]"/>
        <w:tag w:val="_GBC_9973f58b324442d5879a5d16db0cd410"/>
        <w:id w:val="147474668"/>
        <w:placeholder>
          <w:docPart w:val="GBC22222222222222222222222222222"/>
        </w:placeholder>
      </w:sdtPr>
      <w:sdtEndPr>
        <w:rPr>
          <w:color w:val="000000" w:themeColor="text1"/>
          <w14:textFill>
            <w14:solidFill>
              <w14:schemeClr w14:val="tx1"/>
            </w14:solidFill>
          </w14:textFill>
        </w:rPr>
      </w:sdtEndPr>
      <w:sdtContent>
        <w:p w14:paraId="520E459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9BB2D37">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重要的合营企业或联营企业"/>
          <w:tag w:val="_GBC_fc95ad35f9984b0c84fb2b12ebeb41db"/>
          <w:id w:val="1474663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重要的合营企业或联营企业"/>
          <w:tag w:val="_GBC_95704750d12047c58739551fa2558d6f"/>
          <w:id w:val="1474756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0"/>
        <w:gridCol w:w="1021"/>
        <w:gridCol w:w="972"/>
        <w:gridCol w:w="1307"/>
        <w:gridCol w:w="1112"/>
        <w:gridCol w:w="1108"/>
        <w:gridCol w:w="1689"/>
      </w:tblGrid>
      <w:tr w14:paraId="06D3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sdt>
          <w:sdtPr>
            <w:rPr>
              <w:rFonts w:cs="Times New Roman"/>
            </w:rPr>
            <w:tag w:val="_PLD_bb6c91c88e754a5da79068d0b040e152"/>
            <w:id w:val="147467589"/>
          </w:sdtPr>
          <w:sdtEndPr>
            <w:rPr>
              <w:rFonts w:cs="Times New Roman"/>
            </w:rPr>
          </w:sdtEndPr>
          <w:sdtContent>
            <w:tc>
              <w:tcPr>
                <w:tcW w:w="1016" w:type="pct"/>
                <w:vMerge w:val="restart"/>
                <w:vAlign w:val="center"/>
              </w:tcPr>
              <w:p w14:paraId="2F1CCA79">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合营企业或联营企业名称</w:t>
                </w:r>
              </w:p>
            </w:tc>
          </w:sdtContent>
        </w:sdt>
        <w:sdt>
          <w:sdtPr>
            <w:rPr>
              <w:rFonts w:cs="Times New Roman"/>
            </w:rPr>
            <w:tag w:val="_PLD_4c91d89257574ee1a96260d900b3fdde"/>
            <w:id w:val="147464496"/>
          </w:sdtPr>
          <w:sdtEndPr>
            <w:rPr>
              <w:rFonts w:cs="Times New Roman"/>
            </w:rPr>
          </w:sdtEndPr>
          <w:sdtContent>
            <w:tc>
              <w:tcPr>
                <w:tcW w:w="564" w:type="pct"/>
                <w:vMerge w:val="restart"/>
                <w:vAlign w:val="center"/>
              </w:tcPr>
              <w:p w14:paraId="6F7D1FD5">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主要经营地</w:t>
                </w:r>
              </w:p>
            </w:tc>
          </w:sdtContent>
        </w:sdt>
        <w:sdt>
          <w:sdtPr>
            <w:rPr>
              <w:rFonts w:cs="Times New Roman"/>
            </w:rPr>
            <w:tag w:val="_PLD_4a3c73442b1947fdae2c0b554e7271a4"/>
            <w:id w:val="147476506"/>
          </w:sdtPr>
          <w:sdtEndPr>
            <w:rPr>
              <w:rFonts w:cs="Times New Roman"/>
            </w:rPr>
          </w:sdtEndPr>
          <w:sdtContent>
            <w:tc>
              <w:tcPr>
                <w:tcW w:w="537" w:type="pct"/>
                <w:vMerge w:val="restart"/>
                <w:vAlign w:val="center"/>
              </w:tcPr>
              <w:p w14:paraId="062B8B57">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注册地</w:t>
                </w:r>
              </w:p>
            </w:tc>
          </w:sdtContent>
        </w:sdt>
        <w:sdt>
          <w:sdtPr>
            <w:rPr>
              <w:rFonts w:cs="Times New Roman"/>
            </w:rPr>
            <w:tag w:val="_PLD_07a3d19678c44b0db85c15fb74bf76d2"/>
            <w:id w:val="147456560"/>
          </w:sdtPr>
          <w:sdtEndPr>
            <w:rPr>
              <w:rFonts w:cs="Times New Roman"/>
            </w:rPr>
          </w:sdtEndPr>
          <w:sdtContent>
            <w:tc>
              <w:tcPr>
                <w:tcW w:w="722" w:type="pct"/>
                <w:vMerge w:val="restart"/>
                <w:vAlign w:val="center"/>
              </w:tcPr>
              <w:p w14:paraId="3C7B40E3">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业务性质</w:t>
                </w:r>
              </w:p>
            </w:tc>
          </w:sdtContent>
        </w:sdt>
        <w:sdt>
          <w:sdtPr>
            <w:rPr>
              <w:rFonts w:cs="Times New Roman"/>
            </w:rPr>
            <w:tag w:val="_PLD_cb67afe7283245a29754ca96c69b89fc"/>
            <w:id w:val="147477250"/>
          </w:sdtPr>
          <w:sdtEndPr>
            <w:rPr>
              <w:rFonts w:cs="Times New Roman"/>
            </w:rPr>
          </w:sdtEndPr>
          <w:sdtContent>
            <w:tc>
              <w:tcPr>
                <w:tcW w:w="1226" w:type="pct"/>
                <w:gridSpan w:val="2"/>
                <w:vAlign w:val="center"/>
              </w:tcPr>
              <w:p w14:paraId="1E36D449">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持股比例</w:t>
                </w:r>
                <w:r>
                  <w:rPr>
                    <w:rFonts w:cs="Times New Roman"/>
                    <w:color w:val="000000" w:themeColor="text1"/>
                    <w14:textFill>
                      <w14:solidFill>
                        <w14:schemeClr w14:val="tx1"/>
                      </w14:solidFill>
                    </w14:textFill>
                  </w:rPr>
                  <w:t>(%)</w:t>
                </w:r>
              </w:p>
            </w:tc>
          </w:sdtContent>
        </w:sdt>
        <w:sdt>
          <w:sdtPr>
            <w:rPr>
              <w:rFonts w:cs="Times New Roman"/>
            </w:rPr>
            <w:tag w:val="_PLD_0fddec4e9b2a4b3aa0f9a08859cf498e"/>
            <w:id w:val="147456158"/>
          </w:sdtPr>
          <w:sdtEndPr>
            <w:rPr>
              <w:rFonts w:cs="Times New Roman"/>
            </w:rPr>
          </w:sdtEndPr>
          <w:sdtContent>
            <w:tc>
              <w:tcPr>
                <w:tcW w:w="933" w:type="pct"/>
                <w:vMerge w:val="restart"/>
                <w:vAlign w:val="center"/>
              </w:tcPr>
              <w:p w14:paraId="64D08993">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对合营企业或联营企业投资的会计处理方法</w:t>
                </w:r>
              </w:p>
            </w:tc>
          </w:sdtContent>
        </w:sdt>
      </w:tr>
      <w:tr w14:paraId="6A23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016" w:type="pct"/>
            <w:vMerge w:val="continue"/>
            <w:vAlign w:val="center"/>
          </w:tcPr>
          <w:p w14:paraId="414FF638">
            <w:pPr>
              <w:rPr>
                <w:rFonts w:cs="Times New Roman"/>
                <w:color w:val="000000" w:themeColor="text1"/>
                <w14:textFill>
                  <w14:solidFill>
                    <w14:schemeClr w14:val="tx1"/>
                  </w14:solidFill>
                </w14:textFill>
              </w:rPr>
            </w:pPr>
          </w:p>
        </w:tc>
        <w:tc>
          <w:tcPr>
            <w:tcW w:w="564" w:type="pct"/>
            <w:vMerge w:val="continue"/>
            <w:vAlign w:val="center"/>
          </w:tcPr>
          <w:p w14:paraId="66DED0AB">
            <w:pPr>
              <w:rPr>
                <w:rFonts w:cs="Times New Roman"/>
                <w:color w:val="000000" w:themeColor="text1"/>
                <w14:textFill>
                  <w14:solidFill>
                    <w14:schemeClr w14:val="tx1"/>
                  </w14:solidFill>
                </w14:textFill>
              </w:rPr>
            </w:pPr>
          </w:p>
        </w:tc>
        <w:tc>
          <w:tcPr>
            <w:tcW w:w="537" w:type="pct"/>
            <w:vMerge w:val="continue"/>
            <w:vAlign w:val="center"/>
          </w:tcPr>
          <w:p w14:paraId="5A986D1E">
            <w:pPr>
              <w:rPr>
                <w:rFonts w:cs="Times New Roman"/>
                <w:color w:val="000000" w:themeColor="text1"/>
                <w14:textFill>
                  <w14:solidFill>
                    <w14:schemeClr w14:val="tx1"/>
                  </w14:solidFill>
                </w14:textFill>
              </w:rPr>
            </w:pPr>
          </w:p>
        </w:tc>
        <w:tc>
          <w:tcPr>
            <w:tcW w:w="722" w:type="pct"/>
            <w:vMerge w:val="continue"/>
            <w:vAlign w:val="center"/>
          </w:tcPr>
          <w:p w14:paraId="53DE9F06">
            <w:pPr>
              <w:rPr>
                <w:rFonts w:cs="Times New Roman"/>
                <w:color w:val="000000" w:themeColor="text1"/>
                <w14:textFill>
                  <w14:solidFill>
                    <w14:schemeClr w14:val="tx1"/>
                  </w14:solidFill>
                </w14:textFill>
              </w:rPr>
            </w:pPr>
          </w:p>
        </w:tc>
        <w:sdt>
          <w:sdtPr>
            <w:rPr>
              <w:rFonts w:cs="Times New Roman"/>
            </w:rPr>
            <w:tag w:val="_PLD_42f14f52720a4c87819c9bd5211ded18"/>
            <w:id w:val="147478440"/>
          </w:sdtPr>
          <w:sdtEndPr>
            <w:rPr>
              <w:rFonts w:cs="Times New Roman"/>
            </w:rPr>
          </w:sdtEndPr>
          <w:sdtContent>
            <w:tc>
              <w:tcPr>
                <w:tcW w:w="614" w:type="pct"/>
                <w:vAlign w:val="center"/>
              </w:tcPr>
              <w:p w14:paraId="46096DAB">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直接</w:t>
                </w:r>
              </w:p>
            </w:tc>
          </w:sdtContent>
        </w:sdt>
        <w:sdt>
          <w:sdtPr>
            <w:rPr>
              <w:rFonts w:cs="Times New Roman"/>
            </w:rPr>
            <w:tag w:val="_PLD_e87318e11f6c4411aa17083e3a10cd90"/>
            <w:id w:val="147468992"/>
          </w:sdtPr>
          <w:sdtEndPr>
            <w:rPr>
              <w:rFonts w:cs="Times New Roman"/>
            </w:rPr>
          </w:sdtEndPr>
          <w:sdtContent>
            <w:tc>
              <w:tcPr>
                <w:tcW w:w="612" w:type="pct"/>
                <w:vAlign w:val="center"/>
              </w:tcPr>
              <w:p w14:paraId="16798860">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间接</w:t>
                </w:r>
              </w:p>
            </w:tc>
          </w:sdtContent>
        </w:sdt>
        <w:tc>
          <w:tcPr>
            <w:tcW w:w="933" w:type="pct"/>
            <w:vMerge w:val="continue"/>
            <w:vAlign w:val="center"/>
          </w:tcPr>
          <w:p w14:paraId="165284C4">
            <w:pPr>
              <w:rPr>
                <w:rFonts w:cs="Times New Roman"/>
                <w:color w:val="000000" w:themeColor="text1"/>
                <w14:textFill>
                  <w14:solidFill>
                    <w14:schemeClr w14:val="tx1"/>
                  </w14:solidFill>
                </w14:textFill>
              </w:rPr>
            </w:pPr>
          </w:p>
        </w:tc>
      </w:tr>
      <w:tr w14:paraId="2FA7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 w:type="pct"/>
            <w:vAlign w:val="center"/>
          </w:tcPr>
          <w:p w14:paraId="716BEF2B">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 xml:space="preserve">湖南中晟高分子新材料有限公司 </w:t>
            </w:r>
          </w:p>
        </w:tc>
        <w:tc>
          <w:tcPr>
            <w:tcW w:w="564" w:type="pct"/>
            <w:vAlign w:val="center"/>
          </w:tcPr>
          <w:p w14:paraId="70AD5B50">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岳阳</w:t>
            </w:r>
          </w:p>
        </w:tc>
        <w:tc>
          <w:tcPr>
            <w:tcW w:w="537" w:type="pct"/>
            <w:vAlign w:val="center"/>
          </w:tcPr>
          <w:p w14:paraId="7B635074">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岳阳</w:t>
            </w:r>
          </w:p>
        </w:tc>
        <w:tc>
          <w:tcPr>
            <w:tcW w:w="722" w:type="pct"/>
            <w:vAlign w:val="center"/>
          </w:tcPr>
          <w:p w14:paraId="79AB5DA4">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614" w:type="pct"/>
            <w:vAlign w:val="center"/>
          </w:tcPr>
          <w:p w14:paraId="5ADC8FAA">
            <w:pPr>
              <w:jc w:val="right"/>
              <w:textAlignment w:val="center"/>
              <w:rPr>
                <w:rFonts w:cs="Times New Roman"/>
              </w:rPr>
            </w:pPr>
            <w:r>
              <w:rPr>
                <w:rFonts w:eastAsia="Arial Narrow" w:cs="Times New Roman"/>
                <w:color w:val="000000"/>
                <w:lang w:bidi="ar"/>
              </w:rPr>
              <w:t>50.00</w:t>
            </w:r>
          </w:p>
        </w:tc>
        <w:tc>
          <w:tcPr>
            <w:tcW w:w="612" w:type="pct"/>
            <w:vAlign w:val="center"/>
          </w:tcPr>
          <w:p w14:paraId="5B183FEF">
            <w:pPr>
              <w:jc w:val="right"/>
              <w:rPr>
                <w:rFonts w:cs="Times New Roman"/>
              </w:rPr>
            </w:pPr>
          </w:p>
        </w:tc>
        <w:tc>
          <w:tcPr>
            <w:tcW w:w="933" w:type="pct"/>
            <w:vAlign w:val="center"/>
          </w:tcPr>
          <w:p w14:paraId="1025F99A">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权益法</w:t>
            </w:r>
          </w:p>
        </w:tc>
      </w:tr>
      <w:tr w14:paraId="3D8B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 w:type="pct"/>
            <w:vAlign w:val="center"/>
          </w:tcPr>
          <w:p w14:paraId="558AA99A">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南京英斯瑞德高分子材料股份有限公司</w:t>
            </w:r>
          </w:p>
        </w:tc>
        <w:tc>
          <w:tcPr>
            <w:tcW w:w="564" w:type="pct"/>
            <w:vAlign w:val="center"/>
          </w:tcPr>
          <w:p w14:paraId="5963A57E">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南京</w:t>
            </w:r>
          </w:p>
        </w:tc>
        <w:tc>
          <w:tcPr>
            <w:tcW w:w="537" w:type="pct"/>
            <w:vAlign w:val="center"/>
          </w:tcPr>
          <w:p w14:paraId="39420B0A">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南京</w:t>
            </w:r>
          </w:p>
        </w:tc>
        <w:tc>
          <w:tcPr>
            <w:tcW w:w="722" w:type="pct"/>
            <w:vAlign w:val="center"/>
          </w:tcPr>
          <w:p w14:paraId="7E6E8F97">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制造业</w:t>
            </w:r>
          </w:p>
        </w:tc>
        <w:tc>
          <w:tcPr>
            <w:tcW w:w="614" w:type="pct"/>
            <w:vAlign w:val="center"/>
          </w:tcPr>
          <w:p w14:paraId="36EA9312">
            <w:pPr>
              <w:jc w:val="right"/>
              <w:textAlignment w:val="center"/>
              <w:rPr>
                <w:rFonts w:cs="Times New Roman"/>
              </w:rPr>
            </w:pPr>
            <w:r>
              <w:rPr>
                <w:rFonts w:eastAsia="Arial Narrow" w:cs="Times New Roman"/>
                <w:color w:val="000000"/>
                <w:lang w:bidi="ar"/>
              </w:rPr>
              <w:t>35.00</w:t>
            </w:r>
          </w:p>
        </w:tc>
        <w:tc>
          <w:tcPr>
            <w:tcW w:w="612" w:type="pct"/>
            <w:vAlign w:val="center"/>
          </w:tcPr>
          <w:p w14:paraId="29E4B5D5">
            <w:pPr>
              <w:jc w:val="right"/>
              <w:rPr>
                <w:rFonts w:cs="Times New Roman"/>
              </w:rPr>
            </w:pPr>
          </w:p>
        </w:tc>
        <w:tc>
          <w:tcPr>
            <w:tcW w:w="933" w:type="pct"/>
            <w:vAlign w:val="center"/>
          </w:tcPr>
          <w:p w14:paraId="6BA597F5">
            <w:pPr>
              <w:jc w:val="center"/>
              <w:textAlignment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权益法</w:t>
            </w:r>
          </w:p>
        </w:tc>
      </w:tr>
    </w:tbl>
    <w:p w14:paraId="675EDA77">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在合营企业或联营企业的持股比例不同于表决权比例的说明：</w:t>
      </w:r>
    </w:p>
    <w:p w14:paraId="52DCAF1E">
      <w:pPr>
        <w:rPr>
          <w:rFonts w:cs="Arial"/>
          <w:color w:val="000000" w:themeColor="text1"/>
          <w14:textFill>
            <w14:solidFill>
              <w14:schemeClr w14:val="tx1"/>
            </w14:solidFill>
          </w14:textFill>
        </w:rPr>
      </w:pPr>
      <w:sdt>
        <w:sdtPr>
          <w:rPr>
            <w:rFonts w:cs="Arial"/>
            <w:color w:val="000000" w:themeColor="text1"/>
            <w14:textFill>
              <w14:solidFill>
                <w14:schemeClr w14:val="tx1"/>
              </w14:solidFill>
            </w14:textFill>
          </w:rPr>
          <w:alias w:val="在合营企业或联营企业的持股比例不同于表决权比例的说明"/>
          <w:tag w:val="_GBC_b18385c11aff4424b360bd0cb4f81376"/>
          <w:id w:val="147472739"/>
          <w:placeholder>
            <w:docPart w:val="GBC22222222222222222222222222222"/>
          </w:placeholder>
        </w:sdtPr>
        <w:sdtEndPr>
          <w:rPr>
            <w:rFonts w:cs="Arial"/>
            <w:color w:val="000000" w:themeColor="text1"/>
            <w14:textFill>
              <w14:solidFill>
                <w14:schemeClr w14:val="tx1"/>
              </w14:solidFill>
            </w14:textFill>
          </w:rPr>
        </w:sdtEndPr>
        <w:sdtContent>
          <w:r>
            <w:rPr>
              <w:rFonts w:hint="eastAsia" w:cs="Arial"/>
              <w:color w:val="000000" w:themeColor="text1"/>
              <w14:textFill>
                <w14:solidFill>
                  <w14:schemeClr w14:val="tx1"/>
                </w14:solidFill>
              </w14:textFill>
            </w:rPr>
            <w:t>无</w:t>
          </w:r>
        </w:sdtContent>
      </w:sdt>
    </w:p>
    <w:p w14:paraId="4720DF9A">
      <w:pPr>
        <w:rPr>
          <w:rFonts w:cs="Arial"/>
          <w:color w:val="000000" w:themeColor="text1"/>
          <w14:textFill>
            <w14:solidFill>
              <w14:schemeClr w14:val="tx1"/>
            </w14:solidFill>
          </w14:textFill>
        </w:rPr>
      </w:pPr>
    </w:p>
    <w:p w14:paraId="2FEC7CD0">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持有</w:t>
      </w:r>
      <w:r>
        <w:rPr>
          <w:rFonts w:cs="Arial"/>
          <w:color w:val="000000" w:themeColor="text1"/>
          <w14:textFill>
            <w14:solidFill>
              <w14:schemeClr w14:val="tx1"/>
            </w14:solidFill>
          </w14:textFill>
        </w:rPr>
        <w:t>20%以下表决权但具有重大影响，或者持有20%或以上表决权但不具有重大影响的依据：</w:t>
      </w:r>
    </w:p>
    <w:p w14:paraId="111D5A52">
      <w:pPr>
        <w:rPr>
          <w:rFonts w:cs="Arial"/>
          <w:color w:val="000000" w:themeColor="text1"/>
          <w14:textFill>
            <w14:solidFill>
              <w14:schemeClr w14:val="tx1"/>
            </w14:solidFill>
          </w14:textFill>
        </w:rPr>
      </w:pPr>
      <w:sdt>
        <w:sdtPr>
          <w:rPr>
            <w:rFonts w:cs="Arial"/>
            <w:color w:val="000000" w:themeColor="text1"/>
            <w14:textFill>
              <w14:solidFill>
                <w14:schemeClr w14:val="tx1"/>
              </w14:solidFill>
            </w14:textFill>
          </w:rPr>
          <w:alias w:val="持有20%以下表决权但具有重大影响，或者持有20%或以上表决权但不具有重大影响的依据"/>
          <w:tag w:val="_GBC_08a71a8c491f4c758da0748f7570fb28"/>
          <w:id w:val="147469321"/>
          <w:placeholder>
            <w:docPart w:val="GBC22222222222222222222222222222"/>
          </w:placeholder>
        </w:sdtPr>
        <w:sdtEndPr>
          <w:rPr>
            <w:rFonts w:cs="Arial"/>
            <w:color w:val="000000" w:themeColor="text1"/>
            <w14:textFill>
              <w14:solidFill>
                <w14:schemeClr w14:val="tx1"/>
              </w14:solidFill>
            </w14:textFill>
          </w:rPr>
        </w:sdtEndPr>
        <w:sdtContent>
          <w:r>
            <w:rPr>
              <w:rFonts w:hint="eastAsia" w:cs="Arial"/>
              <w:color w:val="000000" w:themeColor="text1"/>
              <w14:textFill>
                <w14:solidFill>
                  <w14:schemeClr w14:val="tx1"/>
                </w14:solidFill>
              </w14:textFill>
            </w:rPr>
            <w:t>无</w:t>
          </w:r>
        </w:sdtContent>
      </w:sdt>
    </w:p>
    <w:p w14:paraId="1FD0831D">
      <w:pPr>
        <w:rPr>
          <w:rFonts w:cstheme="minorBidi"/>
          <w:color w:val="000000" w:themeColor="text1"/>
          <w14:textFill>
            <w14:solidFill>
              <w14:schemeClr w14:val="tx1"/>
            </w14:solidFill>
          </w14:textFill>
        </w:rPr>
      </w:pPr>
    </w:p>
    <w:p w14:paraId="4B78C2D7">
      <w:pPr>
        <w:pStyle w:val="58"/>
        <w:numPr>
          <w:ilvl w:val="3"/>
          <w:numId w:val="98"/>
        </w:numPr>
        <w:tabs>
          <w:tab w:val="left" w:pos="630"/>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重要合营企业的主要财务信息</w:t>
      </w:r>
    </w:p>
    <w:p w14:paraId="37ED0C16">
      <w:pPr>
        <w:rPr>
          <w:rFonts w:cs="Arial"/>
          <w:color w:val="000000" w:themeColor="text1"/>
          <w14:textFill>
            <w14:solidFill>
              <w14:schemeClr w14:val="tx1"/>
            </w14:solidFill>
          </w14:textFill>
        </w:rPr>
      </w:pPr>
      <w:sdt>
        <w:sdtPr>
          <w:rPr>
            <w:rFonts w:hint="eastAsia"/>
            <w:b/>
            <w:color w:val="000000" w:themeColor="text1"/>
            <w14:textFill>
              <w14:solidFill>
                <w14:schemeClr w14:val="tx1"/>
              </w14:solidFill>
            </w14:textFill>
          </w:rPr>
          <w:alias w:val="是否适用：重要合营企业的主要财务信息[双击切换]"/>
          <w:tag w:val="_GBC_6241cde567c342139ae6186afeea9fb4"/>
          <w:id w:val="147473788"/>
          <w:placeholder>
            <w:docPart w:val="GBC22222222222222222222222222222"/>
          </w:placeholder>
        </w:sdtPr>
        <w:sdtEndPr>
          <w:rPr>
            <w:rFonts w:hint="eastAsia"/>
            <w:b w:val="0"/>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05D5463B">
      <w:pPr>
        <w:rPr>
          <w:rFonts w:cstheme="minorBidi"/>
          <w:color w:val="000000" w:themeColor="text1"/>
          <w14:textFill>
            <w14:solidFill>
              <w14:schemeClr w14:val="tx1"/>
            </w14:solidFill>
          </w14:textFill>
        </w:rPr>
      </w:pPr>
    </w:p>
    <w:p w14:paraId="5E325D31">
      <w:pPr>
        <w:pStyle w:val="58"/>
        <w:numPr>
          <w:ilvl w:val="3"/>
          <w:numId w:val="98"/>
        </w:numPr>
        <w:tabs>
          <w:tab w:val="left" w:pos="630"/>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重要联营企业的主要财务信息</w:t>
      </w:r>
    </w:p>
    <w:p w14:paraId="0524E419">
      <w:pPr>
        <w:rPr>
          <w:color w:val="000000" w:themeColor="text1"/>
          <w14:textFill>
            <w14:solidFill>
              <w14:schemeClr w14:val="tx1"/>
            </w14:solidFill>
          </w14:textFill>
        </w:rPr>
      </w:pPr>
      <w:sdt>
        <w:sdtPr>
          <w:rPr>
            <w:rFonts w:hint="eastAsia"/>
            <w:b/>
            <w:color w:val="000000" w:themeColor="text1"/>
            <w14:textFill>
              <w14:solidFill>
                <w14:schemeClr w14:val="tx1"/>
              </w14:solidFill>
            </w14:textFill>
          </w:rPr>
          <w:alias w:val="是否适用：重要联营企业的主要财务信息[双击切换]"/>
          <w:tag w:val="_GBC_e304b69adb6f449495c3916754024763"/>
          <w:id w:val="147473856"/>
          <w:lock w:val="contentLocked"/>
          <w:placeholder>
            <w:docPart w:val="GBC22222222222222222222222222222"/>
          </w:placeholder>
        </w:sdtPr>
        <w:sdtEndPr>
          <w:rPr>
            <w:rFonts w:hint="eastAsia"/>
            <w:b w:val="0"/>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4F9A37DE">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重要联营企业的主要财务信息"/>
          <w:tag w:val="_GBC_0306b30be35040cd86d2b964142011d4"/>
          <w:id w:val="1474612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重要联营企业的主要财务信息"/>
          <w:tag w:val="_GBC_a2e655bae21746219bfd958c6f5b8be9"/>
          <w:id w:val="1474683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4"/>
        <w:gridCol w:w="1526"/>
        <w:gridCol w:w="1531"/>
        <w:gridCol w:w="1526"/>
        <w:gridCol w:w="1542"/>
      </w:tblGrid>
      <w:tr w14:paraId="4D48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blHeader/>
        </w:trPr>
        <w:tc>
          <w:tcPr>
            <w:tcW w:w="1616" w:type="pct"/>
            <w:vMerge w:val="restart"/>
          </w:tcPr>
          <w:p w14:paraId="0127D8E1">
            <w:pPr>
              <w:jc w:val="center"/>
              <w:rPr>
                <w:rFonts w:cs="Times New Roman"/>
                <w:color w:val="000000" w:themeColor="text1"/>
                <w14:textFill>
                  <w14:solidFill>
                    <w14:schemeClr w14:val="tx1"/>
                  </w14:solidFill>
                </w14:textFill>
              </w:rPr>
            </w:pPr>
          </w:p>
        </w:tc>
        <w:sdt>
          <w:sdtPr>
            <w:rPr>
              <w:rFonts w:cs="Times New Roman"/>
              <w:color w:val="000000" w:themeColor="text1"/>
              <w:lang w:val="en-GB"/>
              <w14:textFill>
                <w14:solidFill>
                  <w14:schemeClr w14:val="tx1"/>
                </w14:solidFill>
              </w14:textFill>
            </w:rPr>
            <w:alias w:val="重要联营企业的主要财务信息-发生期间"/>
            <w:tag w:val="_GBC_3985273c74d84e5d9e0004348ff54fc3"/>
            <w:id w:val="147464024"/>
          </w:sdtPr>
          <w:sdtEndPr>
            <w:rPr>
              <w:rFonts w:cs="Times New Roman"/>
              <w:color w:val="000000" w:themeColor="text1"/>
              <w:lang w:val="en-GB"/>
              <w14:textFill>
                <w14:solidFill>
                  <w14:schemeClr w14:val="tx1"/>
                </w14:solidFill>
              </w14:textFill>
            </w:rPr>
          </w:sdtEndPr>
          <w:sdtContent>
            <w:tc>
              <w:tcPr>
                <w:tcW w:w="1689" w:type="pct"/>
                <w:gridSpan w:val="2"/>
                <w:vAlign w:val="center"/>
              </w:tcPr>
              <w:p w14:paraId="11EF4EBF">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期末余额</w:t>
                </w:r>
                <w:r>
                  <w:rPr>
                    <w:rFonts w:cs="Times New Roman"/>
                    <w:color w:val="000000" w:themeColor="text1"/>
                    <w14:textFill>
                      <w14:solidFill>
                        <w14:schemeClr w14:val="tx1"/>
                      </w14:solidFill>
                    </w14:textFill>
                  </w:rPr>
                  <w:t xml:space="preserve">/ </w:t>
                </w:r>
                <w:r>
                  <w:rPr>
                    <w:rFonts w:cs="Times New Roman"/>
                    <w:color w:val="000000" w:themeColor="text1"/>
                    <w:lang w:val="en-GB"/>
                    <w14:textFill>
                      <w14:solidFill>
                        <w14:schemeClr w14:val="tx1"/>
                      </w14:solidFill>
                    </w14:textFill>
                  </w:rPr>
                  <w:t>本期发生额</w:t>
                </w:r>
              </w:p>
            </w:tc>
          </w:sdtContent>
        </w:sdt>
        <w:sdt>
          <w:sdtPr>
            <w:rPr>
              <w:rFonts w:cs="Times New Roman"/>
              <w:color w:val="000000" w:themeColor="text1"/>
              <w:lang w:val="en-GB"/>
              <w14:textFill>
                <w14:solidFill>
                  <w14:schemeClr w14:val="tx1"/>
                </w14:solidFill>
              </w14:textFill>
            </w:rPr>
            <w:alias w:val="重要联营企业的主要财务信息-发生期间"/>
            <w:tag w:val="_GBC_c59f213bf9cc43468db35ae8e45286d0"/>
            <w:id w:val="147476170"/>
          </w:sdtPr>
          <w:sdtEndPr>
            <w:rPr>
              <w:rFonts w:cs="Times New Roman"/>
              <w:color w:val="000000" w:themeColor="text1"/>
              <w:lang w:val="en-GB"/>
              <w14:textFill>
                <w14:solidFill>
                  <w14:schemeClr w14:val="tx1"/>
                </w14:solidFill>
              </w14:textFill>
            </w:rPr>
          </w:sdtEndPr>
          <w:sdtContent>
            <w:tc>
              <w:tcPr>
                <w:tcW w:w="1694" w:type="pct"/>
                <w:gridSpan w:val="2"/>
                <w:vAlign w:val="center"/>
              </w:tcPr>
              <w:p w14:paraId="1A903FFF">
                <w:pPr>
                  <w:jc w:val="center"/>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期初余额</w:t>
                </w:r>
                <w:r>
                  <w:rPr>
                    <w:rFonts w:cs="Times New Roman"/>
                    <w:color w:val="000000" w:themeColor="text1"/>
                    <w14:textFill>
                      <w14:solidFill>
                        <w14:schemeClr w14:val="tx1"/>
                      </w14:solidFill>
                    </w14:textFill>
                  </w:rPr>
                  <w:t xml:space="preserve">/ </w:t>
                </w:r>
                <w:r>
                  <w:rPr>
                    <w:rFonts w:cs="Times New Roman"/>
                    <w:color w:val="000000" w:themeColor="text1"/>
                    <w:lang w:val="en-GB"/>
                    <w14:textFill>
                      <w14:solidFill>
                        <w14:schemeClr w14:val="tx1"/>
                      </w14:solidFill>
                    </w14:textFill>
                  </w:rPr>
                  <w:t>上期发生额</w:t>
                </w:r>
              </w:p>
            </w:tc>
          </w:sdtContent>
        </w:sdt>
      </w:tr>
      <w:tr w14:paraId="5D00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blHeader/>
        </w:trPr>
        <w:tc>
          <w:tcPr>
            <w:tcW w:w="1616" w:type="pct"/>
            <w:vMerge w:val="continue"/>
            <w:vAlign w:val="center"/>
          </w:tcPr>
          <w:p w14:paraId="5340E754">
            <w:pPr>
              <w:rPr>
                <w:rFonts w:cs="Times New Roman"/>
                <w:color w:val="000000" w:themeColor="text1"/>
                <w14:textFill>
                  <w14:solidFill>
                    <w14:schemeClr w14:val="tx1"/>
                  </w14:solidFill>
                </w14:textFill>
              </w:rPr>
            </w:pPr>
          </w:p>
        </w:tc>
        <w:sdt>
          <w:sdtPr>
            <w:rPr>
              <w:rFonts w:cs="Times New Roman"/>
              <w:color w:val="000000" w:themeColor="text1"/>
              <w14:textFill>
                <w14:solidFill>
                  <w14:schemeClr w14:val="tx1"/>
                </w14:solidFill>
              </w14:textFill>
            </w:rPr>
            <w:alias w:val="重要联营企业的主要财务信息明细-企业名称"/>
            <w:tag w:val="_GBC_0cae03adb6fc417da51f1e06cc077a6b"/>
            <w:id w:val="147481058"/>
          </w:sdtPr>
          <w:sdtEndPr>
            <w:rPr>
              <w:rFonts w:cs="Times New Roman"/>
              <w:color w:val="000000" w:themeColor="text1"/>
              <w14:textFill>
                <w14:solidFill>
                  <w14:schemeClr w14:val="tx1"/>
                </w14:solidFill>
              </w14:textFill>
            </w:rPr>
          </w:sdtEndPr>
          <w:sdtContent>
            <w:tc>
              <w:tcPr>
                <w:tcW w:w="843" w:type="pct"/>
              </w:tcPr>
              <w:p w14:paraId="73F5430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湖南中晟高分子新材料有限公司</w:t>
                </w:r>
              </w:p>
            </w:tc>
          </w:sdtContent>
        </w:sdt>
        <w:sdt>
          <w:sdtPr>
            <w:rPr>
              <w:rFonts w:cs="Times New Roman"/>
            </w:rPr>
            <w:alias w:val="重要联营企业的主要财务信息明细-企业名称"/>
            <w:tag w:val="_GBC_0cae03adb6fc417da51f1e06cc077a6b"/>
            <w:id w:val="147474452"/>
          </w:sdtPr>
          <w:sdtEndPr>
            <w:rPr>
              <w:rFonts w:cs="Times New Roman"/>
            </w:rPr>
          </w:sdtEndPr>
          <w:sdtContent>
            <w:tc>
              <w:tcPr>
                <w:tcW w:w="845" w:type="pct"/>
              </w:tcPr>
              <w:p w14:paraId="77CE5F6E">
                <w:pPr>
                  <w:jc w:val="center"/>
                  <w:rPr>
                    <w:rFonts w:cs="Times New Roman"/>
                  </w:rPr>
                </w:pPr>
                <w:r>
                  <w:rPr>
                    <w:rFonts w:cs="Times New Roman"/>
                  </w:rPr>
                  <w:t>南京英斯瑞德高分子材料股份有限公司</w:t>
                </w:r>
              </w:p>
            </w:tc>
          </w:sdtContent>
        </w:sdt>
        <w:sdt>
          <w:sdtPr>
            <w:rPr>
              <w:rFonts w:cs="Times New Roman"/>
              <w:color w:val="000000" w:themeColor="text1"/>
              <w14:textFill>
                <w14:solidFill>
                  <w14:schemeClr w14:val="tx1"/>
                </w14:solidFill>
              </w14:textFill>
            </w:rPr>
            <w:alias w:val="重要联营企业的主要财务信息明细-企业名称"/>
            <w:tag w:val="_GBC_dabfa87f0eff42149952cca99a0db3a2"/>
            <w:id w:val="147467940"/>
          </w:sdtPr>
          <w:sdtEndPr>
            <w:rPr>
              <w:rFonts w:cs="Times New Roman"/>
              <w:color w:val="000000" w:themeColor="text1"/>
              <w14:textFill>
                <w14:solidFill>
                  <w14:schemeClr w14:val="tx1"/>
                </w14:solidFill>
              </w14:textFill>
            </w:rPr>
          </w:sdtEndPr>
          <w:sdtContent>
            <w:tc>
              <w:tcPr>
                <w:tcW w:w="843" w:type="pct"/>
              </w:tcPr>
              <w:p w14:paraId="1D008674">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湖南中晟高分子新材料有限公司</w:t>
                </w:r>
              </w:p>
            </w:tc>
          </w:sdtContent>
        </w:sdt>
        <w:sdt>
          <w:sdtPr>
            <w:rPr>
              <w:rFonts w:cs="Times New Roman"/>
            </w:rPr>
            <w:alias w:val="重要联营企业的主要财务信息明细-企业名称"/>
            <w:tag w:val="_GBC_dabfa87f0eff42149952cca99a0db3a2"/>
            <w:id w:val="147458256"/>
          </w:sdtPr>
          <w:sdtEndPr>
            <w:rPr>
              <w:rFonts w:cs="Times New Roman"/>
            </w:rPr>
          </w:sdtEndPr>
          <w:sdtContent>
            <w:tc>
              <w:tcPr>
                <w:tcW w:w="850" w:type="pct"/>
              </w:tcPr>
              <w:p w14:paraId="3C177E72">
                <w:pPr>
                  <w:jc w:val="center"/>
                  <w:rPr>
                    <w:rFonts w:cs="Times New Roman"/>
                  </w:rPr>
                </w:pPr>
                <w:r>
                  <w:rPr>
                    <w:rFonts w:cs="Times New Roman"/>
                  </w:rPr>
                  <w:t>南京英斯瑞德高分子材料股份有限公司</w:t>
                </w:r>
              </w:p>
            </w:tc>
          </w:sdtContent>
        </w:sdt>
      </w:tr>
      <w:tr w14:paraId="5C3E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pct"/>
            <w:vAlign w:val="bottom"/>
          </w:tcPr>
          <w:p w14:paraId="332E3E9D">
            <w:pP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流动资产</w:t>
            </w:r>
          </w:p>
        </w:tc>
        <w:tc>
          <w:tcPr>
            <w:tcW w:w="843" w:type="pct"/>
            <w:vAlign w:val="center"/>
          </w:tcPr>
          <w:p w14:paraId="7C127E32">
            <w:pPr>
              <w:jc w:val="right"/>
              <w:textAlignment w:val="center"/>
              <w:rPr>
                <w:rFonts w:cs="Times New Roman"/>
              </w:rPr>
            </w:pPr>
            <w:r>
              <w:rPr>
                <w:rFonts w:cs="Times New Roman"/>
                <w:color w:val="000000"/>
              </w:rPr>
              <w:t>27,243,080.12</w:t>
            </w:r>
          </w:p>
        </w:tc>
        <w:tc>
          <w:tcPr>
            <w:tcW w:w="845" w:type="pct"/>
            <w:vAlign w:val="center"/>
          </w:tcPr>
          <w:p w14:paraId="5EA2F74F">
            <w:pPr>
              <w:jc w:val="right"/>
              <w:textAlignment w:val="center"/>
              <w:rPr>
                <w:rFonts w:cs="Times New Roman"/>
              </w:rPr>
            </w:pPr>
            <w:r>
              <w:rPr>
                <w:rFonts w:cs="Times New Roman"/>
                <w:color w:val="000000"/>
              </w:rPr>
              <w:t>79,270,803.74</w:t>
            </w:r>
          </w:p>
        </w:tc>
        <w:tc>
          <w:tcPr>
            <w:tcW w:w="843" w:type="pct"/>
            <w:vAlign w:val="center"/>
          </w:tcPr>
          <w:p w14:paraId="117319CB">
            <w:pPr>
              <w:jc w:val="right"/>
              <w:textAlignment w:val="center"/>
              <w:rPr>
                <w:rFonts w:cs="Times New Roman"/>
              </w:rPr>
            </w:pPr>
            <w:r>
              <w:rPr>
                <w:rFonts w:cs="Times New Roman"/>
                <w:color w:val="000000"/>
              </w:rPr>
              <w:t>36,027,187.31</w:t>
            </w:r>
          </w:p>
        </w:tc>
        <w:tc>
          <w:tcPr>
            <w:tcW w:w="850" w:type="pct"/>
            <w:vAlign w:val="center"/>
          </w:tcPr>
          <w:p w14:paraId="5AD2E4C0">
            <w:pPr>
              <w:jc w:val="right"/>
              <w:textAlignment w:val="center"/>
              <w:rPr>
                <w:rFonts w:cs="Times New Roman"/>
              </w:rPr>
            </w:pPr>
            <w:r>
              <w:rPr>
                <w:rFonts w:cs="Times New Roman"/>
                <w:color w:val="000000"/>
              </w:rPr>
              <w:t>75,278,947.24</w:t>
            </w:r>
          </w:p>
        </w:tc>
      </w:tr>
      <w:tr w14:paraId="4923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pct"/>
            <w:vAlign w:val="bottom"/>
          </w:tcPr>
          <w:p w14:paraId="0250276F">
            <w:pP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非流动资产</w:t>
            </w:r>
          </w:p>
        </w:tc>
        <w:tc>
          <w:tcPr>
            <w:tcW w:w="843" w:type="pct"/>
            <w:vAlign w:val="center"/>
          </w:tcPr>
          <w:p w14:paraId="33AA120B">
            <w:pPr>
              <w:jc w:val="right"/>
              <w:textAlignment w:val="center"/>
              <w:rPr>
                <w:rFonts w:cs="Times New Roman"/>
              </w:rPr>
            </w:pPr>
            <w:r>
              <w:rPr>
                <w:rFonts w:cs="Times New Roman"/>
                <w:color w:val="000000"/>
              </w:rPr>
              <w:t>45,384,262.56</w:t>
            </w:r>
          </w:p>
        </w:tc>
        <w:tc>
          <w:tcPr>
            <w:tcW w:w="845" w:type="pct"/>
            <w:vAlign w:val="center"/>
          </w:tcPr>
          <w:p w14:paraId="669CED8B">
            <w:pPr>
              <w:jc w:val="right"/>
              <w:textAlignment w:val="center"/>
              <w:rPr>
                <w:rFonts w:cs="Times New Roman"/>
              </w:rPr>
            </w:pPr>
            <w:r>
              <w:rPr>
                <w:rFonts w:cs="Times New Roman"/>
                <w:color w:val="000000"/>
              </w:rPr>
              <w:t>26,513,328.32</w:t>
            </w:r>
          </w:p>
        </w:tc>
        <w:tc>
          <w:tcPr>
            <w:tcW w:w="843" w:type="pct"/>
            <w:vAlign w:val="center"/>
          </w:tcPr>
          <w:p w14:paraId="524EF79C">
            <w:pPr>
              <w:jc w:val="right"/>
              <w:textAlignment w:val="center"/>
              <w:rPr>
                <w:rFonts w:cs="Times New Roman"/>
              </w:rPr>
            </w:pPr>
            <w:r>
              <w:rPr>
                <w:rFonts w:cs="Times New Roman"/>
                <w:color w:val="000000"/>
              </w:rPr>
              <w:t>49,310,053.60</w:t>
            </w:r>
          </w:p>
        </w:tc>
        <w:tc>
          <w:tcPr>
            <w:tcW w:w="850" w:type="pct"/>
            <w:vAlign w:val="center"/>
          </w:tcPr>
          <w:p w14:paraId="0D5B2E4E">
            <w:pPr>
              <w:jc w:val="right"/>
              <w:textAlignment w:val="center"/>
              <w:rPr>
                <w:rFonts w:cs="Times New Roman"/>
              </w:rPr>
            </w:pPr>
            <w:r>
              <w:rPr>
                <w:rFonts w:cs="Times New Roman"/>
                <w:color w:val="000000"/>
              </w:rPr>
              <w:t>27,253,949.18</w:t>
            </w:r>
          </w:p>
        </w:tc>
      </w:tr>
      <w:tr w14:paraId="2B65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pct"/>
            <w:vAlign w:val="bottom"/>
          </w:tcPr>
          <w:p w14:paraId="3F5AB6A0">
            <w:pP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资产合计</w:t>
            </w:r>
          </w:p>
        </w:tc>
        <w:tc>
          <w:tcPr>
            <w:tcW w:w="843" w:type="pct"/>
            <w:vAlign w:val="center"/>
          </w:tcPr>
          <w:p w14:paraId="67325CE4">
            <w:pPr>
              <w:jc w:val="right"/>
              <w:textAlignment w:val="center"/>
              <w:rPr>
                <w:rFonts w:cs="Times New Roman"/>
              </w:rPr>
            </w:pPr>
            <w:r>
              <w:rPr>
                <w:rFonts w:cs="Times New Roman"/>
                <w:color w:val="000000"/>
              </w:rPr>
              <w:t>72,627,342.68</w:t>
            </w:r>
          </w:p>
        </w:tc>
        <w:tc>
          <w:tcPr>
            <w:tcW w:w="845" w:type="pct"/>
            <w:vAlign w:val="center"/>
          </w:tcPr>
          <w:p w14:paraId="226DD534">
            <w:pPr>
              <w:jc w:val="right"/>
              <w:textAlignment w:val="center"/>
              <w:rPr>
                <w:rFonts w:cs="Times New Roman"/>
              </w:rPr>
            </w:pPr>
            <w:r>
              <w:rPr>
                <w:rFonts w:cs="Times New Roman"/>
                <w:color w:val="000000"/>
              </w:rPr>
              <w:t>105,784,132.06</w:t>
            </w:r>
          </w:p>
        </w:tc>
        <w:tc>
          <w:tcPr>
            <w:tcW w:w="843" w:type="pct"/>
            <w:vAlign w:val="center"/>
          </w:tcPr>
          <w:p w14:paraId="3FA5BC9F">
            <w:pPr>
              <w:jc w:val="right"/>
              <w:textAlignment w:val="center"/>
              <w:rPr>
                <w:rFonts w:cs="Times New Roman"/>
              </w:rPr>
            </w:pPr>
            <w:r>
              <w:rPr>
                <w:rFonts w:cs="Times New Roman"/>
                <w:color w:val="000000"/>
              </w:rPr>
              <w:t>85,337,240.91</w:t>
            </w:r>
          </w:p>
        </w:tc>
        <w:tc>
          <w:tcPr>
            <w:tcW w:w="850" w:type="pct"/>
            <w:vAlign w:val="center"/>
          </w:tcPr>
          <w:p w14:paraId="525A0182">
            <w:pPr>
              <w:jc w:val="right"/>
              <w:textAlignment w:val="center"/>
              <w:rPr>
                <w:rFonts w:cs="Times New Roman"/>
              </w:rPr>
            </w:pPr>
            <w:r>
              <w:rPr>
                <w:rFonts w:cs="Times New Roman"/>
                <w:color w:val="000000"/>
              </w:rPr>
              <w:t>102,532,896.42</w:t>
            </w:r>
          </w:p>
        </w:tc>
      </w:tr>
      <w:tr w14:paraId="40248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bottom"/>
          </w:tcPr>
          <w:p w14:paraId="62CF92BB">
            <w:pPr>
              <w:jc w:val="right"/>
              <w:rPr>
                <w:rFonts w:cs="Times New Roman"/>
                <w:color w:val="000000" w:themeColor="text1"/>
                <w14:textFill>
                  <w14:solidFill>
                    <w14:schemeClr w14:val="tx1"/>
                  </w14:solidFill>
                </w14:textFill>
              </w:rPr>
            </w:pPr>
          </w:p>
        </w:tc>
      </w:tr>
      <w:tr w14:paraId="5DBC4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pct"/>
            <w:vAlign w:val="bottom"/>
          </w:tcPr>
          <w:p w14:paraId="0F424754">
            <w:pP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流动负债</w:t>
            </w:r>
          </w:p>
        </w:tc>
        <w:tc>
          <w:tcPr>
            <w:tcW w:w="843" w:type="pct"/>
            <w:vAlign w:val="center"/>
          </w:tcPr>
          <w:p w14:paraId="60BF4E83">
            <w:pPr>
              <w:jc w:val="right"/>
              <w:textAlignment w:val="center"/>
              <w:rPr>
                <w:rFonts w:cs="Times New Roman"/>
              </w:rPr>
            </w:pPr>
            <w:r>
              <w:rPr>
                <w:rFonts w:cs="Times New Roman"/>
                <w:color w:val="000000"/>
              </w:rPr>
              <w:t>21,681,880.38</w:t>
            </w:r>
          </w:p>
        </w:tc>
        <w:tc>
          <w:tcPr>
            <w:tcW w:w="845" w:type="pct"/>
            <w:vAlign w:val="center"/>
          </w:tcPr>
          <w:p w14:paraId="5586CB8C">
            <w:pPr>
              <w:jc w:val="right"/>
              <w:textAlignment w:val="center"/>
              <w:rPr>
                <w:rFonts w:cs="Times New Roman"/>
              </w:rPr>
            </w:pPr>
            <w:r>
              <w:rPr>
                <w:rFonts w:cs="Times New Roman"/>
                <w:color w:val="000000"/>
              </w:rPr>
              <w:t>82,049,589.58</w:t>
            </w:r>
          </w:p>
        </w:tc>
        <w:tc>
          <w:tcPr>
            <w:tcW w:w="843" w:type="pct"/>
            <w:vAlign w:val="center"/>
          </w:tcPr>
          <w:p w14:paraId="5C94BE13">
            <w:pPr>
              <w:jc w:val="right"/>
              <w:textAlignment w:val="center"/>
              <w:rPr>
                <w:rFonts w:cs="Times New Roman"/>
              </w:rPr>
            </w:pPr>
            <w:r>
              <w:rPr>
                <w:rFonts w:cs="Times New Roman"/>
                <w:color w:val="000000"/>
              </w:rPr>
              <w:t>28,012,432.86</w:t>
            </w:r>
          </w:p>
        </w:tc>
        <w:tc>
          <w:tcPr>
            <w:tcW w:w="850" w:type="pct"/>
            <w:vAlign w:val="center"/>
          </w:tcPr>
          <w:p w14:paraId="532B0493">
            <w:pPr>
              <w:jc w:val="right"/>
              <w:textAlignment w:val="center"/>
              <w:rPr>
                <w:rFonts w:cs="Times New Roman"/>
              </w:rPr>
            </w:pPr>
            <w:r>
              <w:rPr>
                <w:rFonts w:cs="Times New Roman"/>
                <w:color w:val="000000"/>
              </w:rPr>
              <w:t>78,903,009.62</w:t>
            </w:r>
          </w:p>
        </w:tc>
      </w:tr>
      <w:tr w14:paraId="6C5F2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pct"/>
            <w:vAlign w:val="bottom"/>
          </w:tcPr>
          <w:p w14:paraId="7F1C94A6">
            <w:pP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非流动负债</w:t>
            </w:r>
          </w:p>
        </w:tc>
        <w:tc>
          <w:tcPr>
            <w:tcW w:w="843" w:type="pct"/>
            <w:vAlign w:val="center"/>
          </w:tcPr>
          <w:p w14:paraId="1597A20D">
            <w:pPr>
              <w:jc w:val="right"/>
              <w:rPr>
                <w:rFonts w:cs="Times New Roman"/>
              </w:rPr>
            </w:pPr>
          </w:p>
        </w:tc>
        <w:tc>
          <w:tcPr>
            <w:tcW w:w="845" w:type="pct"/>
            <w:vAlign w:val="center"/>
          </w:tcPr>
          <w:p w14:paraId="76CD96B8">
            <w:pPr>
              <w:jc w:val="right"/>
              <w:textAlignment w:val="center"/>
              <w:rPr>
                <w:rFonts w:cs="Times New Roman"/>
              </w:rPr>
            </w:pPr>
            <w:r>
              <w:rPr>
                <w:rFonts w:cs="Times New Roman"/>
                <w:color w:val="000000"/>
              </w:rPr>
              <w:t>1,891,561.45</w:t>
            </w:r>
          </w:p>
        </w:tc>
        <w:tc>
          <w:tcPr>
            <w:tcW w:w="843" w:type="pct"/>
            <w:vAlign w:val="center"/>
          </w:tcPr>
          <w:p w14:paraId="71312873">
            <w:pPr>
              <w:jc w:val="right"/>
              <w:rPr>
                <w:rFonts w:cs="Times New Roman"/>
              </w:rPr>
            </w:pPr>
          </w:p>
        </w:tc>
        <w:tc>
          <w:tcPr>
            <w:tcW w:w="850" w:type="pct"/>
            <w:vAlign w:val="center"/>
          </w:tcPr>
          <w:p w14:paraId="120D21CF">
            <w:pPr>
              <w:jc w:val="right"/>
              <w:textAlignment w:val="center"/>
              <w:rPr>
                <w:rFonts w:cs="Times New Roman"/>
              </w:rPr>
            </w:pPr>
            <w:r>
              <w:rPr>
                <w:rFonts w:cs="Times New Roman"/>
                <w:color w:val="000000"/>
              </w:rPr>
              <w:t>1,891,561.45</w:t>
            </w:r>
          </w:p>
        </w:tc>
      </w:tr>
      <w:tr w14:paraId="463DD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pct"/>
            <w:vAlign w:val="bottom"/>
          </w:tcPr>
          <w:p w14:paraId="67CC807F">
            <w:pP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负债合计</w:t>
            </w:r>
          </w:p>
        </w:tc>
        <w:tc>
          <w:tcPr>
            <w:tcW w:w="843" w:type="pct"/>
            <w:vAlign w:val="center"/>
          </w:tcPr>
          <w:p w14:paraId="585336CF">
            <w:pPr>
              <w:jc w:val="right"/>
              <w:textAlignment w:val="center"/>
              <w:rPr>
                <w:rFonts w:cs="Times New Roman"/>
              </w:rPr>
            </w:pPr>
            <w:r>
              <w:rPr>
                <w:rFonts w:cs="Times New Roman"/>
                <w:color w:val="000000"/>
              </w:rPr>
              <w:t>21,681,880.38</w:t>
            </w:r>
          </w:p>
        </w:tc>
        <w:tc>
          <w:tcPr>
            <w:tcW w:w="845" w:type="pct"/>
            <w:vAlign w:val="center"/>
          </w:tcPr>
          <w:p w14:paraId="5B3FD2C8">
            <w:pPr>
              <w:jc w:val="right"/>
              <w:textAlignment w:val="center"/>
              <w:rPr>
                <w:rFonts w:cs="Times New Roman"/>
              </w:rPr>
            </w:pPr>
            <w:r>
              <w:rPr>
                <w:rFonts w:cs="Times New Roman"/>
                <w:color w:val="000000"/>
              </w:rPr>
              <w:t>83,941,151.03</w:t>
            </w:r>
          </w:p>
        </w:tc>
        <w:tc>
          <w:tcPr>
            <w:tcW w:w="843" w:type="pct"/>
            <w:vAlign w:val="center"/>
          </w:tcPr>
          <w:p w14:paraId="7EA97F10">
            <w:pPr>
              <w:jc w:val="right"/>
              <w:textAlignment w:val="center"/>
              <w:rPr>
                <w:rFonts w:cs="Times New Roman"/>
              </w:rPr>
            </w:pPr>
            <w:r>
              <w:rPr>
                <w:rFonts w:cs="Times New Roman"/>
                <w:color w:val="000000"/>
              </w:rPr>
              <w:t>28,012,432.86</w:t>
            </w:r>
          </w:p>
        </w:tc>
        <w:tc>
          <w:tcPr>
            <w:tcW w:w="850" w:type="pct"/>
            <w:vAlign w:val="center"/>
          </w:tcPr>
          <w:p w14:paraId="470CD2FE">
            <w:pPr>
              <w:jc w:val="right"/>
              <w:textAlignment w:val="center"/>
              <w:rPr>
                <w:rFonts w:cs="Times New Roman"/>
              </w:rPr>
            </w:pPr>
            <w:r>
              <w:rPr>
                <w:rFonts w:cs="Times New Roman"/>
                <w:color w:val="000000"/>
              </w:rPr>
              <w:t>80,794,571.07</w:t>
            </w:r>
          </w:p>
        </w:tc>
      </w:tr>
      <w:tr w14:paraId="132A2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bottom"/>
          </w:tcPr>
          <w:p w14:paraId="7AB19E36">
            <w:pPr>
              <w:jc w:val="right"/>
              <w:rPr>
                <w:rFonts w:cs="Times New Roman"/>
                <w:color w:val="000000" w:themeColor="text1"/>
                <w14:textFill>
                  <w14:solidFill>
                    <w14:schemeClr w14:val="tx1"/>
                  </w14:solidFill>
                </w14:textFill>
              </w:rPr>
            </w:pPr>
          </w:p>
        </w:tc>
      </w:tr>
      <w:tr w14:paraId="7DB6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pct"/>
            <w:vAlign w:val="bottom"/>
          </w:tcPr>
          <w:p w14:paraId="6656F90D">
            <w:pP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少数股东权益</w:t>
            </w:r>
          </w:p>
        </w:tc>
        <w:tc>
          <w:tcPr>
            <w:tcW w:w="843" w:type="pct"/>
            <w:vAlign w:val="center"/>
          </w:tcPr>
          <w:p w14:paraId="3B75E79F">
            <w:pPr>
              <w:jc w:val="right"/>
              <w:rPr>
                <w:rFonts w:cs="Times New Roman"/>
              </w:rPr>
            </w:pPr>
          </w:p>
        </w:tc>
        <w:tc>
          <w:tcPr>
            <w:tcW w:w="845" w:type="pct"/>
            <w:vAlign w:val="center"/>
          </w:tcPr>
          <w:p w14:paraId="2F8CB906">
            <w:pPr>
              <w:jc w:val="right"/>
              <w:rPr>
                <w:rFonts w:cs="Times New Roman"/>
              </w:rPr>
            </w:pPr>
          </w:p>
        </w:tc>
        <w:tc>
          <w:tcPr>
            <w:tcW w:w="843" w:type="pct"/>
            <w:vAlign w:val="center"/>
          </w:tcPr>
          <w:p w14:paraId="07ED8F54">
            <w:pPr>
              <w:jc w:val="right"/>
              <w:rPr>
                <w:rFonts w:cs="Times New Roman"/>
              </w:rPr>
            </w:pPr>
          </w:p>
        </w:tc>
        <w:tc>
          <w:tcPr>
            <w:tcW w:w="850" w:type="pct"/>
            <w:vAlign w:val="center"/>
          </w:tcPr>
          <w:p w14:paraId="5133E374">
            <w:pPr>
              <w:jc w:val="right"/>
              <w:rPr>
                <w:rFonts w:cs="Times New Roman"/>
              </w:rPr>
            </w:pPr>
          </w:p>
        </w:tc>
      </w:tr>
      <w:tr w14:paraId="0094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pct"/>
            <w:vAlign w:val="bottom"/>
          </w:tcPr>
          <w:p w14:paraId="1EB5D4C1">
            <w:pP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归属于母公司股东权益</w:t>
            </w:r>
          </w:p>
        </w:tc>
        <w:tc>
          <w:tcPr>
            <w:tcW w:w="843" w:type="pct"/>
            <w:vAlign w:val="center"/>
          </w:tcPr>
          <w:p w14:paraId="3CC13039">
            <w:pPr>
              <w:jc w:val="right"/>
              <w:textAlignment w:val="center"/>
              <w:rPr>
                <w:rFonts w:cs="Times New Roman"/>
              </w:rPr>
            </w:pPr>
            <w:r>
              <w:rPr>
                <w:rFonts w:cs="Times New Roman"/>
                <w:color w:val="000000"/>
              </w:rPr>
              <w:t>50,945,462.30</w:t>
            </w:r>
          </w:p>
        </w:tc>
        <w:tc>
          <w:tcPr>
            <w:tcW w:w="845" w:type="pct"/>
            <w:vAlign w:val="center"/>
          </w:tcPr>
          <w:p w14:paraId="48CA6ADF">
            <w:pPr>
              <w:jc w:val="right"/>
              <w:textAlignment w:val="center"/>
              <w:rPr>
                <w:rFonts w:cs="Times New Roman"/>
              </w:rPr>
            </w:pPr>
            <w:r>
              <w:rPr>
                <w:rFonts w:cs="Times New Roman"/>
                <w:color w:val="000000"/>
              </w:rPr>
              <w:t>21,842,981.03</w:t>
            </w:r>
          </w:p>
        </w:tc>
        <w:tc>
          <w:tcPr>
            <w:tcW w:w="843" w:type="pct"/>
            <w:vAlign w:val="center"/>
          </w:tcPr>
          <w:p w14:paraId="485D3D46">
            <w:pPr>
              <w:jc w:val="right"/>
              <w:textAlignment w:val="center"/>
              <w:rPr>
                <w:rFonts w:cs="Times New Roman"/>
              </w:rPr>
            </w:pPr>
            <w:r>
              <w:rPr>
                <w:rFonts w:cs="Times New Roman"/>
                <w:color w:val="000000"/>
              </w:rPr>
              <w:t>57,324,808.05</w:t>
            </w:r>
          </w:p>
        </w:tc>
        <w:tc>
          <w:tcPr>
            <w:tcW w:w="850" w:type="pct"/>
            <w:vAlign w:val="center"/>
          </w:tcPr>
          <w:p w14:paraId="007D257C">
            <w:pPr>
              <w:jc w:val="right"/>
              <w:textAlignment w:val="center"/>
              <w:rPr>
                <w:rFonts w:cs="Times New Roman"/>
              </w:rPr>
            </w:pPr>
            <w:r>
              <w:rPr>
                <w:rFonts w:cs="Times New Roman"/>
                <w:color w:val="000000"/>
              </w:rPr>
              <w:t>21,738,325.35</w:t>
            </w:r>
          </w:p>
        </w:tc>
      </w:tr>
      <w:tr w14:paraId="3F894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bottom"/>
          </w:tcPr>
          <w:p w14:paraId="20564E43">
            <w:pPr>
              <w:jc w:val="right"/>
              <w:rPr>
                <w:rFonts w:cs="Times New Roman"/>
                <w:color w:val="000000" w:themeColor="text1"/>
                <w14:textFill>
                  <w14:solidFill>
                    <w14:schemeClr w14:val="tx1"/>
                  </w14:solidFill>
                </w14:textFill>
              </w:rPr>
            </w:pPr>
          </w:p>
        </w:tc>
      </w:tr>
      <w:tr w14:paraId="18F8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pct"/>
            <w:vAlign w:val="bottom"/>
          </w:tcPr>
          <w:p w14:paraId="208433E1">
            <w:pP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按持股比例计算的净资产份额</w:t>
            </w:r>
          </w:p>
        </w:tc>
        <w:tc>
          <w:tcPr>
            <w:tcW w:w="843" w:type="pct"/>
            <w:vAlign w:val="center"/>
          </w:tcPr>
          <w:p w14:paraId="401579D2">
            <w:pPr>
              <w:jc w:val="right"/>
              <w:textAlignment w:val="center"/>
              <w:rPr>
                <w:rFonts w:cs="Times New Roman"/>
              </w:rPr>
            </w:pPr>
            <w:r>
              <w:rPr>
                <w:rFonts w:cs="Times New Roman"/>
                <w:color w:val="000000"/>
              </w:rPr>
              <w:t>25,472,731.15</w:t>
            </w:r>
          </w:p>
        </w:tc>
        <w:tc>
          <w:tcPr>
            <w:tcW w:w="845" w:type="pct"/>
            <w:vAlign w:val="center"/>
          </w:tcPr>
          <w:p w14:paraId="16F3C060">
            <w:pPr>
              <w:jc w:val="right"/>
              <w:textAlignment w:val="center"/>
              <w:rPr>
                <w:rFonts w:cs="Times New Roman"/>
              </w:rPr>
            </w:pPr>
            <w:r>
              <w:rPr>
                <w:rFonts w:cs="Times New Roman"/>
                <w:color w:val="000000"/>
              </w:rPr>
              <w:t>7,645,043.36</w:t>
            </w:r>
          </w:p>
        </w:tc>
        <w:tc>
          <w:tcPr>
            <w:tcW w:w="843" w:type="pct"/>
            <w:vAlign w:val="center"/>
          </w:tcPr>
          <w:p w14:paraId="6E0E7DE6">
            <w:pPr>
              <w:jc w:val="right"/>
              <w:textAlignment w:val="center"/>
              <w:rPr>
                <w:rFonts w:cs="Times New Roman"/>
              </w:rPr>
            </w:pPr>
            <w:r>
              <w:rPr>
                <w:rFonts w:cs="Times New Roman"/>
                <w:color w:val="000000"/>
              </w:rPr>
              <w:t>28,662,404.03</w:t>
            </w:r>
          </w:p>
        </w:tc>
        <w:tc>
          <w:tcPr>
            <w:tcW w:w="850" w:type="pct"/>
            <w:vAlign w:val="center"/>
          </w:tcPr>
          <w:p w14:paraId="5C06A73B">
            <w:pPr>
              <w:jc w:val="right"/>
              <w:textAlignment w:val="center"/>
              <w:rPr>
                <w:rFonts w:cs="Times New Roman"/>
              </w:rPr>
            </w:pPr>
            <w:r>
              <w:rPr>
                <w:rFonts w:cs="Times New Roman"/>
                <w:color w:val="000000"/>
              </w:rPr>
              <w:t>7,608,413.87</w:t>
            </w:r>
          </w:p>
        </w:tc>
      </w:tr>
      <w:tr w14:paraId="20BAE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pct"/>
            <w:vAlign w:val="bottom"/>
          </w:tcPr>
          <w:p w14:paraId="5AFF21C8">
            <w:pP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对联营企业权益投资的账面价值</w:t>
            </w:r>
          </w:p>
        </w:tc>
        <w:tc>
          <w:tcPr>
            <w:tcW w:w="843" w:type="pct"/>
            <w:vAlign w:val="center"/>
          </w:tcPr>
          <w:p w14:paraId="5FFC1125">
            <w:pPr>
              <w:jc w:val="right"/>
              <w:textAlignment w:val="center"/>
              <w:rPr>
                <w:rFonts w:cs="Times New Roman"/>
              </w:rPr>
            </w:pPr>
            <w:r>
              <w:rPr>
                <w:rFonts w:cs="Times New Roman"/>
                <w:color w:val="000000"/>
              </w:rPr>
              <w:t>25,472,731.15</w:t>
            </w:r>
          </w:p>
        </w:tc>
        <w:tc>
          <w:tcPr>
            <w:tcW w:w="845" w:type="pct"/>
            <w:vAlign w:val="center"/>
          </w:tcPr>
          <w:p w14:paraId="67B76E5A">
            <w:pPr>
              <w:jc w:val="right"/>
              <w:textAlignment w:val="center"/>
              <w:rPr>
                <w:rFonts w:cs="Times New Roman"/>
              </w:rPr>
            </w:pPr>
            <w:r>
              <w:rPr>
                <w:rFonts w:cs="Times New Roman"/>
                <w:color w:val="000000"/>
              </w:rPr>
              <w:t>7,645,043.36</w:t>
            </w:r>
          </w:p>
        </w:tc>
        <w:tc>
          <w:tcPr>
            <w:tcW w:w="843" w:type="pct"/>
            <w:vAlign w:val="center"/>
          </w:tcPr>
          <w:p w14:paraId="2F87B31D">
            <w:pPr>
              <w:jc w:val="right"/>
              <w:textAlignment w:val="center"/>
              <w:rPr>
                <w:rFonts w:cs="Times New Roman"/>
              </w:rPr>
            </w:pPr>
            <w:r>
              <w:rPr>
                <w:rFonts w:cs="Times New Roman"/>
                <w:color w:val="000000"/>
              </w:rPr>
              <w:t>28,662,404.03</w:t>
            </w:r>
          </w:p>
        </w:tc>
        <w:tc>
          <w:tcPr>
            <w:tcW w:w="850" w:type="pct"/>
            <w:vAlign w:val="center"/>
          </w:tcPr>
          <w:p w14:paraId="7BA57089">
            <w:pPr>
              <w:jc w:val="right"/>
              <w:textAlignment w:val="center"/>
              <w:rPr>
                <w:rFonts w:cs="Times New Roman"/>
              </w:rPr>
            </w:pPr>
            <w:r>
              <w:rPr>
                <w:rFonts w:cs="Times New Roman"/>
                <w:color w:val="000000"/>
              </w:rPr>
              <w:t>7,608,413.87</w:t>
            </w:r>
          </w:p>
        </w:tc>
      </w:tr>
      <w:tr w14:paraId="0883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bottom"/>
          </w:tcPr>
          <w:p w14:paraId="7436FDBA">
            <w:pPr>
              <w:jc w:val="right"/>
              <w:rPr>
                <w:rFonts w:cs="Times New Roman"/>
                <w:color w:val="000000" w:themeColor="text1"/>
                <w14:textFill>
                  <w14:solidFill>
                    <w14:schemeClr w14:val="tx1"/>
                  </w14:solidFill>
                </w14:textFill>
              </w:rPr>
            </w:pPr>
          </w:p>
        </w:tc>
      </w:tr>
      <w:tr w14:paraId="6AA9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pct"/>
            <w:vAlign w:val="bottom"/>
          </w:tcPr>
          <w:p w14:paraId="1DDE3975">
            <w:pP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营业收入</w:t>
            </w:r>
          </w:p>
        </w:tc>
        <w:tc>
          <w:tcPr>
            <w:tcW w:w="843" w:type="pct"/>
            <w:vAlign w:val="center"/>
          </w:tcPr>
          <w:p w14:paraId="1DB998B2">
            <w:pPr>
              <w:jc w:val="right"/>
              <w:textAlignment w:val="center"/>
              <w:rPr>
                <w:rFonts w:cs="Times New Roman"/>
              </w:rPr>
            </w:pPr>
            <w:r>
              <w:rPr>
                <w:rFonts w:cs="Times New Roman"/>
                <w:color w:val="000000"/>
              </w:rPr>
              <w:t>38,998,469.90</w:t>
            </w:r>
          </w:p>
        </w:tc>
        <w:tc>
          <w:tcPr>
            <w:tcW w:w="845" w:type="pct"/>
            <w:vAlign w:val="center"/>
          </w:tcPr>
          <w:p w14:paraId="05BEF736">
            <w:pPr>
              <w:jc w:val="right"/>
              <w:textAlignment w:val="center"/>
              <w:rPr>
                <w:rFonts w:cs="Times New Roman"/>
              </w:rPr>
            </w:pPr>
            <w:r>
              <w:rPr>
                <w:rFonts w:cs="Times New Roman"/>
                <w:color w:val="000000"/>
              </w:rPr>
              <w:t>56,470,734.75</w:t>
            </w:r>
          </w:p>
        </w:tc>
        <w:tc>
          <w:tcPr>
            <w:tcW w:w="843" w:type="pct"/>
            <w:vAlign w:val="center"/>
          </w:tcPr>
          <w:p w14:paraId="3505F7FA">
            <w:pPr>
              <w:jc w:val="right"/>
              <w:textAlignment w:val="center"/>
              <w:rPr>
                <w:rFonts w:cs="Times New Roman"/>
              </w:rPr>
            </w:pPr>
            <w:r>
              <w:rPr>
                <w:rFonts w:cs="Times New Roman"/>
                <w:color w:val="000000"/>
              </w:rPr>
              <w:t>55,018,435.29</w:t>
            </w:r>
          </w:p>
        </w:tc>
        <w:tc>
          <w:tcPr>
            <w:tcW w:w="850" w:type="pct"/>
            <w:vAlign w:val="center"/>
          </w:tcPr>
          <w:p w14:paraId="3EAC38C3">
            <w:pPr>
              <w:jc w:val="right"/>
              <w:textAlignment w:val="center"/>
              <w:rPr>
                <w:rFonts w:cs="Times New Roman"/>
              </w:rPr>
            </w:pPr>
            <w:r>
              <w:rPr>
                <w:rFonts w:cs="Times New Roman"/>
                <w:color w:val="000000"/>
              </w:rPr>
              <w:t>54,938,953.01</w:t>
            </w:r>
          </w:p>
        </w:tc>
      </w:tr>
      <w:tr w14:paraId="70C3B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pct"/>
            <w:vAlign w:val="bottom"/>
          </w:tcPr>
          <w:p w14:paraId="38EA7245">
            <w:pP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净利润</w:t>
            </w:r>
          </w:p>
        </w:tc>
        <w:tc>
          <w:tcPr>
            <w:tcW w:w="843" w:type="pct"/>
            <w:vAlign w:val="center"/>
          </w:tcPr>
          <w:p w14:paraId="3C2281C9">
            <w:pPr>
              <w:jc w:val="right"/>
              <w:textAlignment w:val="center"/>
              <w:rPr>
                <w:rFonts w:cs="Times New Roman"/>
              </w:rPr>
            </w:pPr>
            <w:r>
              <w:rPr>
                <w:rFonts w:cs="Times New Roman"/>
                <w:color w:val="000000"/>
              </w:rPr>
              <w:t>-6,379,345.75</w:t>
            </w:r>
          </w:p>
        </w:tc>
        <w:tc>
          <w:tcPr>
            <w:tcW w:w="845" w:type="pct"/>
            <w:vAlign w:val="center"/>
          </w:tcPr>
          <w:p w14:paraId="16E1C31D">
            <w:pPr>
              <w:jc w:val="right"/>
              <w:textAlignment w:val="center"/>
              <w:rPr>
                <w:rFonts w:cs="Times New Roman"/>
              </w:rPr>
            </w:pPr>
            <w:r>
              <w:rPr>
                <w:rFonts w:cs="Times New Roman"/>
                <w:color w:val="000000"/>
              </w:rPr>
              <w:t>104,655.68</w:t>
            </w:r>
          </w:p>
        </w:tc>
        <w:tc>
          <w:tcPr>
            <w:tcW w:w="843" w:type="pct"/>
            <w:vAlign w:val="center"/>
          </w:tcPr>
          <w:p w14:paraId="067C6949">
            <w:pPr>
              <w:jc w:val="right"/>
              <w:textAlignment w:val="center"/>
              <w:rPr>
                <w:rFonts w:cs="Times New Roman"/>
              </w:rPr>
            </w:pPr>
            <w:r>
              <w:rPr>
                <w:rFonts w:cs="Times New Roman"/>
                <w:color w:val="000000"/>
              </w:rPr>
              <w:t>-5,852,865.91</w:t>
            </w:r>
          </w:p>
        </w:tc>
        <w:tc>
          <w:tcPr>
            <w:tcW w:w="850" w:type="pct"/>
            <w:vAlign w:val="center"/>
          </w:tcPr>
          <w:p w14:paraId="0665FE8C">
            <w:pPr>
              <w:jc w:val="right"/>
              <w:textAlignment w:val="center"/>
              <w:rPr>
                <w:rFonts w:cs="Times New Roman"/>
              </w:rPr>
            </w:pPr>
            <w:r>
              <w:rPr>
                <w:rFonts w:cs="Times New Roman"/>
                <w:color w:val="000000"/>
              </w:rPr>
              <w:t>684,268.89</w:t>
            </w:r>
          </w:p>
        </w:tc>
      </w:tr>
      <w:tr w14:paraId="70852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pct"/>
            <w:vAlign w:val="bottom"/>
          </w:tcPr>
          <w:p w14:paraId="7FA7A548">
            <w:pP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综合收益总额</w:t>
            </w:r>
          </w:p>
        </w:tc>
        <w:tc>
          <w:tcPr>
            <w:tcW w:w="843" w:type="pct"/>
            <w:vAlign w:val="center"/>
          </w:tcPr>
          <w:p w14:paraId="480FD664">
            <w:pPr>
              <w:jc w:val="right"/>
              <w:textAlignment w:val="center"/>
              <w:rPr>
                <w:rFonts w:cs="Times New Roman"/>
              </w:rPr>
            </w:pPr>
            <w:r>
              <w:rPr>
                <w:rFonts w:cs="Times New Roman"/>
                <w:color w:val="000000"/>
              </w:rPr>
              <w:t>-6,379,345.75</w:t>
            </w:r>
          </w:p>
        </w:tc>
        <w:tc>
          <w:tcPr>
            <w:tcW w:w="845" w:type="pct"/>
            <w:vAlign w:val="center"/>
          </w:tcPr>
          <w:p w14:paraId="736B40C2">
            <w:pPr>
              <w:jc w:val="right"/>
              <w:textAlignment w:val="center"/>
              <w:rPr>
                <w:rFonts w:cs="Times New Roman"/>
              </w:rPr>
            </w:pPr>
            <w:r>
              <w:rPr>
                <w:rFonts w:cs="Times New Roman"/>
                <w:color w:val="000000"/>
              </w:rPr>
              <w:t>104,655.68</w:t>
            </w:r>
          </w:p>
        </w:tc>
        <w:tc>
          <w:tcPr>
            <w:tcW w:w="843" w:type="pct"/>
            <w:vAlign w:val="center"/>
          </w:tcPr>
          <w:p w14:paraId="10AB149E">
            <w:pPr>
              <w:jc w:val="right"/>
              <w:textAlignment w:val="center"/>
              <w:rPr>
                <w:rFonts w:cs="Times New Roman"/>
              </w:rPr>
            </w:pPr>
            <w:r>
              <w:rPr>
                <w:rFonts w:cs="Times New Roman"/>
                <w:color w:val="000000"/>
              </w:rPr>
              <w:t>-5,852,865.91</w:t>
            </w:r>
          </w:p>
        </w:tc>
        <w:tc>
          <w:tcPr>
            <w:tcW w:w="850" w:type="pct"/>
            <w:vAlign w:val="center"/>
          </w:tcPr>
          <w:p w14:paraId="6CFE3150">
            <w:pPr>
              <w:jc w:val="right"/>
              <w:textAlignment w:val="center"/>
              <w:rPr>
                <w:rFonts w:cs="Times New Roman"/>
              </w:rPr>
            </w:pPr>
            <w:r>
              <w:rPr>
                <w:rFonts w:cs="Times New Roman"/>
                <w:color w:val="000000"/>
              </w:rPr>
              <w:t>684,268.89</w:t>
            </w:r>
          </w:p>
        </w:tc>
      </w:tr>
      <w:tr w14:paraId="360E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bottom"/>
          </w:tcPr>
          <w:p w14:paraId="59C3813B">
            <w:pPr>
              <w:jc w:val="right"/>
              <w:rPr>
                <w:rFonts w:cs="Times New Roman"/>
                <w:color w:val="000000" w:themeColor="text1"/>
                <w14:textFill>
                  <w14:solidFill>
                    <w14:schemeClr w14:val="tx1"/>
                  </w14:solidFill>
                </w14:textFill>
              </w:rPr>
            </w:pPr>
          </w:p>
        </w:tc>
      </w:tr>
      <w:tr w14:paraId="20D8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pct"/>
            <w:vAlign w:val="bottom"/>
          </w:tcPr>
          <w:p w14:paraId="4964F6CD">
            <w:pP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本年度收到的来自联营企业的股利</w:t>
            </w:r>
          </w:p>
        </w:tc>
        <w:tc>
          <w:tcPr>
            <w:tcW w:w="843" w:type="pct"/>
            <w:vAlign w:val="center"/>
          </w:tcPr>
          <w:p w14:paraId="2DE875D7">
            <w:pPr>
              <w:jc w:val="right"/>
              <w:rPr>
                <w:rFonts w:cs="Times New Roman"/>
              </w:rPr>
            </w:pPr>
          </w:p>
        </w:tc>
        <w:tc>
          <w:tcPr>
            <w:tcW w:w="845" w:type="pct"/>
            <w:vAlign w:val="center"/>
          </w:tcPr>
          <w:p w14:paraId="2DB17D58">
            <w:pPr>
              <w:jc w:val="right"/>
              <w:rPr>
                <w:rFonts w:cs="Times New Roman"/>
              </w:rPr>
            </w:pPr>
          </w:p>
        </w:tc>
        <w:tc>
          <w:tcPr>
            <w:tcW w:w="843" w:type="pct"/>
            <w:vAlign w:val="center"/>
          </w:tcPr>
          <w:p w14:paraId="028E9ECB">
            <w:pPr>
              <w:jc w:val="right"/>
              <w:rPr>
                <w:rFonts w:cs="Times New Roman"/>
              </w:rPr>
            </w:pPr>
          </w:p>
        </w:tc>
        <w:tc>
          <w:tcPr>
            <w:tcW w:w="850" w:type="pct"/>
            <w:vAlign w:val="center"/>
          </w:tcPr>
          <w:p w14:paraId="6928C9D4">
            <w:pPr>
              <w:jc w:val="right"/>
              <w:textAlignment w:val="center"/>
              <w:rPr>
                <w:rFonts w:cs="Times New Roman"/>
              </w:rPr>
            </w:pPr>
            <w:r>
              <w:rPr>
                <w:rFonts w:eastAsia="Arial Narrow" w:cs="Times New Roman"/>
                <w:color w:val="000000"/>
                <w:lang w:bidi="ar"/>
              </w:rPr>
              <w:t>2,635,500.00</w:t>
            </w:r>
          </w:p>
        </w:tc>
      </w:tr>
    </w:tbl>
    <w:p w14:paraId="5B83DD56">
      <w:pPr>
        <w:rPr>
          <w:rFonts w:cstheme="minorBidi"/>
          <w:color w:val="000000" w:themeColor="text1"/>
          <w14:textFill>
            <w14:solidFill>
              <w14:schemeClr w14:val="tx1"/>
            </w14:solidFill>
          </w14:textFill>
        </w:rPr>
      </w:pPr>
    </w:p>
    <w:p w14:paraId="4CAF7DC8">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其他说明</w:t>
      </w:r>
    </w:p>
    <w:sdt>
      <w:sdtPr>
        <w:rPr>
          <w:rFonts w:hint="eastAsia" w:cs="Arial"/>
          <w:color w:val="000000" w:themeColor="text1"/>
          <w14:textFill>
            <w14:solidFill>
              <w14:schemeClr w14:val="tx1"/>
            </w14:solidFill>
          </w14:textFill>
        </w:rPr>
        <w:alias w:val="重要联营企业的主要财务信息其他说明的方法"/>
        <w:tag w:val="_GBC_49602fee37fb4c848eee594868d16caa"/>
        <w:id w:val="147457220"/>
        <w:placeholder>
          <w:docPart w:val="GBC22222222222222222222222222222"/>
        </w:placeholder>
      </w:sdtPr>
      <w:sdtEndPr>
        <w:rPr>
          <w:rFonts w:hint="eastAsia" w:cs="Arial"/>
          <w:color w:val="000000" w:themeColor="text1"/>
          <w14:textFill>
            <w14:solidFill>
              <w14:schemeClr w14:val="tx1"/>
            </w14:solidFill>
          </w14:textFill>
        </w:rPr>
      </w:sdtEndPr>
      <w:sdtContent>
        <w:p w14:paraId="2EB1FE69">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无</w:t>
          </w:r>
        </w:p>
      </w:sdtContent>
    </w:sdt>
    <w:p w14:paraId="2FD2ACB2">
      <w:pPr>
        <w:rPr>
          <w:rFonts w:cs="Arial"/>
          <w:color w:val="000000" w:themeColor="text1"/>
          <w14:textFill>
            <w14:solidFill>
              <w14:schemeClr w14:val="tx1"/>
            </w14:solidFill>
          </w14:textFill>
        </w:rPr>
      </w:pPr>
    </w:p>
    <w:p w14:paraId="568BEC74">
      <w:pPr>
        <w:pStyle w:val="58"/>
        <w:numPr>
          <w:ilvl w:val="3"/>
          <w:numId w:val="98"/>
        </w:numPr>
        <w:tabs>
          <w:tab w:val="left" w:pos="630"/>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不重要的合营企业和联营企业的汇总财务信息</w:t>
      </w:r>
    </w:p>
    <w:sdt>
      <w:sdtPr>
        <w:rPr>
          <w:color w:val="000000" w:themeColor="text1"/>
          <w14:textFill>
            <w14:solidFill>
              <w14:schemeClr w14:val="tx1"/>
            </w14:solidFill>
          </w14:textFill>
        </w:rPr>
        <w:alias w:val="是否适用：不重要的合营企业和联营企业的汇总财务信息[双击切换]"/>
        <w:tag w:val="_GBC_eb809f81680b42f794ba04df499e52dc"/>
        <w:id w:val="147461460"/>
        <w:placeholder>
          <w:docPart w:val="GBC22222222222222222222222222222"/>
        </w:placeholder>
      </w:sdtPr>
      <w:sdtEndPr>
        <w:rPr>
          <w:color w:val="000000" w:themeColor="text1"/>
          <w14:textFill>
            <w14:solidFill>
              <w14:schemeClr w14:val="tx1"/>
            </w14:solidFill>
          </w14:textFill>
        </w:rPr>
      </w:sdtEndPr>
      <w:sdtContent>
        <w:p w14:paraId="6BCBC51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B46C79F">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不重要的合营企业和联营企业的汇总财务信息"/>
          <w:tag w:val="_GBC_d02efd9c85904b029b5a51b02d9519e8"/>
          <w:id w:val="1474669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不重要的合营企业和联营企业的汇总财务信息"/>
          <w:tag w:val="_GBC_a6fa35df627e4d9584fb9c311eb6a4b5"/>
          <w:id w:val="1474781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3"/>
        <w:gridCol w:w="3071"/>
        <w:gridCol w:w="3075"/>
      </w:tblGrid>
      <w:tr w14:paraId="7AE50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1" w:hRule="atLeast"/>
          <w:jc w:val="center"/>
        </w:trPr>
        <w:tc>
          <w:tcPr>
            <w:tcW w:w="1604" w:type="pct"/>
          </w:tcPr>
          <w:p w14:paraId="5244A749">
            <w:pPr>
              <w:jc w:val="center"/>
              <w:rPr>
                <w:rFonts w:cs="Times New Roman"/>
                <w:color w:val="000000" w:themeColor="text1"/>
                <w14:textFill>
                  <w14:solidFill>
                    <w14:schemeClr w14:val="tx1"/>
                  </w14:solidFill>
                </w14:textFill>
              </w:rPr>
            </w:pPr>
          </w:p>
        </w:tc>
        <w:sdt>
          <w:sdtPr>
            <w:rPr>
              <w:rFonts w:cs="Times New Roman"/>
            </w:rPr>
            <w:tag w:val="_PLD_7dc69fc7f68243e6b4f46db3a94dd47f"/>
            <w:id w:val="147457926"/>
          </w:sdtPr>
          <w:sdtEndPr>
            <w:rPr>
              <w:rFonts w:cs="Times New Roman"/>
            </w:rPr>
          </w:sdtEndPr>
          <w:sdtContent>
            <w:tc>
              <w:tcPr>
                <w:tcW w:w="1697" w:type="pct"/>
              </w:tcPr>
              <w:p w14:paraId="736BE016">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期末余额</w:t>
                </w:r>
                <w:r>
                  <w:rPr>
                    <w:rFonts w:cs="Times New Roman"/>
                    <w:color w:val="000000" w:themeColor="text1"/>
                    <w14:textFill>
                      <w14:solidFill>
                        <w14:schemeClr w14:val="tx1"/>
                      </w14:solidFill>
                    </w14:textFill>
                  </w:rPr>
                  <w:t xml:space="preserve">/ </w:t>
                </w:r>
                <w:r>
                  <w:rPr>
                    <w:rFonts w:cs="Times New Roman"/>
                    <w:color w:val="000000" w:themeColor="text1"/>
                    <w:lang w:val="en-GB"/>
                    <w14:textFill>
                      <w14:solidFill>
                        <w14:schemeClr w14:val="tx1"/>
                      </w14:solidFill>
                    </w14:textFill>
                  </w:rPr>
                  <w:t>本期发生额</w:t>
                </w:r>
              </w:p>
            </w:tc>
          </w:sdtContent>
        </w:sdt>
        <w:sdt>
          <w:sdtPr>
            <w:rPr>
              <w:rFonts w:cs="Times New Roman"/>
            </w:rPr>
            <w:tag w:val="_PLD_ffe9f9922ada461388adfb92ed1e3072"/>
            <w:id w:val="147467765"/>
          </w:sdtPr>
          <w:sdtEndPr>
            <w:rPr>
              <w:rFonts w:cs="Times New Roman"/>
            </w:rPr>
          </w:sdtEndPr>
          <w:sdtContent>
            <w:tc>
              <w:tcPr>
                <w:tcW w:w="1699" w:type="pct"/>
              </w:tcPr>
              <w:p w14:paraId="5B8B4674">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期初余额</w:t>
                </w:r>
                <w:r>
                  <w:rPr>
                    <w:rFonts w:cs="Times New Roman"/>
                    <w:color w:val="000000" w:themeColor="text1"/>
                    <w14:textFill>
                      <w14:solidFill>
                        <w14:schemeClr w14:val="tx1"/>
                      </w14:solidFill>
                    </w14:textFill>
                  </w:rPr>
                  <w:t xml:space="preserve">/ </w:t>
                </w:r>
                <w:r>
                  <w:rPr>
                    <w:rFonts w:cs="Times New Roman"/>
                    <w:color w:val="000000" w:themeColor="text1"/>
                    <w:lang w:val="en-GB"/>
                    <w14:textFill>
                      <w14:solidFill>
                        <w14:schemeClr w14:val="tx1"/>
                      </w14:solidFill>
                    </w14:textFill>
                  </w:rPr>
                  <w:t>上期发生额</w:t>
                </w:r>
              </w:p>
            </w:tc>
          </w:sdtContent>
        </w:sdt>
      </w:tr>
      <w:tr w14:paraId="5EE9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cs="Times New Roman"/>
            </w:rPr>
            <w:tag w:val="_PLD_1bd24e2b6e8f4bddad27bea53e1b1b0a"/>
            <w:id w:val="147476495"/>
          </w:sdtPr>
          <w:sdtEndPr>
            <w:rPr>
              <w:rFonts w:cs="Times New Roman"/>
            </w:rPr>
          </w:sdtEndPr>
          <w:sdtContent>
            <w:tc>
              <w:tcPr>
                <w:tcW w:w="5000" w:type="pct"/>
                <w:gridSpan w:val="3"/>
              </w:tcPr>
              <w:p w14:paraId="54B4A5C6">
                <w:pP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联营企业：</w:t>
                </w:r>
              </w:p>
            </w:tc>
          </w:sdtContent>
        </w:sdt>
      </w:tr>
      <w:tr w14:paraId="3025F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pct"/>
            <w:vAlign w:val="center"/>
          </w:tcPr>
          <w:p w14:paraId="6B561E25">
            <w:pP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投资账面价值合计</w:t>
            </w:r>
          </w:p>
        </w:tc>
        <w:tc>
          <w:tcPr>
            <w:tcW w:w="2995" w:type="dxa"/>
            <w:vAlign w:val="center"/>
          </w:tcPr>
          <w:p w14:paraId="35FB74DF">
            <w:pPr>
              <w:jc w:val="right"/>
              <w:textAlignment w:val="center"/>
              <w:rPr>
                <w:rFonts w:cs="Times New Roman"/>
              </w:rPr>
            </w:pPr>
            <w:r>
              <w:rPr>
                <w:rFonts w:eastAsia="Arial Narrow" w:cs="Times New Roman"/>
                <w:color w:val="000000"/>
                <w:lang w:bidi="ar"/>
              </w:rPr>
              <w:t>11,617,146.63</w:t>
            </w:r>
          </w:p>
        </w:tc>
        <w:tc>
          <w:tcPr>
            <w:tcW w:w="2998" w:type="dxa"/>
            <w:vAlign w:val="center"/>
          </w:tcPr>
          <w:p w14:paraId="518FD643">
            <w:pPr>
              <w:jc w:val="right"/>
              <w:textAlignment w:val="center"/>
              <w:rPr>
                <w:rFonts w:cs="Times New Roman"/>
              </w:rPr>
            </w:pPr>
            <w:r>
              <w:rPr>
                <w:rFonts w:eastAsia="Arial Narrow" w:cs="Times New Roman"/>
                <w:color w:val="000000"/>
                <w:lang w:bidi="ar"/>
              </w:rPr>
              <w:t>11,738,839.26</w:t>
            </w:r>
          </w:p>
        </w:tc>
      </w:tr>
      <w:tr w14:paraId="56C6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cs="Times New Roman"/>
            </w:rPr>
            <w:tag w:val="_PLD_31587dee61f14709a752f002668255e6"/>
            <w:id w:val="147465438"/>
          </w:sdtPr>
          <w:sdtEndPr>
            <w:rPr>
              <w:rFonts w:cs="Times New Roman"/>
            </w:rPr>
          </w:sdtEndPr>
          <w:sdtContent>
            <w:tc>
              <w:tcPr>
                <w:tcW w:w="5000" w:type="pct"/>
                <w:gridSpan w:val="3"/>
                <w:vAlign w:val="center"/>
              </w:tcPr>
              <w:p w14:paraId="1B508D80">
                <w:pP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下列各项按持股比例计算的合计数</w:t>
                </w:r>
              </w:p>
            </w:tc>
          </w:sdtContent>
        </w:sdt>
      </w:tr>
      <w:tr w14:paraId="030F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pct"/>
            <w:vAlign w:val="center"/>
          </w:tcPr>
          <w:p w14:paraId="2F9F9227">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r>
              <w:rPr>
                <w:rFonts w:cs="Times New Roman"/>
                <w:color w:val="000000" w:themeColor="text1"/>
                <w:lang w:val="en-GB"/>
                <w14:textFill>
                  <w14:solidFill>
                    <w14:schemeClr w14:val="tx1"/>
                  </w14:solidFill>
                </w14:textFill>
              </w:rPr>
              <w:t>净利润</w:t>
            </w:r>
          </w:p>
        </w:tc>
        <w:tc>
          <w:tcPr>
            <w:tcW w:w="1697" w:type="pct"/>
            <w:vAlign w:val="center"/>
          </w:tcPr>
          <w:p w14:paraId="5A28002B">
            <w:pPr>
              <w:jc w:val="right"/>
              <w:textAlignment w:val="center"/>
              <w:rPr>
                <w:rFonts w:cs="Times New Roman"/>
              </w:rPr>
            </w:pPr>
            <w:r>
              <w:rPr>
                <w:rFonts w:eastAsia="Arial Narrow" w:cs="Times New Roman"/>
                <w:color w:val="000000"/>
                <w:lang w:bidi="ar"/>
              </w:rPr>
              <w:t>-3,865,715.23</w:t>
            </w:r>
          </w:p>
        </w:tc>
        <w:tc>
          <w:tcPr>
            <w:tcW w:w="1699" w:type="pct"/>
            <w:vAlign w:val="center"/>
          </w:tcPr>
          <w:p w14:paraId="199572A8">
            <w:pPr>
              <w:jc w:val="right"/>
              <w:textAlignment w:val="center"/>
              <w:rPr>
                <w:rFonts w:cs="Times New Roman"/>
              </w:rPr>
            </w:pPr>
            <w:r>
              <w:rPr>
                <w:rFonts w:eastAsia="Arial Narrow" w:cs="Times New Roman"/>
                <w:color w:val="000000"/>
                <w:lang w:bidi="ar"/>
              </w:rPr>
              <w:t>-1,288,125.99</w:t>
            </w:r>
          </w:p>
        </w:tc>
      </w:tr>
      <w:tr w14:paraId="771E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pct"/>
            <w:vAlign w:val="center"/>
          </w:tcPr>
          <w:p w14:paraId="7FDB09EF">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r>
              <w:rPr>
                <w:rFonts w:cs="Times New Roman"/>
                <w:color w:val="000000" w:themeColor="text1"/>
                <w:lang w:val="en-GB"/>
                <w14:textFill>
                  <w14:solidFill>
                    <w14:schemeClr w14:val="tx1"/>
                  </w14:solidFill>
                </w14:textFill>
              </w:rPr>
              <w:t>其他综合收益</w:t>
            </w:r>
          </w:p>
        </w:tc>
        <w:tc>
          <w:tcPr>
            <w:tcW w:w="1697" w:type="pct"/>
            <w:vAlign w:val="center"/>
          </w:tcPr>
          <w:p w14:paraId="12F1E406">
            <w:pPr>
              <w:jc w:val="right"/>
              <w:rPr>
                <w:rFonts w:cs="Times New Roman"/>
              </w:rPr>
            </w:pPr>
          </w:p>
        </w:tc>
        <w:tc>
          <w:tcPr>
            <w:tcW w:w="1699" w:type="pct"/>
            <w:vAlign w:val="center"/>
          </w:tcPr>
          <w:p w14:paraId="5851F45F">
            <w:pPr>
              <w:jc w:val="right"/>
              <w:rPr>
                <w:rFonts w:cs="Times New Roman"/>
              </w:rPr>
            </w:pPr>
          </w:p>
        </w:tc>
      </w:tr>
      <w:tr w14:paraId="5071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pct"/>
            <w:vAlign w:val="center"/>
          </w:tcPr>
          <w:p w14:paraId="047F7187">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r>
              <w:rPr>
                <w:rFonts w:cs="Times New Roman"/>
                <w:color w:val="000000" w:themeColor="text1"/>
                <w:lang w:val="en-GB"/>
                <w14:textFill>
                  <w14:solidFill>
                    <w14:schemeClr w14:val="tx1"/>
                  </w14:solidFill>
                </w14:textFill>
              </w:rPr>
              <w:t>综合收益总额</w:t>
            </w:r>
          </w:p>
        </w:tc>
        <w:tc>
          <w:tcPr>
            <w:tcW w:w="1697" w:type="pct"/>
            <w:vAlign w:val="center"/>
          </w:tcPr>
          <w:p w14:paraId="3F06F615">
            <w:pPr>
              <w:jc w:val="right"/>
              <w:textAlignment w:val="center"/>
              <w:rPr>
                <w:rFonts w:cs="Times New Roman"/>
              </w:rPr>
            </w:pPr>
            <w:r>
              <w:rPr>
                <w:rFonts w:eastAsia="Arial Narrow" w:cs="Times New Roman"/>
                <w:color w:val="000000"/>
                <w:lang w:bidi="ar"/>
              </w:rPr>
              <w:t>-3,865,715.23</w:t>
            </w:r>
          </w:p>
        </w:tc>
        <w:tc>
          <w:tcPr>
            <w:tcW w:w="1699" w:type="pct"/>
            <w:vAlign w:val="center"/>
          </w:tcPr>
          <w:p w14:paraId="28807514">
            <w:pPr>
              <w:jc w:val="right"/>
              <w:textAlignment w:val="center"/>
              <w:rPr>
                <w:rFonts w:cs="Times New Roman"/>
              </w:rPr>
            </w:pPr>
            <w:r>
              <w:rPr>
                <w:rFonts w:eastAsia="Arial Narrow" w:cs="Times New Roman"/>
                <w:color w:val="000000"/>
                <w:lang w:bidi="ar"/>
              </w:rPr>
              <w:t>-1,288,125.99</w:t>
            </w:r>
          </w:p>
        </w:tc>
      </w:tr>
    </w:tbl>
    <w:p w14:paraId="5472FAB2"/>
    <w:p w14:paraId="34B598B1">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他说明</w:t>
      </w:r>
    </w:p>
    <w:p w14:paraId="1A55438D">
      <w:pPr>
        <w:rPr>
          <w:rFonts w:cs="Arial"/>
          <w:color w:val="000000" w:themeColor="text1"/>
          <w14:textFill>
            <w14:solidFill>
              <w14:schemeClr w14:val="tx1"/>
            </w14:solidFill>
          </w14:textFill>
        </w:rPr>
      </w:pPr>
      <w:sdt>
        <w:sdtPr>
          <w:rPr>
            <w:color w:val="000000" w:themeColor="text1"/>
            <w14:textFill>
              <w14:solidFill>
                <w14:schemeClr w14:val="tx1"/>
              </w14:solidFill>
            </w14:textFill>
          </w:rPr>
          <w:alias w:val="不重要的合营企业和联营企业的汇总财务信息其他说明"/>
          <w:tag w:val="_GBC_78096995ca9848409e6780ab5f1386f8"/>
          <w:id w:val="147473198"/>
          <w:placeholder>
            <w:docPart w:val="GBC22222222222222222222222222222"/>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无</w:t>
          </w:r>
        </w:sdtContent>
      </w:sdt>
    </w:p>
    <w:p w14:paraId="103ED00A">
      <w:pPr>
        <w:rPr>
          <w:rFonts w:cs="Arial"/>
          <w:color w:val="000000" w:themeColor="text1"/>
          <w14:textFill>
            <w14:solidFill>
              <w14:schemeClr w14:val="tx1"/>
            </w14:solidFill>
          </w14:textFill>
        </w:rPr>
      </w:pPr>
    </w:p>
    <w:p w14:paraId="7948DDBB">
      <w:pPr>
        <w:pStyle w:val="58"/>
        <w:numPr>
          <w:ilvl w:val="3"/>
          <w:numId w:val="98"/>
        </w:numPr>
        <w:tabs>
          <w:tab w:val="left" w:pos="630"/>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合营企业或联营企业向本公司转移资金的能力存在重大限制的说明</w:t>
      </w:r>
    </w:p>
    <w:sdt>
      <w:sdtPr>
        <w:rPr>
          <w:color w:val="000000" w:themeColor="text1"/>
          <w14:textFill>
            <w14:solidFill>
              <w14:schemeClr w14:val="tx1"/>
            </w14:solidFill>
          </w14:textFill>
        </w:rPr>
        <w:alias w:val="是否适用：合营企业或联营企业向本公司转移资金的能力存在重大限制的说明[双击切换]"/>
        <w:tag w:val="_GBC_73dfba3df3e24fc2a5b5ede5fa8d6f09"/>
        <w:id w:val="147482588"/>
        <w:placeholder>
          <w:docPart w:val="GBC22222222222222222222222222222"/>
        </w:placeholder>
      </w:sdtPr>
      <w:sdtEndPr>
        <w:rPr>
          <w:color w:val="000000" w:themeColor="text1"/>
          <w14:textFill>
            <w14:solidFill>
              <w14:schemeClr w14:val="tx1"/>
            </w14:solidFill>
          </w14:textFill>
        </w:rPr>
      </w:sdtEndPr>
      <w:sdtContent>
        <w:p w14:paraId="14AB590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1AF54AF">
      <w:pPr>
        <w:pStyle w:val="58"/>
        <w:numPr>
          <w:ilvl w:val="3"/>
          <w:numId w:val="98"/>
        </w:numPr>
        <w:tabs>
          <w:tab w:val="left" w:pos="630"/>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合营企业或联营企业发生的超额亏损</w:t>
      </w:r>
    </w:p>
    <w:sdt>
      <w:sdtPr>
        <w:rPr>
          <w:color w:val="000000" w:themeColor="text1"/>
          <w14:textFill>
            <w14:solidFill>
              <w14:schemeClr w14:val="tx1"/>
            </w14:solidFill>
          </w14:textFill>
        </w:rPr>
        <w:alias w:val="是否适用：合营企业或联营企业发生的超额亏损[双击切换]"/>
        <w:tag w:val="_GBC_c30af0beca864d788c2fe12f47f13428"/>
        <w:id w:val="147470725"/>
        <w:placeholder>
          <w:docPart w:val="GBC22222222222222222222222222222"/>
        </w:placeholder>
      </w:sdtPr>
      <w:sdtEndPr>
        <w:rPr>
          <w:color w:val="000000" w:themeColor="text1"/>
          <w14:textFill>
            <w14:solidFill>
              <w14:schemeClr w14:val="tx1"/>
            </w14:solidFill>
          </w14:textFill>
        </w:rPr>
      </w:sdtEndPr>
      <w:sdtContent>
        <w:p w14:paraId="74BD44E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B7DDA61">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合营企业或联营企业发生的超额亏损"/>
          <w:tag w:val="_GBC_9b4b48485e2c48b587d05345d1b8f906"/>
          <w:id w:val="1474584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合营企业或联营企业发生的超额亏损"/>
          <w:tag w:val="_GBC_7d2c2ed8c3ee46d0b970983fec01e300"/>
          <w:id w:val="1474551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2266"/>
        <w:gridCol w:w="2548"/>
        <w:gridCol w:w="2251"/>
      </w:tblGrid>
      <w:tr w14:paraId="031C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blHeader/>
          <w:jc w:val="center"/>
        </w:trPr>
        <w:sdt>
          <w:sdtPr>
            <w:rPr>
              <w:rFonts w:cs="Times New Roman"/>
            </w:rPr>
            <w:tag w:val="_PLD_cfae10af261f4c818e8ad4071177e98a"/>
            <w:id w:val="147464298"/>
          </w:sdtPr>
          <w:sdtEndPr>
            <w:rPr>
              <w:rFonts w:cs="Times New Roman"/>
            </w:rPr>
          </w:sdtEndPr>
          <w:sdtContent>
            <w:tc>
              <w:tcPr>
                <w:tcW w:w="1096" w:type="pct"/>
                <w:vAlign w:val="center"/>
              </w:tcPr>
              <w:p w14:paraId="5E7D6716">
                <w:pPr>
                  <w:jc w:val="center"/>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合营企业或联营企业名称</w:t>
                </w:r>
              </w:p>
            </w:tc>
          </w:sdtContent>
        </w:sdt>
        <w:sdt>
          <w:sdtPr>
            <w:rPr>
              <w:rFonts w:cs="Times New Roman"/>
            </w:rPr>
            <w:tag w:val="_PLD_bf584a5933ac41b186166a4a8dae846e"/>
            <w:id w:val="147465328"/>
          </w:sdtPr>
          <w:sdtEndPr>
            <w:rPr>
              <w:rFonts w:cs="Times New Roman"/>
            </w:rPr>
          </w:sdtEndPr>
          <w:sdtContent>
            <w:tc>
              <w:tcPr>
                <w:tcW w:w="1252" w:type="pct"/>
                <w:vAlign w:val="center"/>
              </w:tcPr>
              <w:p w14:paraId="7F173F6B">
                <w:pPr>
                  <w:jc w:val="center"/>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累积未确认前期累计的损失</w:t>
                </w:r>
              </w:p>
            </w:tc>
          </w:sdtContent>
        </w:sdt>
        <w:sdt>
          <w:sdtPr>
            <w:rPr>
              <w:rFonts w:cs="Times New Roman"/>
            </w:rPr>
            <w:tag w:val="_PLD_1b45f7d4d7a14cdabeaa4bc0da033964"/>
            <w:id w:val="147452805"/>
          </w:sdtPr>
          <w:sdtEndPr>
            <w:rPr>
              <w:rFonts w:cs="Times New Roman"/>
            </w:rPr>
          </w:sdtEndPr>
          <w:sdtContent>
            <w:tc>
              <w:tcPr>
                <w:tcW w:w="1408" w:type="pct"/>
                <w:vAlign w:val="center"/>
              </w:tcPr>
              <w:p w14:paraId="226E0784">
                <w:pPr>
                  <w:jc w:val="center"/>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本期未确认的损失</w:t>
                </w:r>
              </w:p>
              <w:p w14:paraId="452CCE16">
                <w:pPr>
                  <w:jc w:val="center"/>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（或本期分享的净利润）</w:t>
                </w:r>
              </w:p>
            </w:tc>
          </w:sdtContent>
        </w:sdt>
        <w:sdt>
          <w:sdtPr>
            <w:rPr>
              <w:rFonts w:cs="Times New Roman"/>
            </w:rPr>
            <w:tag w:val="_PLD_239b4d282a024f0282cd9d6f560337f1"/>
            <w:id w:val="147455785"/>
          </w:sdtPr>
          <w:sdtEndPr>
            <w:rPr>
              <w:rFonts w:cs="Times New Roman"/>
            </w:rPr>
          </w:sdtEndPr>
          <w:sdtContent>
            <w:tc>
              <w:tcPr>
                <w:tcW w:w="1244" w:type="pct"/>
                <w:vAlign w:val="center"/>
              </w:tcPr>
              <w:p w14:paraId="5D4C4F2C">
                <w:pPr>
                  <w:jc w:val="center"/>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本期末累积未确认的损失</w:t>
                </w:r>
              </w:p>
            </w:tc>
          </w:sdtContent>
        </w:sdt>
      </w:tr>
      <w:tr w14:paraId="369B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pct"/>
            <w:vAlign w:val="center"/>
          </w:tcPr>
          <w:p w14:paraId="2CBC359A">
            <w:pPr>
              <w:jc w:val="center"/>
              <w:textAlignment w:val="center"/>
              <w:rPr>
                <w:rFonts w:cs="Times New Roman"/>
              </w:rPr>
            </w:pPr>
            <w:r>
              <w:rPr>
                <w:rFonts w:cs="Times New Roman"/>
                <w:color w:val="000000"/>
                <w:lang w:bidi="ar"/>
              </w:rPr>
              <w:t>湖北际华置业有限公司</w:t>
            </w:r>
          </w:p>
        </w:tc>
        <w:tc>
          <w:tcPr>
            <w:tcW w:w="1252" w:type="pct"/>
            <w:vAlign w:val="center"/>
          </w:tcPr>
          <w:p w14:paraId="5B7715D7">
            <w:pPr>
              <w:jc w:val="right"/>
              <w:textAlignment w:val="center"/>
              <w:rPr>
                <w:rFonts w:cs="Times New Roman"/>
              </w:rPr>
            </w:pPr>
            <w:r>
              <w:rPr>
                <w:rFonts w:cs="Times New Roman"/>
                <w:color w:val="000000"/>
              </w:rPr>
              <w:t>9,876,362.57</w:t>
            </w:r>
          </w:p>
        </w:tc>
        <w:tc>
          <w:tcPr>
            <w:tcW w:w="1408" w:type="pct"/>
            <w:vAlign w:val="center"/>
          </w:tcPr>
          <w:p w14:paraId="3F22FEC9">
            <w:pPr>
              <w:jc w:val="right"/>
              <w:textAlignment w:val="center"/>
              <w:rPr>
                <w:rFonts w:cs="Times New Roman"/>
              </w:rPr>
            </w:pPr>
            <w:r>
              <w:rPr>
                <w:rFonts w:cs="Times New Roman"/>
                <w:color w:val="000000"/>
              </w:rPr>
              <w:t>949,237.51</w:t>
            </w:r>
          </w:p>
        </w:tc>
        <w:tc>
          <w:tcPr>
            <w:tcW w:w="1244" w:type="pct"/>
            <w:vAlign w:val="center"/>
          </w:tcPr>
          <w:p w14:paraId="4264989A">
            <w:pPr>
              <w:jc w:val="right"/>
              <w:textAlignment w:val="center"/>
              <w:rPr>
                <w:rFonts w:cs="Times New Roman"/>
              </w:rPr>
            </w:pPr>
            <w:r>
              <w:rPr>
                <w:rFonts w:cs="Times New Roman"/>
                <w:color w:val="000000"/>
              </w:rPr>
              <w:t>10,825,600.08</w:t>
            </w:r>
          </w:p>
        </w:tc>
      </w:tr>
      <w:tr w14:paraId="3EE1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pct"/>
            <w:vAlign w:val="center"/>
          </w:tcPr>
          <w:p w14:paraId="0067FAED">
            <w:pPr>
              <w:jc w:val="center"/>
              <w:textAlignment w:val="center"/>
              <w:rPr>
                <w:rFonts w:cs="Times New Roman"/>
              </w:rPr>
            </w:pPr>
            <w:r>
              <w:rPr>
                <w:rFonts w:cs="Times New Roman"/>
                <w:color w:val="000000"/>
                <w:lang w:bidi="ar"/>
              </w:rPr>
              <w:t>宜昌际华仙女服饰有限公司</w:t>
            </w:r>
          </w:p>
        </w:tc>
        <w:tc>
          <w:tcPr>
            <w:tcW w:w="1252" w:type="pct"/>
            <w:vAlign w:val="center"/>
          </w:tcPr>
          <w:p w14:paraId="6BBD580B">
            <w:pPr>
              <w:jc w:val="right"/>
              <w:textAlignment w:val="center"/>
              <w:rPr>
                <w:rFonts w:cs="Times New Roman"/>
              </w:rPr>
            </w:pPr>
            <w:r>
              <w:rPr>
                <w:rFonts w:cs="Times New Roman"/>
                <w:color w:val="000000"/>
              </w:rPr>
              <w:t>4,622,111.44</w:t>
            </w:r>
          </w:p>
        </w:tc>
        <w:tc>
          <w:tcPr>
            <w:tcW w:w="1408" w:type="pct"/>
            <w:vAlign w:val="center"/>
          </w:tcPr>
          <w:p w14:paraId="005B0AFB">
            <w:pPr>
              <w:jc w:val="right"/>
              <w:textAlignment w:val="center"/>
              <w:rPr>
                <w:rFonts w:cs="Times New Roman"/>
              </w:rPr>
            </w:pPr>
            <w:r>
              <w:rPr>
                <w:rFonts w:cs="Times New Roman"/>
                <w:color w:val="000000"/>
              </w:rPr>
              <w:t>2,607,345.40</w:t>
            </w:r>
          </w:p>
        </w:tc>
        <w:tc>
          <w:tcPr>
            <w:tcW w:w="1244" w:type="pct"/>
            <w:vAlign w:val="center"/>
          </w:tcPr>
          <w:p w14:paraId="216F80D5">
            <w:pPr>
              <w:jc w:val="right"/>
              <w:textAlignment w:val="center"/>
              <w:rPr>
                <w:rFonts w:cs="Times New Roman"/>
              </w:rPr>
            </w:pPr>
            <w:r>
              <w:rPr>
                <w:rFonts w:cs="Times New Roman"/>
                <w:color w:val="000000"/>
              </w:rPr>
              <w:t>7,229,456.84</w:t>
            </w:r>
          </w:p>
        </w:tc>
      </w:tr>
    </w:tbl>
    <w:p w14:paraId="4D3F73D5">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其他说明</w:t>
      </w:r>
    </w:p>
    <w:sdt>
      <w:sdtPr>
        <w:rPr>
          <w:rFonts w:cs="Arial"/>
          <w:color w:val="000000" w:themeColor="text1"/>
          <w14:textFill>
            <w14:solidFill>
              <w14:schemeClr w14:val="tx1"/>
            </w14:solidFill>
          </w14:textFill>
        </w:rPr>
        <w:alias w:val="合营企业或联营企业发生的超额亏损的其他说明"/>
        <w:tag w:val="_GBC_cd40de2e5da84ad9ada2436c92f0269a"/>
        <w:id w:val="147479082"/>
        <w:placeholder>
          <w:docPart w:val="GBC22222222222222222222222222222"/>
        </w:placeholder>
      </w:sdtPr>
      <w:sdtEndPr>
        <w:rPr>
          <w:rFonts w:cs="Arial"/>
          <w:color w:val="000000" w:themeColor="text1"/>
          <w14:textFill>
            <w14:solidFill>
              <w14:schemeClr w14:val="tx1"/>
            </w14:solidFill>
          </w14:textFill>
        </w:rPr>
      </w:sdtEndPr>
      <w:sdtContent>
        <w:p w14:paraId="0B40FCBB">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无</w:t>
          </w:r>
        </w:p>
      </w:sdtContent>
    </w:sdt>
    <w:p w14:paraId="0848C61C">
      <w:pPr>
        <w:rPr>
          <w:rFonts w:cs="Arial"/>
          <w:color w:val="000000" w:themeColor="text1"/>
          <w14:textFill>
            <w14:solidFill>
              <w14:schemeClr w14:val="tx1"/>
            </w14:solidFill>
          </w14:textFill>
        </w:rPr>
      </w:pPr>
    </w:p>
    <w:p w14:paraId="52A47BD8">
      <w:pPr>
        <w:pStyle w:val="58"/>
        <w:numPr>
          <w:ilvl w:val="3"/>
          <w:numId w:val="98"/>
        </w:numPr>
        <w:tabs>
          <w:tab w:val="left" w:pos="630"/>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与合营企业投资相关的未确认承诺</w:t>
      </w:r>
    </w:p>
    <w:sdt>
      <w:sdtPr>
        <w:rPr>
          <w:color w:val="000000" w:themeColor="text1"/>
          <w14:textFill>
            <w14:solidFill>
              <w14:schemeClr w14:val="tx1"/>
            </w14:solidFill>
          </w14:textFill>
        </w:rPr>
        <w:alias w:val="是否适用：与合营企业投资相关的未确认承诺[双击切换]"/>
        <w:tag w:val="_GBC_9d014d8b476148b59476808a5cda81d8"/>
        <w:id w:val="147477933"/>
        <w:placeholder>
          <w:docPart w:val="GBC22222222222222222222222222222"/>
        </w:placeholder>
      </w:sdtPr>
      <w:sdtEndPr>
        <w:rPr>
          <w:color w:val="000000" w:themeColor="text1"/>
          <w14:textFill>
            <w14:solidFill>
              <w14:schemeClr w14:val="tx1"/>
            </w14:solidFill>
          </w14:textFill>
        </w:rPr>
      </w:sdtEndPr>
      <w:sdtContent>
        <w:p w14:paraId="12044FFC">
          <w:pPr>
            <w:rPr>
              <w:rFonts w:cs="Arial"/>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6BE5987">
      <w:pPr>
        <w:rPr>
          <w:rFonts w:cs="Arial"/>
          <w:color w:val="000000" w:themeColor="text1"/>
          <w14:textFill>
            <w14:solidFill>
              <w14:schemeClr w14:val="tx1"/>
            </w14:solidFill>
          </w14:textFill>
        </w:rPr>
      </w:pPr>
    </w:p>
    <w:p w14:paraId="7907AC26">
      <w:pPr>
        <w:pStyle w:val="58"/>
        <w:numPr>
          <w:ilvl w:val="3"/>
          <w:numId w:val="98"/>
        </w:numPr>
        <w:tabs>
          <w:tab w:val="left" w:pos="630"/>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与合营企业或联营企业投资相关的或有负债</w:t>
      </w:r>
    </w:p>
    <w:sdt>
      <w:sdtPr>
        <w:rPr>
          <w:color w:val="000000" w:themeColor="text1"/>
          <w14:textFill>
            <w14:solidFill>
              <w14:schemeClr w14:val="tx1"/>
            </w14:solidFill>
          </w14:textFill>
        </w:rPr>
        <w:alias w:val="是否适用：与合营企业或联营企业投资相关的或有负债[双击切换]"/>
        <w:tag w:val="_GBC_caba618be81b4cb1acf89073549a456a"/>
        <w:id w:val="147483293"/>
        <w:placeholder>
          <w:docPart w:val="GBC22222222222222222222222222222"/>
        </w:placeholder>
      </w:sdtPr>
      <w:sdtEndPr>
        <w:rPr>
          <w:color w:val="000000" w:themeColor="text1"/>
          <w14:textFill>
            <w14:solidFill>
              <w14:schemeClr w14:val="tx1"/>
            </w14:solidFill>
          </w14:textFill>
        </w:rPr>
      </w:sdtEndPr>
      <w:sdtContent>
        <w:p w14:paraId="26DF2CA5">
          <w:pPr>
            <w:rPr>
              <w:rFonts w:cs="Arial"/>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7922B1C">
      <w:pPr>
        <w:rPr>
          <w:rFonts w:cs="Arial"/>
          <w:color w:val="000000" w:themeColor="text1"/>
          <w14:textFill>
            <w14:solidFill>
              <w14:schemeClr w14:val="tx1"/>
            </w14:solidFill>
          </w14:textFill>
        </w:rPr>
      </w:pPr>
    </w:p>
    <w:p w14:paraId="08D14A4F">
      <w:pPr>
        <w:pStyle w:val="57"/>
        <w:numPr>
          <w:ilvl w:val="2"/>
          <w:numId w:val="9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重要的共同经营</w:t>
      </w:r>
    </w:p>
    <w:sdt>
      <w:sdtPr>
        <w:rPr>
          <w:color w:val="000000" w:themeColor="text1"/>
          <w14:textFill>
            <w14:solidFill>
              <w14:schemeClr w14:val="tx1"/>
            </w14:solidFill>
          </w14:textFill>
        </w:rPr>
        <w:alias w:val="是否适用：重要的共同经营[双击切换]"/>
        <w:tag w:val="_GBC_7911b1c8195d4c20b2800b1c5ac94a93"/>
        <w:id w:val="147476020"/>
        <w:placeholder>
          <w:docPart w:val="GBC22222222222222222222222222222"/>
        </w:placeholder>
      </w:sdtPr>
      <w:sdtEndPr>
        <w:rPr>
          <w:color w:val="000000" w:themeColor="text1"/>
          <w14:textFill>
            <w14:solidFill>
              <w14:schemeClr w14:val="tx1"/>
            </w14:solidFill>
          </w14:textFill>
        </w:rPr>
      </w:sdtEndPr>
      <w:sdtContent>
        <w:p w14:paraId="54509634">
          <w:pPr>
            <w:rPr>
              <w:rFonts w:cs="Arial"/>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0ECE848">
      <w:pPr>
        <w:rPr>
          <w:rFonts w:cs="Arial"/>
          <w:color w:val="000000" w:themeColor="text1"/>
          <w14:textFill>
            <w14:solidFill>
              <w14:schemeClr w14:val="tx1"/>
            </w14:solidFill>
          </w14:textFill>
        </w:rPr>
      </w:pPr>
    </w:p>
    <w:p w14:paraId="001053A1">
      <w:pPr>
        <w:pStyle w:val="57"/>
        <w:numPr>
          <w:ilvl w:val="2"/>
          <w:numId w:val="9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在未纳入合并财务报表范围的结构化主体中的权益</w:t>
      </w:r>
    </w:p>
    <w:p w14:paraId="02AA27B5">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未纳入合并财务报表范围的结构化主体的相关说明：</w:t>
      </w:r>
    </w:p>
    <w:sdt>
      <w:sdtPr>
        <w:rPr>
          <w:rFonts w:cs="Arial"/>
          <w:color w:val="000000" w:themeColor="text1"/>
          <w14:textFill>
            <w14:solidFill>
              <w14:schemeClr w14:val="tx1"/>
            </w14:solidFill>
          </w14:textFill>
        </w:rPr>
        <w:alias w:val="是否适用：未纳入合并财务报表范围的结构化主体的相关说明[双击切换]"/>
        <w:tag w:val="_GBC_48eb6d215e5341c694f98d18f5889902"/>
        <w:id w:val="147476936"/>
        <w:placeholder>
          <w:docPart w:val="GBC22222222222222222222222222222"/>
        </w:placeholder>
      </w:sdtPr>
      <w:sdtEndPr>
        <w:rPr>
          <w:rFonts w:cs="Arial"/>
          <w:color w:val="000000" w:themeColor="text1"/>
          <w14:textFill>
            <w14:solidFill>
              <w14:schemeClr w14:val="tx1"/>
            </w14:solidFill>
          </w14:textFill>
        </w:rPr>
      </w:sdtEndPr>
      <w:sdtContent>
        <w:p w14:paraId="7A815D61">
          <w:pPr>
            <w:rPr>
              <w:rFonts w:cs="Arial"/>
              <w:color w:val="000000" w:themeColor="text1"/>
              <w14:textFill>
                <w14:solidFill>
                  <w14:schemeClr w14:val="tx1"/>
                </w14:solidFill>
              </w14:textFill>
            </w:rPr>
          </w:pPr>
          <w:r>
            <w:rPr>
              <w:rFonts w:ascii="宋体" w:hAnsi="宋体" w:cs="Arial"/>
              <w:color w:val="000000" w:themeColor="text1"/>
              <w14:textFill>
                <w14:solidFill>
                  <w14:schemeClr w14:val="tx1"/>
                </w14:solidFill>
              </w14:textFill>
            </w:rPr>
            <w:fldChar w:fldCharType="begin"/>
          </w:r>
          <w:r>
            <w:rPr>
              <w:rFonts w:hint="eastAsia" w:ascii="宋体" w:hAnsi="宋体" w:cs="Arial"/>
              <w:color w:val="000000" w:themeColor="text1"/>
              <w14:textFill>
                <w14:solidFill>
                  <w14:schemeClr w14:val="tx1"/>
                </w14:solidFill>
              </w14:textFill>
            </w:rPr>
            <w:instrText xml:space="preserve"> MACROBUTTON  SnrToggleCheckbox □适用 </w:instrText>
          </w:r>
          <w:r>
            <w:rPr>
              <w:rFonts w:ascii="宋体" w:hAnsi="宋体" w:cs="Arial"/>
              <w:color w:val="000000" w:themeColor="text1"/>
              <w14:textFill>
                <w14:solidFill>
                  <w14:schemeClr w14:val="tx1"/>
                </w14:solidFill>
              </w14:textFill>
            </w:rPr>
            <w:fldChar w:fldCharType="end"/>
          </w:r>
          <w:r>
            <w:rPr>
              <w:rFonts w:ascii="宋体" w:hAnsi="宋体" w:cs="Arial"/>
              <w:color w:val="000000" w:themeColor="text1"/>
              <w14:textFill>
                <w14:solidFill>
                  <w14:schemeClr w14:val="tx1"/>
                </w14:solidFill>
              </w14:textFill>
            </w:rPr>
            <w:fldChar w:fldCharType="begin"/>
          </w:r>
          <w:r>
            <w:rPr>
              <w:rFonts w:hint="eastAsia" w:ascii="宋体" w:hAnsi="宋体" w:cs="Arial"/>
              <w:color w:val="000000" w:themeColor="text1"/>
              <w14:textFill>
                <w14:solidFill>
                  <w14:schemeClr w14:val="tx1"/>
                </w14:solidFill>
              </w14:textFill>
            </w:rPr>
            <w:instrText xml:space="preserve"> MACROBUTTON  SnrToggleCheckbox √不适用 </w:instrText>
          </w:r>
          <w:r>
            <w:rPr>
              <w:rFonts w:ascii="宋体" w:hAnsi="宋体" w:cs="Arial"/>
              <w:color w:val="000000" w:themeColor="text1"/>
              <w14:textFill>
                <w14:solidFill>
                  <w14:schemeClr w14:val="tx1"/>
                </w14:solidFill>
              </w14:textFill>
            </w:rPr>
            <w:fldChar w:fldCharType="end"/>
          </w:r>
        </w:p>
      </w:sdtContent>
    </w:sdt>
    <w:p w14:paraId="5176EE11">
      <w:pPr>
        <w:rPr>
          <w:rFonts w:cs="Arial"/>
          <w:color w:val="000000" w:themeColor="text1"/>
          <w14:textFill>
            <w14:solidFill>
              <w14:schemeClr w14:val="tx1"/>
            </w14:solidFill>
          </w14:textFill>
        </w:rPr>
      </w:pPr>
    </w:p>
    <w:p w14:paraId="19F7A2B0">
      <w:pPr>
        <w:pStyle w:val="57"/>
        <w:numPr>
          <w:ilvl w:val="2"/>
          <w:numId w:val="9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w:t>
      </w:r>
    </w:p>
    <w:sdt>
      <w:sdtPr>
        <w:rPr>
          <w:color w:val="000000" w:themeColor="text1"/>
          <w14:textFill>
            <w14:solidFill>
              <w14:schemeClr w14:val="tx1"/>
            </w14:solidFill>
          </w14:textFill>
        </w:rPr>
        <w:alias w:val="是否适用：在其他主体中的权益其他需要说明的事项[双击切换]"/>
        <w:tag w:val="_GBC_ad8b7a7df0724efaa681a931c91befff"/>
        <w:id w:val="147471188"/>
        <w:placeholder>
          <w:docPart w:val="GBC22222222222222222222222222222"/>
        </w:placeholder>
      </w:sdtPr>
      <w:sdtEndPr>
        <w:rPr>
          <w:color w:val="000000" w:themeColor="text1"/>
          <w14:textFill>
            <w14:solidFill>
              <w14:schemeClr w14:val="tx1"/>
            </w14:solidFill>
          </w14:textFill>
        </w:rPr>
      </w:sdtEndPr>
      <w:sdtContent>
        <w:p w14:paraId="15CDB8D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624D5C4">
      <w:pPr>
        <w:rPr>
          <w:color w:val="000000" w:themeColor="text1"/>
          <w14:textFill>
            <w14:solidFill>
              <w14:schemeClr w14:val="tx1"/>
            </w14:solidFill>
          </w14:textFill>
        </w:rPr>
      </w:pPr>
    </w:p>
    <w:p w14:paraId="66B2D372">
      <w:pPr>
        <w:rPr>
          <w:color w:val="000000" w:themeColor="text1"/>
          <w14:textFill>
            <w14:solidFill>
              <w14:schemeClr w14:val="tx1"/>
            </w14:solidFill>
          </w14:textFill>
        </w:rPr>
      </w:pPr>
    </w:p>
    <w:p w14:paraId="56EFE3EA">
      <w:pPr>
        <w:pStyle w:val="56"/>
        <w:numPr>
          <w:ilvl w:val="0"/>
          <w:numId w:val="43"/>
        </w:numPr>
        <w:ind w:left="420" w:hanging="420"/>
        <w:rPr>
          <w:rFonts w:ascii="宋体" w:hAnsi="宋体"/>
          <w:color w:val="000000" w:themeColor="text1"/>
          <w14:textFill>
            <w14:solidFill>
              <w14:schemeClr w14:val="tx1"/>
            </w14:solidFill>
          </w14:textFill>
        </w:rPr>
      </w:pPr>
      <w:bookmarkStart w:id="404" w:name="_Hlk167976217"/>
      <w:r>
        <w:rPr>
          <w:rFonts w:hint="eastAsia" w:ascii="宋体" w:hAnsi="宋体"/>
          <w:color w:val="000000" w:themeColor="text1"/>
          <w14:textFill>
            <w14:solidFill>
              <w14:schemeClr w14:val="tx1"/>
            </w14:solidFill>
          </w14:textFill>
        </w:rPr>
        <w:t>政府补助</w:t>
      </w:r>
    </w:p>
    <w:p w14:paraId="6B7CAC1E">
      <w:pPr>
        <w:pStyle w:val="57"/>
        <w:numPr>
          <w:ilvl w:val="0"/>
          <w:numId w:val="99"/>
        </w:numPr>
        <w:ind w:left="0" w:firstLine="0"/>
        <w:rPr>
          <w:color w:val="000000" w:themeColor="text1"/>
          <w14:textFill>
            <w14:solidFill>
              <w14:schemeClr w14:val="tx1"/>
            </w14:solidFill>
          </w14:textFill>
        </w:rPr>
      </w:pPr>
      <w:r>
        <w:rPr>
          <w:color w:val="000000" w:themeColor="text1"/>
          <w14:textFill>
            <w14:solidFill>
              <w14:schemeClr w14:val="tx1"/>
            </w14:solidFill>
          </w14:textFill>
        </w:rPr>
        <w:t>报告期末按应收金额确认的政府补助</w:t>
      </w:r>
    </w:p>
    <w:sdt>
      <w:sdtPr>
        <w:rPr>
          <w:color w:val="000000" w:themeColor="text1"/>
          <w14:textFill>
            <w14:solidFill>
              <w14:schemeClr w14:val="tx1"/>
            </w14:solidFill>
          </w14:textFill>
        </w:rPr>
        <w:alias w:val="是否适用：按应收金额确认的政府补助[双击切换]"/>
        <w:tag w:val="_GBC_3d18d31d14384adf9969b37c0463bdb6"/>
        <w:id w:val="147463176"/>
        <w:placeholder>
          <w:docPart w:val="GBC22222222222222222222222222222"/>
        </w:placeholder>
      </w:sdtPr>
      <w:sdtEndPr>
        <w:rPr>
          <w:color w:val="000000" w:themeColor="text1"/>
          <w14:textFill>
            <w14:solidFill>
              <w14:schemeClr w14:val="tx1"/>
            </w14:solidFill>
          </w14:textFill>
        </w:rPr>
      </w:sdtEndPr>
      <w:sdtContent>
        <w:p w14:paraId="1589760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18BF024">
      <w:pPr>
        <w:rPr>
          <w:color w:val="000000" w:themeColor="text1"/>
          <w14:textFill>
            <w14:solidFill>
              <w14:schemeClr w14:val="tx1"/>
            </w14:solidFill>
          </w14:textFill>
        </w:rPr>
      </w:pPr>
      <w:r>
        <w:rPr>
          <w:color w:val="000000" w:themeColor="text1"/>
          <w14:textFill>
            <w14:solidFill>
              <w14:schemeClr w14:val="tx1"/>
            </w14:solidFill>
          </w14:textFill>
        </w:rPr>
        <w:t>应收款项的期末余额</w:t>
      </w:r>
      <w:sdt>
        <w:sdtPr>
          <w:rPr>
            <w:color w:val="000000" w:themeColor="text1"/>
            <w14:textFill>
              <w14:solidFill>
                <w14:schemeClr w14:val="tx1"/>
              </w14:solidFill>
            </w14:textFill>
          </w:rPr>
          <w:alias w:val="按应收金额确认的政府补助合计"/>
          <w:tag w:val="_GBC_9bcff0fd06344ace95019244ee86bbd0"/>
          <w:id w:val="147459622"/>
          <w:placeholder>
            <w:docPart w:val="GBC22222222222222222222222222222"/>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0</w:t>
          </w:r>
        </w:sdtContent>
      </w:sdt>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按应收金额确认的政府补助"/>
          <w:tag w:val="_GBC_471b14a2a8de4e0d8f1134f091b5a9f7"/>
          <w:id w:val="14747988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按应收金额确认的政府补助"/>
          <w:tag w:val="_GBC_8a83c97cd38d48b09afe5b677bb99ecf"/>
          <w:id w:val="1474638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sdt>
        <w:sdtPr>
          <w:tag w:val="_PLD_591f493f4d3c4b88bbd66b6a5a54de88"/>
          <w:id w:val="147467890"/>
        </w:sdtPr>
        <w:sdtContent>
          <w:r>
            <w:rPr>
              <w:rFonts w:hint="eastAsia"/>
              <w:color w:val="000000" w:themeColor="text1"/>
              <w14:textFill>
                <w14:solidFill>
                  <w14:schemeClr w14:val="tx1"/>
                </w14:solidFill>
              </w14:textFill>
            </w:rPr>
            <w:t>）</w:t>
          </w:r>
        </w:sdtContent>
      </w:sdt>
    </w:p>
    <w:p w14:paraId="3B86E723">
      <w:pPr>
        <w:rPr>
          <w:color w:val="000000" w:themeColor="text1"/>
          <w14:textFill>
            <w14:solidFill>
              <w14:schemeClr w14:val="tx1"/>
            </w14:solidFill>
          </w14:textFill>
        </w:rPr>
      </w:pPr>
    </w:p>
    <w:p w14:paraId="4C922E73">
      <w:pPr>
        <w:rPr>
          <w:color w:val="000000" w:themeColor="text1"/>
          <w14:textFill>
            <w14:solidFill>
              <w14:schemeClr w14:val="tx1"/>
            </w14:solidFill>
          </w14:textFill>
        </w:rPr>
      </w:pPr>
      <w:r>
        <w:rPr>
          <w:color w:val="000000" w:themeColor="text1"/>
          <w14:textFill>
            <w14:solidFill>
              <w14:schemeClr w14:val="tx1"/>
            </w14:solidFill>
          </w14:textFill>
        </w:rPr>
        <w:t>未能在预计时点收到预计金额的政府补助</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原因</w:t>
      </w:r>
    </w:p>
    <w:sdt>
      <w:sdtPr>
        <w:rPr>
          <w:color w:val="000000" w:themeColor="text1"/>
          <w14:textFill>
            <w14:solidFill>
              <w14:schemeClr w14:val="tx1"/>
            </w14:solidFill>
          </w14:textFill>
        </w:rPr>
        <w:alias w:val="是否适用：未能在预计时点收到预计金额的政府补助的原因[双击切换]"/>
        <w:tag w:val="_GBC_e0b0850317ba480b8188bda150ebfb78"/>
        <w:id w:val="147463954"/>
        <w:placeholder>
          <w:docPart w:val="GBC22222222222222222222222222222"/>
        </w:placeholder>
      </w:sdtPr>
      <w:sdtEndPr>
        <w:rPr>
          <w:color w:val="000000" w:themeColor="text1"/>
          <w14:textFill>
            <w14:solidFill>
              <w14:schemeClr w14:val="tx1"/>
            </w14:solidFill>
          </w14:textFill>
        </w:rPr>
      </w:sdtEndPr>
      <w:sdtContent>
        <w:p w14:paraId="0B171F0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918DB10">
      <w:pPr>
        <w:rPr>
          <w:color w:val="000000" w:themeColor="text1"/>
          <w14:textFill>
            <w14:solidFill>
              <w14:schemeClr w14:val="tx1"/>
            </w14:solidFill>
          </w14:textFill>
        </w:rPr>
      </w:pPr>
    </w:p>
    <w:p w14:paraId="3F89ED11">
      <w:pPr>
        <w:pStyle w:val="57"/>
        <w:numPr>
          <w:ilvl w:val="0"/>
          <w:numId w:val="99"/>
        </w:numPr>
        <w:ind w:left="0" w:firstLine="0"/>
        <w:rPr>
          <w:color w:val="000000" w:themeColor="text1"/>
          <w14:textFill>
            <w14:solidFill>
              <w14:schemeClr w14:val="tx1"/>
            </w14:solidFill>
          </w14:textFill>
        </w:rPr>
      </w:pPr>
      <w:r>
        <w:rPr>
          <w:color w:val="000000" w:themeColor="text1"/>
          <w14:textFill>
            <w14:solidFill>
              <w14:schemeClr w14:val="tx1"/>
            </w14:solidFill>
          </w14:textFill>
        </w:rPr>
        <w:t>涉及政府补助的负债项目</w:t>
      </w:r>
    </w:p>
    <w:sdt>
      <w:sdtPr>
        <w:rPr>
          <w:color w:val="000000" w:themeColor="text1"/>
          <w14:textFill>
            <w14:solidFill>
              <w14:schemeClr w14:val="tx1"/>
            </w14:solidFill>
          </w14:textFill>
        </w:rPr>
        <w:alias w:val="是否适用：涉及政府补助的负债项目[双击切换]"/>
        <w:tag w:val="_GBC_5b8cf655c53545cab80f75be728637c0"/>
        <w:id w:val="147479240"/>
        <w:placeholder>
          <w:docPart w:val="GBC22222222222222222222222222222"/>
        </w:placeholder>
      </w:sdtPr>
      <w:sdtEndPr>
        <w:rPr>
          <w:color w:val="000000" w:themeColor="text1"/>
          <w14:textFill>
            <w14:solidFill>
              <w14:schemeClr w14:val="tx1"/>
            </w14:solidFill>
          </w14:textFill>
        </w:rPr>
      </w:sdtEndPr>
      <w:sdtContent>
        <w:p w14:paraId="7DFA7CB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40F7B00">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涉及政府补助的负债项目"/>
          <w:tag w:val="_GBC_3f46f2e72def428785501464e8373dc7"/>
          <w:id w:val="14748270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涉及政府补助的负债项目"/>
          <w:tag w:val="_GBC_2061879c791b40ceb951bedd0f7334b3"/>
          <w:id w:val="1474755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1556"/>
        <w:gridCol w:w="1556"/>
        <w:gridCol w:w="1442"/>
        <w:gridCol w:w="1080"/>
        <w:gridCol w:w="1549"/>
        <w:gridCol w:w="1018"/>
      </w:tblGrid>
      <w:tr w14:paraId="19A6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69dbfe6de199442ba67fa4c2623ba343"/>
            <w:id w:val="147477478"/>
          </w:sdtPr>
          <w:sdtEndPr>
            <w:rPr>
              <w:rFonts w:cs="Times New Roman"/>
            </w:rPr>
          </w:sdtEndPr>
          <w:sdtContent>
            <w:tc>
              <w:tcPr>
                <w:tcW w:w="466" w:type="pct"/>
                <w:vAlign w:val="center"/>
              </w:tcPr>
              <w:p w14:paraId="4A12FC3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财务报表项目</w:t>
                </w:r>
              </w:p>
            </w:tc>
          </w:sdtContent>
        </w:sdt>
        <w:sdt>
          <w:sdtPr>
            <w:rPr>
              <w:rFonts w:cs="Times New Roman"/>
            </w:rPr>
            <w:tag w:val="_PLD_ed889bd262164e639c21bff48ded3a53"/>
            <w:id w:val="147472718"/>
          </w:sdtPr>
          <w:sdtEndPr>
            <w:rPr>
              <w:rFonts w:cs="Times New Roman"/>
            </w:rPr>
          </w:sdtEndPr>
          <w:sdtContent>
            <w:tc>
              <w:tcPr>
                <w:tcW w:w="860" w:type="pct"/>
                <w:vAlign w:val="center"/>
              </w:tcPr>
              <w:p w14:paraId="4CF3A0EA">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sdt>
          <w:sdtPr>
            <w:rPr>
              <w:rFonts w:cs="Times New Roman"/>
            </w:rPr>
            <w:tag w:val="_PLD_7052fd9610c24b8baab6d4bc81cd150d"/>
            <w:id w:val="147465218"/>
          </w:sdtPr>
          <w:sdtEndPr>
            <w:rPr>
              <w:rFonts w:cs="Times New Roman"/>
            </w:rPr>
          </w:sdtEndPr>
          <w:sdtContent>
            <w:tc>
              <w:tcPr>
                <w:tcW w:w="860" w:type="pct"/>
                <w:vAlign w:val="center"/>
              </w:tcPr>
              <w:p w14:paraId="3C43FD1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本期新增补助金额</w:t>
                </w:r>
              </w:p>
            </w:tc>
          </w:sdtContent>
        </w:sdt>
        <w:sdt>
          <w:sdtPr>
            <w:rPr>
              <w:rFonts w:cs="Times New Roman"/>
            </w:rPr>
            <w:tag w:val="_PLD_54cb3f3d4b4b49b9913df5c05007eb61"/>
            <w:id w:val="147474850"/>
          </w:sdtPr>
          <w:sdtEndPr>
            <w:rPr>
              <w:rFonts w:cs="Times New Roman"/>
            </w:rPr>
          </w:sdtEndPr>
          <w:sdtContent>
            <w:tc>
              <w:tcPr>
                <w:tcW w:w="797" w:type="pct"/>
                <w:vAlign w:val="center"/>
              </w:tcPr>
              <w:p w14:paraId="62A1FD0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本期转入其他收益</w:t>
                </w:r>
              </w:p>
            </w:tc>
          </w:sdtContent>
        </w:sdt>
        <w:sdt>
          <w:sdtPr>
            <w:rPr>
              <w:rFonts w:cs="Times New Roman"/>
            </w:rPr>
            <w:tag w:val="_PLD_f8464a8361c140659dec395b64a565c0"/>
            <w:id w:val="147461490"/>
          </w:sdtPr>
          <w:sdtEndPr>
            <w:rPr>
              <w:rFonts w:cs="Times New Roman"/>
            </w:rPr>
          </w:sdtEndPr>
          <w:sdtContent>
            <w:tc>
              <w:tcPr>
                <w:tcW w:w="597" w:type="pct"/>
                <w:vAlign w:val="center"/>
              </w:tcPr>
              <w:p w14:paraId="6103639A">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本期其他变动</w:t>
                </w:r>
              </w:p>
            </w:tc>
          </w:sdtContent>
        </w:sdt>
        <w:sdt>
          <w:sdtPr>
            <w:rPr>
              <w:rFonts w:cs="Times New Roman"/>
            </w:rPr>
            <w:tag w:val="_PLD_abc368d2d0c7418dbd78f4f89cd037d5"/>
            <w:id w:val="147469135"/>
          </w:sdtPr>
          <w:sdtEndPr>
            <w:rPr>
              <w:rFonts w:cs="Times New Roman"/>
            </w:rPr>
          </w:sdtEndPr>
          <w:sdtContent>
            <w:tc>
              <w:tcPr>
                <w:tcW w:w="856" w:type="pct"/>
                <w:vAlign w:val="center"/>
              </w:tcPr>
              <w:p w14:paraId="0EBB71A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3ff2a65a79344d48808fa5737db3cb39"/>
            <w:id w:val="147461000"/>
          </w:sdtPr>
          <w:sdtEndPr>
            <w:rPr>
              <w:rFonts w:cs="Times New Roman"/>
            </w:rPr>
          </w:sdtEndPr>
          <w:sdtContent>
            <w:tc>
              <w:tcPr>
                <w:tcW w:w="562" w:type="pct"/>
                <w:vAlign w:val="center"/>
              </w:tcPr>
              <w:p w14:paraId="33498AA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与资产/收益相关</w:t>
                </w:r>
              </w:p>
            </w:tc>
          </w:sdtContent>
        </w:sdt>
      </w:tr>
      <w:tr w14:paraId="72A36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14:paraId="33F2ACFB">
            <w:pPr>
              <w:jc w:val="center"/>
              <w:textAlignment w:val="top"/>
              <w:rPr>
                <w:rFonts w:cs="Times New Roman"/>
              </w:rPr>
            </w:pPr>
            <w:r>
              <w:rPr>
                <w:rFonts w:cs="Times New Roman"/>
                <w:color w:val="000000"/>
                <w:lang w:bidi="ar"/>
              </w:rPr>
              <w:t>递延收益</w:t>
            </w:r>
          </w:p>
        </w:tc>
        <w:tc>
          <w:tcPr>
            <w:tcW w:w="860" w:type="pct"/>
            <w:vAlign w:val="center"/>
          </w:tcPr>
          <w:p w14:paraId="5A0E80BE">
            <w:pPr>
              <w:jc w:val="right"/>
              <w:textAlignment w:val="center"/>
              <w:rPr>
                <w:rFonts w:cs="Times New Roman"/>
              </w:rPr>
            </w:pPr>
            <w:r>
              <w:rPr>
                <w:rFonts w:eastAsia="Arial Narrow" w:cs="Times New Roman"/>
                <w:color w:val="000000"/>
                <w:lang w:bidi="ar"/>
              </w:rPr>
              <w:t>89,442,952.48</w:t>
            </w:r>
          </w:p>
        </w:tc>
        <w:tc>
          <w:tcPr>
            <w:tcW w:w="860" w:type="pct"/>
            <w:vAlign w:val="center"/>
          </w:tcPr>
          <w:p w14:paraId="1ACC79A6">
            <w:pPr>
              <w:jc w:val="right"/>
              <w:textAlignment w:val="center"/>
              <w:rPr>
                <w:rFonts w:cs="Times New Roman"/>
              </w:rPr>
            </w:pPr>
            <w:r>
              <w:rPr>
                <w:rFonts w:eastAsia="Arial Narrow" w:cs="Times New Roman"/>
                <w:color w:val="000000"/>
                <w:lang w:bidi="ar"/>
              </w:rPr>
              <w:t>10,250,046.00</w:t>
            </w:r>
          </w:p>
        </w:tc>
        <w:tc>
          <w:tcPr>
            <w:tcW w:w="797" w:type="pct"/>
            <w:vAlign w:val="center"/>
          </w:tcPr>
          <w:p w14:paraId="63CA245D">
            <w:pPr>
              <w:jc w:val="right"/>
              <w:textAlignment w:val="center"/>
              <w:rPr>
                <w:rFonts w:cs="Times New Roman"/>
              </w:rPr>
            </w:pPr>
            <w:r>
              <w:rPr>
                <w:rFonts w:eastAsia="Arial Narrow" w:cs="Times New Roman"/>
                <w:color w:val="000000"/>
                <w:lang w:bidi="ar"/>
              </w:rPr>
              <w:t>13,065,034.68</w:t>
            </w:r>
          </w:p>
        </w:tc>
        <w:tc>
          <w:tcPr>
            <w:tcW w:w="597" w:type="pct"/>
            <w:vAlign w:val="center"/>
          </w:tcPr>
          <w:p w14:paraId="74377FFC">
            <w:pPr>
              <w:jc w:val="right"/>
              <w:textAlignment w:val="center"/>
              <w:rPr>
                <w:rFonts w:cs="Times New Roman"/>
              </w:rPr>
            </w:pPr>
            <w:r>
              <w:rPr>
                <w:rFonts w:eastAsia="Arial Narrow" w:cs="Times New Roman"/>
                <w:color w:val="000000"/>
                <w:lang w:bidi="ar"/>
              </w:rPr>
              <w:t>25,000.00</w:t>
            </w:r>
          </w:p>
        </w:tc>
        <w:tc>
          <w:tcPr>
            <w:tcW w:w="856" w:type="pct"/>
            <w:vAlign w:val="center"/>
          </w:tcPr>
          <w:p w14:paraId="0CADBD18">
            <w:pPr>
              <w:jc w:val="right"/>
              <w:textAlignment w:val="center"/>
              <w:rPr>
                <w:rFonts w:cs="Times New Roman"/>
              </w:rPr>
            </w:pPr>
            <w:r>
              <w:rPr>
                <w:rFonts w:eastAsia="Arial Narrow" w:cs="Times New Roman"/>
                <w:color w:val="000000"/>
                <w:lang w:bidi="ar"/>
              </w:rPr>
              <w:t>86,602,963.80</w:t>
            </w:r>
          </w:p>
        </w:tc>
        <w:tc>
          <w:tcPr>
            <w:tcW w:w="562" w:type="pct"/>
            <w:vAlign w:val="center"/>
          </w:tcPr>
          <w:sdt>
            <w:sdtPr>
              <w:rPr>
                <w:rFonts w:cs="Times New Roman"/>
              </w:rPr>
              <w:tag w:val="_PLD_3ff2a65a79344d48808fa5737db3cb39"/>
              <w:id w:val="147475795"/>
            </w:sdtPr>
            <w:sdtEndPr>
              <w:rPr>
                <w:rFonts w:cs="Times New Roman"/>
              </w:rPr>
            </w:sdtEndPr>
            <w:sdtContent>
              <w:p w14:paraId="07F7DCA3">
                <w:pPr>
                  <w:pStyle w:val="55"/>
                  <w:jc w:val="center"/>
                  <w:rPr>
                    <w:rFonts w:cs="Times New Roman"/>
                  </w:rPr>
                </w:pPr>
                <w:r>
                  <w:rPr>
                    <w:rFonts w:cs="Times New Roman"/>
                    <w:color w:val="000000" w:themeColor="text1"/>
                    <w14:textFill>
                      <w14:solidFill>
                        <w14:schemeClr w14:val="tx1"/>
                      </w14:solidFill>
                    </w14:textFill>
                  </w:rPr>
                  <w:t>与资产</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收益相关</w:t>
                </w:r>
              </w:p>
            </w:sdtContent>
          </w:sdt>
        </w:tc>
      </w:tr>
      <w:tr w14:paraId="4AE5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tcBorders>
              <w:top w:val="single" w:color="auto" w:sz="4" w:space="0"/>
              <w:left w:val="single" w:color="auto" w:sz="4" w:space="0"/>
              <w:bottom w:val="single" w:color="auto" w:sz="4" w:space="0"/>
              <w:right w:val="single" w:color="auto" w:sz="4" w:space="0"/>
            </w:tcBorders>
            <w:vAlign w:val="center"/>
          </w:tcPr>
          <w:p w14:paraId="3EC7C130">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860" w:type="pct"/>
            <w:tcBorders>
              <w:top w:val="single" w:color="auto" w:sz="4" w:space="0"/>
              <w:left w:val="single" w:color="auto" w:sz="4" w:space="0"/>
              <w:bottom w:val="single" w:color="auto" w:sz="4" w:space="0"/>
              <w:right w:val="single" w:color="auto" w:sz="4" w:space="0"/>
            </w:tcBorders>
            <w:vAlign w:val="center"/>
          </w:tcPr>
          <w:p w14:paraId="35E57E2E">
            <w:pPr>
              <w:jc w:val="right"/>
              <w:textAlignment w:val="center"/>
              <w:rPr>
                <w:rFonts w:cs="Times New Roman"/>
              </w:rPr>
            </w:pPr>
            <w:r>
              <w:rPr>
                <w:rFonts w:eastAsia="Arial Narrow" w:cs="Times New Roman"/>
                <w:color w:val="000000"/>
                <w:lang w:bidi="ar"/>
              </w:rPr>
              <w:t>89,442,952.48</w:t>
            </w:r>
          </w:p>
        </w:tc>
        <w:tc>
          <w:tcPr>
            <w:tcW w:w="860" w:type="pct"/>
            <w:tcBorders>
              <w:top w:val="single" w:color="auto" w:sz="4" w:space="0"/>
              <w:left w:val="single" w:color="auto" w:sz="4" w:space="0"/>
              <w:bottom w:val="single" w:color="auto" w:sz="4" w:space="0"/>
              <w:right w:val="single" w:color="auto" w:sz="4" w:space="0"/>
            </w:tcBorders>
            <w:vAlign w:val="center"/>
          </w:tcPr>
          <w:p w14:paraId="23346B6F">
            <w:pPr>
              <w:jc w:val="right"/>
              <w:textAlignment w:val="center"/>
              <w:rPr>
                <w:rFonts w:cs="Times New Roman"/>
              </w:rPr>
            </w:pPr>
            <w:r>
              <w:rPr>
                <w:rFonts w:eastAsia="Arial Narrow" w:cs="Times New Roman"/>
                <w:color w:val="000000"/>
                <w:lang w:bidi="ar"/>
              </w:rPr>
              <w:t>10,250,046.00</w:t>
            </w:r>
          </w:p>
        </w:tc>
        <w:tc>
          <w:tcPr>
            <w:tcW w:w="797" w:type="pct"/>
            <w:tcBorders>
              <w:top w:val="single" w:color="auto" w:sz="4" w:space="0"/>
              <w:left w:val="single" w:color="auto" w:sz="4" w:space="0"/>
              <w:bottom w:val="single" w:color="auto" w:sz="4" w:space="0"/>
              <w:right w:val="single" w:color="auto" w:sz="4" w:space="0"/>
            </w:tcBorders>
            <w:vAlign w:val="center"/>
          </w:tcPr>
          <w:p w14:paraId="41E5520B">
            <w:pPr>
              <w:jc w:val="right"/>
              <w:textAlignment w:val="center"/>
              <w:rPr>
                <w:rFonts w:cs="Times New Roman"/>
              </w:rPr>
            </w:pPr>
            <w:r>
              <w:rPr>
                <w:rFonts w:eastAsia="Arial Narrow" w:cs="Times New Roman"/>
                <w:color w:val="000000"/>
                <w:lang w:bidi="ar"/>
              </w:rPr>
              <w:t>13,065,034.68</w:t>
            </w:r>
          </w:p>
        </w:tc>
        <w:tc>
          <w:tcPr>
            <w:tcW w:w="597" w:type="pct"/>
            <w:tcBorders>
              <w:top w:val="single" w:color="auto" w:sz="4" w:space="0"/>
              <w:left w:val="single" w:color="auto" w:sz="4" w:space="0"/>
              <w:bottom w:val="single" w:color="auto" w:sz="4" w:space="0"/>
              <w:right w:val="single" w:color="auto" w:sz="4" w:space="0"/>
            </w:tcBorders>
            <w:vAlign w:val="center"/>
          </w:tcPr>
          <w:p w14:paraId="7F4826D0">
            <w:pPr>
              <w:jc w:val="right"/>
              <w:textAlignment w:val="center"/>
              <w:rPr>
                <w:rFonts w:cs="Times New Roman"/>
              </w:rPr>
            </w:pPr>
            <w:r>
              <w:rPr>
                <w:rFonts w:eastAsia="Arial Narrow" w:cs="Times New Roman"/>
                <w:color w:val="000000"/>
                <w:lang w:bidi="ar"/>
              </w:rPr>
              <w:t>25,000.00</w:t>
            </w:r>
          </w:p>
        </w:tc>
        <w:tc>
          <w:tcPr>
            <w:tcW w:w="856" w:type="pct"/>
            <w:tcBorders>
              <w:top w:val="single" w:color="auto" w:sz="4" w:space="0"/>
              <w:left w:val="single" w:color="auto" w:sz="4" w:space="0"/>
              <w:bottom w:val="single" w:color="auto" w:sz="4" w:space="0"/>
              <w:right w:val="single" w:color="auto" w:sz="4" w:space="0"/>
            </w:tcBorders>
            <w:vAlign w:val="center"/>
          </w:tcPr>
          <w:p w14:paraId="689E414A">
            <w:pPr>
              <w:jc w:val="right"/>
              <w:textAlignment w:val="center"/>
              <w:rPr>
                <w:rFonts w:cs="Times New Roman"/>
              </w:rPr>
            </w:pPr>
            <w:r>
              <w:rPr>
                <w:rFonts w:eastAsia="Arial Narrow" w:cs="Times New Roman"/>
                <w:color w:val="000000"/>
                <w:lang w:bidi="ar"/>
              </w:rPr>
              <w:t>86,602,963.80</w:t>
            </w:r>
          </w:p>
        </w:tc>
        <w:tc>
          <w:tcPr>
            <w:tcW w:w="562" w:type="pct"/>
            <w:tcBorders>
              <w:top w:val="single" w:color="auto" w:sz="4" w:space="0"/>
              <w:left w:val="single" w:color="auto" w:sz="4" w:space="0"/>
              <w:bottom w:val="single" w:color="auto" w:sz="4" w:space="0"/>
              <w:right w:val="single" w:color="auto" w:sz="4" w:space="0"/>
            </w:tcBorders>
            <w:vAlign w:val="center"/>
          </w:tcPr>
          <w:p w14:paraId="6CD83A9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bl>
    <w:p w14:paraId="765EA90F">
      <w:pPr>
        <w:rPr>
          <w:color w:val="000000" w:themeColor="text1"/>
          <w14:textFill>
            <w14:solidFill>
              <w14:schemeClr w14:val="tx1"/>
            </w14:solidFill>
          </w14:textFill>
        </w:rPr>
      </w:pPr>
    </w:p>
    <w:p w14:paraId="61DEA64C">
      <w:pPr>
        <w:rPr>
          <w:color w:val="000000" w:themeColor="text1"/>
          <w14:textFill>
            <w14:solidFill>
              <w14:schemeClr w14:val="tx1"/>
            </w14:solidFill>
          </w14:textFill>
        </w:rPr>
      </w:pPr>
    </w:p>
    <w:p w14:paraId="3FD8E35F">
      <w:pPr>
        <w:pStyle w:val="57"/>
        <w:numPr>
          <w:ilvl w:val="0"/>
          <w:numId w:val="99"/>
        </w:numPr>
        <w:ind w:left="0" w:firstLine="0"/>
        <w:rPr>
          <w:color w:val="000000" w:themeColor="text1"/>
          <w14:textFill>
            <w14:solidFill>
              <w14:schemeClr w14:val="tx1"/>
            </w14:solidFill>
          </w14:textFill>
        </w:rPr>
      </w:pPr>
      <w:bookmarkStart w:id="405" w:name="_Hlk153267407"/>
      <w:r>
        <w:rPr>
          <w:color w:val="000000" w:themeColor="text1"/>
          <w14:textFill>
            <w14:solidFill>
              <w14:schemeClr w14:val="tx1"/>
            </w14:solidFill>
          </w14:textFill>
        </w:rPr>
        <w:t>计入当期损益的政府补助</w:t>
      </w:r>
    </w:p>
    <w:sdt>
      <w:sdtPr>
        <w:rPr>
          <w:rFonts w:ascii="宋体" w:hAnsi="宋体"/>
          <w:color w:val="000000" w:themeColor="text1"/>
          <w14:textFill>
            <w14:solidFill>
              <w14:schemeClr w14:val="tx1"/>
            </w14:solidFill>
          </w14:textFill>
        </w:rPr>
        <w:alias w:val="是否适用：计入当期损益的政府补助[双击切换]"/>
        <w:tag w:val="_GBC_01aefe636f4f4e8b8752cf8841e143f6"/>
        <w:id w:val="147468926"/>
        <w:placeholder>
          <w:docPart w:val="GBC22222222222222222222222222222"/>
        </w:placeholder>
      </w:sdtPr>
      <w:sdtEndPr>
        <w:rPr>
          <w:rFonts w:ascii="宋体" w:hAnsi="宋体"/>
          <w:color w:val="000000" w:themeColor="text1"/>
          <w14:textFill>
            <w14:solidFill>
              <w14:schemeClr w14:val="tx1"/>
            </w14:solidFill>
          </w14:textFill>
        </w:rPr>
      </w:sdtEndPr>
      <w:sdtContent>
        <w:p w14:paraId="087692BF">
          <w:p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82A35B9">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计入当期损益的政府补助"/>
          <w:tag w:val="_GBC_87984e2b7f344109836efe6282c2894b"/>
          <w:id w:val="1474795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计入当期损益的政府补助"/>
          <w:tag w:val="_GBC_105736a35c964ea1b5378bede4faea2f"/>
          <w:id w:val="1474813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873"/>
        <w:gridCol w:w="3093"/>
        <w:gridCol w:w="3093"/>
      </w:tblGrid>
      <w:tr w14:paraId="161F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556" w:hRule="atLeast"/>
          <w:tblHeader/>
          <w:jc w:val="center"/>
        </w:trPr>
        <w:sdt>
          <w:sdtPr>
            <w:rPr>
              <w:rFonts w:cs="Times New Roman"/>
            </w:rPr>
            <w:tag w:val="_PLD_4e0950c6d44c4f6c93412dd988ce84f3"/>
            <w:id w:val="147478543"/>
          </w:sdtPr>
          <w:sdtEndPr>
            <w:rPr>
              <w:rFonts w:cs="Times New Roman"/>
            </w:rPr>
          </w:sdtEndPr>
          <w:sdtContent>
            <w:tc>
              <w:tcPr>
                <w:tcW w:w="1586" w:type="pct"/>
                <w:tcBorders>
                  <w:top w:val="single" w:color="auto" w:sz="4" w:space="0"/>
                  <w:left w:val="single" w:color="auto" w:sz="4" w:space="0"/>
                  <w:bottom w:val="single" w:color="auto" w:sz="4" w:space="0"/>
                  <w:right w:val="single" w:color="auto" w:sz="4" w:space="0"/>
                </w:tcBorders>
                <w:vAlign w:val="center"/>
              </w:tcPr>
              <w:p w14:paraId="319BD2E4">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类型</w:t>
                </w:r>
              </w:p>
            </w:tc>
          </w:sdtContent>
        </w:sdt>
        <w:sdt>
          <w:sdtPr>
            <w:rPr>
              <w:rFonts w:cs="Times New Roman"/>
            </w:rPr>
            <w:tag w:val="_PLD_b137547e48b242d2a32ab92cdeb61433"/>
            <w:id w:val="147479160"/>
          </w:sdtPr>
          <w:sdtEndPr>
            <w:rPr>
              <w:rFonts w:cs="Times New Roman"/>
            </w:rPr>
          </w:sdtEndPr>
          <w:sdtContent>
            <w:tc>
              <w:tcPr>
                <w:tcW w:w="1707" w:type="pct"/>
                <w:tcBorders>
                  <w:top w:val="single" w:color="auto" w:sz="4" w:space="0"/>
                  <w:left w:val="single" w:color="auto" w:sz="4" w:space="0"/>
                  <w:bottom w:val="single" w:color="auto" w:sz="4" w:space="0"/>
                  <w:right w:val="single" w:color="auto" w:sz="4" w:space="0"/>
                </w:tcBorders>
                <w:vAlign w:val="center"/>
              </w:tcPr>
              <w:p w14:paraId="0E114D9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tc>
          </w:sdtContent>
        </w:sdt>
        <w:sdt>
          <w:sdtPr>
            <w:rPr>
              <w:rFonts w:cs="Times New Roman"/>
            </w:rPr>
            <w:tag w:val="_PLD_b1f0e1514b364efda3d03053bbe4e90c"/>
            <w:id w:val="147451485"/>
          </w:sdtPr>
          <w:sdtEndPr>
            <w:rPr>
              <w:rFonts w:cs="Times New Roman"/>
            </w:rPr>
          </w:sdtEndPr>
          <w:sdtContent>
            <w:tc>
              <w:tcPr>
                <w:tcW w:w="1707" w:type="pct"/>
                <w:tcBorders>
                  <w:top w:val="single" w:color="auto" w:sz="4" w:space="0"/>
                  <w:left w:val="single" w:color="auto" w:sz="4" w:space="0"/>
                  <w:bottom w:val="single" w:color="auto" w:sz="4" w:space="0"/>
                  <w:right w:val="single" w:color="auto" w:sz="4" w:space="0"/>
                </w:tcBorders>
                <w:vAlign w:val="center"/>
              </w:tcPr>
              <w:p w14:paraId="59B37BE2">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tc>
          </w:sdtContent>
        </w:sdt>
      </w:tr>
      <w:tr w14:paraId="0083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586" w:type="pct"/>
            <w:tcBorders>
              <w:top w:val="single" w:color="auto" w:sz="4" w:space="0"/>
              <w:left w:val="single" w:color="auto" w:sz="4" w:space="0"/>
              <w:bottom w:val="single" w:color="auto" w:sz="4" w:space="0"/>
              <w:right w:val="single" w:color="auto" w:sz="4" w:space="0"/>
            </w:tcBorders>
            <w:vAlign w:val="center"/>
          </w:tcPr>
          <w:p w14:paraId="0AA2ED7D">
            <w:pPr>
              <w:textAlignment w:val="center"/>
              <w:rPr>
                <w:rFonts w:cs="Times New Roman"/>
                <w:color w:val="000000" w:themeColor="text1"/>
                <w14:textFill>
                  <w14:solidFill>
                    <w14:schemeClr w14:val="tx1"/>
                  </w14:solidFill>
                </w14:textFill>
              </w:rPr>
            </w:pPr>
            <w:r>
              <w:rPr>
                <w:rFonts w:cs="Times New Roman"/>
                <w:color w:val="000000"/>
                <w:lang w:bidi="ar"/>
              </w:rPr>
              <w:t>与资产相关</w:t>
            </w:r>
          </w:p>
        </w:tc>
        <w:tc>
          <w:tcPr>
            <w:tcW w:w="3012" w:type="dxa"/>
            <w:tcBorders>
              <w:top w:val="single" w:color="auto" w:sz="4" w:space="0"/>
              <w:left w:val="single" w:color="auto" w:sz="4" w:space="0"/>
              <w:bottom w:val="single" w:color="auto" w:sz="4" w:space="0"/>
              <w:right w:val="single" w:color="auto" w:sz="4" w:space="0"/>
            </w:tcBorders>
            <w:vAlign w:val="center"/>
          </w:tcPr>
          <w:p w14:paraId="4C111ADC">
            <w:pPr>
              <w:jc w:val="right"/>
              <w:textAlignment w:val="center"/>
              <w:rPr>
                <w:rFonts w:cs="Times New Roman"/>
              </w:rPr>
            </w:pPr>
            <w:r>
              <w:rPr>
                <w:rFonts w:eastAsia="Arial Narrow" w:cs="Times New Roman"/>
                <w:color w:val="000000"/>
                <w:lang w:bidi="ar"/>
              </w:rPr>
              <w:t>8,595,277.35</w:t>
            </w:r>
          </w:p>
        </w:tc>
        <w:tc>
          <w:tcPr>
            <w:tcW w:w="3093" w:type="dxa"/>
            <w:tcBorders>
              <w:top w:val="single" w:color="auto" w:sz="4" w:space="0"/>
              <w:left w:val="single" w:color="auto" w:sz="4" w:space="0"/>
              <w:bottom w:val="single" w:color="auto" w:sz="4" w:space="0"/>
              <w:right w:val="single" w:color="auto" w:sz="4" w:space="0"/>
            </w:tcBorders>
            <w:vAlign w:val="center"/>
          </w:tcPr>
          <w:p w14:paraId="38B38E0C">
            <w:pPr>
              <w:jc w:val="right"/>
              <w:textAlignment w:val="center"/>
              <w:rPr>
                <w:rFonts w:cs="Times New Roman"/>
              </w:rPr>
            </w:pPr>
            <w:r>
              <w:rPr>
                <w:rFonts w:eastAsia="Arial Narrow" w:cs="Times New Roman"/>
                <w:color w:val="000000"/>
                <w:lang w:bidi="ar"/>
              </w:rPr>
              <w:t>11,290,583.80</w:t>
            </w:r>
          </w:p>
        </w:tc>
      </w:tr>
      <w:tr w14:paraId="4224C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586" w:type="pct"/>
            <w:tcBorders>
              <w:top w:val="single" w:color="auto" w:sz="4" w:space="0"/>
              <w:left w:val="single" w:color="auto" w:sz="4" w:space="0"/>
              <w:bottom w:val="single" w:color="auto" w:sz="4" w:space="0"/>
              <w:right w:val="single" w:color="auto" w:sz="4" w:space="0"/>
            </w:tcBorders>
            <w:vAlign w:val="center"/>
          </w:tcPr>
          <w:p w14:paraId="7195B374">
            <w:pPr>
              <w:textAlignment w:val="center"/>
              <w:rPr>
                <w:rFonts w:cs="Times New Roman"/>
                <w:color w:val="000000" w:themeColor="text1"/>
                <w14:textFill>
                  <w14:solidFill>
                    <w14:schemeClr w14:val="tx1"/>
                  </w14:solidFill>
                </w14:textFill>
              </w:rPr>
            </w:pPr>
            <w:r>
              <w:rPr>
                <w:rFonts w:cs="Times New Roman"/>
                <w:color w:val="000000"/>
                <w:lang w:bidi="ar"/>
              </w:rPr>
              <w:t>与收益相关</w:t>
            </w:r>
          </w:p>
        </w:tc>
        <w:tc>
          <w:tcPr>
            <w:tcW w:w="3012" w:type="dxa"/>
            <w:tcBorders>
              <w:top w:val="single" w:color="auto" w:sz="4" w:space="0"/>
              <w:left w:val="single" w:color="auto" w:sz="4" w:space="0"/>
              <w:bottom w:val="single" w:color="auto" w:sz="4" w:space="0"/>
              <w:right w:val="single" w:color="auto" w:sz="4" w:space="0"/>
            </w:tcBorders>
            <w:vAlign w:val="center"/>
          </w:tcPr>
          <w:p w14:paraId="4A5102AF">
            <w:pPr>
              <w:jc w:val="right"/>
              <w:textAlignment w:val="center"/>
              <w:rPr>
                <w:rFonts w:cs="Times New Roman"/>
              </w:rPr>
            </w:pPr>
            <w:r>
              <w:rPr>
                <w:rFonts w:eastAsia="Arial Narrow" w:cs="Times New Roman"/>
                <w:color w:val="000000"/>
                <w:lang w:bidi="ar"/>
              </w:rPr>
              <w:t>28,596,528.95</w:t>
            </w:r>
          </w:p>
        </w:tc>
        <w:tc>
          <w:tcPr>
            <w:tcW w:w="3093" w:type="dxa"/>
            <w:tcBorders>
              <w:top w:val="single" w:color="auto" w:sz="4" w:space="0"/>
              <w:left w:val="single" w:color="auto" w:sz="4" w:space="0"/>
              <w:bottom w:val="single" w:color="auto" w:sz="4" w:space="0"/>
              <w:right w:val="single" w:color="auto" w:sz="4" w:space="0"/>
            </w:tcBorders>
            <w:vAlign w:val="center"/>
          </w:tcPr>
          <w:p w14:paraId="0E963371">
            <w:pPr>
              <w:jc w:val="right"/>
              <w:textAlignment w:val="center"/>
              <w:rPr>
                <w:rFonts w:cs="Times New Roman"/>
              </w:rPr>
            </w:pPr>
            <w:r>
              <w:rPr>
                <w:rFonts w:eastAsia="Arial Narrow" w:cs="Times New Roman"/>
                <w:color w:val="000000"/>
                <w:lang w:bidi="ar"/>
              </w:rPr>
              <w:t>14,162,341.08</w:t>
            </w:r>
          </w:p>
        </w:tc>
      </w:tr>
      <w:tr w14:paraId="705C0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586" w:type="pct"/>
            <w:tcBorders>
              <w:top w:val="single" w:color="auto" w:sz="4" w:space="0"/>
              <w:left w:val="single" w:color="auto" w:sz="4" w:space="0"/>
              <w:bottom w:val="single" w:color="auto" w:sz="4" w:space="0"/>
              <w:right w:val="single" w:color="auto" w:sz="4" w:space="0"/>
            </w:tcBorders>
            <w:vAlign w:val="center"/>
          </w:tcPr>
          <w:p w14:paraId="6C78515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3012" w:type="dxa"/>
            <w:tcBorders>
              <w:top w:val="single" w:color="auto" w:sz="4" w:space="0"/>
              <w:left w:val="single" w:color="auto" w:sz="4" w:space="0"/>
              <w:bottom w:val="single" w:color="auto" w:sz="4" w:space="0"/>
              <w:right w:val="single" w:color="auto" w:sz="4" w:space="0"/>
            </w:tcBorders>
            <w:vAlign w:val="center"/>
          </w:tcPr>
          <w:p w14:paraId="00C223E3">
            <w:pPr>
              <w:jc w:val="right"/>
              <w:textAlignment w:val="center"/>
              <w:rPr>
                <w:rFonts w:cs="Times New Roman"/>
              </w:rPr>
            </w:pPr>
            <w:r>
              <w:rPr>
                <w:rFonts w:eastAsia="Arial Narrow" w:cs="Times New Roman"/>
                <w:color w:val="000000"/>
                <w:lang w:bidi="ar"/>
              </w:rPr>
              <w:t>37,191,806.30</w:t>
            </w:r>
          </w:p>
        </w:tc>
        <w:tc>
          <w:tcPr>
            <w:tcW w:w="3093" w:type="dxa"/>
            <w:tcBorders>
              <w:top w:val="single" w:color="auto" w:sz="4" w:space="0"/>
              <w:left w:val="single" w:color="auto" w:sz="4" w:space="0"/>
              <w:bottom w:val="single" w:color="auto" w:sz="4" w:space="0"/>
              <w:right w:val="single" w:color="auto" w:sz="4" w:space="0"/>
            </w:tcBorders>
            <w:vAlign w:val="center"/>
          </w:tcPr>
          <w:p w14:paraId="31319E8A">
            <w:pPr>
              <w:jc w:val="right"/>
              <w:textAlignment w:val="center"/>
              <w:rPr>
                <w:rFonts w:cs="Times New Roman"/>
              </w:rPr>
            </w:pPr>
            <w:r>
              <w:rPr>
                <w:rFonts w:eastAsia="Arial Narrow" w:cs="Times New Roman"/>
                <w:color w:val="000000"/>
                <w:lang w:bidi="ar"/>
              </w:rPr>
              <w:t>25,452,924.88</w:t>
            </w:r>
          </w:p>
        </w:tc>
      </w:tr>
    </w:tbl>
    <w:p w14:paraId="6C7BE9E2">
      <w:pPr>
        <w:rPr>
          <w:color w:val="000000" w:themeColor="text1"/>
          <w14:textFill>
            <w14:solidFill>
              <w14:schemeClr w14:val="tx1"/>
            </w14:solidFill>
          </w14:textFill>
        </w:rPr>
      </w:pPr>
    </w:p>
    <w:bookmarkEnd w:id="405"/>
    <w:p w14:paraId="5AB4FA3D">
      <w:pPr>
        <w:rPr>
          <w:color w:val="000000" w:themeColor="text1"/>
          <w14:textFill>
            <w14:solidFill>
              <w14:schemeClr w14:val="tx1"/>
            </w14:solidFill>
          </w14:textFill>
        </w:rPr>
      </w:pPr>
      <w:bookmarkStart w:id="406" w:name="_Hlk153267868"/>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政府补助说明"/>
        <w:tag w:val="_GBC_2db67f97ef974f8db75ebfb04517ea6f"/>
        <w:id w:val="147478904"/>
        <w:lock w:val="sdtLocked"/>
        <w:placeholder>
          <w:docPart w:val="GBC22222222222222222222222222222"/>
        </w:placeholder>
      </w:sdtPr>
      <w:sdtEndPr>
        <w:rPr>
          <w:color w:val="000000" w:themeColor="text1"/>
          <w14:textFill>
            <w14:solidFill>
              <w14:schemeClr w14:val="tx1"/>
            </w14:solidFill>
          </w14:textFill>
        </w:rPr>
      </w:sdtEndPr>
      <w:sdtContent>
        <w:p w14:paraId="02356040">
          <w:pPr>
            <w:rPr>
              <w:color w:val="000000" w:themeColor="text1"/>
              <w14:textFill>
                <w14:solidFill>
                  <w14:schemeClr w14:val="tx1"/>
                </w14:solidFill>
              </w14:textFill>
            </w:rPr>
          </w:pPr>
          <w:r>
            <w:rPr>
              <w:rFonts w:hint="eastAsia"/>
              <w:color w:val="000000" w:themeColor="text1"/>
              <w14:textFill>
                <w14:solidFill>
                  <w14:schemeClr w14:val="tx1"/>
                </w14:solidFill>
              </w14:textFill>
            </w:rPr>
            <w:t>计入当期损益的政府补助明细：</w:t>
          </w:r>
        </w:p>
        <w:p w14:paraId="24E0DE87">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计入当期损益的政府补助"/>
              <w:tag w:val="_GBC_87984e2b7f344109836efe6282c2894b"/>
              <w:id w:val="147482831"/>
              <w:placeholder>
                <w:docPart w:val="{d4e0da34-b711-4907-bd17-07fd96e59605}"/>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计入当期损益的政府补助"/>
              <w:tag w:val="_GBC_105736a35c964ea1b5378bede4faea2f"/>
              <w:id w:val="147472791"/>
              <w:placeholder>
                <w:docPart w:val="{d4e0da34-b711-4907-bd17-07fd96e59605}"/>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3"/>
            <w:gridCol w:w="1309"/>
            <w:gridCol w:w="1462"/>
            <w:gridCol w:w="1462"/>
            <w:gridCol w:w="1591"/>
          </w:tblGrid>
          <w:tr w14:paraId="01EE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73" w:type="dxa"/>
                <w:vAlign w:val="center"/>
              </w:tcPr>
              <w:p w14:paraId="1EB99CF4">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补助项目</w:t>
                </w:r>
              </w:p>
            </w:tc>
            <w:tc>
              <w:tcPr>
                <w:tcW w:w="1309" w:type="dxa"/>
                <w:vAlign w:val="center"/>
              </w:tcPr>
              <w:p w14:paraId="0F9E8AF5">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会计科目</w:t>
                </w:r>
              </w:p>
            </w:tc>
            <w:tc>
              <w:tcPr>
                <w:tcW w:w="1462" w:type="dxa"/>
                <w:vAlign w:val="center"/>
              </w:tcPr>
              <w:p w14:paraId="61326657">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本期发生额</w:t>
                </w:r>
              </w:p>
            </w:tc>
            <w:tc>
              <w:tcPr>
                <w:tcW w:w="1462" w:type="dxa"/>
                <w:vAlign w:val="center"/>
              </w:tcPr>
              <w:p w14:paraId="4130E2FF">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上期发生额</w:t>
                </w:r>
              </w:p>
            </w:tc>
            <w:tc>
              <w:tcPr>
                <w:tcW w:w="1591" w:type="dxa"/>
                <w:vAlign w:val="center"/>
              </w:tcPr>
              <w:p w14:paraId="0C646341">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与资产相关/与收益相关</w:t>
                </w:r>
              </w:p>
            </w:tc>
          </w:tr>
          <w:tr w14:paraId="080A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0B07DCF3">
                <w:pPr>
                  <w:widowControl/>
                  <w:jc w:val="both"/>
                  <w:textAlignment w:val="center"/>
                  <w:rPr>
                    <w:rFonts w:cs="Times New Roman"/>
                    <w:color w:val="000000" w:themeColor="text1"/>
                    <w14:textFill>
                      <w14:solidFill>
                        <w14:schemeClr w14:val="tx1"/>
                      </w14:solidFill>
                    </w14:textFill>
                  </w:rPr>
                </w:pPr>
                <w:r>
                  <w:rPr>
                    <w:rFonts w:cs="Times New Roman"/>
                    <w:color w:val="000000"/>
                  </w:rPr>
                  <w:t>一、递延收益摊销</w:t>
                </w:r>
              </w:p>
            </w:tc>
            <w:tc>
              <w:tcPr>
                <w:tcW w:w="1309" w:type="dxa"/>
                <w:vAlign w:val="center"/>
              </w:tcPr>
              <w:p w14:paraId="6D3C63DB">
                <w:pPr>
                  <w:widowControl w:val="0"/>
                  <w:jc w:val="center"/>
                  <w:rPr>
                    <w:rFonts w:cs="Times New Roman"/>
                    <w:color w:val="000000" w:themeColor="text1"/>
                    <w14:textFill>
                      <w14:solidFill>
                        <w14:schemeClr w14:val="tx1"/>
                      </w14:solidFill>
                    </w14:textFill>
                  </w:rPr>
                </w:pPr>
              </w:p>
            </w:tc>
            <w:tc>
              <w:tcPr>
                <w:tcW w:w="1462" w:type="dxa"/>
                <w:vAlign w:val="center"/>
              </w:tcPr>
              <w:p w14:paraId="30C81ECA">
                <w:pPr>
                  <w:widowControl w:val="0"/>
                  <w:jc w:val="center"/>
                  <w:rPr>
                    <w:rFonts w:cs="Times New Roman"/>
                    <w:color w:val="000000" w:themeColor="text1"/>
                    <w14:textFill>
                      <w14:solidFill>
                        <w14:schemeClr w14:val="tx1"/>
                      </w14:solidFill>
                    </w14:textFill>
                  </w:rPr>
                </w:pPr>
              </w:p>
            </w:tc>
            <w:tc>
              <w:tcPr>
                <w:tcW w:w="1462" w:type="dxa"/>
                <w:vAlign w:val="center"/>
              </w:tcPr>
              <w:p w14:paraId="563CA5B5">
                <w:pPr>
                  <w:widowControl w:val="0"/>
                  <w:jc w:val="center"/>
                  <w:rPr>
                    <w:rFonts w:cs="Times New Roman"/>
                    <w:color w:val="000000" w:themeColor="text1"/>
                    <w14:textFill>
                      <w14:solidFill>
                        <w14:schemeClr w14:val="tx1"/>
                      </w14:solidFill>
                    </w14:textFill>
                  </w:rPr>
                </w:pPr>
              </w:p>
            </w:tc>
            <w:tc>
              <w:tcPr>
                <w:tcW w:w="1591" w:type="dxa"/>
                <w:vAlign w:val="center"/>
              </w:tcPr>
              <w:p w14:paraId="7494E2AF">
                <w:pPr>
                  <w:widowControl w:val="0"/>
                  <w:jc w:val="center"/>
                  <w:rPr>
                    <w:rFonts w:cs="Times New Roman"/>
                    <w:color w:val="000000" w:themeColor="text1"/>
                    <w14:textFill>
                      <w14:solidFill>
                        <w14:schemeClr w14:val="tx1"/>
                      </w14:solidFill>
                    </w14:textFill>
                  </w:rPr>
                </w:pPr>
              </w:p>
            </w:tc>
          </w:tr>
          <w:tr w14:paraId="453E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173" w:type="dxa"/>
                <w:vAlign w:val="center"/>
              </w:tcPr>
              <w:p w14:paraId="32DC091E">
                <w:pPr>
                  <w:widowControl/>
                  <w:jc w:val="both"/>
                  <w:textAlignment w:val="center"/>
                  <w:rPr>
                    <w:rFonts w:cs="Times New Roman"/>
                    <w:color w:val="000000" w:themeColor="text1"/>
                    <w14:textFill>
                      <w14:solidFill>
                        <w14:schemeClr w14:val="tx1"/>
                      </w14:solidFill>
                    </w14:textFill>
                  </w:rPr>
                </w:pPr>
                <w:r>
                  <w:rPr>
                    <w:rFonts w:cs="Times New Roman"/>
                    <w:color w:val="000000"/>
                    <w:lang w:bidi="ar"/>
                  </w:rPr>
                  <w:t>设备补贴资金</w:t>
                </w:r>
              </w:p>
            </w:tc>
            <w:tc>
              <w:tcPr>
                <w:tcW w:w="1309" w:type="dxa"/>
                <w:vAlign w:val="center"/>
              </w:tcPr>
              <w:p w14:paraId="66C980E3">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其他收益</w:t>
                </w:r>
              </w:p>
            </w:tc>
            <w:tc>
              <w:tcPr>
                <w:tcW w:w="1462" w:type="dxa"/>
                <w:vAlign w:val="center"/>
              </w:tcPr>
              <w:p w14:paraId="3E42968B">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3,476,576.15</w:t>
                </w:r>
              </w:p>
            </w:tc>
            <w:tc>
              <w:tcPr>
                <w:tcW w:w="1462" w:type="dxa"/>
                <w:vAlign w:val="center"/>
              </w:tcPr>
              <w:p w14:paraId="09EB5769">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5,885,760.94</w:t>
                </w:r>
              </w:p>
            </w:tc>
            <w:tc>
              <w:tcPr>
                <w:tcW w:w="1591" w:type="dxa"/>
                <w:vAlign w:val="center"/>
              </w:tcPr>
              <w:p w14:paraId="350EA548">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与资产相关</w:t>
                </w:r>
              </w:p>
            </w:tc>
          </w:tr>
          <w:tr w14:paraId="1862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2BE85F3F">
                <w:pPr>
                  <w:widowControl/>
                  <w:jc w:val="both"/>
                  <w:textAlignment w:val="center"/>
                  <w:rPr>
                    <w:rFonts w:cs="Times New Roman"/>
                    <w:color w:val="000000" w:themeColor="text1"/>
                    <w14:textFill>
                      <w14:solidFill>
                        <w14:schemeClr w14:val="tx1"/>
                      </w14:solidFill>
                    </w14:textFill>
                  </w:rPr>
                </w:pPr>
                <w:r>
                  <w:rPr>
                    <w:rFonts w:cs="Times New Roman"/>
                    <w:color w:val="000000"/>
                    <w:lang w:bidi="ar"/>
                  </w:rPr>
                  <w:t>洁净工房及设备</w:t>
                </w:r>
              </w:p>
            </w:tc>
            <w:tc>
              <w:tcPr>
                <w:tcW w:w="1309" w:type="dxa"/>
                <w:vAlign w:val="center"/>
              </w:tcPr>
              <w:p w14:paraId="14E1E0F6">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其他收益</w:t>
                </w:r>
              </w:p>
            </w:tc>
            <w:tc>
              <w:tcPr>
                <w:tcW w:w="1462" w:type="dxa"/>
                <w:vAlign w:val="center"/>
              </w:tcPr>
              <w:p w14:paraId="4563857A">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565,617.96</w:t>
                </w:r>
              </w:p>
            </w:tc>
            <w:tc>
              <w:tcPr>
                <w:tcW w:w="1462" w:type="dxa"/>
                <w:vAlign w:val="center"/>
              </w:tcPr>
              <w:p w14:paraId="26E1C5C3">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565,617.96</w:t>
                </w:r>
              </w:p>
            </w:tc>
            <w:tc>
              <w:tcPr>
                <w:tcW w:w="1591" w:type="dxa"/>
                <w:vAlign w:val="center"/>
              </w:tcPr>
              <w:p w14:paraId="6ABAD70D">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与资产相关</w:t>
                </w:r>
              </w:p>
            </w:tc>
          </w:tr>
          <w:tr w14:paraId="3BF9A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21B03B61">
                <w:pPr>
                  <w:widowControl/>
                  <w:jc w:val="both"/>
                  <w:textAlignment w:val="center"/>
                  <w:rPr>
                    <w:rFonts w:cs="Times New Roman"/>
                    <w:color w:val="000000" w:themeColor="text1"/>
                    <w14:textFill>
                      <w14:solidFill>
                        <w14:schemeClr w14:val="tx1"/>
                      </w14:solidFill>
                    </w14:textFill>
                  </w:rPr>
                </w:pPr>
                <w:r>
                  <w:rPr>
                    <w:rFonts w:cs="Times New Roman"/>
                    <w:color w:val="000000"/>
                    <w:lang w:bidi="ar"/>
                  </w:rPr>
                  <w:t>兰州新区财政局甘肃省医疗物资供给能储备补助资金</w:t>
                </w:r>
              </w:p>
            </w:tc>
            <w:tc>
              <w:tcPr>
                <w:tcW w:w="1309" w:type="dxa"/>
                <w:vAlign w:val="center"/>
              </w:tcPr>
              <w:p w14:paraId="74D5CD66">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其他收益</w:t>
                </w:r>
              </w:p>
            </w:tc>
            <w:tc>
              <w:tcPr>
                <w:tcW w:w="1462" w:type="dxa"/>
                <w:vAlign w:val="center"/>
              </w:tcPr>
              <w:p w14:paraId="3A3E52D4">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150,000.00</w:t>
                </w:r>
              </w:p>
            </w:tc>
            <w:tc>
              <w:tcPr>
                <w:tcW w:w="1462" w:type="dxa"/>
                <w:vAlign w:val="center"/>
              </w:tcPr>
              <w:p w14:paraId="14F5778B">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150,000.00</w:t>
                </w:r>
              </w:p>
            </w:tc>
            <w:tc>
              <w:tcPr>
                <w:tcW w:w="1591" w:type="dxa"/>
                <w:vAlign w:val="center"/>
              </w:tcPr>
              <w:p w14:paraId="619B5F8C">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与资产相关</w:t>
                </w:r>
              </w:p>
            </w:tc>
          </w:tr>
          <w:tr w14:paraId="3266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6DD34883">
                <w:pPr>
                  <w:widowControl/>
                  <w:jc w:val="both"/>
                  <w:textAlignment w:val="center"/>
                  <w:rPr>
                    <w:rFonts w:cs="Times New Roman"/>
                    <w:color w:val="000000" w:themeColor="text1"/>
                    <w14:textFill>
                      <w14:solidFill>
                        <w14:schemeClr w14:val="tx1"/>
                      </w14:solidFill>
                    </w14:textFill>
                  </w:rPr>
                </w:pPr>
                <w:r>
                  <w:rPr>
                    <w:rFonts w:cs="Times New Roman"/>
                    <w:color w:val="000000"/>
                    <w:lang w:bidi="ar"/>
                  </w:rPr>
                  <w:t>嵌入柔性传感系统兼具热防护与危化品阻隔功能的灭火防护服研发</w:t>
                </w:r>
              </w:p>
            </w:tc>
            <w:tc>
              <w:tcPr>
                <w:tcW w:w="1309" w:type="dxa"/>
                <w:vAlign w:val="center"/>
              </w:tcPr>
              <w:p w14:paraId="3B80999A">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其他收益</w:t>
                </w:r>
              </w:p>
            </w:tc>
            <w:tc>
              <w:tcPr>
                <w:tcW w:w="1462" w:type="dxa"/>
                <w:vAlign w:val="center"/>
              </w:tcPr>
              <w:p w14:paraId="37384561">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326,271.39</w:t>
                </w:r>
              </w:p>
            </w:tc>
            <w:tc>
              <w:tcPr>
                <w:tcW w:w="1462" w:type="dxa"/>
                <w:vAlign w:val="center"/>
              </w:tcPr>
              <w:p w14:paraId="61D2A8F7">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464,021.12</w:t>
                </w:r>
              </w:p>
            </w:tc>
            <w:tc>
              <w:tcPr>
                <w:tcW w:w="1591" w:type="dxa"/>
                <w:vAlign w:val="center"/>
              </w:tcPr>
              <w:p w14:paraId="7AB131FB">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与资产相关</w:t>
                </w:r>
              </w:p>
            </w:tc>
          </w:tr>
          <w:tr w14:paraId="185D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5BA28922">
                <w:pPr>
                  <w:widowControl/>
                  <w:jc w:val="both"/>
                  <w:textAlignment w:val="center"/>
                  <w:rPr>
                    <w:rFonts w:cs="Times New Roman"/>
                    <w:color w:val="000000" w:themeColor="text1"/>
                    <w14:textFill>
                      <w14:solidFill>
                        <w14:schemeClr w14:val="tx1"/>
                      </w14:solidFill>
                    </w14:textFill>
                  </w:rPr>
                </w:pPr>
                <w:r>
                  <w:rPr>
                    <w:rFonts w:cs="Times New Roman"/>
                    <w:color w:val="000000"/>
                    <w:lang w:bidi="ar"/>
                  </w:rPr>
                  <w:t>新区基地建设和军民融合补助</w:t>
                </w:r>
              </w:p>
            </w:tc>
            <w:tc>
              <w:tcPr>
                <w:tcW w:w="1309" w:type="dxa"/>
                <w:vAlign w:val="center"/>
              </w:tcPr>
              <w:p w14:paraId="2E65354C">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其他收益</w:t>
                </w:r>
              </w:p>
            </w:tc>
            <w:tc>
              <w:tcPr>
                <w:tcW w:w="1462" w:type="dxa"/>
                <w:vAlign w:val="center"/>
              </w:tcPr>
              <w:p w14:paraId="5030D459">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207,894.78</w:t>
                </w:r>
              </w:p>
            </w:tc>
            <w:tc>
              <w:tcPr>
                <w:tcW w:w="1462" w:type="dxa"/>
                <w:vAlign w:val="center"/>
              </w:tcPr>
              <w:p w14:paraId="64CD959C">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207,894.78</w:t>
                </w:r>
              </w:p>
            </w:tc>
            <w:tc>
              <w:tcPr>
                <w:tcW w:w="1591" w:type="dxa"/>
                <w:vAlign w:val="center"/>
              </w:tcPr>
              <w:p w14:paraId="12DD7CD0">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与资产相关</w:t>
                </w:r>
              </w:p>
            </w:tc>
          </w:tr>
          <w:tr w14:paraId="09B8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60ECCB94">
                <w:pPr>
                  <w:widowControl/>
                  <w:jc w:val="both"/>
                  <w:textAlignment w:val="center"/>
                  <w:rPr>
                    <w:rFonts w:cs="Times New Roman"/>
                    <w:color w:val="000000" w:themeColor="text1"/>
                    <w14:textFill>
                      <w14:solidFill>
                        <w14:schemeClr w14:val="tx1"/>
                      </w14:solidFill>
                    </w14:textFill>
                  </w:rPr>
                </w:pPr>
                <w:r>
                  <w:rPr>
                    <w:rFonts w:cs="Times New Roman"/>
                    <w:color w:val="000000"/>
                    <w:lang w:bidi="ar"/>
                  </w:rPr>
                  <w:t>智能工厂</w:t>
                </w:r>
              </w:p>
            </w:tc>
            <w:tc>
              <w:tcPr>
                <w:tcW w:w="1309" w:type="dxa"/>
                <w:vAlign w:val="center"/>
              </w:tcPr>
              <w:p w14:paraId="31129206">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其他收益</w:t>
                </w:r>
              </w:p>
            </w:tc>
            <w:tc>
              <w:tcPr>
                <w:tcW w:w="1462" w:type="dxa"/>
                <w:vAlign w:val="center"/>
              </w:tcPr>
              <w:p w14:paraId="6F88663C">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433,000.01</w:t>
                </w:r>
              </w:p>
            </w:tc>
            <w:tc>
              <w:tcPr>
                <w:tcW w:w="1462" w:type="dxa"/>
                <w:vAlign w:val="center"/>
              </w:tcPr>
              <w:p w14:paraId="3E4FAD61">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433,000.00</w:t>
                </w:r>
              </w:p>
            </w:tc>
            <w:tc>
              <w:tcPr>
                <w:tcW w:w="1591" w:type="dxa"/>
                <w:vAlign w:val="center"/>
              </w:tcPr>
              <w:p w14:paraId="0BDF0408">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与资产相关</w:t>
                </w:r>
              </w:p>
            </w:tc>
          </w:tr>
          <w:tr w14:paraId="07A2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675EBA53">
                <w:pPr>
                  <w:widowControl/>
                  <w:jc w:val="both"/>
                  <w:textAlignment w:val="center"/>
                  <w:rPr>
                    <w:rFonts w:cs="Times New Roman"/>
                    <w:color w:val="000000" w:themeColor="text1"/>
                    <w14:textFill>
                      <w14:solidFill>
                        <w14:schemeClr w14:val="tx1"/>
                      </w14:solidFill>
                    </w14:textFill>
                  </w:rPr>
                </w:pPr>
                <w:r>
                  <w:rPr>
                    <w:rFonts w:cs="Times New Roman"/>
                    <w:color w:val="000000"/>
                    <w:lang w:bidi="ar"/>
                  </w:rPr>
                  <w:t>体育小镇建设扶持资金</w:t>
                </w:r>
              </w:p>
            </w:tc>
            <w:tc>
              <w:tcPr>
                <w:tcW w:w="1309" w:type="dxa"/>
                <w:vAlign w:val="center"/>
              </w:tcPr>
              <w:p w14:paraId="4C229A48">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其他收益</w:t>
                </w:r>
              </w:p>
            </w:tc>
            <w:tc>
              <w:tcPr>
                <w:tcW w:w="1462" w:type="dxa"/>
                <w:vAlign w:val="center"/>
              </w:tcPr>
              <w:p w14:paraId="4101CFB6">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91,743.12</w:t>
                </w:r>
              </w:p>
            </w:tc>
            <w:tc>
              <w:tcPr>
                <w:tcW w:w="1462" w:type="dxa"/>
                <w:vAlign w:val="center"/>
              </w:tcPr>
              <w:p w14:paraId="755DB8D7">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91,743.12</w:t>
                </w:r>
              </w:p>
            </w:tc>
            <w:tc>
              <w:tcPr>
                <w:tcW w:w="1591" w:type="dxa"/>
                <w:vAlign w:val="center"/>
              </w:tcPr>
              <w:p w14:paraId="3EB43A02">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与资产相关</w:t>
                </w:r>
              </w:p>
            </w:tc>
          </w:tr>
          <w:tr w14:paraId="4C95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612BE4A1">
                <w:pPr>
                  <w:widowControl/>
                  <w:jc w:val="both"/>
                  <w:textAlignment w:val="center"/>
                  <w:rPr>
                    <w:rFonts w:cs="Times New Roman"/>
                    <w:color w:val="000000" w:themeColor="text1"/>
                    <w14:textFill>
                      <w14:solidFill>
                        <w14:schemeClr w14:val="tx1"/>
                      </w14:solidFill>
                    </w14:textFill>
                  </w:rPr>
                </w:pPr>
                <w:r>
                  <w:rPr>
                    <w:rFonts w:cs="Times New Roman"/>
                    <w:color w:val="000000"/>
                    <w:lang w:bidi="ar"/>
                  </w:rPr>
                  <w:t>供用电及热力系统改造项目</w:t>
                </w:r>
              </w:p>
            </w:tc>
            <w:tc>
              <w:tcPr>
                <w:tcW w:w="1309" w:type="dxa"/>
                <w:vAlign w:val="center"/>
              </w:tcPr>
              <w:p w14:paraId="766C53DD">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其他收益</w:t>
                </w:r>
              </w:p>
            </w:tc>
            <w:tc>
              <w:tcPr>
                <w:tcW w:w="1462" w:type="dxa"/>
                <w:vAlign w:val="center"/>
              </w:tcPr>
              <w:p w14:paraId="485F2503">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90,000.00</w:t>
                </w:r>
              </w:p>
            </w:tc>
            <w:tc>
              <w:tcPr>
                <w:tcW w:w="1462" w:type="dxa"/>
                <w:vAlign w:val="center"/>
              </w:tcPr>
              <w:p w14:paraId="6121D48C">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90,000.00</w:t>
                </w:r>
              </w:p>
            </w:tc>
            <w:tc>
              <w:tcPr>
                <w:tcW w:w="1591" w:type="dxa"/>
                <w:vAlign w:val="center"/>
              </w:tcPr>
              <w:p w14:paraId="31F0C223">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与资产相关</w:t>
                </w:r>
              </w:p>
            </w:tc>
          </w:tr>
          <w:tr w14:paraId="15C98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4996636B">
                <w:pPr>
                  <w:widowControl/>
                  <w:jc w:val="both"/>
                  <w:textAlignment w:val="center"/>
                  <w:rPr>
                    <w:rFonts w:cs="Times New Roman"/>
                    <w:color w:val="000000" w:themeColor="text1"/>
                    <w14:textFill>
                      <w14:solidFill>
                        <w14:schemeClr w14:val="tx1"/>
                      </w14:solidFill>
                    </w14:textFill>
                  </w:rPr>
                </w:pPr>
                <w:r>
                  <w:rPr>
                    <w:rFonts w:cs="Times New Roman"/>
                    <w:color w:val="000000"/>
                    <w:lang w:bidi="ar"/>
                  </w:rPr>
                  <w:t>应急与要素保障资金</w:t>
                </w:r>
              </w:p>
            </w:tc>
            <w:tc>
              <w:tcPr>
                <w:tcW w:w="1309" w:type="dxa"/>
                <w:vAlign w:val="center"/>
              </w:tcPr>
              <w:p w14:paraId="5AA46BE9">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其他收益</w:t>
                </w:r>
              </w:p>
            </w:tc>
            <w:tc>
              <w:tcPr>
                <w:tcW w:w="1462" w:type="dxa"/>
                <w:vAlign w:val="center"/>
              </w:tcPr>
              <w:p w14:paraId="74799338">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296,923.07</w:t>
                </w:r>
              </w:p>
            </w:tc>
            <w:tc>
              <w:tcPr>
                <w:tcW w:w="1462" w:type="dxa"/>
                <w:vAlign w:val="center"/>
              </w:tcPr>
              <w:p w14:paraId="08B1408D">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593,846.16</w:t>
                </w:r>
              </w:p>
            </w:tc>
            <w:tc>
              <w:tcPr>
                <w:tcW w:w="1591" w:type="dxa"/>
                <w:vAlign w:val="center"/>
              </w:tcPr>
              <w:p w14:paraId="6A9412F7">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与资产相关</w:t>
                </w:r>
              </w:p>
            </w:tc>
          </w:tr>
          <w:tr w14:paraId="7D9A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3B04F558">
                <w:pPr>
                  <w:widowControl/>
                  <w:jc w:val="both"/>
                  <w:textAlignment w:val="center"/>
                  <w:rPr>
                    <w:rFonts w:cs="Times New Roman"/>
                    <w:color w:val="000000" w:themeColor="text1"/>
                    <w14:textFill>
                      <w14:solidFill>
                        <w14:schemeClr w14:val="tx1"/>
                      </w14:solidFill>
                    </w14:textFill>
                  </w:rPr>
                </w:pPr>
                <w:r>
                  <w:rPr>
                    <w:rFonts w:cs="Times New Roman"/>
                    <w:color w:val="000000"/>
                    <w:lang w:bidi="ar"/>
                  </w:rPr>
                  <w:t>技改转产补助款</w:t>
                </w:r>
              </w:p>
            </w:tc>
            <w:tc>
              <w:tcPr>
                <w:tcW w:w="1309" w:type="dxa"/>
                <w:vAlign w:val="center"/>
              </w:tcPr>
              <w:p w14:paraId="600B91A1">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其他收益</w:t>
                </w:r>
              </w:p>
            </w:tc>
            <w:tc>
              <w:tcPr>
                <w:tcW w:w="1462" w:type="dxa"/>
                <w:vAlign w:val="center"/>
              </w:tcPr>
              <w:p w14:paraId="1C1A6C17">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76,923.07</w:t>
                </w:r>
              </w:p>
            </w:tc>
            <w:tc>
              <w:tcPr>
                <w:tcW w:w="1462" w:type="dxa"/>
                <w:vAlign w:val="center"/>
              </w:tcPr>
              <w:p w14:paraId="0779230F">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153,846.16</w:t>
                </w:r>
              </w:p>
            </w:tc>
            <w:tc>
              <w:tcPr>
                <w:tcW w:w="1591" w:type="dxa"/>
                <w:vAlign w:val="center"/>
              </w:tcPr>
              <w:p w14:paraId="1C13B205">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与资产相关</w:t>
                </w:r>
              </w:p>
            </w:tc>
          </w:tr>
          <w:tr w14:paraId="413F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68DCBFB6">
                <w:pPr>
                  <w:widowControl/>
                  <w:jc w:val="both"/>
                  <w:textAlignment w:val="center"/>
                  <w:rPr>
                    <w:rFonts w:cs="Times New Roman"/>
                    <w:color w:val="000000" w:themeColor="text1"/>
                    <w14:textFill>
                      <w14:solidFill>
                        <w14:schemeClr w14:val="tx1"/>
                      </w14:solidFill>
                    </w14:textFill>
                  </w:rPr>
                </w:pPr>
                <w:r>
                  <w:rPr>
                    <w:rFonts w:cs="Times New Roman"/>
                    <w:color w:val="000000"/>
                    <w:lang w:bidi="ar"/>
                  </w:rPr>
                  <w:t>新能源、新材料及新型智能化装备产业化项目</w:t>
                </w:r>
              </w:p>
            </w:tc>
            <w:tc>
              <w:tcPr>
                <w:tcW w:w="1309" w:type="dxa"/>
                <w:vAlign w:val="center"/>
              </w:tcPr>
              <w:p w14:paraId="169F32A9">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其他收益</w:t>
                </w:r>
              </w:p>
            </w:tc>
            <w:tc>
              <w:tcPr>
                <w:tcW w:w="1462" w:type="dxa"/>
                <w:vAlign w:val="center"/>
              </w:tcPr>
              <w:p w14:paraId="231F0FA5">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49,999.98</w:t>
                </w:r>
              </w:p>
            </w:tc>
            <w:tc>
              <w:tcPr>
                <w:tcW w:w="1462" w:type="dxa"/>
                <w:vAlign w:val="center"/>
              </w:tcPr>
              <w:p w14:paraId="4D770BB7">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49,999.98</w:t>
                </w:r>
              </w:p>
            </w:tc>
            <w:tc>
              <w:tcPr>
                <w:tcW w:w="1591" w:type="dxa"/>
                <w:vAlign w:val="center"/>
              </w:tcPr>
              <w:p w14:paraId="14014C2D">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与资产相关</w:t>
                </w:r>
              </w:p>
            </w:tc>
          </w:tr>
          <w:tr w14:paraId="5C9E6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3BDC9D5A">
                <w:pPr>
                  <w:widowControl/>
                  <w:jc w:val="both"/>
                  <w:textAlignment w:val="center"/>
                  <w:rPr>
                    <w:rFonts w:cs="Times New Roman"/>
                    <w:color w:val="000000" w:themeColor="text1"/>
                    <w14:textFill>
                      <w14:solidFill>
                        <w14:schemeClr w14:val="tx1"/>
                      </w14:solidFill>
                    </w14:textFill>
                  </w:rPr>
                </w:pPr>
                <w:r>
                  <w:rPr>
                    <w:rFonts w:cs="Times New Roman"/>
                    <w:color w:val="000000"/>
                    <w:lang w:bidi="ar"/>
                  </w:rPr>
                  <w:t>重庆两江新区现代服务业综合试点专项补助</w:t>
                </w:r>
              </w:p>
            </w:tc>
            <w:tc>
              <w:tcPr>
                <w:tcW w:w="1309" w:type="dxa"/>
                <w:vAlign w:val="center"/>
              </w:tcPr>
              <w:p w14:paraId="4C395E5A">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其他收益</w:t>
                </w:r>
              </w:p>
            </w:tc>
            <w:tc>
              <w:tcPr>
                <w:tcW w:w="1462" w:type="dxa"/>
                <w:vAlign w:val="center"/>
              </w:tcPr>
              <w:p w14:paraId="2B43CB10">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605,493.36</w:t>
                </w:r>
              </w:p>
            </w:tc>
            <w:tc>
              <w:tcPr>
                <w:tcW w:w="1462" w:type="dxa"/>
                <w:vAlign w:val="center"/>
              </w:tcPr>
              <w:p w14:paraId="10221613">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605,493.36</w:t>
                </w:r>
              </w:p>
            </w:tc>
            <w:tc>
              <w:tcPr>
                <w:tcW w:w="1591" w:type="dxa"/>
                <w:vAlign w:val="center"/>
              </w:tcPr>
              <w:p w14:paraId="395A05DA">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与资产相关</w:t>
                </w:r>
              </w:p>
            </w:tc>
          </w:tr>
          <w:tr w14:paraId="58E6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4EC5AC0D">
                <w:pPr>
                  <w:widowControl/>
                  <w:jc w:val="both"/>
                  <w:textAlignment w:val="center"/>
                  <w:rPr>
                    <w:rFonts w:cs="Times New Roman"/>
                    <w:color w:val="000000" w:themeColor="text1"/>
                    <w14:textFill>
                      <w14:solidFill>
                        <w14:schemeClr w14:val="tx1"/>
                      </w14:solidFill>
                    </w14:textFill>
                  </w:rPr>
                </w:pPr>
                <w:r>
                  <w:rPr>
                    <w:rFonts w:cs="Times New Roman"/>
                    <w:color w:val="000000"/>
                    <w:lang w:bidi="ar"/>
                  </w:rPr>
                  <w:t>工业投资和技术改造专项补助资金</w:t>
                </w:r>
              </w:p>
            </w:tc>
            <w:tc>
              <w:tcPr>
                <w:tcW w:w="1309" w:type="dxa"/>
                <w:vAlign w:val="center"/>
              </w:tcPr>
              <w:p w14:paraId="1BB10DF3">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其他收益</w:t>
                </w:r>
              </w:p>
            </w:tc>
            <w:tc>
              <w:tcPr>
                <w:tcW w:w="1462" w:type="dxa"/>
                <w:vAlign w:val="center"/>
              </w:tcPr>
              <w:p w14:paraId="4F3BF3B1">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83,780.00</w:t>
                </w:r>
              </w:p>
            </w:tc>
            <w:tc>
              <w:tcPr>
                <w:tcW w:w="1462" w:type="dxa"/>
                <w:vAlign w:val="center"/>
              </w:tcPr>
              <w:p w14:paraId="67A37157">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83,780.00</w:t>
                </w:r>
              </w:p>
            </w:tc>
            <w:tc>
              <w:tcPr>
                <w:tcW w:w="1591" w:type="dxa"/>
                <w:vAlign w:val="center"/>
              </w:tcPr>
              <w:p w14:paraId="0FFFC293">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与资产相关</w:t>
                </w:r>
              </w:p>
            </w:tc>
          </w:tr>
          <w:tr w14:paraId="5942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1FAE953D">
                <w:pPr>
                  <w:widowControl/>
                  <w:jc w:val="both"/>
                  <w:textAlignment w:val="center"/>
                  <w:rPr>
                    <w:rFonts w:cs="Times New Roman"/>
                    <w:color w:val="000000" w:themeColor="text1"/>
                    <w14:textFill>
                      <w14:solidFill>
                        <w14:schemeClr w14:val="tx1"/>
                      </w14:solidFill>
                    </w14:textFill>
                  </w:rPr>
                </w:pPr>
                <w:r>
                  <w:rPr>
                    <w:rFonts w:cs="Times New Roman"/>
                    <w:color w:val="000000"/>
                    <w:lang w:bidi="ar"/>
                  </w:rPr>
                  <w:t>搬迁返还补偿款</w:t>
                </w:r>
              </w:p>
            </w:tc>
            <w:tc>
              <w:tcPr>
                <w:tcW w:w="1309" w:type="dxa"/>
                <w:vAlign w:val="center"/>
              </w:tcPr>
              <w:p w14:paraId="24A426B4">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其他收益</w:t>
                </w:r>
              </w:p>
            </w:tc>
            <w:tc>
              <w:tcPr>
                <w:tcW w:w="1462" w:type="dxa"/>
                <w:vAlign w:val="center"/>
              </w:tcPr>
              <w:p w14:paraId="2DC49328">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677,192.91</w:t>
                </w:r>
              </w:p>
            </w:tc>
            <w:tc>
              <w:tcPr>
                <w:tcW w:w="1462" w:type="dxa"/>
                <w:vAlign w:val="center"/>
              </w:tcPr>
              <w:p w14:paraId="0069CACE">
                <w:pPr>
                  <w:widowControl w:val="0"/>
                  <w:jc w:val="right"/>
                  <w:rPr>
                    <w:rFonts w:cs="Times New Roman"/>
                    <w:color w:val="000000" w:themeColor="text1"/>
                    <w14:textFill>
                      <w14:solidFill>
                        <w14:schemeClr w14:val="tx1"/>
                      </w14:solidFill>
                    </w14:textFill>
                  </w:rPr>
                </w:pPr>
              </w:p>
            </w:tc>
            <w:tc>
              <w:tcPr>
                <w:tcW w:w="1591" w:type="dxa"/>
                <w:vAlign w:val="center"/>
              </w:tcPr>
              <w:p w14:paraId="6A447240">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与资产相关</w:t>
                </w:r>
              </w:p>
            </w:tc>
          </w:tr>
          <w:tr w14:paraId="6FB09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304FBF90">
                <w:pPr>
                  <w:widowControl/>
                  <w:jc w:val="both"/>
                  <w:textAlignment w:val="center"/>
                  <w:rPr>
                    <w:rFonts w:cs="Times New Roman"/>
                    <w:color w:val="000000" w:themeColor="text1"/>
                    <w14:textFill>
                      <w14:solidFill>
                        <w14:schemeClr w14:val="tx1"/>
                      </w14:solidFill>
                    </w14:textFill>
                  </w:rPr>
                </w:pPr>
                <w:r>
                  <w:rPr>
                    <w:rFonts w:cs="Times New Roman"/>
                    <w:color w:val="000000"/>
                    <w:lang w:bidi="ar"/>
                  </w:rPr>
                  <w:t>救火防护装备项目国拨资金</w:t>
                </w:r>
              </w:p>
            </w:tc>
            <w:tc>
              <w:tcPr>
                <w:tcW w:w="1309" w:type="dxa"/>
                <w:vAlign w:val="center"/>
              </w:tcPr>
              <w:p w14:paraId="4CC2B4A5">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其他收益</w:t>
                </w:r>
              </w:p>
            </w:tc>
            <w:tc>
              <w:tcPr>
                <w:tcW w:w="1462" w:type="dxa"/>
                <w:vAlign w:val="center"/>
              </w:tcPr>
              <w:p w14:paraId="0B3F5077">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2,105,390.73</w:t>
                </w:r>
              </w:p>
            </w:tc>
            <w:tc>
              <w:tcPr>
                <w:tcW w:w="1462" w:type="dxa"/>
                <w:vAlign w:val="center"/>
              </w:tcPr>
              <w:p w14:paraId="62FE1B8E">
                <w:pPr>
                  <w:widowControl w:val="0"/>
                  <w:jc w:val="right"/>
                  <w:rPr>
                    <w:rFonts w:cs="Times New Roman"/>
                    <w:color w:val="000000" w:themeColor="text1"/>
                    <w14:textFill>
                      <w14:solidFill>
                        <w14:schemeClr w14:val="tx1"/>
                      </w14:solidFill>
                    </w14:textFill>
                  </w:rPr>
                </w:pPr>
              </w:p>
            </w:tc>
            <w:tc>
              <w:tcPr>
                <w:tcW w:w="1591" w:type="dxa"/>
                <w:vAlign w:val="center"/>
              </w:tcPr>
              <w:p w14:paraId="61E894E3">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与资产相关、与收益相关</w:t>
                </w:r>
              </w:p>
            </w:tc>
          </w:tr>
          <w:tr w14:paraId="49D0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4BD5CD11">
                <w:pPr>
                  <w:widowControl/>
                  <w:jc w:val="both"/>
                  <w:textAlignment w:val="center"/>
                  <w:rPr>
                    <w:rFonts w:cs="Times New Roman"/>
                    <w:color w:val="000000" w:themeColor="text1"/>
                    <w14:textFill>
                      <w14:solidFill>
                        <w14:schemeClr w14:val="tx1"/>
                      </w14:solidFill>
                    </w14:textFill>
                  </w:rPr>
                </w:pPr>
                <w:r>
                  <w:rPr>
                    <w:rFonts w:cs="Times New Roman"/>
                    <w:color w:val="000000"/>
                    <w:lang w:bidi="ar"/>
                  </w:rPr>
                  <w:t>自然灾害防治技术装备工程化攻关专项国拨资金</w:t>
                </w:r>
              </w:p>
            </w:tc>
            <w:tc>
              <w:tcPr>
                <w:tcW w:w="1309" w:type="dxa"/>
                <w:vAlign w:val="center"/>
              </w:tcPr>
              <w:p w14:paraId="5C5BC847">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其他收益</w:t>
                </w:r>
              </w:p>
            </w:tc>
            <w:tc>
              <w:tcPr>
                <w:tcW w:w="1462" w:type="dxa"/>
                <w:vAlign w:val="center"/>
              </w:tcPr>
              <w:p w14:paraId="149AE2DE">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960,674.02</w:t>
                </w:r>
              </w:p>
            </w:tc>
            <w:tc>
              <w:tcPr>
                <w:tcW w:w="1462" w:type="dxa"/>
                <w:vAlign w:val="center"/>
              </w:tcPr>
              <w:p w14:paraId="7D6938C1">
                <w:pPr>
                  <w:widowControl w:val="0"/>
                  <w:jc w:val="right"/>
                  <w:rPr>
                    <w:rFonts w:cs="Times New Roman"/>
                    <w:color w:val="000000" w:themeColor="text1"/>
                    <w14:textFill>
                      <w14:solidFill>
                        <w14:schemeClr w14:val="tx1"/>
                      </w14:solidFill>
                    </w14:textFill>
                  </w:rPr>
                </w:pPr>
              </w:p>
            </w:tc>
            <w:tc>
              <w:tcPr>
                <w:tcW w:w="1591" w:type="dxa"/>
                <w:vAlign w:val="center"/>
              </w:tcPr>
              <w:p w14:paraId="4836FF30">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与资产相关、与收益相关</w:t>
                </w:r>
              </w:p>
            </w:tc>
          </w:tr>
          <w:tr w14:paraId="68C9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225A2FA8">
                <w:pPr>
                  <w:widowControl/>
                  <w:jc w:val="both"/>
                  <w:textAlignment w:val="center"/>
                  <w:rPr>
                    <w:rFonts w:cs="Times New Roman"/>
                    <w:color w:val="000000"/>
                    <w:lang w:bidi="ar"/>
                  </w:rPr>
                </w:pPr>
                <w:r>
                  <w:rPr>
                    <w:rFonts w:cs="Times New Roman"/>
                    <w:color w:val="000000"/>
                    <w:lang w:bidi="ar"/>
                  </w:rPr>
                  <w:t>其他</w:t>
                </w:r>
              </w:p>
            </w:tc>
            <w:tc>
              <w:tcPr>
                <w:tcW w:w="1309" w:type="dxa"/>
                <w:vAlign w:val="center"/>
              </w:tcPr>
              <w:p w14:paraId="45EA49FC">
                <w:pPr>
                  <w:widowControl/>
                  <w:jc w:val="center"/>
                  <w:textAlignment w:val="center"/>
                  <w:rPr>
                    <w:rFonts w:cs="Times New Roman"/>
                    <w:color w:val="000000"/>
                    <w:lang w:bidi="ar"/>
                  </w:rPr>
                </w:pPr>
                <w:r>
                  <w:rPr>
                    <w:rFonts w:cs="Times New Roman"/>
                    <w:color w:val="000000"/>
                    <w:lang w:bidi="ar"/>
                  </w:rPr>
                  <w:t>其他收益</w:t>
                </w:r>
              </w:p>
            </w:tc>
            <w:tc>
              <w:tcPr>
                <w:tcW w:w="1462" w:type="dxa"/>
                <w:vAlign w:val="center"/>
              </w:tcPr>
              <w:p w14:paraId="6A823639">
                <w:pPr>
                  <w:widowControl/>
                  <w:jc w:val="right"/>
                  <w:textAlignment w:val="center"/>
                  <w:rPr>
                    <w:rFonts w:eastAsia="Arial Narrow" w:cs="Times New Roman"/>
                    <w:color w:val="000000"/>
                    <w:lang w:bidi="ar"/>
                  </w:rPr>
                </w:pPr>
                <w:r>
                  <w:rPr>
                    <w:rFonts w:eastAsia="Arial Narrow" w:cs="Times New Roman"/>
                    <w:color w:val="000000"/>
                    <w:lang w:bidi="ar"/>
                  </w:rPr>
                  <w:t>2,867,554.13</w:t>
                </w:r>
              </w:p>
            </w:tc>
            <w:tc>
              <w:tcPr>
                <w:tcW w:w="1462" w:type="dxa"/>
                <w:vAlign w:val="center"/>
              </w:tcPr>
              <w:p w14:paraId="18AE7FFB">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3,079,675.77</w:t>
                </w:r>
              </w:p>
            </w:tc>
            <w:tc>
              <w:tcPr>
                <w:tcW w:w="1591" w:type="dxa"/>
                <w:vAlign w:val="center"/>
              </w:tcPr>
              <w:p w14:paraId="2541CD0E">
                <w:pPr>
                  <w:widowControl/>
                  <w:jc w:val="center"/>
                  <w:textAlignment w:val="center"/>
                  <w:rPr>
                    <w:rFonts w:asciiTheme="minorEastAsia" w:hAnsiTheme="minorEastAsia" w:eastAsiaTheme="minorEastAsia" w:cstheme="minorEastAsia"/>
                    <w:color w:val="000000"/>
                    <w:lang w:bidi="ar"/>
                  </w:rPr>
                </w:pPr>
                <w:r>
                  <w:rPr>
                    <w:rFonts w:hint="eastAsia" w:asciiTheme="minorEastAsia" w:hAnsiTheme="minorEastAsia" w:eastAsiaTheme="minorEastAsia" w:cstheme="minorEastAsia"/>
                    <w:color w:val="000000"/>
                    <w:lang w:bidi="ar"/>
                  </w:rPr>
                  <w:t>与资产相关、与收益相关</w:t>
                </w:r>
              </w:p>
            </w:tc>
          </w:tr>
          <w:tr w14:paraId="2599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3173" w:type="dxa"/>
                <w:vAlign w:val="center"/>
              </w:tcPr>
              <w:p w14:paraId="64A28C20">
                <w:pPr>
                  <w:widowControl/>
                  <w:jc w:val="both"/>
                  <w:textAlignment w:val="center"/>
                  <w:rPr>
                    <w:rFonts w:cs="Times New Roman"/>
                    <w:color w:val="000000" w:themeColor="text1"/>
                    <w14:textFill>
                      <w14:solidFill>
                        <w14:schemeClr w14:val="tx1"/>
                      </w14:solidFill>
                    </w14:textFill>
                  </w:rPr>
                </w:pPr>
                <w:r>
                  <w:rPr>
                    <w:rFonts w:cs="Times New Roman"/>
                    <w:color w:val="000000"/>
                  </w:rPr>
                  <w:t>二、直接计入其他收益</w:t>
                </w:r>
              </w:p>
            </w:tc>
            <w:tc>
              <w:tcPr>
                <w:tcW w:w="1309" w:type="dxa"/>
                <w:vAlign w:val="center"/>
              </w:tcPr>
              <w:p w14:paraId="7D2F69EC">
                <w:pPr>
                  <w:widowControl w:val="0"/>
                  <w:jc w:val="center"/>
                  <w:rPr>
                    <w:rFonts w:cs="Times New Roman"/>
                    <w:color w:val="000000" w:themeColor="text1"/>
                    <w14:textFill>
                      <w14:solidFill>
                        <w14:schemeClr w14:val="tx1"/>
                      </w14:solidFill>
                    </w14:textFill>
                  </w:rPr>
                </w:pPr>
              </w:p>
            </w:tc>
            <w:tc>
              <w:tcPr>
                <w:tcW w:w="1462" w:type="dxa"/>
                <w:vAlign w:val="center"/>
              </w:tcPr>
              <w:p w14:paraId="204F3E96">
                <w:pPr>
                  <w:widowControl/>
                  <w:jc w:val="right"/>
                  <w:textAlignment w:val="center"/>
                  <w:rPr>
                    <w:rFonts w:cs="Times New Roman"/>
                    <w:color w:val="000000" w:themeColor="text1"/>
                    <w14:textFill>
                      <w14:solidFill>
                        <w14:schemeClr w14:val="tx1"/>
                      </w14:solidFill>
                    </w14:textFill>
                  </w:rPr>
                </w:pPr>
              </w:p>
            </w:tc>
            <w:tc>
              <w:tcPr>
                <w:tcW w:w="1462" w:type="dxa"/>
                <w:vAlign w:val="center"/>
              </w:tcPr>
              <w:p w14:paraId="22ED6FE0">
                <w:pPr>
                  <w:widowControl/>
                  <w:jc w:val="right"/>
                  <w:textAlignment w:val="center"/>
                  <w:rPr>
                    <w:rFonts w:cs="Times New Roman"/>
                    <w:color w:val="000000" w:themeColor="text1"/>
                    <w14:textFill>
                      <w14:solidFill>
                        <w14:schemeClr w14:val="tx1"/>
                      </w14:solidFill>
                    </w14:textFill>
                  </w:rPr>
                </w:pPr>
              </w:p>
            </w:tc>
            <w:tc>
              <w:tcPr>
                <w:tcW w:w="1591" w:type="dxa"/>
                <w:vAlign w:val="center"/>
              </w:tcPr>
              <w:p w14:paraId="3D4683DF">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p>
            </w:tc>
          </w:tr>
          <w:tr w14:paraId="0A15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5ACCCDBA">
                <w:pPr>
                  <w:widowControl/>
                  <w:jc w:val="both"/>
                  <w:textAlignment w:val="center"/>
                  <w:rPr>
                    <w:rFonts w:cs="Times New Roman"/>
                    <w:color w:val="000000" w:themeColor="text1"/>
                    <w14:textFill>
                      <w14:solidFill>
                        <w14:schemeClr w14:val="tx1"/>
                      </w14:solidFill>
                    </w14:textFill>
                  </w:rPr>
                </w:pPr>
                <w:r>
                  <w:rPr>
                    <w:rFonts w:cs="Times New Roman"/>
                    <w:color w:val="000000"/>
                    <w:lang w:bidi="ar"/>
                  </w:rPr>
                  <w:t>运费补贴</w:t>
                </w:r>
              </w:p>
            </w:tc>
            <w:tc>
              <w:tcPr>
                <w:tcW w:w="1309" w:type="dxa"/>
                <w:vAlign w:val="center"/>
              </w:tcPr>
              <w:p w14:paraId="2586D760">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其他收益</w:t>
                </w:r>
              </w:p>
            </w:tc>
            <w:tc>
              <w:tcPr>
                <w:tcW w:w="1462" w:type="dxa"/>
                <w:vAlign w:val="center"/>
              </w:tcPr>
              <w:p w14:paraId="461A7ADB">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7,906,158.13</w:t>
                </w:r>
              </w:p>
            </w:tc>
            <w:tc>
              <w:tcPr>
                <w:tcW w:w="1462" w:type="dxa"/>
                <w:vAlign w:val="center"/>
              </w:tcPr>
              <w:p w14:paraId="4B28EF4E">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4,192,468.09</w:t>
                </w:r>
              </w:p>
            </w:tc>
            <w:tc>
              <w:tcPr>
                <w:tcW w:w="1591" w:type="dxa"/>
                <w:vAlign w:val="center"/>
              </w:tcPr>
              <w:p w14:paraId="54F2E9F7">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与收益相关</w:t>
                </w:r>
              </w:p>
            </w:tc>
          </w:tr>
          <w:tr w14:paraId="1A6F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677137E1">
                <w:pPr>
                  <w:widowControl/>
                  <w:jc w:val="both"/>
                  <w:textAlignment w:val="center"/>
                  <w:rPr>
                    <w:rFonts w:cs="Times New Roman"/>
                    <w:color w:val="000000" w:themeColor="text1"/>
                    <w14:textFill>
                      <w14:solidFill>
                        <w14:schemeClr w14:val="tx1"/>
                      </w14:solidFill>
                    </w14:textFill>
                  </w:rPr>
                </w:pPr>
                <w:r>
                  <w:rPr>
                    <w:rFonts w:cs="Times New Roman"/>
                    <w:color w:val="000000"/>
                    <w:lang w:bidi="ar"/>
                  </w:rPr>
                  <w:t>工业企业技术改造经济贡献增量奖补资金</w:t>
                </w:r>
              </w:p>
            </w:tc>
            <w:tc>
              <w:tcPr>
                <w:tcW w:w="1309" w:type="dxa"/>
                <w:vAlign w:val="center"/>
              </w:tcPr>
              <w:p w14:paraId="4AC7391A">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其他收益</w:t>
                </w:r>
              </w:p>
            </w:tc>
            <w:tc>
              <w:tcPr>
                <w:tcW w:w="1462" w:type="dxa"/>
                <w:vAlign w:val="center"/>
              </w:tcPr>
              <w:p w14:paraId="5BDB9C2C">
                <w:pPr>
                  <w:widowControl w:val="0"/>
                  <w:jc w:val="right"/>
                  <w:rPr>
                    <w:rFonts w:cs="Times New Roman"/>
                    <w:color w:val="000000" w:themeColor="text1"/>
                    <w14:textFill>
                      <w14:solidFill>
                        <w14:schemeClr w14:val="tx1"/>
                      </w14:solidFill>
                    </w14:textFill>
                  </w:rPr>
                </w:pPr>
              </w:p>
            </w:tc>
            <w:tc>
              <w:tcPr>
                <w:tcW w:w="1462" w:type="dxa"/>
                <w:vAlign w:val="center"/>
              </w:tcPr>
              <w:p w14:paraId="7FC634AD">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1,833,700.00</w:t>
                </w:r>
              </w:p>
            </w:tc>
            <w:tc>
              <w:tcPr>
                <w:tcW w:w="1591" w:type="dxa"/>
                <w:vAlign w:val="center"/>
              </w:tcPr>
              <w:p w14:paraId="481B3A1E">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与收益相关</w:t>
                </w:r>
              </w:p>
            </w:tc>
          </w:tr>
          <w:tr w14:paraId="2DD0C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2901B1AE">
                <w:pPr>
                  <w:widowControl/>
                  <w:jc w:val="both"/>
                  <w:textAlignment w:val="center"/>
                  <w:rPr>
                    <w:rFonts w:cs="Times New Roman"/>
                    <w:color w:val="000000" w:themeColor="text1"/>
                    <w14:textFill>
                      <w14:solidFill>
                        <w14:schemeClr w14:val="tx1"/>
                      </w14:solidFill>
                    </w14:textFill>
                  </w:rPr>
                </w:pPr>
                <w:r>
                  <w:rPr>
                    <w:rFonts w:cs="Times New Roman"/>
                    <w:color w:val="000000"/>
                    <w:lang w:bidi="ar"/>
                  </w:rPr>
                  <w:t>专精特新奖励资金</w:t>
                </w:r>
              </w:p>
            </w:tc>
            <w:tc>
              <w:tcPr>
                <w:tcW w:w="1309" w:type="dxa"/>
                <w:vAlign w:val="center"/>
              </w:tcPr>
              <w:p w14:paraId="54205BE1">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其他收益</w:t>
                </w:r>
              </w:p>
            </w:tc>
            <w:tc>
              <w:tcPr>
                <w:tcW w:w="1462" w:type="dxa"/>
                <w:vAlign w:val="center"/>
              </w:tcPr>
              <w:p w14:paraId="2A38B824">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450,000.00</w:t>
                </w:r>
              </w:p>
            </w:tc>
            <w:tc>
              <w:tcPr>
                <w:tcW w:w="1462" w:type="dxa"/>
                <w:vAlign w:val="center"/>
              </w:tcPr>
              <w:p w14:paraId="5C62A60C">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1,000,000.00</w:t>
                </w:r>
              </w:p>
            </w:tc>
            <w:tc>
              <w:tcPr>
                <w:tcW w:w="1591" w:type="dxa"/>
                <w:vAlign w:val="center"/>
              </w:tcPr>
              <w:p w14:paraId="0E8F2A13">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与收益相关</w:t>
                </w:r>
              </w:p>
            </w:tc>
          </w:tr>
          <w:tr w14:paraId="16D43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0294CF9B">
                <w:pPr>
                  <w:widowControl/>
                  <w:jc w:val="both"/>
                  <w:textAlignment w:val="center"/>
                  <w:rPr>
                    <w:rFonts w:cs="Times New Roman"/>
                    <w:color w:val="000000" w:themeColor="text1"/>
                    <w14:textFill>
                      <w14:solidFill>
                        <w14:schemeClr w14:val="tx1"/>
                      </w14:solidFill>
                    </w14:textFill>
                  </w:rPr>
                </w:pPr>
                <w:r>
                  <w:rPr>
                    <w:rFonts w:cs="Times New Roman"/>
                    <w:color w:val="000000"/>
                    <w:lang w:bidi="ar"/>
                  </w:rPr>
                  <w:t>绿色制造单位奖补资金</w:t>
                </w:r>
              </w:p>
            </w:tc>
            <w:tc>
              <w:tcPr>
                <w:tcW w:w="1309" w:type="dxa"/>
                <w:vAlign w:val="center"/>
              </w:tcPr>
              <w:p w14:paraId="1C0CFE26">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其他收益</w:t>
                </w:r>
              </w:p>
            </w:tc>
            <w:tc>
              <w:tcPr>
                <w:tcW w:w="1462" w:type="dxa"/>
                <w:vAlign w:val="center"/>
              </w:tcPr>
              <w:p w14:paraId="1AF5CD3E">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1,500,000.00</w:t>
                </w:r>
              </w:p>
            </w:tc>
            <w:tc>
              <w:tcPr>
                <w:tcW w:w="1462" w:type="dxa"/>
                <w:vAlign w:val="center"/>
              </w:tcPr>
              <w:p w14:paraId="2DF77426">
                <w:pPr>
                  <w:widowControl w:val="0"/>
                  <w:jc w:val="right"/>
                  <w:rPr>
                    <w:rFonts w:cs="Times New Roman"/>
                    <w:color w:val="000000" w:themeColor="text1"/>
                    <w14:textFill>
                      <w14:solidFill>
                        <w14:schemeClr w14:val="tx1"/>
                      </w14:solidFill>
                    </w14:textFill>
                  </w:rPr>
                </w:pPr>
              </w:p>
            </w:tc>
            <w:tc>
              <w:tcPr>
                <w:tcW w:w="1591" w:type="dxa"/>
                <w:vAlign w:val="center"/>
              </w:tcPr>
              <w:p w14:paraId="4779A565">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与收益相关</w:t>
                </w:r>
              </w:p>
            </w:tc>
          </w:tr>
          <w:tr w14:paraId="325EE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00CE811F">
                <w:pPr>
                  <w:widowControl/>
                  <w:jc w:val="both"/>
                  <w:textAlignment w:val="center"/>
                  <w:rPr>
                    <w:rFonts w:cs="Times New Roman"/>
                    <w:color w:val="000000" w:themeColor="text1"/>
                    <w14:textFill>
                      <w14:solidFill>
                        <w14:schemeClr w14:val="tx1"/>
                      </w14:solidFill>
                    </w14:textFill>
                  </w:rPr>
                </w:pPr>
                <w:r>
                  <w:rPr>
                    <w:rFonts w:cs="Times New Roman"/>
                    <w:color w:val="000000"/>
                    <w:lang w:bidi="ar"/>
                  </w:rPr>
                  <w:t>2024年湖北省军民融合发展专项资金</w:t>
                </w:r>
              </w:p>
            </w:tc>
            <w:tc>
              <w:tcPr>
                <w:tcW w:w="1309" w:type="dxa"/>
                <w:vAlign w:val="center"/>
              </w:tcPr>
              <w:p w14:paraId="3C27A8C9">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其他收益</w:t>
                </w:r>
              </w:p>
            </w:tc>
            <w:tc>
              <w:tcPr>
                <w:tcW w:w="1462" w:type="dxa"/>
                <w:vAlign w:val="center"/>
              </w:tcPr>
              <w:p w14:paraId="643E5F16">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5,760,000.00</w:t>
                </w:r>
              </w:p>
            </w:tc>
            <w:tc>
              <w:tcPr>
                <w:tcW w:w="1462" w:type="dxa"/>
                <w:vAlign w:val="center"/>
              </w:tcPr>
              <w:p w14:paraId="3D9B1718">
                <w:pPr>
                  <w:widowControl w:val="0"/>
                  <w:jc w:val="right"/>
                  <w:rPr>
                    <w:rFonts w:cs="Times New Roman"/>
                    <w:color w:val="000000" w:themeColor="text1"/>
                    <w14:textFill>
                      <w14:solidFill>
                        <w14:schemeClr w14:val="tx1"/>
                      </w14:solidFill>
                    </w14:textFill>
                  </w:rPr>
                </w:pPr>
              </w:p>
            </w:tc>
            <w:tc>
              <w:tcPr>
                <w:tcW w:w="1591" w:type="dxa"/>
                <w:vAlign w:val="center"/>
              </w:tcPr>
              <w:p w14:paraId="1BD2A865">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与收益相关</w:t>
                </w:r>
              </w:p>
            </w:tc>
          </w:tr>
          <w:tr w14:paraId="33F2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37A21C70">
                <w:pPr>
                  <w:widowControl/>
                  <w:jc w:val="both"/>
                  <w:textAlignment w:val="center"/>
                  <w:rPr>
                    <w:rFonts w:cs="Times New Roman"/>
                    <w:color w:val="000000" w:themeColor="text1"/>
                    <w14:textFill>
                      <w14:solidFill>
                        <w14:schemeClr w14:val="tx1"/>
                      </w14:solidFill>
                    </w14:textFill>
                  </w:rPr>
                </w:pPr>
                <w:r>
                  <w:rPr>
                    <w:rFonts w:cs="Times New Roman"/>
                    <w:color w:val="000000"/>
                    <w:lang w:bidi="ar"/>
                  </w:rPr>
                  <w:t>稳岗补贴</w:t>
                </w:r>
              </w:p>
            </w:tc>
            <w:tc>
              <w:tcPr>
                <w:tcW w:w="1309" w:type="dxa"/>
                <w:vAlign w:val="center"/>
              </w:tcPr>
              <w:p w14:paraId="4D995DBC">
                <w:pPr>
                  <w:widowControl w:val="0"/>
                  <w:jc w:val="center"/>
                  <w:rPr>
                    <w:rFonts w:cs="Times New Roman"/>
                    <w:color w:val="000000" w:themeColor="text1"/>
                    <w14:textFill>
                      <w14:solidFill>
                        <w14:schemeClr w14:val="tx1"/>
                      </w14:solidFill>
                    </w14:textFill>
                  </w:rPr>
                </w:pPr>
              </w:p>
            </w:tc>
            <w:tc>
              <w:tcPr>
                <w:tcW w:w="1462" w:type="dxa"/>
                <w:vAlign w:val="center"/>
              </w:tcPr>
              <w:p w14:paraId="1A852CE4">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580,769.05</w:t>
                </w:r>
              </w:p>
            </w:tc>
            <w:tc>
              <w:tcPr>
                <w:tcW w:w="1462" w:type="dxa"/>
                <w:vAlign w:val="center"/>
              </w:tcPr>
              <w:p w14:paraId="678018BB">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976,698.49</w:t>
                </w:r>
              </w:p>
            </w:tc>
            <w:tc>
              <w:tcPr>
                <w:tcW w:w="1591" w:type="dxa"/>
                <w:vAlign w:val="center"/>
              </w:tcPr>
              <w:p w14:paraId="707B9C06">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与收益相关</w:t>
                </w:r>
              </w:p>
            </w:tc>
          </w:tr>
          <w:tr w14:paraId="27C9A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3DE2090E">
                <w:pPr>
                  <w:widowControl/>
                  <w:jc w:val="both"/>
                  <w:textAlignment w:val="center"/>
                  <w:rPr>
                    <w:rFonts w:cs="Times New Roman"/>
                    <w:color w:val="000000" w:themeColor="text1"/>
                    <w14:textFill>
                      <w14:solidFill>
                        <w14:schemeClr w14:val="tx1"/>
                      </w14:solidFill>
                    </w14:textFill>
                  </w:rPr>
                </w:pPr>
                <w:r>
                  <w:rPr>
                    <w:rFonts w:cs="Times New Roman"/>
                    <w:color w:val="000000"/>
                    <w:lang w:bidi="ar"/>
                  </w:rPr>
                  <w:t>其他</w:t>
                </w:r>
              </w:p>
            </w:tc>
            <w:tc>
              <w:tcPr>
                <w:tcW w:w="1309" w:type="dxa"/>
                <w:vAlign w:val="center"/>
              </w:tcPr>
              <w:p w14:paraId="41D89302">
                <w:pPr>
                  <w:widowControl/>
                  <w:jc w:val="center"/>
                  <w:textAlignment w:val="center"/>
                  <w:rPr>
                    <w:rFonts w:cs="Times New Roman"/>
                    <w:color w:val="000000" w:themeColor="text1"/>
                    <w14:textFill>
                      <w14:solidFill>
                        <w14:schemeClr w14:val="tx1"/>
                      </w14:solidFill>
                    </w14:textFill>
                  </w:rPr>
                </w:pPr>
                <w:r>
                  <w:rPr>
                    <w:rFonts w:cs="Times New Roman"/>
                    <w:color w:val="000000"/>
                    <w:lang w:bidi="ar"/>
                  </w:rPr>
                  <w:t>其他收益</w:t>
                </w:r>
              </w:p>
            </w:tc>
            <w:tc>
              <w:tcPr>
                <w:tcW w:w="1462" w:type="dxa"/>
                <w:vAlign w:val="center"/>
              </w:tcPr>
              <w:p w14:paraId="03DFC334">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5,953,044.44</w:t>
                </w:r>
              </w:p>
            </w:tc>
            <w:tc>
              <w:tcPr>
                <w:tcW w:w="1462" w:type="dxa"/>
                <w:vAlign w:val="center"/>
              </w:tcPr>
              <w:p w14:paraId="45158E2D">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4,604,378.95</w:t>
                </w:r>
              </w:p>
            </w:tc>
            <w:tc>
              <w:tcPr>
                <w:tcW w:w="1591" w:type="dxa"/>
                <w:vAlign w:val="center"/>
              </w:tcPr>
              <w:p w14:paraId="014D507F">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与收益相关</w:t>
                </w:r>
              </w:p>
            </w:tc>
          </w:tr>
          <w:tr w14:paraId="394B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4D38E924">
                <w:pPr>
                  <w:widowControl/>
                  <w:jc w:val="both"/>
                  <w:textAlignment w:val="center"/>
                  <w:rPr>
                    <w:rFonts w:cs="Times New Roman"/>
                    <w:color w:val="000000" w:themeColor="text1"/>
                    <w14:textFill>
                      <w14:solidFill>
                        <w14:schemeClr w14:val="tx1"/>
                      </w14:solidFill>
                    </w14:textFill>
                  </w:rPr>
                </w:pPr>
                <w:r>
                  <w:rPr>
                    <w:rFonts w:cs="Times New Roman"/>
                    <w:color w:val="000000"/>
                  </w:rPr>
                  <w:t>三、冲减成本费用的政府补助</w:t>
                </w:r>
              </w:p>
            </w:tc>
            <w:tc>
              <w:tcPr>
                <w:tcW w:w="1309" w:type="dxa"/>
                <w:vAlign w:val="center"/>
              </w:tcPr>
              <w:p w14:paraId="3CB7EF60">
                <w:pPr>
                  <w:widowControl w:val="0"/>
                  <w:jc w:val="center"/>
                  <w:rPr>
                    <w:rFonts w:cs="Times New Roman"/>
                    <w:color w:val="000000" w:themeColor="text1"/>
                    <w14:textFill>
                      <w14:solidFill>
                        <w14:schemeClr w14:val="tx1"/>
                      </w14:solidFill>
                    </w14:textFill>
                  </w:rPr>
                </w:pPr>
              </w:p>
            </w:tc>
            <w:tc>
              <w:tcPr>
                <w:tcW w:w="1462" w:type="dxa"/>
                <w:vAlign w:val="center"/>
              </w:tcPr>
              <w:p w14:paraId="505F39B8">
                <w:pPr>
                  <w:widowControl w:val="0"/>
                  <w:jc w:val="right"/>
                  <w:rPr>
                    <w:rFonts w:cs="Times New Roman"/>
                    <w:color w:val="000000" w:themeColor="text1"/>
                    <w14:textFill>
                      <w14:solidFill>
                        <w14:schemeClr w14:val="tx1"/>
                      </w14:solidFill>
                    </w14:textFill>
                  </w:rPr>
                </w:pPr>
              </w:p>
            </w:tc>
            <w:tc>
              <w:tcPr>
                <w:tcW w:w="1462" w:type="dxa"/>
                <w:vAlign w:val="center"/>
              </w:tcPr>
              <w:p w14:paraId="1EC49A20">
                <w:pPr>
                  <w:widowControl w:val="0"/>
                  <w:jc w:val="right"/>
                  <w:rPr>
                    <w:rFonts w:cs="Times New Roman"/>
                    <w:color w:val="000000" w:themeColor="text1"/>
                    <w14:textFill>
                      <w14:solidFill>
                        <w14:schemeClr w14:val="tx1"/>
                      </w14:solidFill>
                    </w14:textFill>
                  </w:rPr>
                </w:pPr>
              </w:p>
            </w:tc>
            <w:tc>
              <w:tcPr>
                <w:tcW w:w="1591" w:type="dxa"/>
                <w:vAlign w:val="center"/>
              </w:tcPr>
              <w:p w14:paraId="65484698">
                <w:pPr>
                  <w:widowControl w:val="0"/>
                  <w:jc w:val="center"/>
                  <w:rPr>
                    <w:rFonts w:asciiTheme="minorEastAsia" w:hAnsiTheme="minorEastAsia" w:eastAsiaTheme="minorEastAsia" w:cstheme="minorEastAsia"/>
                    <w:color w:val="000000" w:themeColor="text1"/>
                    <w14:textFill>
                      <w14:solidFill>
                        <w14:schemeClr w14:val="tx1"/>
                      </w14:solidFill>
                    </w14:textFill>
                  </w:rPr>
                </w:pPr>
              </w:p>
            </w:tc>
          </w:tr>
          <w:tr w14:paraId="05FE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7C928A1F">
                <w:pPr>
                  <w:widowControl/>
                  <w:jc w:val="both"/>
                  <w:textAlignment w:val="center"/>
                  <w:rPr>
                    <w:rFonts w:cs="Times New Roman"/>
                    <w:color w:val="000000" w:themeColor="text1"/>
                    <w14:textFill>
                      <w14:solidFill>
                        <w14:schemeClr w14:val="tx1"/>
                      </w14:solidFill>
                    </w14:textFill>
                  </w:rPr>
                </w:pPr>
                <w:r>
                  <w:rPr>
                    <w:rFonts w:cs="Times New Roman"/>
                    <w:color w:val="000000"/>
                  </w:rPr>
                  <w:t>吉林省服务业发展专项资金</w:t>
                </w:r>
              </w:p>
            </w:tc>
            <w:tc>
              <w:tcPr>
                <w:tcW w:w="1309" w:type="dxa"/>
                <w:vAlign w:val="center"/>
              </w:tcPr>
              <w:p w14:paraId="3BF63F04">
                <w:pPr>
                  <w:widowControl/>
                  <w:jc w:val="center"/>
                  <w:textAlignment w:val="center"/>
                  <w:rPr>
                    <w:rFonts w:cs="Times New Roman"/>
                    <w:color w:val="000000" w:themeColor="text1"/>
                    <w14:textFill>
                      <w14:solidFill>
                        <w14:schemeClr w14:val="tx1"/>
                      </w14:solidFill>
                    </w14:textFill>
                  </w:rPr>
                </w:pPr>
                <w:r>
                  <w:rPr>
                    <w:rFonts w:cs="Times New Roman"/>
                    <w:color w:val="000000"/>
                  </w:rPr>
                  <w:t>管理费用</w:t>
                </w:r>
              </w:p>
            </w:tc>
            <w:tc>
              <w:tcPr>
                <w:tcW w:w="1462" w:type="dxa"/>
                <w:vAlign w:val="center"/>
              </w:tcPr>
              <w:p w14:paraId="1F3BD9B7">
                <w:pPr>
                  <w:widowControl/>
                  <w:jc w:val="right"/>
                  <w:textAlignment w:val="center"/>
                  <w:rPr>
                    <w:rFonts w:cs="Times New Roman"/>
                    <w:color w:val="000000" w:themeColor="text1"/>
                    <w14:textFill>
                      <w14:solidFill>
                        <w14:schemeClr w14:val="tx1"/>
                      </w14:solidFill>
                    </w14:textFill>
                  </w:rPr>
                </w:pPr>
                <w:r>
                  <w:rPr>
                    <w:rFonts w:cs="Times New Roman"/>
                    <w:color w:val="000000"/>
                  </w:rPr>
                  <w:t>25,000.00</w:t>
                </w:r>
              </w:p>
            </w:tc>
            <w:tc>
              <w:tcPr>
                <w:tcW w:w="1462" w:type="dxa"/>
                <w:vAlign w:val="center"/>
              </w:tcPr>
              <w:p w14:paraId="7FA9BEA1">
                <w:pPr>
                  <w:widowControl/>
                  <w:jc w:val="right"/>
                  <w:textAlignment w:val="center"/>
                  <w:rPr>
                    <w:rFonts w:cs="Times New Roman"/>
                    <w:color w:val="000000" w:themeColor="text1"/>
                    <w14:textFill>
                      <w14:solidFill>
                        <w14:schemeClr w14:val="tx1"/>
                      </w14:solidFill>
                    </w14:textFill>
                  </w:rPr>
                </w:pPr>
                <w:r>
                  <w:rPr>
                    <w:rFonts w:cs="Times New Roman"/>
                    <w:color w:val="000000"/>
                  </w:rPr>
                  <w:t>25,000.00</w:t>
                </w:r>
              </w:p>
            </w:tc>
            <w:tc>
              <w:tcPr>
                <w:tcW w:w="1591" w:type="dxa"/>
                <w:vAlign w:val="center"/>
              </w:tcPr>
              <w:p w14:paraId="4236F34E">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rPr>
                  <w:t>与资产相关</w:t>
                </w:r>
              </w:p>
            </w:tc>
          </w:tr>
          <w:tr w14:paraId="1F3C4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4FC6331E">
                <w:pPr>
                  <w:widowControl/>
                  <w:jc w:val="both"/>
                  <w:textAlignment w:val="center"/>
                  <w:rPr>
                    <w:rFonts w:cs="Times New Roman"/>
                    <w:color w:val="000000" w:themeColor="text1"/>
                    <w14:textFill>
                      <w14:solidFill>
                        <w14:schemeClr w14:val="tx1"/>
                      </w14:solidFill>
                    </w14:textFill>
                  </w:rPr>
                </w:pPr>
                <w:r>
                  <w:rPr>
                    <w:rFonts w:cs="Times New Roman"/>
                    <w:color w:val="000000"/>
                  </w:rPr>
                  <w:t>财政贴息</w:t>
                </w:r>
              </w:p>
            </w:tc>
            <w:tc>
              <w:tcPr>
                <w:tcW w:w="1309" w:type="dxa"/>
                <w:vAlign w:val="center"/>
              </w:tcPr>
              <w:p w14:paraId="5C7AD16E">
                <w:pPr>
                  <w:widowControl/>
                  <w:jc w:val="center"/>
                  <w:textAlignment w:val="center"/>
                  <w:rPr>
                    <w:rFonts w:cs="Times New Roman"/>
                    <w:color w:val="000000" w:themeColor="text1"/>
                    <w14:textFill>
                      <w14:solidFill>
                        <w14:schemeClr w14:val="tx1"/>
                      </w14:solidFill>
                    </w14:textFill>
                  </w:rPr>
                </w:pPr>
                <w:r>
                  <w:rPr>
                    <w:rFonts w:cs="Times New Roman"/>
                    <w:color w:val="000000"/>
                  </w:rPr>
                  <w:t>财务费用</w:t>
                </w:r>
              </w:p>
            </w:tc>
            <w:tc>
              <w:tcPr>
                <w:tcW w:w="1462" w:type="dxa"/>
                <w:vAlign w:val="center"/>
              </w:tcPr>
              <w:p w14:paraId="5B92EFFB">
                <w:pPr>
                  <w:widowControl/>
                  <w:jc w:val="right"/>
                  <w:textAlignment w:val="center"/>
                  <w:rPr>
                    <w:rFonts w:cs="Times New Roman"/>
                    <w:color w:val="000000" w:themeColor="text1"/>
                    <w14:textFill>
                      <w14:solidFill>
                        <w14:schemeClr w14:val="tx1"/>
                      </w14:solidFill>
                    </w14:textFill>
                  </w:rPr>
                </w:pPr>
                <w:r>
                  <w:rPr>
                    <w:rFonts w:cs="Times New Roman"/>
                    <w:color w:val="000000"/>
                  </w:rPr>
                  <w:t>1,951,800.00</w:t>
                </w:r>
              </w:p>
            </w:tc>
            <w:tc>
              <w:tcPr>
                <w:tcW w:w="1462" w:type="dxa"/>
                <w:vAlign w:val="center"/>
              </w:tcPr>
              <w:p w14:paraId="20635216">
                <w:pPr>
                  <w:widowControl/>
                  <w:jc w:val="right"/>
                  <w:textAlignment w:val="center"/>
                  <w:rPr>
                    <w:rFonts w:cs="Times New Roman"/>
                    <w:color w:val="000000" w:themeColor="text1"/>
                    <w14:textFill>
                      <w14:solidFill>
                        <w14:schemeClr w14:val="tx1"/>
                      </w14:solidFill>
                    </w14:textFill>
                  </w:rPr>
                </w:pPr>
                <w:r>
                  <w:rPr>
                    <w:rFonts w:cs="Times New Roman"/>
                    <w:color w:val="000000"/>
                  </w:rPr>
                  <w:t>366,000.00</w:t>
                </w:r>
              </w:p>
            </w:tc>
            <w:tc>
              <w:tcPr>
                <w:tcW w:w="1591" w:type="dxa"/>
                <w:vAlign w:val="center"/>
              </w:tcPr>
              <w:p w14:paraId="57DAC95D">
                <w:pPr>
                  <w:widowControl/>
                  <w:jc w:val="center"/>
                  <w:textAlignment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rPr>
                  <w:t>与收益相关</w:t>
                </w:r>
              </w:p>
            </w:tc>
          </w:tr>
          <w:tr w14:paraId="64357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3" w:type="dxa"/>
                <w:vAlign w:val="center"/>
              </w:tcPr>
              <w:p w14:paraId="0A4A8F93">
                <w:pPr>
                  <w:widowControl/>
                  <w:jc w:val="center"/>
                  <w:textAlignment w:val="center"/>
                  <w:rPr>
                    <w:rFonts w:cs="Times New Roman"/>
                    <w:color w:val="000000" w:themeColor="text1"/>
                    <w14:textFill>
                      <w14:solidFill>
                        <w14:schemeClr w14:val="tx1"/>
                      </w14:solidFill>
                    </w14:textFill>
                  </w:rPr>
                </w:pPr>
                <w:r>
                  <w:rPr>
                    <w:rFonts w:cs="Times New Roman"/>
                    <w:color w:val="000000"/>
                  </w:rPr>
                  <w:t>合计</w:t>
                </w:r>
              </w:p>
            </w:tc>
            <w:tc>
              <w:tcPr>
                <w:tcW w:w="1309" w:type="dxa"/>
                <w:vAlign w:val="center"/>
              </w:tcPr>
              <w:p w14:paraId="21E072C4">
                <w:pPr>
                  <w:widowControl w:val="0"/>
                  <w:jc w:val="center"/>
                  <w:rPr>
                    <w:rFonts w:cs="Times New Roman"/>
                    <w:color w:val="000000" w:themeColor="text1"/>
                    <w14:textFill>
                      <w14:solidFill>
                        <w14:schemeClr w14:val="tx1"/>
                      </w14:solidFill>
                    </w14:textFill>
                  </w:rPr>
                </w:pPr>
              </w:p>
            </w:tc>
            <w:tc>
              <w:tcPr>
                <w:tcW w:w="1462" w:type="dxa"/>
                <w:vAlign w:val="center"/>
              </w:tcPr>
              <w:p w14:paraId="129F5B2D">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37,191,806.30</w:t>
                </w:r>
              </w:p>
            </w:tc>
            <w:tc>
              <w:tcPr>
                <w:tcW w:w="1462" w:type="dxa"/>
                <w:vAlign w:val="center"/>
              </w:tcPr>
              <w:p w14:paraId="05A75544">
                <w:pPr>
                  <w:widowControl/>
                  <w:jc w:val="right"/>
                  <w:textAlignment w:val="center"/>
                  <w:rPr>
                    <w:rFonts w:cs="Times New Roman"/>
                    <w:color w:val="000000" w:themeColor="text1"/>
                    <w14:textFill>
                      <w14:solidFill>
                        <w14:schemeClr w14:val="tx1"/>
                      </w14:solidFill>
                    </w14:textFill>
                  </w:rPr>
                </w:pPr>
                <w:r>
                  <w:rPr>
                    <w:rFonts w:eastAsia="Arial Narrow" w:cs="Times New Roman"/>
                    <w:color w:val="000000"/>
                    <w:lang w:bidi="ar"/>
                  </w:rPr>
                  <w:t>25,452,924.88</w:t>
                </w:r>
              </w:p>
            </w:tc>
            <w:tc>
              <w:tcPr>
                <w:tcW w:w="1591" w:type="dxa"/>
                <w:vAlign w:val="center"/>
              </w:tcPr>
              <w:p w14:paraId="03501613">
                <w:pPr>
                  <w:widowControl w:val="0"/>
                  <w:jc w:val="center"/>
                  <w:rPr>
                    <w:rFonts w:cs="Times New Roman"/>
                    <w:color w:val="000000" w:themeColor="text1"/>
                    <w14:textFill>
                      <w14:solidFill>
                        <w14:schemeClr w14:val="tx1"/>
                      </w14:solidFill>
                    </w14:textFill>
                  </w:rPr>
                </w:pPr>
              </w:p>
            </w:tc>
          </w:tr>
        </w:tbl>
        <w:p w14:paraId="44E185F5">
          <w:pPr>
            <w:rPr>
              <w:color w:val="000000" w:themeColor="text1"/>
              <w14:textFill>
                <w14:solidFill>
                  <w14:schemeClr w14:val="tx1"/>
                </w14:solidFill>
              </w14:textFill>
            </w:rPr>
          </w:pPr>
        </w:p>
      </w:sdtContent>
    </w:sdt>
    <w:p w14:paraId="786B49F0">
      <w:pPr>
        <w:rPr>
          <w:color w:val="000000" w:themeColor="text1"/>
          <w14:textFill>
            <w14:solidFill>
              <w14:schemeClr w14:val="tx1"/>
            </w14:solidFill>
          </w14:textFill>
        </w:rPr>
      </w:pPr>
    </w:p>
    <w:bookmarkEnd w:id="404"/>
    <w:bookmarkEnd w:id="406"/>
    <w:p w14:paraId="111050EA">
      <w:pPr>
        <w:pStyle w:val="56"/>
        <w:numPr>
          <w:ilvl w:val="0"/>
          <w:numId w:val="43"/>
        </w:numPr>
        <w:ind w:left="420" w:hanging="420"/>
        <w:rPr>
          <w:rFonts w:ascii="宋体" w:hAnsi="宋体"/>
          <w:color w:val="000000" w:themeColor="text1"/>
          <w14:textFill>
            <w14:solidFill>
              <w14:schemeClr w14:val="tx1"/>
            </w14:solidFill>
          </w14:textFill>
        </w:rPr>
      </w:pPr>
      <w:bookmarkStart w:id="407" w:name="_Hlk167976349"/>
      <w:r>
        <w:rPr>
          <w:rFonts w:hint="eastAsia" w:ascii="宋体" w:hAnsi="宋体"/>
          <w:color w:val="000000" w:themeColor="text1"/>
          <w14:textFill>
            <w14:solidFill>
              <w14:schemeClr w14:val="tx1"/>
            </w14:solidFill>
          </w14:textFill>
        </w:rPr>
        <w:t>与金融工具相关的风险</w:t>
      </w:r>
    </w:p>
    <w:p w14:paraId="065E19F7">
      <w:pPr>
        <w:pStyle w:val="57"/>
        <w:numPr>
          <w:ilvl w:val="0"/>
          <w:numId w:val="100"/>
        </w:numPr>
        <w:rPr>
          <w:color w:val="000000" w:themeColor="text1"/>
          <w14:textFill>
            <w14:solidFill>
              <w14:schemeClr w14:val="tx1"/>
            </w14:solidFill>
          </w14:textFill>
        </w:rPr>
      </w:pPr>
      <w:r>
        <w:rPr>
          <w:rFonts w:hint="eastAsia"/>
          <w:color w:val="000000" w:themeColor="text1"/>
          <w14:textFill>
            <w14:solidFill>
              <w14:schemeClr w14:val="tx1"/>
            </w14:solidFill>
          </w14:textFill>
        </w:rPr>
        <w:t>金融工具的风险</w:t>
      </w:r>
    </w:p>
    <w:sdt>
      <w:sdtPr>
        <w:rPr>
          <w:color w:val="000000" w:themeColor="text1"/>
          <w14:textFill>
            <w14:solidFill>
              <w14:schemeClr w14:val="tx1"/>
            </w14:solidFill>
          </w14:textFill>
        </w:rPr>
        <w:alias w:val="是否适用：与金融工具相关的风险[双击切换]"/>
        <w:tag w:val="_GBC_e1cf17d3b39745d798050adfebdd2723"/>
        <w:id w:val="147482783"/>
        <w:placeholder>
          <w:docPart w:val="GBC22222222222222222222222222222"/>
        </w:placeholder>
      </w:sdtPr>
      <w:sdtEndPr>
        <w:rPr>
          <w:color w:val="000000" w:themeColor="text1"/>
          <w14:textFill>
            <w14:solidFill>
              <w14:schemeClr w14:val="tx1"/>
            </w14:solidFill>
          </w14:textFill>
        </w:rPr>
      </w:sdtEndPr>
      <w:sdtContent>
        <w:p w14:paraId="18F49E45">
          <w:pPr>
            <w:rPr>
              <w:b/>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6A28373">
      <w:pPr>
        <w:rPr>
          <w:color w:val="000000" w:themeColor="text1"/>
          <w14:textFill>
            <w14:solidFill>
              <w14:schemeClr w14:val="tx1"/>
            </w14:solidFill>
          </w14:textFill>
        </w:rPr>
      </w:pPr>
    </w:p>
    <w:p w14:paraId="42D97C99">
      <w:pPr>
        <w:pStyle w:val="57"/>
        <w:numPr>
          <w:ilvl w:val="0"/>
          <w:numId w:val="100"/>
        </w:numPr>
        <w:rPr>
          <w:color w:val="000000" w:themeColor="text1"/>
          <w14:textFill>
            <w14:solidFill>
              <w14:schemeClr w14:val="tx1"/>
            </w14:solidFill>
          </w14:textFill>
        </w:rPr>
      </w:pPr>
      <w:r>
        <w:rPr>
          <w:rFonts w:hint="eastAsia"/>
          <w:color w:val="000000" w:themeColor="text1"/>
          <w14:textFill>
            <w14:solidFill>
              <w14:schemeClr w14:val="tx1"/>
            </w14:solidFill>
          </w14:textFill>
        </w:rPr>
        <w:t>套期</w:t>
      </w:r>
    </w:p>
    <w:p w14:paraId="2E4D8BD0">
      <w:pPr>
        <w:pStyle w:val="58"/>
        <w:numPr>
          <w:ilvl w:val="0"/>
          <w:numId w:val="101"/>
        </w:numPr>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公司开展套期业务进行风险管理</w:t>
      </w:r>
    </w:p>
    <w:sdt>
      <w:sdtPr>
        <w:rPr>
          <w:color w:val="000000" w:themeColor="text1"/>
          <w14:textFill>
            <w14:solidFill>
              <w14:schemeClr w14:val="tx1"/>
            </w14:solidFill>
          </w14:textFill>
        </w:rPr>
        <w:alias w:val="是否适用：公司开展套期业务进行风险管理情况[双击切换]"/>
        <w:tag w:val="_GBC_2f499c37491c40ebb25e43ccee2adbf5"/>
        <w:id w:val="147478898"/>
        <w:placeholder>
          <w:docPart w:val="GBC22222222222222222222222222222"/>
        </w:placeholder>
      </w:sdtPr>
      <w:sdtEndPr>
        <w:rPr>
          <w:color w:val="000000" w:themeColor="text1"/>
          <w14:textFill>
            <w14:solidFill>
              <w14:schemeClr w14:val="tx1"/>
            </w14:solidFill>
          </w14:textFill>
        </w:rPr>
      </w:sdtEndPr>
      <w:sdtContent>
        <w:p w14:paraId="4236D5B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5834716">
      <w:pPr>
        <w:rPr>
          <w:color w:val="000000" w:themeColor="text1"/>
          <w14:textFill>
            <w14:solidFill>
              <w14:schemeClr w14:val="tx1"/>
            </w14:solidFill>
          </w14:textFill>
        </w:rPr>
      </w:pPr>
    </w:p>
    <w:p w14:paraId="1C71397B">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公司开展套期业务进行风险管理的其他说明[双击切换]"/>
        <w:tag w:val="_GBC_75de8ffa05014fb7849cdf4959d00e5b"/>
        <w:id w:val="147482744"/>
        <w:placeholder>
          <w:docPart w:val="GBC22222222222222222222222222222"/>
        </w:placeholder>
      </w:sdtPr>
      <w:sdtEndPr>
        <w:rPr>
          <w:color w:val="000000" w:themeColor="text1"/>
          <w14:textFill>
            <w14:solidFill>
              <w14:schemeClr w14:val="tx1"/>
            </w14:solidFill>
          </w14:textFill>
        </w:rPr>
      </w:sdtEndPr>
      <w:sdtContent>
        <w:p w14:paraId="19EF32F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08C9223">
      <w:pPr>
        <w:rPr>
          <w:color w:val="000000" w:themeColor="text1"/>
          <w14:textFill>
            <w14:solidFill>
              <w14:schemeClr w14:val="tx1"/>
            </w14:solidFill>
          </w14:textFill>
        </w:rPr>
      </w:pPr>
    </w:p>
    <w:p w14:paraId="4EA614EF">
      <w:pPr>
        <w:pStyle w:val="58"/>
        <w:numPr>
          <w:ilvl w:val="0"/>
          <w:numId w:val="101"/>
        </w:numPr>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公司开展符合条件套期业务并应用套期会计</w:t>
      </w:r>
    </w:p>
    <w:sdt>
      <w:sdtPr>
        <w:rPr>
          <w:color w:val="000000" w:themeColor="text1"/>
          <w14:textFill>
            <w14:solidFill>
              <w14:schemeClr w14:val="tx1"/>
            </w14:solidFill>
          </w14:textFill>
        </w:rPr>
        <w:alias w:val="是否适用：公司开展符合条件套期业务并应用套期会计情况[双击切换]"/>
        <w:tag w:val="_GBC_6e6b563ac07d4214b853bf73488c53f8"/>
        <w:id w:val="147461463"/>
        <w:placeholder>
          <w:docPart w:val="GBC22222222222222222222222222222"/>
        </w:placeholder>
      </w:sdtPr>
      <w:sdtEndPr>
        <w:rPr>
          <w:color w:val="000000" w:themeColor="text1"/>
          <w14:textFill>
            <w14:solidFill>
              <w14:schemeClr w14:val="tx1"/>
            </w14:solidFill>
          </w14:textFill>
        </w:rPr>
      </w:sdtEndPr>
      <w:sdtContent>
        <w:p w14:paraId="3430E77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33BEEAE">
      <w:pPr>
        <w:rPr>
          <w:color w:val="000000" w:themeColor="text1"/>
          <w14:textFill>
            <w14:solidFill>
              <w14:schemeClr w14:val="tx1"/>
            </w14:solidFill>
          </w14:textFill>
        </w:rPr>
      </w:pPr>
    </w:p>
    <w:p w14:paraId="33EB0B1B">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公司开展符合条件套期业务并应用套期会计情况的其他说明[双击切换]"/>
        <w:tag w:val="_GBC_27a95a99453a402ca0b1fc92fc64b202"/>
        <w:id w:val="147482035"/>
        <w:placeholder>
          <w:docPart w:val="GBC22222222222222222222222222222"/>
        </w:placeholder>
      </w:sdtPr>
      <w:sdtEndPr>
        <w:rPr>
          <w:color w:val="000000" w:themeColor="text1"/>
          <w14:textFill>
            <w14:solidFill>
              <w14:schemeClr w14:val="tx1"/>
            </w14:solidFill>
          </w14:textFill>
        </w:rPr>
      </w:sdtEndPr>
      <w:sdtContent>
        <w:p w14:paraId="4DEFF82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C1B857B">
      <w:pPr>
        <w:rPr>
          <w:color w:val="000000" w:themeColor="text1"/>
          <w14:textFill>
            <w14:solidFill>
              <w14:schemeClr w14:val="tx1"/>
            </w14:solidFill>
          </w14:textFill>
        </w:rPr>
      </w:pPr>
    </w:p>
    <w:p w14:paraId="1F110AE6">
      <w:pPr>
        <w:pStyle w:val="58"/>
        <w:numPr>
          <w:ilvl w:val="0"/>
          <w:numId w:val="101"/>
        </w:numPr>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公司开展套期业务进行风险管理、预期能实现风险管理目标但未应用套期会计</w:t>
      </w:r>
    </w:p>
    <w:sdt>
      <w:sdtPr>
        <w:rPr>
          <w:color w:val="000000" w:themeColor="text1"/>
          <w14:textFill>
            <w14:solidFill>
              <w14:schemeClr w14:val="tx1"/>
            </w14:solidFill>
          </w14:textFill>
        </w:rPr>
        <w:alias w:val="是否适用：公司开展套期业务进行风险管理、预期能实现风险管理目标但未应用套期会计[双击切换]"/>
        <w:tag w:val="_GBC_8ff64f4b33cf4c818fade70a82ac65ca"/>
        <w:id w:val="147456330"/>
        <w:placeholder>
          <w:docPart w:val="GBC22222222222222222222222222222"/>
        </w:placeholder>
      </w:sdtPr>
      <w:sdtEndPr>
        <w:rPr>
          <w:color w:val="000000" w:themeColor="text1"/>
          <w14:textFill>
            <w14:solidFill>
              <w14:schemeClr w14:val="tx1"/>
            </w14:solidFill>
          </w14:textFill>
        </w:rPr>
      </w:sdtEndPr>
      <w:sdtContent>
        <w:p w14:paraId="228B2EA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AB4F1CD">
      <w:pPr>
        <w:rPr>
          <w:color w:val="000000" w:themeColor="text1"/>
          <w14:textFill>
            <w14:solidFill>
              <w14:schemeClr w14:val="tx1"/>
            </w14:solidFill>
          </w14:textFill>
        </w:rPr>
      </w:pPr>
    </w:p>
    <w:p w14:paraId="52CA943F">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公司开展套期业务进行风险管理、预期能实现风险管理目标但未应用套期会计的其他说明[双击切换]"/>
        <w:tag w:val="_GBC_a996d12612974969937163f50fa093b8"/>
        <w:id w:val="147461077"/>
        <w:placeholder>
          <w:docPart w:val="GBC22222222222222222222222222222"/>
        </w:placeholder>
      </w:sdtPr>
      <w:sdtEndPr>
        <w:rPr>
          <w:color w:val="000000" w:themeColor="text1"/>
          <w14:textFill>
            <w14:solidFill>
              <w14:schemeClr w14:val="tx1"/>
            </w14:solidFill>
          </w14:textFill>
        </w:rPr>
      </w:sdtEndPr>
      <w:sdtContent>
        <w:p w14:paraId="49CBD65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7AA47CF">
      <w:pPr>
        <w:rPr>
          <w:color w:val="000000" w:themeColor="text1"/>
          <w14:textFill>
            <w14:solidFill>
              <w14:schemeClr w14:val="tx1"/>
            </w14:solidFill>
          </w14:textFill>
        </w:rPr>
      </w:pPr>
    </w:p>
    <w:p w14:paraId="490B4E9A">
      <w:pPr>
        <w:pStyle w:val="57"/>
        <w:numPr>
          <w:ilvl w:val="0"/>
          <w:numId w:val="100"/>
        </w:numPr>
        <w:rPr>
          <w:color w:val="000000" w:themeColor="text1"/>
          <w14:textFill>
            <w14:solidFill>
              <w14:schemeClr w14:val="tx1"/>
            </w14:solidFill>
          </w14:textFill>
        </w:rPr>
      </w:pPr>
      <w:r>
        <w:rPr>
          <w:rFonts w:hint="eastAsia"/>
          <w:color w:val="000000" w:themeColor="text1"/>
          <w14:textFill>
            <w14:solidFill>
              <w14:schemeClr w14:val="tx1"/>
            </w14:solidFill>
          </w14:textFill>
        </w:rPr>
        <w:t>金融资产转移</w:t>
      </w:r>
    </w:p>
    <w:p w14:paraId="6C93CD8F">
      <w:pPr>
        <w:pStyle w:val="58"/>
        <w:numPr>
          <w:ilvl w:val="0"/>
          <w:numId w:val="102"/>
        </w:numPr>
        <w:ind w:left="425" w:hanging="425"/>
        <w:rPr>
          <w:color w:val="000000" w:themeColor="text1"/>
          <w14:textFill>
            <w14:solidFill>
              <w14:schemeClr w14:val="tx1"/>
            </w14:solidFill>
          </w14:textFill>
        </w:rPr>
      </w:pPr>
      <w:bookmarkStart w:id="408" w:name="_Hlk153550670"/>
      <w:r>
        <w:rPr>
          <w:rFonts w:hint="eastAsia"/>
          <w:color w:val="000000" w:themeColor="text1"/>
          <w14:textFill>
            <w14:solidFill>
              <w14:schemeClr w14:val="tx1"/>
            </w14:solidFill>
          </w14:textFill>
        </w:rPr>
        <w:t>转移方式分类</w:t>
      </w:r>
    </w:p>
    <w:sdt>
      <w:sdtPr>
        <w:rPr>
          <w:color w:val="000000" w:themeColor="text1"/>
          <w14:textFill>
            <w14:solidFill>
              <w14:schemeClr w14:val="tx1"/>
            </w14:solidFill>
          </w14:textFill>
        </w:rPr>
        <w:alias w:val="是否适用：转移方式分类[双击切换]"/>
        <w:tag w:val="_GBC_3e1020fb455f4853972cca8d6b0a6b3e"/>
        <w:id w:val="147454313"/>
        <w:placeholder>
          <w:docPart w:val="GBC22222222222222222222222222222"/>
        </w:placeholder>
      </w:sdtPr>
      <w:sdtEndPr>
        <w:rPr>
          <w:color w:val="000000" w:themeColor="text1"/>
          <w14:textFill>
            <w14:solidFill>
              <w14:schemeClr w14:val="tx1"/>
            </w14:solidFill>
          </w14:textFill>
        </w:rPr>
      </w:sdtEndPr>
      <w:sdtContent>
        <w:p w14:paraId="1375850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907207C">
      <w:pPr>
        <w:rPr>
          <w:color w:val="000000" w:themeColor="text1"/>
          <w14:textFill>
            <w14:solidFill>
              <w14:schemeClr w14:val="tx1"/>
            </w14:solidFill>
          </w14:textFill>
        </w:rPr>
      </w:pPr>
    </w:p>
    <w:bookmarkEnd w:id="408"/>
    <w:p w14:paraId="35D6CD61">
      <w:pPr>
        <w:pStyle w:val="58"/>
        <w:numPr>
          <w:ilvl w:val="0"/>
          <w:numId w:val="102"/>
        </w:numPr>
        <w:ind w:left="425" w:hanging="425"/>
        <w:rPr>
          <w:color w:val="000000" w:themeColor="text1"/>
          <w14:textFill>
            <w14:solidFill>
              <w14:schemeClr w14:val="tx1"/>
            </w14:solidFill>
          </w14:textFill>
        </w:rPr>
      </w:pPr>
      <w:r>
        <w:rPr>
          <w:rFonts w:hint="eastAsia"/>
          <w:color w:val="000000" w:themeColor="text1"/>
          <w14:textFill>
            <w14:solidFill>
              <w14:schemeClr w14:val="tx1"/>
            </w14:solidFill>
          </w14:textFill>
        </w:rPr>
        <w:t>因转移而终止确认的金融资产</w:t>
      </w:r>
    </w:p>
    <w:sdt>
      <w:sdtPr>
        <w:rPr>
          <w:rFonts w:hint="eastAsia"/>
          <w:color w:val="000000" w:themeColor="text1"/>
          <w14:textFill>
            <w14:solidFill>
              <w14:schemeClr w14:val="tx1"/>
            </w14:solidFill>
          </w14:textFill>
        </w:rPr>
        <w:alias w:val="是否适用：因转移而终止确认的金融资产[双击切换]"/>
        <w:tag w:val="_GBC_46574eb995bc458dacbb66d429fbeb28"/>
        <w:id w:val="147469573"/>
        <w:placeholder>
          <w:docPart w:val="GBC22222222222222222222222222222"/>
        </w:placeholder>
      </w:sdtPr>
      <w:sdtEndPr>
        <w:rPr>
          <w:rFonts w:hint="eastAsia"/>
          <w:color w:val="000000" w:themeColor="text1"/>
          <w14:textFill>
            <w14:solidFill>
              <w14:schemeClr w14:val="tx1"/>
            </w14:solidFill>
          </w14:textFill>
        </w:rPr>
      </w:sdtEndPr>
      <w:sdtContent>
        <w:p w14:paraId="3DF3200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E6A0370">
      <w:pPr>
        <w:rPr>
          <w:color w:val="000000" w:themeColor="text1"/>
          <w14:textFill>
            <w14:solidFill>
              <w14:schemeClr w14:val="tx1"/>
            </w14:solidFill>
          </w14:textFill>
        </w:rPr>
      </w:pPr>
    </w:p>
    <w:p w14:paraId="020B65B1">
      <w:pPr>
        <w:pStyle w:val="58"/>
        <w:numPr>
          <w:ilvl w:val="0"/>
          <w:numId w:val="102"/>
        </w:numPr>
        <w:ind w:left="425" w:hanging="425"/>
        <w:rPr>
          <w:color w:val="000000" w:themeColor="text1"/>
          <w14:textFill>
            <w14:solidFill>
              <w14:schemeClr w14:val="tx1"/>
            </w14:solidFill>
          </w14:textFill>
        </w:rPr>
      </w:pPr>
      <w:r>
        <w:rPr>
          <w:rFonts w:hint="eastAsia"/>
          <w:color w:val="000000" w:themeColor="text1"/>
          <w14:textFill>
            <w14:solidFill>
              <w14:schemeClr w14:val="tx1"/>
            </w14:solidFill>
          </w14:textFill>
        </w:rPr>
        <w:t>继续涉入的转移金融资产</w:t>
      </w:r>
    </w:p>
    <w:sdt>
      <w:sdtPr>
        <w:rPr>
          <w:color w:val="000000" w:themeColor="text1"/>
          <w14:textFill>
            <w14:solidFill>
              <w14:schemeClr w14:val="tx1"/>
            </w14:solidFill>
          </w14:textFill>
        </w:rPr>
        <w:alias w:val="是否适用：继续涉入的转移金融资产[双击切换]"/>
        <w:tag w:val="_GBC_839df5011587479d8e96a4229c69e37a"/>
        <w:id w:val="147459235"/>
        <w:placeholder>
          <w:docPart w:val="GBC22222222222222222222222222222"/>
        </w:placeholder>
      </w:sdtPr>
      <w:sdtEndPr>
        <w:rPr>
          <w:color w:val="000000" w:themeColor="text1"/>
          <w14:textFill>
            <w14:solidFill>
              <w14:schemeClr w14:val="tx1"/>
            </w14:solidFill>
          </w14:textFill>
        </w:rPr>
      </w:sdtEndPr>
      <w:sdtContent>
        <w:p w14:paraId="136BDF8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1D77951">
      <w:pPr>
        <w:rPr>
          <w:color w:val="000000" w:themeColor="text1"/>
          <w14:textFill>
            <w14:solidFill>
              <w14:schemeClr w14:val="tx1"/>
            </w14:solidFill>
          </w14:textFill>
        </w:rPr>
      </w:pPr>
    </w:p>
    <w:p w14:paraId="2EB09033">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金融资产转移其他说明[双击切换]"/>
        <w:tag w:val="_GBC_d5c96ff7d4c3440e81b67f6ecd7164b1"/>
        <w:id w:val="147462781"/>
        <w:placeholder>
          <w:docPart w:val="GBC22222222222222222222222222222"/>
        </w:placeholder>
      </w:sdtPr>
      <w:sdtEndPr>
        <w:rPr>
          <w:color w:val="000000" w:themeColor="text1"/>
          <w14:textFill>
            <w14:solidFill>
              <w14:schemeClr w14:val="tx1"/>
            </w14:solidFill>
          </w14:textFill>
        </w:rPr>
      </w:sdtEndPr>
      <w:sdtContent>
        <w:p w14:paraId="0FD7963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D94887D">
      <w:pPr>
        <w:rPr>
          <w:color w:val="000000" w:themeColor="text1"/>
          <w14:textFill>
            <w14:solidFill>
              <w14:schemeClr w14:val="tx1"/>
            </w14:solidFill>
          </w14:textFill>
        </w:rPr>
      </w:pPr>
    </w:p>
    <w:bookmarkEnd w:id="407"/>
    <w:p w14:paraId="49DD7897">
      <w:pPr>
        <w:pStyle w:val="56"/>
        <w:numPr>
          <w:ilvl w:val="0"/>
          <w:numId w:val="43"/>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公允价值的披露</w:t>
      </w:r>
    </w:p>
    <w:p w14:paraId="1ECB6C41">
      <w:pPr>
        <w:pStyle w:val="57"/>
        <w:numPr>
          <w:ilvl w:val="0"/>
          <w:numId w:val="103"/>
        </w:numPr>
        <w:rPr>
          <w:rFonts w:ascii="宋体" w:hAnsi="宋体"/>
          <w:color w:val="000000" w:themeColor="text1"/>
          <w14:textFill>
            <w14:solidFill>
              <w14:schemeClr w14:val="tx1"/>
            </w14:solidFill>
          </w14:textFill>
        </w:rPr>
      </w:pPr>
      <w:bookmarkStart w:id="409" w:name="_Hlk10539195"/>
      <w:r>
        <w:rPr>
          <w:rFonts w:hint="eastAsia" w:ascii="宋体" w:hAnsi="宋体"/>
          <w:color w:val="000000" w:themeColor="text1"/>
          <w14:textFill>
            <w14:solidFill>
              <w14:schemeClr w14:val="tx1"/>
            </w14:solidFill>
          </w14:textFill>
        </w:rPr>
        <w:t>以公允价值计量的资产和负债的期末公允价值</w:t>
      </w:r>
    </w:p>
    <w:sdt>
      <w:sdtPr>
        <w:rPr>
          <w:color w:val="000000" w:themeColor="text1"/>
          <w14:textFill>
            <w14:solidFill>
              <w14:schemeClr w14:val="tx1"/>
            </w14:solidFill>
          </w14:textFill>
        </w:rPr>
        <w:alias w:val="是否适用：以公允价值计量的资产和负债的期末公允价值[双击切换]"/>
        <w:tag w:val="_GBC_291486261b6a4e8092eea55d961b7664"/>
        <w:id w:val="147462269"/>
        <w:placeholder>
          <w:docPart w:val="GBC22222222222222222222222222222"/>
        </w:placeholder>
      </w:sdtPr>
      <w:sdtEndPr>
        <w:rPr>
          <w:color w:val="000000" w:themeColor="text1"/>
          <w14:textFill>
            <w14:solidFill>
              <w14:schemeClr w14:val="tx1"/>
            </w14:solidFill>
          </w14:textFill>
        </w:rPr>
      </w:sdtEndPr>
      <w:sdtContent>
        <w:p w14:paraId="0762A00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B2DB671">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以公允价值计量的资产和负债的期末公允价值"/>
          <w:tag w:val="_GBC_4b785696cde44d3f8a4a7d28ab963e38"/>
          <w:id w:val="1474707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以公允价值计量的资产和负债的期末公允价值"/>
          <w:tag w:val="_GBC_3bb5670d72804a4b8298edc3e439955a"/>
          <w:id w:val="1474742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bookmarkEnd w:id="409"/>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380"/>
        <w:gridCol w:w="1678"/>
        <w:gridCol w:w="1637"/>
        <w:gridCol w:w="1705"/>
        <w:gridCol w:w="1489"/>
      </w:tblGrid>
      <w:tr w14:paraId="2CFC9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5" w:hRule="atLeast"/>
        </w:trPr>
        <w:sdt>
          <w:sdtPr>
            <w:rPr>
              <w:rFonts w:cs="Times New Roman"/>
            </w:rPr>
            <w:tag w:val="_PLD_25e2bb7801744f08a089c0e6a2b31b9b"/>
            <w:id w:val="147475657"/>
          </w:sdtPr>
          <w:sdtEndPr>
            <w:rPr>
              <w:rFonts w:cs="Times New Roman"/>
            </w:rPr>
          </w:sdtEndPr>
          <w:sdtContent>
            <w:tc>
              <w:tcPr>
                <w:tcW w:w="1339" w:type="pct"/>
                <w:vMerge w:val="restart"/>
                <w:tcBorders>
                  <w:top w:val="single" w:color="auto" w:sz="4" w:space="0"/>
                  <w:left w:val="single" w:color="auto" w:sz="4" w:space="0"/>
                  <w:right w:val="single" w:color="auto" w:sz="4" w:space="0"/>
                </w:tcBorders>
                <w:vAlign w:val="center"/>
              </w:tcPr>
              <w:p w14:paraId="723D06EF">
                <w:pPr>
                  <w:jc w:val="center"/>
                  <w:outlineLvl w:val="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ad919f08ba5040a28e31328eb66da0bf"/>
            <w:id w:val="147456850"/>
          </w:sdtPr>
          <w:sdtEndPr>
            <w:rPr>
              <w:rFonts w:cs="Times New Roman"/>
            </w:rPr>
          </w:sdtEndPr>
          <w:sdtContent>
            <w:tc>
              <w:tcPr>
                <w:tcW w:w="3661" w:type="pct"/>
                <w:gridSpan w:val="4"/>
                <w:tcBorders>
                  <w:top w:val="single" w:color="auto" w:sz="4" w:space="0"/>
                  <w:left w:val="single" w:color="auto" w:sz="4" w:space="0"/>
                  <w:bottom w:val="single" w:color="auto" w:sz="4" w:space="0"/>
                  <w:right w:val="single" w:color="auto" w:sz="4" w:space="0"/>
                </w:tcBorders>
                <w:vAlign w:val="center"/>
              </w:tcPr>
              <w:p w14:paraId="31A4BC03">
                <w:pPr>
                  <w:jc w:val="center"/>
                  <w:outlineLvl w:val="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期末公允价值</w:t>
                </w:r>
              </w:p>
            </w:tc>
          </w:sdtContent>
        </w:sdt>
      </w:tr>
      <w:tr w14:paraId="22164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5" w:hRule="atLeast"/>
        </w:trPr>
        <w:tc>
          <w:tcPr>
            <w:tcW w:w="1339" w:type="pct"/>
            <w:vMerge w:val="continue"/>
            <w:tcBorders>
              <w:left w:val="single" w:color="auto" w:sz="4" w:space="0"/>
              <w:bottom w:val="single" w:color="auto" w:sz="4" w:space="0"/>
              <w:right w:val="single" w:color="auto" w:sz="4" w:space="0"/>
            </w:tcBorders>
            <w:vAlign w:val="center"/>
          </w:tcPr>
          <w:p w14:paraId="28ABC415">
            <w:pPr>
              <w:jc w:val="center"/>
              <w:outlineLvl w:val="2"/>
              <w:rPr>
                <w:rFonts w:cs="Times New Roman"/>
                <w:color w:val="000000" w:themeColor="text1"/>
                <w14:textFill>
                  <w14:solidFill>
                    <w14:schemeClr w14:val="tx1"/>
                  </w14:solidFill>
                </w14:textFill>
              </w:rPr>
            </w:pPr>
          </w:p>
        </w:tc>
        <w:sdt>
          <w:sdtPr>
            <w:rPr>
              <w:rFonts w:cs="Times New Roman"/>
            </w:rPr>
            <w:tag w:val="_PLD_4bb34c3d92bf450fb80f7c0c95977a2b"/>
            <w:id w:val="147474111"/>
          </w:sdtPr>
          <w:sdtEndPr>
            <w:rPr>
              <w:rFonts w:cs="Times New Roman"/>
            </w:rPr>
          </w:sdtEndPr>
          <w:sdtContent>
            <w:tc>
              <w:tcPr>
                <w:tcW w:w="944" w:type="pct"/>
                <w:tcBorders>
                  <w:top w:val="single" w:color="auto" w:sz="4" w:space="0"/>
                  <w:left w:val="single" w:color="auto" w:sz="4" w:space="0"/>
                  <w:bottom w:val="single" w:color="auto" w:sz="4" w:space="0"/>
                  <w:right w:val="single" w:color="auto" w:sz="4" w:space="0"/>
                </w:tcBorders>
                <w:vAlign w:val="center"/>
              </w:tcPr>
              <w:p w14:paraId="652B3F7E">
                <w:pPr>
                  <w:jc w:val="center"/>
                  <w:outlineLvl w:val="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第一层次公允价值计量</w:t>
                </w:r>
              </w:p>
            </w:tc>
          </w:sdtContent>
        </w:sdt>
        <w:sdt>
          <w:sdtPr>
            <w:rPr>
              <w:rFonts w:cs="Times New Roman"/>
            </w:rPr>
            <w:tag w:val="_PLD_08753059c9e04a10af2918fbc1559bed"/>
            <w:id w:val="147483121"/>
          </w:sdtPr>
          <w:sdtEndPr>
            <w:rPr>
              <w:rFonts w:cs="Times New Roman"/>
            </w:rPr>
          </w:sdtEndPr>
          <w:sdtContent>
            <w:tc>
              <w:tcPr>
                <w:tcW w:w="921" w:type="pct"/>
                <w:tcBorders>
                  <w:top w:val="single" w:color="auto" w:sz="4" w:space="0"/>
                  <w:left w:val="single" w:color="auto" w:sz="4" w:space="0"/>
                  <w:bottom w:val="single" w:color="auto" w:sz="4" w:space="0"/>
                  <w:right w:val="single" w:color="auto" w:sz="4" w:space="0"/>
                </w:tcBorders>
                <w:vAlign w:val="center"/>
              </w:tcPr>
              <w:p w14:paraId="073607F5">
                <w:pPr>
                  <w:jc w:val="center"/>
                  <w:outlineLvl w:val="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第二层次公允价值计量</w:t>
                </w:r>
              </w:p>
            </w:tc>
          </w:sdtContent>
        </w:sdt>
        <w:sdt>
          <w:sdtPr>
            <w:rPr>
              <w:rFonts w:cs="Times New Roman"/>
            </w:rPr>
            <w:tag w:val="_PLD_b263de838c9c4afa9fddb6dee6409a62"/>
            <w:id w:val="147460158"/>
          </w:sdtPr>
          <w:sdtEndPr>
            <w:rPr>
              <w:rFonts w:cs="Times New Roman"/>
            </w:rPr>
          </w:sdtEndPr>
          <w:sdtContent>
            <w:tc>
              <w:tcPr>
                <w:tcW w:w="959" w:type="pct"/>
                <w:tcBorders>
                  <w:top w:val="single" w:color="auto" w:sz="4" w:space="0"/>
                  <w:left w:val="single" w:color="auto" w:sz="4" w:space="0"/>
                  <w:bottom w:val="single" w:color="auto" w:sz="4" w:space="0"/>
                  <w:right w:val="single" w:color="auto" w:sz="4" w:space="0"/>
                </w:tcBorders>
                <w:vAlign w:val="center"/>
              </w:tcPr>
              <w:p w14:paraId="48892FD6">
                <w:pPr>
                  <w:jc w:val="center"/>
                  <w:outlineLvl w:val="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第三层次公允价值计量</w:t>
                </w:r>
              </w:p>
            </w:tc>
          </w:sdtContent>
        </w:sdt>
        <w:sdt>
          <w:sdtPr>
            <w:rPr>
              <w:rFonts w:cs="Times New Roman"/>
            </w:rPr>
            <w:tag w:val="_PLD_50eba344a451417c8072228a7a4959c5"/>
            <w:id w:val="147465408"/>
          </w:sdtPr>
          <w:sdtEndPr>
            <w:rPr>
              <w:rFonts w:cs="Times New Roman"/>
            </w:rPr>
          </w:sdtEndPr>
          <w:sdtContent>
            <w:tc>
              <w:tcPr>
                <w:tcW w:w="838" w:type="pct"/>
                <w:tcBorders>
                  <w:top w:val="single" w:color="auto" w:sz="4" w:space="0"/>
                  <w:left w:val="single" w:color="auto" w:sz="4" w:space="0"/>
                  <w:bottom w:val="single" w:color="auto" w:sz="4" w:space="0"/>
                  <w:right w:val="single" w:color="auto" w:sz="4" w:space="0"/>
                </w:tcBorders>
                <w:vAlign w:val="center"/>
              </w:tcPr>
              <w:p w14:paraId="18488985">
                <w:pPr>
                  <w:jc w:val="center"/>
                  <w:outlineLvl w:val="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r>
      <w:tr w14:paraId="2E53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trPr>
        <w:tc>
          <w:tcPr>
            <w:tcW w:w="1339" w:type="pct"/>
            <w:tcBorders>
              <w:top w:val="single" w:color="auto" w:sz="4" w:space="0"/>
              <w:left w:val="single" w:color="auto" w:sz="4" w:space="0"/>
              <w:bottom w:val="single" w:color="auto" w:sz="4" w:space="0"/>
              <w:right w:val="single" w:color="auto" w:sz="4" w:space="0"/>
            </w:tcBorders>
          </w:tcPr>
          <w:p w14:paraId="0EF2F583">
            <w:pPr>
              <w:outlineLvl w:val="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一、持续的公允价值计量</w:t>
            </w:r>
          </w:p>
        </w:tc>
        <w:tc>
          <w:tcPr>
            <w:tcW w:w="944" w:type="pct"/>
            <w:tcBorders>
              <w:top w:val="single" w:color="auto" w:sz="4" w:space="0"/>
              <w:left w:val="single" w:color="auto" w:sz="4" w:space="0"/>
              <w:bottom w:val="single" w:color="auto" w:sz="4" w:space="0"/>
              <w:right w:val="single" w:color="auto" w:sz="4" w:space="0"/>
            </w:tcBorders>
            <w:vAlign w:val="center"/>
          </w:tcPr>
          <w:p w14:paraId="187A4344">
            <w:pPr>
              <w:jc w:val="right"/>
              <w:rPr>
                <w:rFonts w:cs="Times New Roman"/>
              </w:rPr>
            </w:pPr>
          </w:p>
        </w:tc>
        <w:tc>
          <w:tcPr>
            <w:tcW w:w="921" w:type="pct"/>
            <w:tcBorders>
              <w:top w:val="single" w:color="auto" w:sz="4" w:space="0"/>
              <w:left w:val="single" w:color="auto" w:sz="4" w:space="0"/>
              <w:bottom w:val="single" w:color="auto" w:sz="4" w:space="0"/>
              <w:right w:val="single" w:color="auto" w:sz="4" w:space="0"/>
            </w:tcBorders>
            <w:vAlign w:val="center"/>
          </w:tcPr>
          <w:p w14:paraId="0E7BC78A">
            <w:pPr>
              <w:jc w:val="right"/>
              <w:rPr>
                <w:rFonts w:cs="Times New Roman"/>
              </w:rPr>
            </w:pPr>
          </w:p>
        </w:tc>
        <w:tc>
          <w:tcPr>
            <w:tcW w:w="959" w:type="pct"/>
            <w:tcBorders>
              <w:top w:val="single" w:color="auto" w:sz="4" w:space="0"/>
              <w:left w:val="single" w:color="auto" w:sz="4" w:space="0"/>
              <w:bottom w:val="single" w:color="auto" w:sz="4" w:space="0"/>
              <w:right w:val="single" w:color="auto" w:sz="4" w:space="0"/>
            </w:tcBorders>
            <w:vAlign w:val="center"/>
          </w:tcPr>
          <w:p w14:paraId="34F9E931">
            <w:pPr>
              <w:jc w:val="right"/>
              <w:rPr>
                <w:rFonts w:cs="Times New Roman"/>
              </w:rPr>
            </w:pPr>
          </w:p>
        </w:tc>
        <w:tc>
          <w:tcPr>
            <w:tcW w:w="838" w:type="pct"/>
            <w:tcBorders>
              <w:top w:val="single" w:color="auto" w:sz="4" w:space="0"/>
              <w:left w:val="single" w:color="auto" w:sz="4" w:space="0"/>
              <w:bottom w:val="single" w:color="auto" w:sz="4" w:space="0"/>
              <w:right w:val="single" w:color="auto" w:sz="4" w:space="0"/>
            </w:tcBorders>
            <w:vAlign w:val="center"/>
          </w:tcPr>
          <w:p w14:paraId="1D682121">
            <w:pPr>
              <w:jc w:val="right"/>
              <w:rPr>
                <w:rFonts w:cs="Times New Roman"/>
              </w:rPr>
            </w:pPr>
          </w:p>
        </w:tc>
      </w:tr>
      <w:tr w14:paraId="65A6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9" w:type="pct"/>
            <w:tcBorders>
              <w:top w:val="single" w:color="auto" w:sz="4" w:space="0"/>
              <w:left w:val="single" w:color="auto" w:sz="4" w:space="0"/>
              <w:bottom w:val="single" w:color="auto" w:sz="4" w:space="0"/>
              <w:right w:val="single" w:color="auto" w:sz="4" w:space="0"/>
            </w:tcBorders>
          </w:tcPr>
          <w:p w14:paraId="4A0B9514">
            <w:pPr>
              <w:outlineLvl w:val="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（一）交易性金融资产</w:t>
            </w:r>
          </w:p>
        </w:tc>
        <w:tc>
          <w:tcPr>
            <w:tcW w:w="944" w:type="pct"/>
            <w:tcBorders>
              <w:top w:val="single" w:color="auto" w:sz="4" w:space="0"/>
              <w:left w:val="single" w:color="auto" w:sz="4" w:space="0"/>
              <w:bottom w:val="single" w:color="auto" w:sz="4" w:space="0"/>
              <w:right w:val="single" w:color="auto" w:sz="4" w:space="0"/>
            </w:tcBorders>
            <w:vAlign w:val="center"/>
          </w:tcPr>
          <w:p w14:paraId="7209EC65">
            <w:pPr>
              <w:jc w:val="right"/>
              <w:rPr>
                <w:rFonts w:cs="Times New Roman"/>
              </w:rPr>
            </w:pPr>
          </w:p>
        </w:tc>
        <w:tc>
          <w:tcPr>
            <w:tcW w:w="921" w:type="pct"/>
            <w:tcBorders>
              <w:top w:val="single" w:color="auto" w:sz="4" w:space="0"/>
              <w:left w:val="single" w:color="auto" w:sz="4" w:space="0"/>
              <w:bottom w:val="single" w:color="auto" w:sz="4" w:space="0"/>
              <w:right w:val="single" w:color="auto" w:sz="4" w:space="0"/>
            </w:tcBorders>
            <w:vAlign w:val="center"/>
          </w:tcPr>
          <w:p w14:paraId="257ECC6D">
            <w:pPr>
              <w:jc w:val="right"/>
              <w:rPr>
                <w:rFonts w:cs="Times New Roman"/>
              </w:rPr>
            </w:pPr>
          </w:p>
        </w:tc>
        <w:tc>
          <w:tcPr>
            <w:tcW w:w="959" w:type="pct"/>
            <w:tcBorders>
              <w:top w:val="single" w:color="auto" w:sz="4" w:space="0"/>
              <w:left w:val="single" w:color="auto" w:sz="4" w:space="0"/>
              <w:bottom w:val="single" w:color="auto" w:sz="4" w:space="0"/>
              <w:right w:val="single" w:color="auto" w:sz="4" w:space="0"/>
            </w:tcBorders>
            <w:vAlign w:val="center"/>
          </w:tcPr>
          <w:p w14:paraId="69CBEB25">
            <w:pPr>
              <w:jc w:val="right"/>
              <w:textAlignment w:val="center"/>
              <w:rPr>
                <w:rFonts w:cs="Times New Roman"/>
              </w:rPr>
            </w:pPr>
            <w:r>
              <w:rPr>
                <w:rFonts w:cs="Times New Roman"/>
                <w:color w:val="000000"/>
              </w:rPr>
              <w:t>630,009.80</w:t>
            </w:r>
          </w:p>
        </w:tc>
        <w:tc>
          <w:tcPr>
            <w:tcW w:w="838" w:type="pct"/>
            <w:tcBorders>
              <w:top w:val="single" w:color="auto" w:sz="4" w:space="0"/>
              <w:left w:val="single" w:color="auto" w:sz="4" w:space="0"/>
              <w:bottom w:val="single" w:color="auto" w:sz="4" w:space="0"/>
              <w:right w:val="single" w:color="auto" w:sz="4" w:space="0"/>
            </w:tcBorders>
            <w:vAlign w:val="center"/>
          </w:tcPr>
          <w:p w14:paraId="306C48F6">
            <w:pPr>
              <w:jc w:val="right"/>
              <w:textAlignment w:val="center"/>
              <w:rPr>
                <w:rFonts w:cs="Times New Roman"/>
              </w:rPr>
            </w:pPr>
            <w:r>
              <w:rPr>
                <w:rFonts w:cs="Times New Roman"/>
                <w:color w:val="000000"/>
              </w:rPr>
              <w:t>630,009.80</w:t>
            </w:r>
          </w:p>
        </w:tc>
      </w:tr>
      <w:tr w14:paraId="5895A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9" w:type="pct"/>
            <w:tcBorders>
              <w:top w:val="single" w:color="auto" w:sz="4" w:space="0"/>
              <w:left w:val="single" w:color="auto" w:sz="4" w:space="0"/>
              <w:bottom w:val="single" w:color="auto" w:sz="4" w:space="0"/>
              <w:right w:val="single" w:color="auto" w:sz="4" w:space="0"/>
            </w:tcBorders>
          </w:tcPr>
          <w:p w14:paraId="55D7C22E">
            <w:pPr>
              <w:outlineLvl w:val="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1.以公允价值计量且变动计入当期损益的金融资产</w:t>
            </w:r>
          </w:p>
        </w:tc>
        <w:tc>
          <w:tcPr>
            <w:tcW w:w="944" w:type="pct"/>
            <w:tcBorders>
              <w:top w:val="single" w:color="auto" w:sz="4" w:space="0"/>
              <w:left w:val="single" w:color="auto" w:sz="4" w:space="0"/>
              <w:bottom w:val="single" w:color="auto" w:sz="4" w:space="0"/>
              <w:right w:val="single" w:color="auto" w:sz="4" w:space="0"/>
            </w:tcBorders>
            <w:vAlign w:val="center"/>
          </w:tcPr>
          <w:p w14:paraId="08E4B4A3">
            <w:pPr>
              <w:jc w:val="right"/>
              <w:rPr>
                <w:rFonts w:cs="Times New Roman"/>
              </w:rPr>
            </w:pPr>
          </w:p>
        </w:tc>
        <w:tc>
          <w:tcPr>
            <w:tcW w:w="921" w:type="pct"/>
            <w:tcBorders>
              <w:top w:val="single" w:color="auto" w:sz="4" w:space="0"/>
              <w:left w:val="single" w:color="auto" w:sz="4" w:space="0"/>
              <w:bottom w:val="single" w:color="auto" w:sz="4" w:space="0"/>
              <w:right w:val="single" w:color="auto" w:sz="4" w:space="0"/>
            </w:tcBorders>
            <w:vAlign w:val="center"/>
          </w:tcPr>
          <w:p w14:paraId="581372A9">
            <w:pPr>
              <w:jc w:val="right"/>
              <w:rPr>
                <w:rFonts w:cs="Times New Roman"/>
              </w:rPr>
            </w:pPr>
          </w:p>
        </w:tc>
        <w:tc>
          <w:tcPr>
            <w:tcW w:w="959" w:type="pct"/>
            <w:tcBorders>
              <w:top w:val="single" w:color="auto" w:sz="4" w:space="0"/>
              <w:left w:val="single" w:color="auto" w:sz="4" w:space="0"/>
              <w:bottom w:val="single" w:color="auto" w:sz="4" w:space="0"/>
              <w:right w:val="single" w:color="auto" w:sz="4" w:space="0"/>
            </w:tcBorders>
            <w:vAlign w:val="center"/>
          </w:tcPr>
          <w:p w14:paraId="155DDBD4">
            <w:pPr>
              <w:jc w:val="right"/>
              <w:textAlignment w:val="center"/>
              <w:rPr>
                <w:rFonts w:cs="Times New Roman"/>
              </w:rPr>
            </w:pPr>
            <w:r>
              <w:rPr>
                <w:rFonts w:cs="Times New Roman"/>
                <w:color w:val="000000"/>
              </w:rPr>
              <w:t>630,009.80</w:t>
            </w:r>
          </w:p>
        </w:tc>
        <w:tc>
          <w:tcPr>
            <w:tcW w:w="838" w:type="pct"/>
            <w:tcBorders>
              <w:top w:val="single" w:color="auto" w:sz="4" w:space="0"/>
              <w:left w:val="single" w:color="auto" w:sz="4" w:space="0"/>
              <w:bottom w:val="single" w:color="auto" w:sz="4" w:space="0"/>
              <w:right w:val="single" w:color="auto" w:sz="4" w:space="0"/>
            </w:tcBorders>
            <w:vAlign w:val="center"/>
          </w:tcPr>
          <w:p w14:paraId="5FA3E74B">
            <w:pPr>
              <w:jc w:val="right"/>
              <w:textAlignment w:val="center"/>
              <w:rPr>
                <w:rFonts w:cs="Times New Roman"/>
              </w:rPr>
            </w:pPr>
            <w:r>
              <w:rPr>
                <w:rFonts w:cs="Times New Roman"/>
                <w:color w:val="000000"/>
              </w:rPr>
              <w:t>630,009.80</w:t>
            </w:r>
          </w:p>
        </w:tc>
      </w:tr>
      <w:tr w14:paraId="3C9B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9" w:type="pct"/>
            <w:tcBorders>
              <w:top w:val="single" w:color="auto" w:sz="4" w:space="0"/>
              <w:left w:val="single" w:color="auto" w:sz="4" w:space="0"/>
              <w:bottom w:val="single" w:color="auto" w:sz="4" w:space="0"/>
              <w:right w:val="single" w:color="auto" w:sz="4" w:space="0"/>
            </w:tcBorders>
          </w:tcPr>
          <w:p w14:paraId="7C8B96AF">
            <w:pPr>
              <w:outlineLvl w:val="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（1）债务工具投资</w:t>
            </w:r>
          </w:p>
        </w:tc>
        <w:tc>
          <w:tcPr>
            <w:tcW w:w="944" w:type="pct"/>
            <w:tcBorders>
              <w:top w:val="single" w:color="auto" w:sz="4" w:space="0"/>
              <w:left w:val="single" w:color="auto" w:sz="4" w:space="0"/>
              <w:bottom w:val="single" w:color="auto" w:sz="4" w:space="0"/>
              <w:right w:val="single" w:color="auto" w:sz="4" w:space="0"/>
            </w:tcBorders>
            <w:vAlign w:val="center"/>
          </w:tcPr>
          <w:p w14:paraId="3707E3E9">
            <w:pPr>
              <w:jc w:val="right"/>
              <w:rPr>
                <w:rFonts w:cs="Times New Roman"/>
              </w:rPr>
            </w:pPr>
          </w:p>
        </w:tc>
        <w:tc>
          <w:tcPr>
            <w:tcW w:w="921" w:type="pct"/>
            <w:tcBorders>
              <w:top w:val="single" w:color="auto" w:sz="4" w:space="0"/>
              <w:left w:val="single" w:color="auto" w:sz="4" w:space="0"/>
              <w:bottom w:val="single" w:color="auto" w:sz="4" w:space="0"/>
              <w:right w:val="single" w:color="auto" w:sz="4" w:space="0"/>
            </w:tcBorders>
            <w:vAlign w:val="center"/>
          </w:tcPr>
          <w:p w14:paraId="1A2AA5AE">
            <w:pPr>
              <w:jc w:val="right"/>
              <w:rPr>
                <w:rFonts w:cs="Times New Roman"/>
              </w:rPr>
            </w:pPr>
          </w:p>
        </w:tc>
        <w:tc>
          <w:tcPr>
            <w:tcW w:w="959" w:type="pct"/>
            <w:tcBorders>
              <w:top w:val="single" w:color="auto" w:sz="4" w:space="0"/>
              <w:left w:val="single" w:color="auto" w:sz="4" w:space="0"/>
              <w:bottom w:val="single" w:color="auto" w:sz="4" w:space="0"/>
              <w:right w:val="single" w:color="auto" w:sz="4" w:space="0"/>
            </w:tcBorders>
            <w:vAlign w:val="center"/>
          </w:tcPr>
          <w:p w14:paraId="02F57EFF">
            <w:pPr>
              <w:jc w:val="right"/>
              <w:rPr>
                <w:rFonts w:cs="Times New Roman"/>
              </w:rPr>
            </w:pPr>
          </w:p>
        </w:tc>
        <w:tc>
          <w:tcPr>
            <w:tcW w:w="838" w:type="pct"/>
            <w:tcBorders>
              <w:top w:val="single" w:color="auto" w:sz="4" w:space="0"/>
              <w:left w:val="single" w:color="auto" w:sz="4" w:space="0"/>
              <w:bottom w:val="single" w:color="auto" w:sz="4" w:space="0"/>
              <w:right w:val="single" w:color="auto" w:sz="4" w:space="0"/>
            </w:tcBorders>
            <w:vAlign w:val="center"/>
          </w:tcPr>
          <w:p w14:paraId="373C6131">
            <w:pPr>
              <w:jc w:val="right"/>
              <w:rPr>
                <w:rFonts w:cs="Times New Roman"/>
              </w:rPr>
            </w:pPr>
          </w:p>
        </w:tc>
      </w:tr>
      <w:tr w14:paraId="4B4A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9" w:type="pct"/>
            <w:tcBorders>
              <w:top w:val="single" w:color="auto" w:sz="4" w:space="0"/>
              <w:left w:val="single" w:color="auto" w:sz="4" w:space="0"/>
              <w:bottom w:val="single" w:color="auto" w:sz="4" w:space="0"/>
              <w:right w:val="single" w:color="auto" w:sz="4" w:space="0"/>
            </w:tcBorders>
          </w:tcPr>
          <w:p w14:paraId="705E0822">
            <w:pPr>
              <w:outlineLvl w:val="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（2）权益工具投资</w:t>
            </w:r>
          </w:p>
        </w:tc>
        <w:tc>
          <w:tcPr>
            <w:tcW w:w="944" w:type="pct"/>
            <w:tcBorders>
              <w:top w:val="single" w:color="auto" w:sz="4" w:space="0"/>
              <w:left w:val="single" w:color="auto" w:sz="4" w:space="0"/>
              <w:bottom w:val="single" w:color="auto" w:sz="4" w:space="0"/>
              <w:right w:val="single" w:color="auto" w:sz="4" w:space="0"/>
            </w:tcBorders>
            <w:vAlign w:val="center"/>
          </w:tcPr>
          <w:p w14:paraId="07BAFEE1">
            <w:pPr>
              <w:jc w:val="right"/>
              <w:rPr>
                <w:rFonts w:cs="Times New Roman"/>
              </w:rPr>
            </w:pPr>
          </w:p>
        </w:tc>
        <w:tc>
          <w:tcPr>
            <w:tcW w:w="921" w:type="pct"/>
            <w:tcBorders>
              <w:top w:val="single" w:color="auto" w:sz="4" w:space="0"/>
              <w:left w:val="single" w:color="auto" w:sz="4" w:space="0"/>
              <w:bottom w:val="single" w:color="auto" w:sz="4" w:space="0"/>
              <w:right w:val="single" w:color="auto" w:sz="4" w:space="0"/>
            </w:tcBorders>
            <w:vAlign w:val="center"/>
          </w:tcPr>
          <w:p w14:paraId="53D7D20C">
            <w:pPr>
              <w:jc w:val="right"/>
              <w:rPr>
                <w:rFonts w:cs="Times New Roman"/>
              </w:rPr>
            </w:pPr>
          </w:p>
        </w:tc>
        <w:tc>
          <w:tcPr>
            <w:tcW w:w="959" w:type="pct"/>
            <w:tcBorders>
              <w:top w:val="single" w:color="auto" w:sz="4" w:space="0"/>
              <w:left w:val="single" w:color="auto" w:sz="4" w:space="0"/>
              <w:bottom w:val="single" w:color="auto" w:sz="4" w:space="0"/>
              <w:right w:val="single" w:color="auto" w:sz="4" w:space="0"/>
            </w:tcBorders>
            <w:vAlign w:val="center"/>
          </w:tcPr>
          <w:p w14:paraId="72E84408">
            <w:pPr>
              <w:jc w:val="right"/>
              <w:textAlignment w:val="center"/>
              <w:rPr>
                <w:rFonts w:cs="Times New Roman"/>
              </w:rPr>
            </w:pPr>
            <w:r>
              <w:rPr>
                <w:rFonts w:cs="Times New Roman"/>
                <w:color w:val="000000"/>
              </w:rPr>
              <w:t>630,009.80</w:t>
            </w:r>
          </w:p>
        </w:tc>
        <w:tc>
          <w:tcPr>
            <w:tcW w:w="838" w:type="pct"/>
            <w:tcBorders>
              <w:top w:val="single" w:color="auto" w:sz="4" w:space="0"/>
              <w:left w:val="single" w:color="auto" w:sz="4" w:space="0"/>
              <w:bottom w:val="single" w:color="auto" w:sz="4" w:space="0"/>
              <w:right w:val="single" w:color="auto" w:sz="4" w:space="0"/>
            </w:tcBorders>
            <w:vAlign w:val="center"/>
          </w:tcPr>
          <w:p w14:paraId="20A3AA5D">
            <w:pPr>
              <w:jc w:val="right"/>
              <w:textAlignment w:val="center"/>
              <w:rPr>
                <w:rFonts w:cs="Times New Roman"/>
              </w:rPr>
            </w:pPr>
            <w:r>
              <w:rPr>
                <w:rFonts w:cs="Times New Roman"/>
                <w:color w:val="000000"/>
              </w:rPr>
              <w:t>630,009.80</w:t>
            </w:r>
          </w:p>
        </w:tc>
      </w:tr>
      <w:tr w14:paraId="7277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9" w:hRule="atLeast"/>
        </w:trPr>
        <w:tc>
          <w:tcPr>
            <w:tcW w:w="1339" w:type="pct"/>
            <w:tcBorders>
              <w:top w:val="single" w:color="auto" w:sz="4" w:space="0"/>
              <w:left w:val="single" w:color="auto" w:sz="4" w:space="0"/>
              <w:bottom w:val="single" w:color="auto" w:sz="4" w:space="0"/>
              <w:right w:val="single" w:color="auto" w:sz="4" w:space="0"/>
            </w:tcBorders>
          </w:tcPr>
          <w:p w14:paraId="3A789ED4">
            <w:pPr>
              <w:outlineLvl w:val="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 指定以公允价值计量且其变动计入当期损益的金融资产</w:t>
            </w:r>
          </w:p>
        </w:tc>
        <w:tc>
          <w:tcPr>
            <w:tcW w:w="944" w:type="pct"/>
            <w:tcBorders>
              <w:top w:val="single" w:color="auto" w:sz="4" w:space="0"/>
              <w:left w:val="single" w:color="auto" w:sz="4" w:space="0"/>
              <w:bottom w:val="single" w:color="auto" w:sz="4" w:space="0"/>
              <w:right w:val="single" w:color="auto" w:sz="4" w:space="0"/>
            </w:tcBorders>
            <w:vAlign w:val="center"/>
          </w:tcPr>
          <w:p w14:paraId="51C1E2C7">
            <w:pPr>
              <w:jc w:val="right"/>
              <w:rPr>
                <w:rFonts w:cs="Times New Roman"/>
              </w:rPr>
            </w:pPr>
          </w:p>
        </w:tc>
        <w:tc>
          <w:tcPr>
            <w:tcW w:w="921" w:type="pct"/>
            <w:tcBorders>
              <w:top w:val="single" w:color="auto" w:sz="4" w:space="0"/>
              <w:left w:val="single" w:color="auto" w:sz="4" w:space="0"/>
              <w:bottom w:val="single" w:color="auto" w:sz="4" w:space="0"/>
              <w:right w:val="single" w:color="auto" w:sz="4" w:space="0"/>
            </w:tcBorders>
            <w:vAlign w:val="center"/>
          </w:tcPr>
          <w:p w14:paraId="198483B9">
            <w:pPr>
              <w:jc w:val="right"/>
              <w:rPr>
                <w:rFonts w:cs="Times New Roman"/>
              </w:rPr>
            </w:pPr>
          </w:p>
        </w:tc>
        <w:tc>
          <w:tcPr>
            <w:tcW w:w="959" w:type="pct"/>
            <w:tcBorders>
              <w:top w:val="single" w:color="auto" w:sz="4" w:space="0"/>
              <w:left w:val="single" w:color="auto" w:sz="4" w:space="0"/>
              <w:bottom w:val="single" w:color="auto" w:sz="4" w:space="0"/>
              <w:right w:val="single" w:color="auto" w:sz="4" w:space="0"/>
            </w:tcBorders>
            <w:vAlign w:val="center"/>
          </w:tcPr>
          <w:p w14:paraId="758B6872">
            <w:pPr>
              <w:jc w:val="right"/>
              <w:rPr>
                <w:rFonts w:cs="Times New Roman"/>
              </w:rPr>
            </w:pPr>
          </w:p>
        </w:tc>
        <w:tc>
          <w:tcPr>
            <w:tcW w:w="838" w:type="pct"/>
            <w:tcBorders>
              <w:top w:val="single" w:color="auto" w:sz="4" w:space="0"/>
              <w:left w:val="single" w:color="auto" w:sz="4" w:space="0"/>
              <w:bottom w:val="single" w:color="auto" w:sz="4" w:space="0"/>
              <w:right w:val="single" w:color="auto" w:sz="4" w:space="0"/>
            </w:tcBorders>
            <w:vAlign w:val="center"/>
          </w:tcPr>
          <w:p w14:paraId="3D03EADE">
            <w:pPr>
              <w:jc w:val="right"/>
              <w:rPr>
                <w:rFonts w:cs="Times New Roman"/>
              </w:rPr>
            </w:pPr>
          </w:p>
        </w:tc>
      </w:tr>
      <w:tr w14:paraId="0ECA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9" w:type="pct"/>
            <w:tcBorders>
              <w:top w:val="single" w:color="auto" w:sz="4" w:space="0"/>
              <w:left w:val="single" w:color="auto" w:sz="4" w:space="0"/>
              <w:bottom w:val="single" w:color="auto" w:sz="4" w:space="0"/>
              <w:right w:val="single" w:color="auto" w:sz="4" w:space="0"/>
            </w:tcBorders>
          </w:tcPr>
          <w:p w14:paraId="6C40C2D7">
            <w:pPr>
              <w:outlineLvl w:val="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（二）其他债权投资</w:t>
            </w:r>
          </w:p>
        </w:tc>
        <w:tc>
          <w:tcPr>
            <w:tcW w:w="944" w:type="pct"/>
            <w:tcBorders>
              <w:top w:val="single" w:color="auto" w:sz="4" w:space="0"/>
              <w:left w:val="single" w:color="auto" w:sz="4" w:space="0"/>
              <w:bottom w:val="single" w:color="auto" w:sz="4" w:space="0"/>
              <w:right w:val="single" w:color="auto" w:sz="4" w:space="0"/>
            </w:tcBorders>
            <w:vAlign w:val="center"/>
          </w:tcPr>
          <w:p w14:paraId="52732B76">
            <w:pPr>
              <w:jc w:val="right"/>
              <w:rPr>
                <w:rFonts w:cs="Times New Roman"/>
              </w:rPr>
            </w:pPr>
          </w:p>
        </w:tc>
        <w:tc>
          <w:tcPr>
            <w:tcW w:w="921" w:type="pct"/>
            <w:tcBorders>
              <w:top w:val="single" w:color="auto" w:sz="4" w:space="0"/>
              <w:left w:val="single" w:color="auto" w:sz="4" w:space="0"/>
              <w:bottom w:val="single" w:color="auto" w:sz="4" w:space="0"/>
              <w:right w:val="single" w:color="auto" w:sz="4" w:space="0"/>
            </w:tcBorders>
            <w:vAlign w:val="center"/>
          </w:tcPr>
          <w:p w14:paraId="2D44A823">
            <w:pPr>
              <w:jc w:val="right"/>
              <w:rPr>
                <w:rFonts w:cs="Times New Roman"/>
              </w:rPr>
            </w:pPr>
          </w:p>
        </w:tc>
        <w:tc>
          <w:tcPr>
            <w:tcW w:w="959" w:type="pct"/>
            <w:tcBorders>
              <w:top w:val="single" w:color="auto" w:sz="4" w:space="0"/>
              <w:left w:val="single" w:color="auto" w:sz="4" w:space="0"/>
              <w:bottom w:val="single" w:color="auto" w:sz="4" w:space="0"/>
              <w:right w:val="single" w:color="auto" w:sz="4" w:space="0"/>
            </w:tcBorders>
            <w:vAlign w:val="center"/>
          </w:tcPr>
          <w:p w14:paraId="1675BFD2">
            <w:pPr>
              <w:jc w:val="right"/>
              <w:rPr>
                <w:rFonts w:cs="Times New Roman"/>
              </w:rPr>
            </w:pPr>
          </w:p>
        </w:tc>
        <w:tc>
          <w:tcPr>
            <w:tcW w:w="838" w:type="pct"/>
            <w:tcBorders>
              <w:top w:val="single" w:color="auto" w:sz="4" w:space="0"/>
              <w:left w:val="single" w:color="auto" w:sz="4" w:space="0"/>
              <w:bottom w:val="single" w:color="auto" w:sz="4" w:space="0"/>
              <w:right w:val="single" w:color="auto" w:sz="4" w:space="0"/>
            </w:tcBorders>
            <w:vAlign w:val="center"/>
          </w:tcPr>
          <w:p w14:paraId="6150EC10">
            <w:pPr>
              <w:jc w:val="right"/>
              <w:rPr>
                <w:rFonts w:cs="Times New Roman"/>
              </w:rPr>
            </w:pPr>
          </w:p>
        </w:tc>
      </w:tr>
      <w:tr w14:paraId="0932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9" w:type="pct"/>
            <w:tcBorders>
              <w:top w:val="single" w:color="auto" w:sz="4" w:space="0"/>
              <w:left w:val="single" w:color="auto" w:sz="4" w:space="0"/>
              <w:bottom w:val="single" w:color="auto" w:sz="4" w:space="0"/>
              <w:right w:val="single" w:color="auto" w:sz="4" w:space="0"/>
            </w:tcBorders>
          </w:tcPr>
          <w:p w14:paraId="1D0BDF74">
            <w:pPr>
              <w:outlineLvl w:val="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（三）其他权益工具投资</w:t>
            </w:r>
          </w:p>
        </w:tc>
        <w:tc>
          <w:tcPr>
            <w:tcW w:w="944" w:type="pct"/>
            <w:tcBorders>
              <w:top w:val="single" w:color="auto" w:sz="4" w:space="0"/>
              <w:left w:val="single" w:color="auto" w:sz="4" w:space="0"/>
              <w:bottom w:val="single" w:color="auto" w:sz="4" w:space="0"/>
              <w:right w:val="single" w:color="auto" w:sz="4" w:space="0"/>
            </w:tcBorders>
            <w:vAlign w:val="center"/>
          </w:tcPr>
          <w:p w14:paraId="14194729">
            <w:pPr>
              <w:jc w:val="right"/>
              <w:rPr>
                <w:rFonts w:cs="Times New Roman"/>
              </w:rPr>
            </w:pPr>
          </w:p>
        </w:tc>
        <w:tc>
          <w:tcPr>
            <w:tcW w:w="921" w:type="pct"/>
            <w:tcBorders>
              <w:top w:val="single" w:color="auto" w:sz="4" w:space="0"/>
              <w:left w:val="single" w:color="auto" w:sz="4" w:space="0"/>
              <w:bottom w:val="single" w:color="auto" w:sz="4" w:space="0"/>
              <w:right w:val="single" w:color="auto" w:sz="4" w:space="0"/>
            </w:tcBorders>
            <w:vAlign w:val="center"/>
          </w:tcPr>
          <w:p w14:paraId="6A9D15E8">
            <w:pPr>
              <w:jc w:val="right"/>
              <w:rPr>
                <w:rFonts w:cs="Times New Roman"/>
              </w:rPr>
            </w:pPr>
          </w:p>
        </w:tc>
        <w:tc>
          <w:tcPr>
            <w:tcW w:w="959" w:type="pct"/>
            <w:tcBorders>
              <w:top w:val="single" w:color="auto" w:sz="4" w:space="0"/>
              <w:left w:val="single" w:color="auto" w:sz="4" w:space="0"/>
              <w:bottom w:val="single" w:color="auto" w:sz="4" w:space="0"/>
              <w:right w:val="single" w:color="auto" w:sz="4" w:space="0"/>
            </w:tcBorders>
            <w:vAlign w:val="center"/>
          </w:tcPr>
          <w:p w14:paraId="1C6B3E43">
            <w:pPr>
              <w:jc w:val="right"/>
              <w:textAlignment w:val="center"/>
              <w:rPr>
                <w:rFonts w:cs="Times New Roman"/>
              </w:rPr>
            </w:pPr>
            <w:r>
              <w:rPr>
                <w:rFonts w:cs="Times New Roman"/>
                <w:color w:val="000000"/>
              </w:rPr>
              <w:t>519,981,620.71</w:t>
            </w:r>
          </w:p>
        </w:tc>
        <w:tc>
          <w:tcPr>
            <w:tcW w:w="838" w:type="pct"/>
            <w:tcBorders>
              <w:top w:val="single" w:color="auto" w:sz="4" w:space="0"/>
              <w:left w:val="single" w:color="auto" w:sz="4" w:space="0"/>
              <w:bottom w:val="single" w:color="auto" w:sz="4" w:space="0"/>
              <w:right w:val="single" w:color="auto" w:sz="4" w:space="0"/>
            </w:tcBorders>
            <w:vAlign w:val="center"/>
          </w:tcPr>
          <w:p w14:paraId="67D1A919">
            <w:pPr>
              <w:jc w:val="right"/>
              <w:textAlignment w:val="center"/>
              <w:rPr>
                <w:rFonts w:cs="Times New Roman"/>
              </w:rPr>
            </w:pPr>
            <w:r>
              <w:rPr>
                <w:rFonts w:cs="Times New Roman"/>
                <w:color w:val="000000"/>
              </w:rPr>
              <w:t>519,981,620.71</w:t>
            </w:r>
          </w:p>
        </w:tc>
      </w:tr>
      <w:tr w14:paraId="586F7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9" w:type="pct"/>
            <w:tcBorders>
              <w:top w:val="single" w:color="auto" w:sz="4" w:space="0"/>
              <w:left w:val="single" w:color="auto" w:sz="4" w:space="0"/>
              <w:bottom w:val="single" w:color="auto" w:sz="4" w:space="0"/>
              <w:right w:val="single" w:color="auto" w:sz="4" w:space="0"/>
            </w:tcBorders>
          </w:tcPr>
          <w:p w14:paraId="79504621">
            <w:pPr>
              <w:outlineLvl w:val="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（四）投资性房地产</w:t>
            </w:r>
          </w:p>
        </w:tc>
        <w:tc>
          <w:tcPr>
            <w:tcW w:w="944" w:type="pct"/>
            <w:tcBorders>
              <w:top w:val="single" w:color="auto" w:sz="4" w:space="0"/>
              <w:left w:val="single" w:color="auto" w:sz="4" w:space="0"/>
              <w:bottom w:val="single" w:color="auto" w:sz="4" w:space="0"/>
              <w:right w:val="single" w:color="auto" w:sz="4" w:space="0"/>
            </w:tcBorders>
            <w:vAlign w:val="center"/>
          </w:tcPr>
          <w:p w14:paraId="0A9B2099">
            <w:pPr>
              <w:jc w:val="right"/>
              <w:rPr>
                <w:rFonts w:cs="Times New Roman"/>
              </w:rPr>
            </w:pPr>
          </w:p>
        </w:tc>
        <w:tc>
          <w:tcPr>
            <w:tcW w:w="921" w:type="pct"/>
            <w:tcBorders>
              <w:top w:val="single" w:color="auto" w:sz="4" w:space="0"/>
              <w:left w:val="single" w:color="auto" w:sz="4" w:space="0"/>
              <w:bottom w:val="single" w:color="auto" w:sz="4" w:space="0"/>
              <w:right w:val="single" w:color="auto" w:sz="4" w:space="0"/>
            </w:tcBorders>
            <w:vAlign w:val="center"/>
          </w:tcPr>
          <w:p w14:paraId="01CD7991">
            <w:pPr>
              <w:jc w:val="right"/>
              <w:rPr>
                <w:rFonts w:cs="Times New Roman"/>
              </w:rPr>
            </w:pPr>
          </w:p>
        </w:tc>
        <w:tc>
          <w:tcPr>
            <w:tcW w:w="959" w:type="pct"/>
            <w:tcBorders>
              <w:top w:val="single" w:color="auto" w:sz="4" w:space="0"/>
              <w:left w:val="single" w:color="auto" w:sz="4" w:space="0"/>
              <w:bottom w:val="single" w:color="auto" w:sz="4" w:space="0"/>
              <w:right w:val="single" w:color="auto" w:sz="4" w:space="0"/>
            </w:tcBorders>
            <w:vAlign w:val="center"/>
          </w:tcPr>
          <w:p w14:paraId="069FDF28">
            <w:pPr>
              <w:jc w:val="right"/>
              <w:rPr>
                <w:rFonts w:cs="Times New Roman"/>
              </w:rPr>
            </w:pPr>
          </w:p>
        </w:tc>
        <w:tc>
          <w:tcPr>
            <w:tcW w:w="838" w:type="pct"/>
            <w:tcBorders>
              <w:top w:val="single" w:color="auto" w:sz="4" w:space="0"/>
              <w:left w:val="single" w:color="auto" w:sz="4" w:space="0"/>
              <w:bottom w:val="single" w:color="auto" w:sz="4" w:space="0"/>
              <w:right w:val="single" w:color="auto" w:sz="4" w:space="0"/>
            </w:tcBorders>
            <w:vAlign w:val="center"/>
          </w:tcPr>
          <w:p w14:paraId="24C74691">
            <w:pPr>
              <w:jc w:val="right"/>
              <w:rPr>
                <w:rFonts w:cs="Times New Roman"/>
              </w:rPr>
            </w:pPr>
          </w:p>
        </w:tc>
      </w:tr>
      <w:tr w14:paraId="058D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9" w:type="pct"/>
            <w:tcBorders>
              <w:top w:val="single" w:color="auto" w:sz="4" w:space="0"/>
              <w:left w:val="single" w:color="auto" w:sz="4" w:space="0"/>
              <w:bottom w:val="single" w:color="auto" w:sz="4" w:space="0"/>
              <w:right w:val="single" w:color="auto" w:sz="4" w:space="0"/>
            </w:tcBorders>
          </w:tcPr>
          <w:p w14:paraId="205249DF">
            <w:pPr>
              <w:outlineLvl w:val="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（五）生物资产</w:t>
            </w:r>
          </w:p>
        </w:tc>
        <w:tc>
          <w:tcPr>
            <w:tcW w:w="944" w:type="pct"/>
            <w:tcBorders>
              <w:top w:val="single" w:color="auto" w:sz="4" w:space="0"/>
              <w:left w:val="single" w:color="auto" w:sz="4" w:space="0"/>
              <w:bottom w:val="single" w:color="auto" w:sz="4" w:space="0"/>
              <w:right w:val="single" w:color="auto" w:sz="4" w:space="0"/>
            </w:tcBorders>
            <w:vAlign w:val="center"/>
          </w:tcPr>
          <w:p w14:paraId="289CBB2B">
            <w:pPr>
              <w:jc w:val="right"/>
              <w:rPr>
                <w:rFonts w:cs="Times New Roman"/>
              </w:rPr>
            </w:pPr>
          </w:p>
        </w:tc>
        <w:tc>
          <w:tcPr>
            <w:tcW w:w="921" w:type="pct"/>
            <w:tcBorders>
              <w:top w:val="single" w:color="auto" w:sz="4" w:space="0"/>
              <w:left w:val="single" w:color="auto" w:sz="4" w:space="0"/>
              <w:bottom w:val="single" w:color="auto" w:sz="4" w:space="0"/>
              <w:right w:val="single" w:color="auto" w:sz="4" w:space="0"/>
            </w:tcBorders>
            <w:vAlign w:val="center"/>
          </w:tcPr>
          <w:p w14:paraId="16E2680D">
            <w:pPr>
              <w:jc w:val="right"/>
              <w:rPr>
                <w:rFonts w:cs="Times New Roman"/>
              </w:rPr>
            </w:pPr>
          </w:p>
        </w:tc>
        <w:tc>
          <w:tcPr>
            <w:tcW w:w="959" w:type="pct"/>
            <w:tcBorders>
              <w:top w:val="single" w:color="auto" w:sz="4" w:space="0"/>
              <w:left w:val="single" w:color="auto" w:sz="4" w:space="0"/>
              <w:bottom w:val="single" w:color="auto" w:sz="4" w:space="0"/>
              <w:right w:val="single" w:color="auto" w:sz="4" w:space="0"/>
            </w:tcBorders>
            <w:vAlign w:val="center"/>
          </w:tcPr>
          <w:p w14:paraId="71E74E2A">
            <w:pPr>
              <w:jc w:val="right"/>
              <w:rPr>
                <w:rFonts w:cs="Times New Roman"/>
              </w:rPr>
            </w:pPr>
          </w:p>
        </w:tc>
        <w:tc>
          <w:tcPr>
            <w:tcW w:w="838" w:type="pct"/>
            <w:tcBorders>
              <w:top w:val="single" w:color="auto" w:sz="4" w:space="0"/>
              <w:left w:val="single" w:color="auto" w:sz="4" w:space="0"/>
              <w:bottom w:val="single" w:color="auto" w:sz="4" w:space="0"/>
              <w:right w:val="single" w:color="auto" w:sz="4" w:space="0"/>
            </w:tcBorders>
            <w:vAlign w:val="center"/>
          </w:tcPr>
          <w:p w14:paraId="338004A2">
            <w:pPr>
              <w:jc w:val="right"/>
              <w:rPr>
                <w:rFonts w:cs="Times New Roman"/>
              </w:rPr>
            </w:pPr>
          </w:p>
        </w:tc>
      </w:tr>
      <w:tr w14:paraId="185F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5" w:hRule="atLeast"/>
        </w:trPr>
        <w:tc>
          <w:tcPr>
            <w:tcW w:w="1339" w:type="pct"/>
            <w:tcBorders>
              <w:top w:val="single" w:color="auto" w:sz="4" w:space="0"/>
              <w:left w:val="single" w:color="auto" w:sz="4" w:space="0"/>
              <w:bottom w:val="single" w:color="auto" w:sz="4" w:space="0"/>
              <w:right w:val="single" w:color="auto" w:sz="4" w:space="0"/>
            </w:tcBorders>
          </w:tcPr>
          <w:p w14:paraId="71B21A6C">
            <w:pPr>
              <w:outlineLvl w:val="2"/>
              <w:rPr>
                <w:rFonts w:cs="Times New Roman"/>
              </w:rPr>
            </w:pPr>
            <w:r>
              <w:rPr>
                <w:rFonts w:cs="Times New Roman"/>
              </w:rPr>
              <w:t>（六）应收款项融资</w:t>
            </w:r>
          </w:p>
        </w:tc>
        <w:tc>
          <w:tcPr>
            <w:tcW w:w="944" w:type="pct"/>
            <w:tcBorders>
              <w:top w:val="single" w:color="auto" w:sz="4" w:space="0"/>
              <w:left w:val="single" w:color="auto" w:sz="4" w:space="0"/>
              <w:bottom w:val="single" w:color="auto" w:sz="4" w:space="0"/>
              <w:right w:val="single" w:color="auto" w:sz="4" w:space="0"/>
            </w:tcBorders>
            <w:vAlign w:val="center"/>
          </w:tcPr>
          <w:p w14:paraId="48F9EE5A">
            <w:pPr>
              <w:jc w:val="right"/>
              <w:rPr>
                <w:rFonts w:cs="Times New Roman"/>
              </w:rPr>
            </w:pPr>
          </w:p>
        </w:tc>
        <w:tc>
          <w:tcPr>
            <w:tcW w:w="921" w:type="pct"/>
            <w:tcBorders>
              <w:top w:val="single" w:color="auto" w:sz="4" w:space="0"/>
              <w:left w:val="single" w:color="auto" w:sz="4" w:space="0"/>
              <w:bottom w:val="single" w:color="auto" w:sz="4" w:space="0"/>
              <w:right w:val="single" w:color="auto" w:sz="4" w:space="0"/>
            </w:tcBorders>
            <w:vAlign w:val="center"/>
          </w:tcPr>
          <w:p w14:paraId="6B252F7D">
            <w:pPr>
              <w:jc w:val="right"/>
              <w:rPr>
                <w:rFonts w:cs="Times New Roman"/>
              </w:rPr>
            </w:pPr>
          </w:p>
        </w:tc>
        <w:tc>
          <w:tcPr>
            <w:tcW w:w="959" w:type="pct"/>
            <w:tcBorders>
              <w:top w:val="single" w:color="auto" w:sz="4" w:space="0"/>
              <w:left w:val="single" w:color="auto" w:sz="4" w:space="0"/>
              <w:bottom w:val="single" w:color="auto" w:sz="4" w:space="0"/>
              <w:right w:val="single" w:color="auto" w:sz="4" w:space="0"/>
            </w:tcBorders>
            <w:vAlign w:val="center"/>
          </w:tcPr>
          <w:p w14:paraId="0104471B">
            <w:pPr>
              <w:jc w:val="right"/>
              <w:textAlignment w:val="center"/>
              <w:rPr>
                <w:rFonts w:cs="Times New Roman"/>
              </w:rPr>
            </w:pPr>
            <w:r>
              <w:rPr>
                <w:rFonts w:cs="Times New Roman"/>
                <w:color w:val="000000"/>
              </w:rPr>
              <w:t>70,905,863.88</w:t>
            </w:r>
          </w:p>
        </w:tc>
        <w:tc>
          <w:tcPr>
            <w:tcW w:w="838" w:type="pct"/>
            <w:tcBorders>
              <w:top w:val="single" w:color="auto" w:sz="4" w:space="0"/>
              <w:left w:val="single" w:color="auto" w:sz="4" w:space="0"/>
              <w:bottom w:val="single" w:color="auto" w:sz="4" w:space="0"/>
              <w:right w:val="single" w:color="auto" w:sz="4" w:space="0"/>
            </w:tcBorders>
            <w:vAlign w:val="center"/>
          </w:tcPr>
          <w:p w14:paraId="5DDF72EF">
            <w:pPr>
              <w:jc w:val="right"/>
              <w:textAlignment w:val="center"/>
              <w:rPr>
                <w:rFonts w:cs="Times New Roman"/>
              </w:rPr>
            </w:pPr>
            <w:r>
              <w:rPr>
                <w:rFonts w:cs="Times New Roman"/>
                <w:color w:val="000000"/>
              </w:rPr>
              <w:t>70,905,863.88</w:t>
            </w:r>
          </w:p>
        </w:tc>
      </w:tr>
      <w:tr w14:paraId="46AC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8" w:hRule="atLeast"/>
        </w:trPr>
        <w:tc>
          <w:tcPr>
            <w:tcW w:w="1339" w:type="pct"/>
            <w:tcBorders>
              <w:top w:val="single" w:color="auto" w:sz="4" w:space="0"/>
              <w:left w:val="single" w:color="auto" w:sz="4" w:space="0"/>
              <w:bottom w:val="single" w:color="auto" w:sz="4" w:space="0"/>
              <w:right w:val="single" w:color="auto" w:sz="4" w:space="0"/>
            </w:tcBorders>
          </w:tcPr>
          <w:p w14:paraId="33B15760">
            <w:pPr>
              <w:outlineLvl w:val="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持续以公允价值计量的资产总额</w:t>
            </w:r>
          </w:p>
        </w:tc>
        <w:tc>
          <w:tcPr>
            <w:tcW w:w="944" w:type="pct"/>
            <w:tcBorders>
              <w:top w:val="single" w:color="auto" w:sz="4" w:space="0"/>
              <w:left w:val="single" w:color="auto" w:sz="4" w:space="0"/>
              <w:bottom w:val="single" w:color="auto" w:sz="4" w:space="0"/>
              <w:right w:val="single" w:color="auto" w:sz="4" w:space="0"/>
            </w:tcBorders>
            <w:vAlign w:val="center"/>
          </w:tcPr>
          <w:p w14:paraId="278BD58F">
            <w:pPr>
              <w:jc w:val="right"/>
              <w:rPr>
                <w:rFonts w:cs="Times New Roman"/>
              </w:rPr>
            </w:pPr>
          </w:p>
        </w:tc>
        <w:tc>
          <w:tcPr>
            <w:tcW w:w="921" w:type="pct"/>
            <w:tcBorders>
              <w:top w:val="single" w:color="auto" w:sz="4" w:space="0"/>
              <w:left w:val="single" w:color="auto" w:sz="4" w:space="0"/>
              <w:bottom w:val="single" w:color="auto" w:sz="4" w:space="0"/>
              <w:right w:val="single" w:color="auto" w:sz="4" w:space="0"/>
            </w:tcBorders>
            <w:vAlign w:val="center"/>
          </w:tcPr>
          <w:p w14:paraId="15B8FFEC">
            <w:pPr>
              <w:jc w:val="right"/>
              <w:rPr>
                <w:rFonts w:cs="Times New Roman"/>
              </w:rPr>
            </w:pPr>
          </w:p>
        </w:tc>
        <w:tc>
          <w:tcPr>
            <w:tcW w:w="1692" w:type="dxa"/>
            <w:tcBorders>
              <w:top w:val="single" w:color="auto" w:sz="4" w:space="0"/>
              <w:left w:val="single" w:color="auto" w:sz="4" w:space="0"/>
              <w:bottom w:val="single" w:color="auto" w:sz="4" w:space="0"/>
              <w:right w:val="single" w:color="auto" w:sz="4" w:space="0"/>
            </w:tcBorders>
            <w:vAlign w:val="center"/>
          </w:tcPr>
          <w:p w14:paraId="2E623974">
            <w:pPr>
              <w:jc w:val="right"/>
              <w:textAlignment w:val="center"/>
              <w:rPr>
                <w:rFonts w:cs="Times New Roman"/>
              </w:rPr>
            </w:pPr>
            <w:r>
              <w:rPr>
                <w:rFonts w:eastAsia="Arial Narrow" w:cs="Times New Roman"/>
                <w:color w:val="000000"/>
                <w:lang w:bidi="ar"/>
              </w:rPr>
              <w:t>591,517,494.39</w:t>
            </w:r>
          </w:p>
        </w:tc>
        <w:tc>
          <w:tcPr>
            <w:tcW w:w="1477" w:type="dxa"/>
            <w:tcBorders>
              <w:top w:val="single" w:color="auto" w:sz="4" w:space="0"/>
              <w:left w:val="single" w:color="auto" w:sz="4" w:space="0"/>
              <w:bottom w:val="single" w:color="auto" w:sz="4" w:space="0"/>
              <w:right w:val="single" w:color="auto" w:sz="4" w:space="0"/>
            </w:tcBorders>
            <w:vAlign w:val="center"/>
          </w:tcPr>
          <w:p w14:paraId="79FEF2E5">
            <w:pPr>
              <w:jc w:val="right"/>
              <w:textAlignment w:val="center"/>
              <w:rPr>
                <w:rFonts w:cs="Times New Roman"/>
              </w:rPr>
            </w:pPr>
            <w:r>
              <w:rPr>
                <w:rFonts w:eastAsia="Arial Narrow" w:cs="Times New Roman"/>
                <w:color w:val="000000"/>
                <w:lang w:bidi="ar"/>
              </w:rPr>
              <w:t>591,517,494.39</w:t>
            </w:r>
          </w:p>
        </w:tc>
      </w:tr>
    </w:tbl>
    <w:p w14:paraId="6E611496"/>
    <w:p w14:paraId="4A101FCE">
      <w:pPr>
        <w:pStyle w:val="57"/>
        <w:numPr>
          <w:ilvl w:val="0"/>
          <w:numId w:val="103"/>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持续和非持续第一层次公允价值计量项目市价的确定依据</w:t>
      </w:r>
    </w:p>
    <w:sdt>
      <w:sdtPr>
        <w:rPr>
          <w:color w:val="000000" w:themeColor="text1"/>
          <w14:textFill>
            <w14:solidFill>
              <w14:schemeClr w14:val="tx1"/>
            </w14:solidFill>
          </w14:textFill>
        </w:rPr>
        <w:alias w:val="是否适用：持续和非持续第一层次公允价值计量项目市价的确定依据[双击切换]"/>
        <w:tag w:val="_GBC_699178e78c6743f697df07ed34d59216"/>
        <w:id w:val="147483600"/>
        <w:placeholder>
          <w:docPart w:val="GBC22222222222222222222222222222"/>
        </w:placeholder>
      </w:sdtPr>
      <w:sdtEndPr>
        <w:rPr>
          <w:color w:val="000000" w:themeColor="text1"/>
          <w14:textFill>
            <w14:solidFill>
              <w14:schemeClr w14:val="tx1"/>
            </w14:solidFill>
          </w14:textFill>
        </w:rPr>
      </w:sdtEndPr>
      <w:sdtContent>
        <w:p w14:paraId="005C23F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EAF61DB">
      <w:pPr>
        <w:rPr>
          <w:rFonts w:cs="Arial"/>
          <w:color w:val="000000" w:themeColor="text1"/>
          <w14:textFill>
            <w14:solidFill>
              <w14:schemeClr w14:val="tx1"/>
            </w14:solidFill>
          </w14:textFill>
        </w:rPr>
      </w:pPr>
      <w:sdt>
        <w:sdtPr>
          <w:rPr>
            <w:rFonts w:hint="eastAsia" w:cs="Arial"/>
            <w:color w:val="000000" w:themeColor="text1"/>
            <w14:textFill>
              <w14:solidFill>
                <w14:schemeClr w14:val="tx1"/>
              </w14:solidFill>
            </w14:textFill>
          </w:rPr>
          <w:alias w:val="持续和非持续第一层次公允价值计量项目市价的确定依据"/>
          <w:tag w:val="_GBC_8db65a2ca59047da919942f97cfc594e"/>
          <w:id w:val="147454060"/>
          <w:placeholder>
            <w:docPart w:val="GBC22222222222222222222222222222"/>
          </w:placeholder>
        </w:sdtPr>
        <w:sdtEndPr>
          <w:rPr>
            <w:rFonts w:hint="eastAsia" w:cs="Arial"/>
            <w:color w:val="000000" w:themeColor="text1"/>
            <w14:textFill>
              <w14:solidFill>
                <w14:schemeClr w14:val="tx1"/>
              </w14:solidFill>
            </w14:textFill>
          </w:rPr>
        </w:sdtEndPr>
        <w:sdtContent>
          <w:r>
            <w:rPr>
              <w:rFonts w:hint="eastAsia" w:cs="Arial"/>
              <w:color w:val="000000" w:themeColor="text1"/>
              <w14:textFill>
                <w14:solidFill>
                  <w14:schemeClr w14:val="tx1"/>
                </w14:solidFill>
              </w14:textFill>
            </w:rPr>
            <w:t>是在计量日能够取得的相同资产或负债在活跃市场上未经调整的报价。</w:t>
          </w:r>
        </w:sdtContent>
      </w:sdt>
    </w:p>
    <w:p w14:paraId="4407D0BD">
      <w:pPr>
        <w:tabs>
          <w:tab w:val="left" w:pos="1134"/>
        </w:tabs>
        <w:rPr>
          <w:rFonts w:cs="Cambria"/>
          <w:b/>
          <w:color w:val="000000" w:themeColor="text1"/>
          <w14:textFill>
            <w14:solidFill>
              <w14:schemeClr w14:val="tx1"/>
            </w14:solidFill>
          </w14:textFill>
        </w:rPr>
      </w:pPr>
    </w:p>
    <w:p w14:paraId="7DCE8D90">
      <w:pPr>
        <w:pStyle w:val="57"/>
        <w:numPr>
          <w:ilvl w:val="0"/>
          <w:numId w:val="103"/>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持续和非持续第二层次公允价值计量项目，采用的估值技术和重要参数的定性及定量信息</w:t>
      </w:r>
    </w:p>
    <w:sdt>
      <w:sdtPr>
        <w:rPr>
          <w:rFonts w:hint="eastAsia" w:cs="Cambria"/>
          <w:color w:val="000000" w:themeColor="text1"/>
          <w14:textFill>
            <w14:solidFill>
              <w14:schemeClr w14:val="tx1"/>
            </w14:solidFill>
          </w14:textFill>
        </w:rPr>
        <w:alias w:val="是否适用：持续和非持续第二层次公允价值计量项目，采用的估值技术和重要参数的定性及定量信息[双击切换]"/>
        <w:tag w:val="_GBC_8bee9b1c9bf241d5ae1f2c4578fc3b6c"/>
        <w:id w:val="147463810"/>
        <w:placeholder>
          <w:docPart w:val="GBC22222222222222222222222222222"/>
        </w:placeholder>
      </w:sdtPr>
      <w:sdtEndPr>
        <w:rPr>
          <w:rFonts w:hint="eastAsia" w:cs="Cambria"/>
          <w:color w:val="000000" w:themeColor="text1"/>
          <w14:textFill>
            <w14:solidFill>
              <w14:schemeClr w14:val="tx1"/>
            </w14:solidFill>
          </w14:textFill>
        </w:rPr>
      </w:sdtEndPr>
      <w:sdtContent>
        <w:p w14:paraId="1EAFB951">
          <w:pPr>
            <w:tabs>
              <w:tab w:val="left" w:pos="1134"/>
            </w:tabs>
            <w:rPr>
              <w:rFonts w:cs="Cambria"/>
              <w:color w:val="000000" w:themeColor="text1"/>
              <w14:textFill>
                <w14:solidFill>
                  <w14:schemeClr w14:val="tx1"/>
                </w14:solidFill>
              </w14:textFill>
            </w:rPr>
          </w:pPr>
          <w:r>
            <w:rPr>
              <w:rFonts w:ascii="宋体" w:hAnsi="宋体" w:cs="Cambria"/>
              <w:color w:val="000000" w:themeColor="text1"/>
              <w14:textFill>
                <w14:solidFill>
                  <w14:schemeClr w14:val="tx1"/>
                </w14:solidFill>
              </w14:textFill>
            </w:rPr>
            <w:fldChar w:fldCharType="begin"/>
          </w:r>
          <w:r>
            <w:rPr>
              <w:rFonts w:ascii="宋体" w:hAnsi="宋体" w:cs="Cambria"/>
              <w:color w:val="000000" w:themeColor="text1"/>
              <w14:textFill>
                <w14:solidFill>
                  <w14:schemeClr w14:val="tx1"/>
                </w14:solidFill>
              </w14:textFill>
            </w:rPr>
            <w:instrText xml:space="preserve"> </w:instrText>
          </w:r>
          <w:r>
            <w:rPr>
              <w:rFonts w:hint="eastAsia" w:ascii="宋体" w:hAnsi="宋体" w:cs="Cambria"/>
              <w:color w:val="000000" w:themeColor="text1"/>
              <w14:textFill>
                <w14:solidFill>
                  <w14:schemeClr w14:val="tx1"/>
                </w14:solidFill>
              </w14:textFill>
            </w:rPr>
            <w:instrText xml:space="preserve">MACROBUTTON  SnrToggleCheckbox √适用</w:instrText>
          </w:r>
          <w:r>
            <w:rPr>
              <w:rFonts w:ascii="宋体" w:hAnsi="宋体" w:cs="Cambria"/>
              <w:color w:val="000000" w:themeColor="text1"/>
              <w14:textFill>
                <w14:solidFill>
                  <w14:schemeClr w14:val="tx1"/>
                </w14:solidFill>
              </w14:textFill>
            </w:rPr>
            <w:instrText xml:space="preserve"> </w:instrText>
          </w:r>
          <w:r>
            <w:rPr>
              <w:rFonts w:ascii="宋体" w:hAnsi="宋体" w:cs="Cambria"/>
              <w:color w:val="000000" w:themeColor="text1"/>
              <w14:textFill>
                <w14:solidFill>
                  <w14:schemeClr w14:val="tx1"/>
                </w14:solidFill>
              </w14:textFill>
            </w:rPr>
            <w:fldChar w:fldCharType="end"/>
          </w:r>
          <w:r>
            <w:rPr>
              <w:rFonts w:ascii="宋体" w:hAnsi="宋体" w:cs="Cambria"/>
              <w:color w:val="000000" w:themeColor="text1"/>
              <w14:textFill>
                <w14:solidFill>
                  <w14:schemeClr w14:val="tx1"/>
                </w14:solidFill>
              </w14:textFill>
            </w:rPr>
            <w:fldChar w:fldCharType="begin"/>
          </w:r>
          <w:r>
            <w:rPr>
              <w:rFonts w:ascii="宋体" w:hAnsi="宋体" w:cs="Cambria"/>
              <w:color w:val="000000" w:themeColor="text1"/>
              <w14:textFill>
                <w14:solidFill>
                  <w14:schemeClr w14:val="tx1"/>
                </w14:solidFill>
              </w14:textFill>
            </w:rPr>
            <w:instrText xml:space="preserve"> MACROBUTTON  SnrToggleCheckbox □不适用 </w:instrText>
          </w:r>
          <w:r>
            <w:rPr>
              <w:rFonts w:ascii="宋体" w:hAnsi="宋体" w:cs="Cambria"/>
              <w:color w:val="000000" w:themeColor="text1"/>
              <w14:textFill>
                <w14:solidFill>
                  <w14:schemeClr w14:val="tx1"/>
                </w14:solidFill>
              </w14:textFill>
            </w:rPr>
            <w:fldChar w:fldCharType="end"/>
          </w:r>
        </w:p>
      </w:sdtContent>
    </w:sdt>
    <w:sdt>
      <w:sdtPr>
        <w:rPr>
          <w:rFonts w:cs="Cambria"/>
          <w:color w:val="000000" w:themeColor="text1"/>
          <w14:textFill>
            <w14:solidFill>
              <w14:schemeClr w14:val="tx1"/>
            </w14:solidFill>
          </w14:textFill>
        </w:rPr>
        <w:alias w:val="持续和非持续第二层次公允价值计量项目，采用的估值技术和重要参数的定性及定量信息"/>
        <w:tag w:val="_GBC_406ac04d46a9411bb4890572e539e6ca"/>
        <w:id w:val="147469455"/>
        <w:placeholder>
          <w:docPart w:val="GBC22222222222222222222222222222"/>
        </w:placeholder>
      </w:sdtPr>
      <w:sdtEndPr>
        <w:rPr>
          <w:rFonts w:cs="Cambria"/>
          <w:color w:val="000000" w:themeColor="text1"/>
          <w14:textFill>
            <w14:solidFill>
              <w14:schemeClr w14:val="tx1"/>
            </w14:solidFill>
          </w14:textFill>
        </w:rPr>
      </w:sdtEndPr>
      <w:sdtContent>
        <w:p w14:paraId="70058D99">
          <w:pPr>
            <w:tabs>
              <w:tab w:val="left" w:pos="1134"/>
            </w:tabs>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是除第一层次输入值外相关资产或负债直接或间接可观察的输入值；</w:t>
          </w:r>
        </w:p>
        <w:p w14:paraId="75E29BD7">
          <w:pPr>
            <w:tabs>
              <w:tab w:val="left" w:pos="1134"/>
            </w:tabs>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第二层次输入值包括：1）活跃市场中类似资产或负债的报价；2）非活跃市场中相同或类似资产或负债的报价；3）除报价以外的其他可观察输入值，包括在正常报价间隔期间可观察的利率和收益率曲线、隐含波动率和信用利差等；4）市场验证的输入值等。</w:t>
          </w:r>
        </w:p>
      </w:sdtContent>
    </w:sdt>
    <w:p w14:paraId="29C88F60">
      <w:pPr>
        <w:rPr>
          <w:color w:val="000000" w:themeColor="text1"/>
          <w14:textFill>
            <w14:solidFill>
              <w14:schemeClr w14:val="tx1"/>
            </w14:solidFill>
          </w14:textFill>
        </w:rPr>
      </w:pPr>
    </w:p>
    <w:p w14:paraId="5DC8402B">
      <w:pPr>
        <w:pStyle w:val="57"/>
        <w:numPr>
          <w:ilvl w:val="0"/>
          <w:numId w:val="103"/>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持续和非持续第三层次公允价值计量项目，采用的估值技术和重要参数的定性及定量信息</w:t>
      </w:r>
    </w:p>
    <w:sdt>
      <w:sdtPr>
        <w:rPr>
          <w:rFonts w:hint="eastAsia"/>
          <w:color w:val="000000" w:themeColor="text1"/>
          <w14:textFill>
            <w14:solidFill>
              <w14:schemeClr w14:val="tx1"/>
            </w14:solidFill>
          </w14:textFill>
        </w:rPr>
        <w:alias w:val="是否适用：持续和非持续第三层次公允价值计量项目，采用的估值技术和重要参数的定性及定量信息[双击切换]"/>
        <w:tag w:val="_GBC_4feedb18bf344f2ebff0035f82f30e3c"/>
        <w:id w:val="147477841"/>
        <w:placeholder>
          <w:docPart w:val="GBC22222222222222222222222222222"/>
        </w:placeholder>
      </w:sdtPr>
      <w:sdtEndPr>
        <w:rPr>
          <w:rFonts w:hint="eastAsia"/>
          <w:color w:val="000000" w:themeColor="text1"/>
          <w14:textFill>
            <w14:solidFill>
              <w14:schemeClr w14:val="tx1"/>
            </w14:solidFill>
          </w14:textFill>
        </w:rPr>
      </w:sdtEndPr>
      <w:sdtContent>
        <w:p w14:paraId="3813076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持续和非持续第三层次公允价值计量项目，采用的估值技术和重要参数的定性及定量信息"/>
        <w:tag w:val="_GBC_db2fdcfb26ce4ca9ac1e8da23b16aaaa"/>
        <w:id w:val="147461853"/>
        <w:placeholder>
          <w:docPart w:val="GBC22222222222222222222222222222"/>
        </w:placeholder>
      </w:sdtPr>
      <w:sdtEndPr>
        <w:rPr>
          <w:rFonts w:hint="eastAsia"/>
          <w:color w:val="000000" w:themeColor="text1"/>
          <w14:textFill>
            <w14:solidFill>
              <w14:schemeClr w14:val="tx1"/>
            </w14:solidFill>
          </w14:textFill>
        </w:rPr>
      </w:sdtEndPr>
      <w:sdtContent>
        <w:p w14:paraId="71B423CF">
          <w:pPr>
            <w:rPr>
              <w:color w:val="000000" w:themeColor="text1"/>
              <w14:textFill>
                <w14:solidFill>
                  <w14:schemeClr w14:val="tx1"/>
                </w14:solidFill>
              </w14:textFill>
            </w:rPr>
          </w:pPr>
          <w:r>
            <w:rPr>
              <w:rFonts w:hint="eastAsia"/>
              <w:color w:val="000000" w:themeColor="text1"/>
              <w14:textFill>
                <w14:solidFill>
                  <w14:schemeClr w14:val="tx1"/>
                </w14:solidFill>
              </w14:textFill>
            </w:rPr>
            <w:t>是相关资产或负债的不可观察输入值。</w:t>
          </w:r>
        </w:p>
      </w:sdtContent>
    </w:sdt>
    <w:p w14:paraId="38EB0823">
      <w:pPr>
        <w:tabs>
          <w:tab w:val="left" w:pos="1134"/>
        </w:tabs>
        <w:rPr>
          <w:rFonts w:cs="Cambria"/>
          <w:b/>
          <w:color w:val="000000" w:themeColor="text1"/>
          <w14:textFill>
            <w14:solidFill>
              <w14:schemeClr w14:val="tx1"/>
            </w14:solidFill>
          </w14:textFill>
        </w:rPr>
      </w:pPr>
    </w:p>
    <w:p w14:paraId="7694BBBA">
      <w:pPr>
        <w:pStyle w:val="57"/>
        <w:numPr>
          <w:ilvl w:val="0"/>
          <w:numId w:val="103"/>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持续的第三层次公允价值计量项目，期初与期末账面价值间的调节信息及不可观察参数敏感性分析</w:t>
      </w:r>
    </w:p>
    <w:sdt>
      <w:sdtPr>
        <w:rPr>
          <w:rFonts w:hint="eastAsia"/>
          <w:color w:val="000000" w:themeColor="text1"/>
          <w14:textFill>
            <w14:solidFill>
              <w14:schemeClr w14:val="tx1"/>
            </w14:solidFill>
          </w14:textFill>
        </w:rPr>
        <w:alias w:val="是否适用：持续的第三层次公允价值计量项目，期初与期末账面价值间的调节信息及不可观察参数敏感性分析[双击切换]"/>
        <w:tag w:val="_GBC_fbb80659fa8c4cbba85b32b2b514495c"/>
        <w:id w:val="147472657"/>
        <w:placeholder>
          <w:docPart w:val="GBC22222222222222222222222222222"/>
        </w:placeholder>
      </w:sdtPr>
      <w:sdtEndPr>
        <w:rPr>
          <w:rFonts w:hint="eastAsia"/>
          <w:color w:val="000000" w:themeColor="text1"/>
          <w14:textFill>
            <w14:solidFill>
              <w14:schemeClr w14:val="tx1"/>
            </w14:solidFill>
          </w14:textFill>
        </w:rPr>
      </w:sdtEndPr>
      <w:sdtContent>
        <w:p w14:paraId="3FCF717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1F5896F">
      <w:pPr>
        <w:tabs>
          <w:tab w:val="left" w:pos="1134"/>
        </w:tabs>
        <w:rPr>
          <w:rFonts w:cs="Cambria"/>
          <w:b/>
          <w:color w:val="000000" w:themeColor="text1"/>
          <w14:textFill>
            <w14:solidFill>
              <w14:schemeClr w14:val="tx1"/>
            </w14:solidFill>
          </w14:textFill>
        </w:rPr>
      </w:pPr>
    </w:p>
    <w:p w14:paraId="2DF2D15F">
      <w:pPr>
        <w:pStyle w:val="57"/>
        <w:numPr>
          <w:ilvl w:val="0"/>
          <w:numId w:val="103"/>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持续的公允价值计量项目，本期内发生各层级之间转换的，转换的原因及确定转换时点的政策</w:t>
      </w:r>
    </w:p>
    <w:sdt>
      <w:sdtPr>
        <w:rPr>
          <w:rFonts w:hint="eastAsia"/>
          <w:color w:val="000000" w:themeColor="text1"/>
          <w14:textFill>
            <w14:solidFill>
              <w14:schemeClr w14:val="tx1"/>
            </w14:solidFill>
          </w14:textFill>
        </w:rPr>
        <w:alias w:val="是否适用：持续的公允价值计量项目，本期内发生各层级之间转换的，转换的原因及确定转换时点的政策[双击切换]"/>
        <w:tag w:val="_GBC_e3d16a79a58242bc9c7be1f3a6f00898"/>
        <w:id w:val="147465977"/>
        <w:placeholder>
          <w:docPart w:val="GBC22222222222222222222222222222"/>
        </w:placeholder>
      </w:sdtPr>
      <w:sdtEndPr>
        <w:rPr>
          <w:rFonts w:hint="eastAsia"/>
          <w:color w:val="000000" w:themeColor="text1"/>
          <w14:textFill>
            <w14:solidFill>
              <w14:schemeClr w14:val="tx1"/>
            </w14:solidFill>
          </w14:textFill>
        </w:rPr>
      </w:sdtEndPr>
      <w:sdtContent>
        <w:p w14:paraId="657A9CE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2B8198A">
      <w:pPr>
        <w:tabs>
          <w:tab w:val="left" w:pos="1134"/>
        </w:tabs>
        <w:rPr>
          <w:rFonts w:cs="Cambria"/>
          <w:b/>
          <w:color w:val="000000" w:themeColor="text1"/>
          <w14:textFill>
            <w14:solidFill>
              <w14:schemeClr w14:val="tx1"/>
            </w14:solidFill>
          </w14:textFill>
        </w:rPr>
      </w:pPr>
    </w:p>
    <w:p w14:paraId="72D56157">
      <w:pPr>
        <w:pStyle w:val="57"/>
        <w:numPr>
          <w:ilvl w:val="0"/>
          <w:numId w:val="103"/>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本期内发生的估值技术变更及变更原因</w:t>
      </w:r>
    </w:p>
    <w:sdt>
      <w:sdtPr>
        <w:rPr>
          <w:color w:val="000000" w:themeColor="text1"/>
          <w14:textFill>
            <w14:solidFill>
              <w14:schemeClr w14:val="tx1"/>
            </w14:solidFill>
          </w14:textFill>
        </w:rPr>
        <w:alias w:val="是否适用：本期内发生的估值技术变更及变更原因[双击切换]"/>
        <w:tag w:val="_GBC_b070160060a9485c87417fe5a8b5e02f"/>
        <w:id w:val="147453059"/>
        <w:placeholder>
          <w:docPart w:val="GBC22222222222222222222222222222"/>
        </w:placeholder>
      </w:sdtPr>
      <w:sdtEndPr>
        <w:rPr>
          <w:color w:val="000000" w:themeColor="text1"/>
          <w14:textFill>
            <w14:solidFill>
              <w14:schemeClr w14:val="tx1"/>
            </w14:solidFill>
          </w14:textFill>
        </w:rPr>
      </w:sdtEndPr>
      <w:sdtContent>
        <w:p w14:paraId="664E521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1CFCB34">
      <w:pPr>
        <w:rPr>
          <w:rFonts w:cstheme="minorBidi"/>
          <w:color w:val="000000" w:themeColor="text1"/>
          <w14:textFill>
            <w14:solidFill>
              <w14:schemeClr w14:val="tx1"/>
            </w14:solidFill>
          </w14:textFill>
        </w:rPr>
      </w:pPr>
    </w:p>
    <w:p w14:paraId="7E202D35">
      <w:pPr>
        <w:pStyle w:val="57"/>
        <w:numPr>
          <w:ilvl w:val="0"/>
          <w:numId w:val="103"/>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不以公允价值计量的金融资产和金融负债的公允价值情况</w:t>
      </w:r>
    </w:p>
    <w:sdt>
      <w:sdtPr>
        <w:rPr>
          <w:rFonts w:hint="eastAsia" w:cstheme="minorBidi"/>
          <w:color w:val="000000" w:themeColor="text1"/>
          <w14:textFill>
            <w14:solidFill>
              <w14:schemeClr w14:val="tx1"/>
            </w14:solidFill>
          </w14:textFill>
        </w:rPr>
        <w:alias w:val="是否适用：不以公允价值计量的金融资产和金融负债的公允价值情况[双击切换]"/>
        <w:tag w:val="_GBC_848a058035fb408c922e66294e86defb"/>
        <w:id w:val="147474356"/>
        <w:placeholder>
          <w:docPart w:val="GBC22222222222222222222222222222"/>
        </w:placeholder>
      </w:sdtPr>
      <w:sdtEndPr>
        <w:rPr>
          <w:rFonts w:hint="eastAsia" w:cstheme="minorBidi"/>
          <w:color w:val="000000" w:themeColor="text1"/>
          <w14:textFill>
            <w14:solidFill>
              <w14:schemeClr w14:val="tx1"/>
            </w14:solidFill>
          </w14:textFill>
        </w:rPr>
      </w:sdtEndPr>
      <w:sdtContent>
        <w:p w14:paraId="64F27B52">
          <w:pPr>
            <w:rPr>
              <w:rFonts w:cstheme="minorBidi"/>
              <w:color w:val="000000" w:themeColor="text1"/>
              <w14:textFill>
                <w14:solidFill>
                  <w14:schemeClr w14:val="tx1"/>
                </w14:solidFill>
              </w14:textFill>
            </w:rPr>
          </w:pPr>
          <w:r>
            <w:rPr>
              <w:rFonts w:ascii="宋体" w:hAnsi="宋体" w:cstheme="minorBidi"/>
              <w:color w:val="000000" w:themeColor="text1"/>
              <w14:textFill>
                <w14:solidFill>
                  <w14:schemeClr w14:val="tx1"/>
                </w14:solidFill>
              </w14:textFill>
            </w:rPr>
            <w:fldChar w:fldCharType="begin"/>
          </w:r>
          <w:r>
            <w:rPr>
              <w:rFonts w:hint="eastAsia" w:ascii="宋体" w:hAnsi="宋体" w:cstheme="minorBidi"/>
              <w:color w:val="000000" w:themeColor="text1"/>
              <w14:textFill>
                <w14:solidFill>
                  <w14:schemeClr w14:val="tx1"/>
                </w14:solidFill>
              </w14:textFill>
            </w:rPr>
            <w:instrText xml:space="preserve"> MACROBUTTON  SnrToggleCheckbox □适用 </w:instrText>
          </w:r>
          <w:r>
            <w:rPr>
              <w:rFonts w:ascii="宋体" w:hAnsi="宋体" w:cstheme="minorBidi"/>
              <w:color w:val="000000" w:themeColor="text1"/>
              <w14:textFill>
                <w14:solidFill>
                  <w14:schemeClr w14:val="tx1"/>
                </w14:solidFill>
              </w14:textFill>
            </w:rPr>
            <w:fldChar w:fldCharType="end"/>
          </w:r>
          <w:r>
            <w:rPr>
              <w:rFonts w:ascii="宋体" w:hAnsi="宋体" w:cstheme="minorBidi"/>
              <w:color w:val="000000" w:themeColor="text1"/>
              <w14:textFill>
                <w14:solidFill>
                  <w14:schemeClr w14:val="tx1"/>
                </w14:solidFill>
              </w14:textFill>
            </w:rPr>
            <w:fldChar w:fldCharType="begin"/>
          </w:r>
          <w:r>
            <w:rPr>
              <w:rFonts w:hint="eastAsia" w:ascii="宋体" w:hAnsi="宋体" w:cstheme="minorBidi"/>
              <w:color w:val="000000" w:themeColor="text1"/>
              <w14:textFill>
                <w14:solidFill>
                  <w14:schemeClr w14:val="tx1"/>
                </w14:solidFill>
              </w14:textFill>
            </w:rPr>
            <w:instrText xml:space="preserve"> MACROBUTTON  SnrToggleCheckbox √不适用 </w:instrText>
          </w:r>
          <w:r>
            <w:rPr>
              <w:rFonts w:ascii="宋体" w:hAnsi="宋体" w:cstheme="minorBidi"/>
              <w:color w:val="000000" w:themeColor="text1"/>
              <w14:textFill>
                <w14:solidFill>
                  <w14:schemeClr w14:val="tx1"/>
                </w14:solidFill>
              </w14:textFill>
            </w:rPr>
            <w:fldChar w:fldCharType="end"/>
          </w:r>
        </w:p>
      </w:sdtContent>
    </w:sdt>
    <w:p w14:paraId="0DF4F36D">
      <w:pPr>
        <w:rPr>
          <w:rFonts w:cstheme="minorBidi"/>
          <w:color w:val="000000" w:themeColor="text1"/>
          <w14:textFill>
            <w14:solidFill>
              <w14:schemeClr w14:val="tx1"/>
            </w14:solidFill>
          </w14:textFill>
        </w:rPr>
      </w:pPr>
    </w:p>
    <w:p w14:paraId="1C6E36E8">
      <w:pPr>
        <w:pStyle w:val="57"/>
        <w:numPr>
          <w:ilvl w:val="0"/>
          <w:numId w:val="103"/>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w:t>
      </w:r>
    </w:p>
    <w:sdt>
      <w:sdtPr>
        <w:rPr>
          <w:rFonts w:hint="eastAsia"/>
          <w:color w:val="000000" w:themeColor="text1"/>
          <w14:textFill>
            <w14:solidFill>
              <w14:schemeClr w14:val="tx1"/>
            </w14:solidFill>
          </w14:textFill>
        </w:rPr>
        <w:alias w:val="是否适用：公允价值其他需要披露的事项[双击切换]"/>
        <w:tag w:val="_GBC_9174a0e7dec04e80924ee384dabe783a"/>
        <w:id w:val="147467787"/>
        <w:placeholder>
          <w:docPart w:val="GBC22222222222222222222222222222"/>
        </w:placeholder>
      </w:sdtPr>
      <w:sdtEndPr>
        <w:rPr>
          <w:rFonts w:hint="eastAsia"/>
          <w:color w:val="000000" w:themeColor="text1"/>
          <w14:textFill>
            <w14:solidFill>
              <w14:schemeClr w14:val="tx1"/>
            </w14:solidFill>
          </w14:textFill>
        </w:rPr>
      </w:sdtEndPr>
      <w:sdtContent>
        <w:p w14:paraId="79780A2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0CEB991">
      <w:pPr>
        <w:rPr>
          <w:color w:val="000000" w:themeColor="text1"/>
          <w14:textFill>
            <w14:solidFill>
              <w14:schemeClr w14:val="tx1"/>
            </w14:solidFill>
          </w14:textFill>
        </w:rPr>
      </w:pPr>
    </w:p>
    <w:p w14:paraId="14AB34C9">
      <w:pPr>
        <w:pStyle w:val="56"/>
        <w:numPr>
          <w:ilvl w:val="0"/>
          <w:numId w:val="43"/>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关联方及关联交易</w:t>
      </w:r>
    </w:p>
    <w:p w14:paraId="28EB7D9A">
      <w:pPr>
        <w:pStyle w:val="57"/>
        <w:numPr>
          <w:ilvl w:val="0"/>
          <w:numId w:val="104"/>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本企业的母公司情况</w:t>
      </w:r>
    </w:p>
    <w:sdt>
      <w:sdtPr>
        <w:rPr>
          <w:color w:val="000000" w:themeColor="text1"/>
          <w14:textFill>
            <w14:solidFill>
              <w14:schemeClr w14:val="tx1"/>
            </w14:solidFill>
          </w14:textFill>
        </w:rPr>
        <w:alias w:val="是否适用：本企业的母公司情况[双击切换]"/>
        <w:tag w:val="_GBC_ead7e4ec9cc847adb62aa8efd8005802"/>
        <w:id w:val="147474107"/>
        <w:placeholder>
          <w:docPart w:val="GBC22222222222222222222222222222"/>
        </w:placeholder>
      </w:sdtPr>
      <w:sdtEndPr>
        <w:rPr>
          <w:color w:val="000000" w:themeColor="text1"/>
          <w14:textFill>
            <w14:solidFill>
              <w14:schemeClr w14:val="tx1"/>
            </w14:solidFill>
          </w14:textFill>
        </w:rPr>
      </w:sdtEndPr>
      <w:sdtContent>
        <w:p w14:paraId="499B419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42D4D3E">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本企业的母公司情况"/>
          <w:tag w:val="_GBC_6deea75122314a599b3383585a0f5cfe"/>
          <w:id w:val="1474678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万元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本企业的母公司情况"/>
          <w:tag w:val="_GBC_3d5eae3a190749288b0c0bc9b1b1a3a3"/>
          <w:id w:val="1474770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1232"/>
        <w:gridCol w:w="2451"/>
        <w:gridCol w:w="1356"/>
        <w:gridCol w:w="1222"/>
        <w:gridCol w:w="1403"/>
      </w:tblGrid>
      <w:tr w14:paraId="33F1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sdt>
          <w:sdtPr>
            <w:rPr>
              <w:rFonts w:cs="Times New Roman"/>
            </w:rPr>
            <w:tag w:val="_PLD_19f86fac20c44d648212d3b573ca4c90"/>
            <w:id w:val="147462467"/>
          </w:sdtPr>
          <w:sdtEndPr>
            <w:rPr>
              <w:rFonts w:cs="Times New Roman"/>
            </w:rPr>
          </w:sdtEndPr>
          <w:sdtContent>
            <w:tc>
              <w:tcPr>
                <w:tcW w:w="765" w:type="pct"/>
                <w:tcBorders>
                  <w:top w:val="single" w:color="auto" w:sz="4" w:space="0"/>
                  <w:left w:val="single" w:color="auto" w:sz="4" w:space="0"/>
                  <w:bottom w:val="single" w:color="auto" w:sz="4" w:space="0"/>
                  <w:right w:val="single" w:color="auto" w:sz="4" w:space="0"/>
                </w:tcBorders>
                <w:vAlign w:val="center"/>
              </w:tcPr>
              <w:p w14:paraId="6708BC0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母公司名称</w:t>
                </w:r>
              </w:p>
            </w:tc>
          </w:sdtContent>
        </w:sdt>
        <w:sdt>
          <w:sdtPr>
            <w:rPr>
              <w:rFonts w:cs="Times New Roman"/>
            </w:rPr>
            <w:tag w:val="_PLD_d0e9e84346084d4db76e60afa87cf85a"/>
            <w:id w:val="147476387"/>
          </w:sdtPr>
          <w:sdtEndPr>
            <w:rPr>
              <w:rFonts w:cs="Times New Roman"/>
            </w:rPr>
          </w:sdtEndPr>
          <w:sdtContent>
            <w:tc>
              <w:tcPr>
                <w:tcW w:w="680" w:type="pct"/>
                <w:tcBorders>
                  <w:top w:val="single" w:color="auto" w:sz="4" w:space="0"/>
                  <w:left w:val="single" w:color="auto" w:sz="4" w:space="0"/>
                  <w:bottom w:val="single" w:color="auto" w:sz="4" w:space="0"/>
                  <w:right w:val="single" w:color="auto" w:sz="4" w:space="0"/>
                </w:tcBorders>
                <w:vAlign w:val="center"/>
              </w:tcPr>
              <w:p w14:paraId="773E728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注册地</w:t>
                </w:r>
              </w:p>
            </w:tc>
          </w:sdtContent>
        </w:sdt>
        <w:sdt>
          <w:sdtPr>
            <w:rPr>
              <w:rFonts w:cs="Times New Roman"/>
            </w:rPr>
            <w:tag w:val="_PLD_862851f8ff08431ea28c3420f555e42d"/>
            <w:id w:val="147459917"/>
          </w:sdtPr>
          <w:sdtEndPr>
            <w:rPr>
              <w:rFonts w:cs="Times New Roman"/>
            </w:rPr>
          </w:sdtEndPr>
          <w:sdtContent>
            <w:tc>
              <w:tcPr>
                <w:tcW w:w="1353" w:type="pct"/>
                <w:tcBorders>
                  <w:top w:val="single" w:color="auto" w:sz="4" w:space="0"/>
                  <w:left w:val="single" w:color="auto" w:sz="4" w:space="0"/>
                  <w:bottom w:val="single" w:color="auto" w:sz="4" w:space="0"/>
                  <w:right w:val="single" w:color="auto" w:sz="4" w:space="0"/>
                </w:tcBorders>
                <w:vAlign w:val="center"/>
              </w:tcPr>
              <w:p w14:paraId="535AEDBC">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业务性质</w:t>
                </w:r>
              </w:p>
            </w:tc>
          </w:sdtContent>
        </w:sdt>
        <w:sdt>
          <w:sdtPr>
            <w:rPr>
              <w:rFonts w:cs="Times New Roman"/>
            </w:rPr>
            <w:tag w:val="_PLD_77ed8bc59084448aa6eced74a15c106f"/>
            <w:id w:val="147478082"/>
          </w:sdtPr>
          <w:sdtEndPr>
            <w:rPr>
              <w:rFonts w:cs="Times New Roman"/>
            </w:rPr>
          </w:sdtEndPr>
          <w:sdtContent>
            <w:tc>
              <w:tcPr>
                <w:tcW w:w="749" w:type="pct"/>
                <w:tcBorders>
                  <w:top w:val="single" w:color="auto" w:sz="4" w:space="0"/>
                  <w:left w:val="single" w:color="auto" w:sz="4" w:space="0"/>
                  <w:bottom w:val="single" w:color="auto" w:sz="4" w:space="0"/>
                  <w:right w:val="single" w:color="auto" w:sz="4" w:space="0"/>
                </w:tcBorders>
                <w:vAlign w:val="center"/>
              </w:tcPr>
              <w:p w14:paraId="072D00C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注册资本</w:t>
                </w:r>
              </w:p>
            </w:tc>
          </w:sdtContent>
        </w:sdt>
        <w:sdt>
          <w:sdtPr>
            <w:rPr>
              <w:rFonts w:cs="Times New Roman"/>
            </w:rPr>
            <w:tag w:val="_PLD_360f61c4c6c14f0abe6480ef7f30e958"/>
            <w:id w:val="147459545"/>
          </w:sdtPr>
          <w:sdtEndPr>
            <w:rPr>
              <w:rFonts w:cs="Times New Roman"/>
            </w:rPr>
          </w:sdtEndPr>
          <w:sdtContent>
            <w:tc>
              <w:tcPr>
                <w:tcW w:w="675" w:type="pct"/>
                <w:tcBorders>
                  <w:top w:val="single" w:color="auto" w:sz="4" w:space="0"/>
                  <w:left w:val="single" w:color="auto" w:sz="4" w:space="0"/>
                  <w:bottom w:val="single" w:color="auto" w:sz="4" w:space="0"/>
                  <w:right w:val="single" w:color="auto" w:sz="4" w:space="0"/>
                </w:tcBorders>
                <w:vAlign w:val="center"/>
              </w:tcPr>
              <w:p w14:paraId="173D99B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母公司对本企业的持股比例(%)</w:t>
                </w:r>
              </w:p>
            </w:tc>
          </w:sdtContent>
        </w:sdt>
        <w:sdt>
          <w:sdtPr>
            <w:rPr>
              <w:rFonts w:cs="Times New Roman"/>
            </w:rPr>
            <w:tag w:val="_PLD_3ef945e24ca64fc394d2e6b861604fcf"/>
            <w:id w:val="147465922"/>
          </w:sdtPr>
          <w:sdtEndPr>
            <w:rPr>
              <w:rFonts w:cs="Times New Roman"/>
            </w:rPr>
          </w:sdtEndPr>
          <w:sdtContent>
            <w:tc>
              <w:tcPr>
                <w:tcW w:w="775" w:type="pct"/>
                <w:tcBorders>
                  <w:top w:val="single" w:color="auto" w:sz="4" w:space="0"/>
                  <w:left w:val="single" w:color="auto" w:sz="4" w:space="0"/>
                  <w:bottom w:val="single" w:color="auto" w:sz="4" w:space="0"/>
                  <w:right w:val="single" w:color="auto" w:sz="4" w:space="0"/>
                </w:tcBorders>
                <w:vAlign w:val="center"/>
              </w:tcPr>
              <w:p w14:paraId="669B13AC">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母公司对本企业的表决权比例(%)</w:t>
                </w:r>
              </w:p>
            </w:tc>
          </w:sdtContent>
        </w:sdt>
      </w:tr>
      <w:tr w14:paraId="068E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65" w:type="pct"/>
            <w:tcBorders>
              <w:top w:val="single" w:color="auto" w:sz="4" w:space="0"/>
              <w:left w:val="single" w:color="auto" w:sz="4" w:space="0"/>
              <w:bottom w:val="single" w:color="auto" w:sz="4" w:space="0"/>
              <w:right w:val="single" w:color="auto" w:sz="4" w:space="0"/>
            </w:tcBorders>
            <w:vAlign w:val="center"/>
          </w:tcPr>
          <w:p w14:paraId="448E5C5A">
            <w:pPr>
              <w:textAlignment w:val="center"/>
              <w:rPr>
                <w:rFonts w:cs="Times New Roman"/>
              </w:rPr>
            </w:pPr>
            <w:r>
              <w:rPr>
                <w:rFonts w:cs="Times New Roman"/>
                <w:color w:val="000000"/>
                <w:lang w:bidi="ar"/>
              </w:rPr>
              <w:t>新兴际华集团有限公司</w:t>
            </w:r>
          </w:p>
        </w:tc>
        <w:tc>
          <w:tcPr>
            <w:tcW w:w="680" w:type="pct"/>
            <w:tcBorders>
              <w:top w:val="single" w:color="auto" w:sz="4" w:space="0"/>
              <w:left w:val="single" w:color="auto" w:sz="4" w:space="0"/>
              <w:bottom w:val="single" w:color="auto" w:sz="4" w:space="0"/>
              <w:right w:val="single" w:color="auto" w:sz="4" w:space="0"/>
            </w:tcBorders>
            <w:vAlign w:val="center"/>
          </w:tcPr>
          <w:p w14:paraId="4CF1CB7F">
            <w:pPr>
              <w:jc w:val="center"/>
              <w:textAlignment w:val="center"/>
              <w:rPr>
                <w:rFonts w:cs="Times New Roman"/>
              </w:rPr>
            </w:pPr>
            <w:r>
              <w:rPr>
                <w:rFonts w:cs="Times New Roman"/>
                <w:color w:val="000000"/>
                <w:lang w:bidi="ar"/>
              </w:rPr>
              <w:t>北京市朝阳区东三环中路</w:t>
            </w:r>
            <w:r>
              <w:rPr>
                <w:rFonts w:eastAsia="Arial Narrow" w:cs="Times New Roman"/>
                <w:color w:val="000000"/>
                <w:lang w:bidi="ar"/>
              </w:rPr>
              <w:t>5</w:t>
            </w:r>
            <w:r>
              <w:rPr>
                <w:rFonts w:cs="Times New Roman"/>
                <w:color w:val="000000"/>
                <w:lang w:bidi="ar"/>
              </w:rPr>
              <w:t>号楼</w:t>
            </w:r>
            <w:r>
              <w:rPr>
                <w:rFonts w:eastAsia="Arial Narrow" w:cs="Times New Roman"/>
                <w:color w:val="000000"/>
                <w:lang w:bidi="ar"/>
              </w:rPr>
              <w:t>62</w:t>
            </w:r>
            <w:r>
              <w:rPr>
                <w:rFonts w:cs="Times New Roman"/>
                <w:color w:val="000000"/>
                <w:lang w:bidi="ar"/>
              </w:rPr>
              <w:t>层、</w:t>
            </w:r>
            <w:r>
              <w:rPr>
                <w:rFonts w:eastAsia="Arial Narrow" w:cs="Times New Roman"/>
                <w:color w:val="000000"/>
                <w:lang w:bidi="ar"/>
              </w:rPr>
              <w:t>63</w:t>
            </w:r>
            <w:r>
              <w:rPr>
                <w:rFonts w:cs="Times New Roman"/>
                <w:color w:val="000000"/>
                <w:lang w:bidi="ar"/>
              </w:rPr>
              <w:t>层</w:t>
            </w:r>
          </w:p>
        </w:tc>
        <w:tc>
          <w:tcPr>
            <w:tcW w:w="1353" w:type="pct"/>
            <w:tcBorders>
              <w:top w:val="single" w:color="auto" w:sz="4" w:space="0"/>
              <w:left w:val="single" w:color="auto" w:sz="4" w:space="0"/>
              <w:bottom w:val="single" w:color="auto" w:sz="4" w:space="0"/>
              <w:right w:val="single" w:color="auto" w:sz="4" w:space="0"/>
            </w:tcBorders>
            <w:vAlign w:val="center"/>
          </w:tcPr>
          <w:p w14:paraId="71B3688F">
            <w:pPr>
              <w:jc w:val="center"/>
              <w:textAlignment w:val="center"/>
              <w:rPr>
                <w:rFonts w:cs="Times New Roman"/>
              </w:rPr>
            </w:pPr>
            <w:r>
              <w:rPr>
                <w:rFonts w:cs="Times New Roman"/>
                <w:color w:val="000000"/>
                <w:lang w:bidi="ar"/>
              </w:rPr>
              <w:t>经营国务院授权范围内的国有资产，开展有关投资业务；对所投资公司和直属企业资产的经营管理等</w:t>
            </w:r>
          </w:p>
        </w:tc>
        <w:tc>
          <w:tcPr>
            <w:tcW w:w="749" w:type="pct"/>
            <w:tcBorders>
              <w:top w:val="single" w:color="auto" w:sz="4" w:space="0"/>
              <w:left w:val="single" w:color="auto" w:sz="4" w:space="0"/>
              <w:bottom w:val="single" w:color="auto" w:sz="4" w:space="0"/>
              <w:right w:val="single" w:color="auto" w:sz="4" w:space="0"/>
            </w:tcBorders>
            <w:vAlign w:val="center"/>
          </w:tcPr>
          <w:p w14:paraId="0850AFCA">
            <w:pPr>
              <w:jc w:val="right"/>
              <w:textAlignment w:val="center"/>
              <w:rPr>
                <w:rFonts w:cs="Times New Roman"/>
              </w:rPr>
            </w:pPr>
            <w:r>
              <w:rPr>
                <w:rFonts w:cs="Times New Roman"/>
                <w:color w:val="000000"/>
              </w:rPr>
              <w:t>518,730.00</w:t>
            </w:r>
          </w:p>
        </w:tc>
        <w:tc>
          <w:tcPr>
            <w:tcW w:w="675" w:type="pct"/>
            <w:tcBorders>
              <w:top w:val="single" w:color="auto" w:sz="4" w:space="0"/>
              <w:left w:val="single" w:color="auto" w:sz="4" w:space="0"/>
              <w:bottom w:val="single" w:color="auto" w:sz="4" w:space="0"/>
              <w:right w:val="single" w:color="auto" w:sz="4" w:space="0"/>
            </w:tcBorders>
            <w:vAlign w:val="center"/>
          </w:tcPr>
          <w:p w14:paraId="6CC22334">
            <w:pPr>
              <w:jc w:val="right"/>
              <w:textAlignment w:val="center"/>
              <w:rPr>
                <w:rFonts w:cs="Times New Roman"/>
              </w:rPr>
            </w:pPr>
            <w:r>
              <w:rPr>
                <w:rFonts w:cs="Times New Roman"/>
                <w:color w:val="000000"/>
              </w:rPr>
              <w:t>47.55</w:t>
            </w:r>
          </w:p>
        </w:tc>
        <w:tc>
          <w:tcPr>
            <w:tcW w:w="775" w:type="pct"/>
            <w:tcBorders>
              <w:top w:val="single" w:color="auto" w:sz="4" w:space="0"/>
              <w:left w:val="single" w:color="auto" w:sz="4" w:space="0"/>
              <w:bottom w:val="single" w:color="auto" w:sz="4" w:space="0"/>
              <w:right w:val="single" w:color="auto" w:sz="4" w:space="0"/>
            </w:tcBorders>
            <w:vAlign w:val="center"/>
          </w:tcPr>
          <w:p w14:paraId="26FE81EF">
            <w:pPr>
              <w:jc w:val="right"/>
              <w:textAlignment w:val="center"/>
              <w:rPr>
                <w:rFonts w:cs="Times New Roman"/>
              </w:rPr>
            </w:pPr>
            <w:r>
              <w:rPr>
                <w:rFonts w:cs="Times New Roman"/>
                <w:color w:val="000000"/>
              </w:rPr>
              <w:t>47.55</w:t>
            </w:r>
          </w:p>
        </w:tc>
      </w:tr>
    </w:tbl>
    <w:p w14:paraId="723FE6BA">
      <w:pPr>
        <w:tabs>
          <w:tab w:val="left" w:pos="1134"/>
        </w:tabs>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本企业的母公司情况的说明</w:t>
      </w:r>
    </w:p>
    <w:sdt>
      <w:sdtPr>
        <w:rPr>
          <w:rFonts w:cs="Cambria"/>
          <w:color w:val="000000" w:themeColor="text1"/>
          <w14:textFill>
            <w14:solidFill>
              <w14:schemeClr w14:val="tx1"/>
            </w14:solidFill>
          </w14:textFill>
        </w:rPr>
        <w:alias w:val="本企业的母公司情况的说明"/>
        <w:tag w:val="_GBC_23f67537c1df4d9d9ede9fbc78ad06a4"/>
        <w:id w:val="147467725"/>
        <w:placeholder>
          <w:docPart w:val="GBC22222222222222222222222222222"/>
        </w:placeholder>
      </w:sdtPr>
      <w:sdtEndPr>
        <w:rPr>
          <w:rFonts w:cs="Cambria"/>
          <w:color w:val="000000" w:themeColor="text1"/>
          <w14:textFill>
            <w14:solidFill>
              <w14:schemeClr w14:val="tx1"/>
            </w14:solidFill>
          </w14:textFill>
        </w:rPr>
      </w:sdtEndPr>
      <w:sdtContent>
        <w:p w14:paraId="28B214DF">
          <w:pPr>
            <w:tabs>
              <w:tab w:val="left" w:pos="1134"/>
            </w:tabs>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无</w:t>
          </w:r>
        </w:p>
      </w:sdtContent>
    </w:sdt>
    <w:p w14:paraId="53360F6F">
      <w:pPr>
        <w:rPr>
          <w:color w:val="000000" w:themeColor="text1"/>
          <w14:textFill>
            <w14:solidFill>
              <w14:schemeClr w14:val="tx1"/>
            </w14:solidFill>
          </w14:textFill>
        </w:rPr>
      </w:pPr>
      <w:r>
        <w:rPr>
          <w:rFonts w:hint="eastAsia"/>
          <w:color w:val="000000" w:themeColor="text1"/>
          <w14:textFill>
            <w14:solidFill>
              <w14:schemeClr w14:val="tx1"/>
            </w14:solidFill>
          </w14:textFill>
        </w:rPr>
        <w:t>本企业最终控制方是</w:t>
      </w:r>
      <w:sdt>
        <w:sdtPr>
          <w:rPr>
            <w:rFonts w:hint="eastAsia"/>
            <w:color w:val="000000" w:themeColor="text1"/>
            <w14:textFill>
              <w14:solidFill>
                <w14:schemeClr w14:val="tx1"/>
              </w14:solidFill>
            </w14:textFill>
          </w:rPr>
          <w:alias w:val="本企业最终控制方"/>
          <w:tag w:val="_GBC_951a676520994ab7a3822c5f58c20b7d"/>
          <w:id w:val="147468520"/>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国务院国有资产监督管理委员会</w:t>
          </w:r>
        </w:sdtContent>
      </w:sdt>
    </w:p>
    <w:p w14:paraId="5967DB7B">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本企业的母公司情况的其他说明"/>
        <w:tag w:val="_GBC_72b4ca7a02944263a74be4174baff4cf"/>
        <w:id w:val="147453488"/>
        <w:placeholder>
          <w:docPart w:val="GBC22222222222222222222222222222"/>
        </w:placeholder>
      </w:sdtPr>
      <w:sdtEndPr>
        <w:rPr>
          <w:color w:val="000000" w:themeColor="text1"/>
          <w14:textFill>
            <w14:solidFill>
              <w14:schemeClr w14:val="tx1"/>
            </w14:solidFill>
          </w14:textFill>
        </w:rPr>
      </w:sdtEndPr>
      <w:sdtContent>
        <w:p w14:paraId="63EC69E6">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77AA3A1D">
      <w:pPr>
        <w:rPr>
          <w:color w:val="000000" w:themeColor="text1"/>
          <w14:textFill>
            <w14:solidFill>
              <w14:schemeClr w14:val="tx1"/>
            </w14:solidFill>
          </w14:textFill>
        </w:rPr>
      </w:pPr>
    </w:p>
    <w:p w14:paraId="332C2977">
      <w:pPr>
        <w:pStyle w:val="57"/>
        <w:numPr>
          <w:ilvl w:val="0"/>
          <w:numId w:val="104"/>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本企业的子公司情况</w:t>
      </w:r>
    </w:p>
    <w:p w14:paraId="52F18FB9">
      <w:pPr>
        <w:rPr>
          <w:color w:val="000000" w:themeColor="text1"/>
          <w14:textFill>
            <w14:solidFill>
              <w14:schemeClr w14:val="tx1"/>
            </w14:solidFill>
          </w14:textFill>
        </w:rPr>
      </w:pPr>
      <w:r>
        <w:rPr>
          <w:rFonts w:hint="eastAsia"/>
          <w:color w:val="000000" w:themeColor="text1"/>
          <w14:textFill>
            <w14:solidFill>
              <w14:schemeClr w14:val="tx1"/>
            </w14:solidFill>
          </w14:textFill>
        </w:rPr>
        <w:t>本企业子公司的情况详见附注</w:t>
      </w:r>
    </w:p>
    <w:sdt>
      <w:sdtPr>
        <w:rPr>
          <w:color w:val="000000" w:themeColor="text1"/>
          <w14:textFill>
            <w14:solidFill>
              <w14:schemeClr w14:val="tx1"/>
            </w14:solidFill>
          </w14:textFill>
        </w:rPr>
        <w:alias w:val="是否适用：本公司的子公司情况详见附注[双击切换]"/>
        <w:tag w:val="_GBC_a8d551b9f62149d3bf9322adae2c671f"/>
        <w:id w:val="147469475"/>
        <w:placeholder>
          <w:docPart w:val="GBC22222222222222222222222222222"/>
        </w:placeholder>
      </w:sdtPr>
      <w:sdtEndPr>
        <w:rPr>
          <w:color w:val="000000" w:themeColor="text1"/>
          <w14:textFill>
            <w14:solidFill>
              <w14:schemeClr w14:val="tx1"/>
            </w14:solidFill>
          </w14:textFill>
        </w:rPr>
      </w:sdtEndPr>
      <w:sdtContent>
        <w:p w14:paraId="62B8396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本公司的子公司情况详见附注"/>
        <w:tag w:val="_GBC_bb3e2669c3cc45d0a6637b1809087708"/>
        <w:id w:val="147469106"/>
        <w:placeholder>
          <w:docPart w:val="GBC22222222222222222222222222222"/>
        </w:placeholder>
      </w:sdtPr>
      <w:sdtEndPr>
        <w:rPr>
          <w:rFonts w:hint="eastAsia"/>
          <w:color w:val="000000" w:themeColor="text1"/>
          <w14:textFill>
            <w14:solidFill>
              <w14:schemeClr w14:val="tx1"/>
            </w14:solidFill>
          </w14:textFill>
        </w:rPr>
      </w:sdtEndPr>
      <w:sdtContent>
        <w:p w14:paraId="12768AF9">
          <w:pPr>
            <w:rPr>
              <w:color w:val="000000" w:themeColor="text1"/>
              <w14:textFill>
                <w14:solidFill>
                  <w14:schemeClr w14:val="tx1"/>
                </w14:solidFill>
              </w14:textFill>
            </w:rPr>
          </w:pPr>
          <w:r>
            <w:rPr>
              <w:rFonts w:hint="eastAsia"/>
              <w:color w:val="000000" w:themeColor="text1"/>
              <w14:textFill>
                <w14:solidFill>
                  <w14:schemeClr w14:val="tx1"/>
                </w14:solidFill>
              </w14:textFill>
            </w:rPr>
            <w:t>十、1、（1）</w:t>
          </w:r>
        </w:p>
      </w:sdtContent>
    </w:sdt>
    <w:p w14:paraId="57E73E0C">
      <w:pPr>
        <w:tabs>
          <w:tab w:val="left" w:pos="1134"/>
        </w:tabs>
        <w:rPr>
          <w:rFonts w:cs="Cambria"/>
          <w:color w:val="000000" w:themeColor="text1"/>
          <w14:textFill>
            <w14:solidFill>
              <w14:schemeClr w14:val="tx1"/>
            </w14:solidFill>
          </w14:textFill>
        </w:rPr>
      </w:pPr>
    </w:p>
    <w:p w14:paraId="609BE286">
      <w:pPr>
        <w:pStyle w:val="57"/>
        <w:numPr>
          <w:ilvl w:val="0"/>
          <w:numId w:val="104"/>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本企业合营和联营企业情况</w:t>
      </w:r>
    </w:p>
    <w:p w14:paraId="38B6339A">
      <w:pPr>
        <w:rPr>
          <w:color w:val="000000" w:themeColor="text1"/>
          <w14:textFill>
            <w14:solidFill>
              <w14:schemeClr w14:val="tx1"/>
            </w14:solidFill>
          </w14:textFill>
        </w:rPr>
      </w:pPr>
      <w:r>
        <w:rPr>
          <w:rFonts w:hint="eastAsia"/>
          <w:color w:val="000000" w:themeColor="text1"/>
          <w14:textFill>
            <w14:solidFill>
              <w14:schemeClr w14:val="tx1"/>
            </w14:solidFill>
          </w14:textFill>
        </w:rPr>
        <w:t>本企业重要的合营或联营企业详见附注</w:t>
      </w:r>
    </w:p>
    <w:sdt>
      <w:sdtPr>
        <w:rPr>
          <w:color w:val="000000" w:themeColor="text1"/>
          <w14:textFill>
            <w14:solidFill>
              <w14:schemeClr w14:val="tx1"/>
            </w14:solidFill>
          </w14:textFill>
        </w:rPr>
        <w:alias w:val="是否适用：本企业重要的合营或联营企业详见附注[双击切换]"/>
        <w:tag w:val="_GBC_2a369d3377e94598b2a744dfe59973e2"/>
        <w:id w:val="147478885"/>
        <w:placeholder>
          <w:docPart w:val="GBC22222222222222222222222222222"/>
        </w:placeholder>
      </w:sdtPr>
      <w:sdtEndPr>
        <w:rPr>
          <w:color w:val="000000" w:themeColor="text1"/>
          <w14:textFill>
            <w14:solidFill>
              <w14:schemeClr w14:val="tx1"/>
            </w14:solidFill>
          </w14:textFill>
        </w:rPr>
      </w:sdtEndPr>
      <w:sdtContent>
        <w:p w14:paraId="0EAAE24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本企业重要的合营或联营企业详见附注"/>
        <w:tag w:val="_GBC_3c58c586b3d3412d9989e9dff0b9f4cf"/>
        <w:id w:val="147482758"/>
        <w:placeholder>
          <w:docPart w:val="GBC22222222222222222222222222222"/>
        </w:placeholder>
      </w:sdtPr>
      <w:sdtEndPr>
        <w:rPr>
          <w:rFonts w:hint="eastAsia"/>
          <w:color w:val="000000" w:themeColor="text1"/>
          <w14:textFill>
            <w14:solidFill>
              <w14:schemeClr w14:val="tx1"/>
            </w14:solidFill>
          </w14:textFill>
        </w:rPr>
      </w:sdtEndPr>
      <w:sdtContent>
        <w:p w14:paraId="092B286C">
          <w:pPr>
            <w:rPr>
              <w:color w:val="000000" w:themeColor="text1"/>
              <w14:textFill>
                <w14:solidFill>
                  <w14:schemeClr w14:val="tx1"/>
                </w14:solidFill>
              </w14:textFill>
            </w:rPr>
          </w:pPr>
          <w:r>
            <w:rPr>
              <w:rFonts w:hint="eastAsia"/>
              <w:color w:val="000000" w:themeColor="text1"/>
              <w14:textFill>
                <w14:solidFill>
                  <w14:schemeClr w14:val="tx1"/>
                </w14:solidFill>
              </w14:textFill>
            </w:rPr>
            <w:t>十、3、（1）</w:t>
          </w:r>
        </w:p>
      </w:sdtContent>
    </w:sdt>
    <w:p w14:paraId="1C468D77">
      <w:pPr>
        <w:rPr>
          <w:color w:val="000000" w:themeColor="text1"/>
          <w14:textFill>
            <w14:solidFill>
              <w14:schemeClr w14:val="tx1"/>
            </w14:solidFill>
          </w14:textFill>
        </w:rPr>
      </w:pPr>
    </w:p>
    <w:p w14:paraId="6F2FB1A0">
      <w:pPr>
        <w:rPr>
          <w:color w:val="000000" w:themeColor="text1"/>
          <w14:textFill>
            <w14:solidFill>
              <w14:schemeClr w14:val="tx1"/>
            </w14:solidFill>
          </w14:textFill>
        </w:rPr>
      </w:pPr>
      <w:r>
        <w:rPr>
          <w:rFonts w:hint="eastAsia"/>
          <w:color w:val="000000" w:themeColor="text1"/>
          <w14:textFill>
            <w14:solidFill>
              <w14:schemeClr w14:val="tx1"/>
            </w14:solidFill>
          </w14:textFill>
        </w:rPr>
        <w:t>本期与本公司发生关联方交易，或前期与本公司发生关联方交易形成余额的其他合营或联营企业情况如下</w:t>
      </w:r>
    </w:p>
    <w:sdt>
      <w:sdtPr>
        <w:rPr>
          <w:color w:val="000000" w:themeColor="text1"/>
          <w14:textFill>
            <w14:solidFill>
              <w14:schemeClr w14:val="tx1"/>
            </w14:solidFill>
          </w14:textFill>
        </w:rPr>
        <w:alias w:val="是否适用：本期与本公司发生关联方交易，或前期与本公司发生关联方交易形成余额的其他合营或联营企业情况如下[双击切换]"/>
        <w:tag w:val="_GBC_cab97913a7cc4573b25c34077eadbc4c"/>
        <w:id w:val="147462340"/>
        <w:placeholder>
          <w:docPart w:val="GBC22222222222222222222222222222"/>
        </w:placeholder>
      </w:sdtPr>
      <w:sdtEndPr>
        <w:rPr>
          <w:color w:val="000000" w:themeColor="text1"/>
          <w14:textFill>
            <w14:solidFill>
              <w14:schemeClr w14:val="tx1"/>
            </w14:solidFill>
          </w14:textFill>
        </w:rPr>
      </w:sdtEndPr>
      <w:sdtContent>
        <w:p w14:paraId="34C24DD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6"/>
        <w:gridCol w:w="4693"/>
      </w:tblGrid>
      <w:tr w14:paraId="1614D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sdt>
          <w:sdtPr>
            <w:tag w:val="_PLD_e5c009b9730d40bc93f36e5e672cbe84"/>
            <w:id w:val="147457721"/>
          </w:sdtPr>
          <w:sdtContent>
            <w:tc>
              <w:tcPr>
                <w:tcW w:w="2407" w:type="pct"/>
                <w:tcBorders>
                  <w:top w:val="single" w:color="auto" w:sz="4" w:space="0"/>
                  <w:left w:val="single" w:color="auto" w:sz="4" w:space="0"/>
                  <w:bottom w:val="single" w:color="auto" w:sz="4" w:space="0"/>
                  <w:right w:val="single" w:color="auto" w:sz="4" w:space="0"/>
                </w:tcBorders>
              </w:tcPr>
              <w:p w14:paraId="412AC57E">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合营或联营企业名称</w:t>
                </w:r>
              </w:p>
            </w:tc>
          </w:sdtContent>
        </w:sdt>
        <w:sdt>
          <w:sdtPr>
            <w:tag w:val="_PLD_84c60036e8b849288542661d1d1b9890"/>
            <w:id w:val="147470879"/>
          </w:sdtPr>
          <w:sdtContent>
            <w:tc>
              <w:tcPr>
                <w:tcW w:w="2593" w:type="pct"/>
                <w:tcBorders>
                  <w:top w:val="single" w:color="auto" w:sz="4" w:space="0"/>
                  <w:left w:val="single" w:color="auto" w:sz="4" w:space="0"/>
                  <w:bottom w:val="single" w:color="auto" w:sz="4" w:space="0"/>
                  <w:right w:val="single" w:color="auto" w:sz="4" w:space="0"/>
                </w:tcBorders>
              </w:tcPr>
              <w:p w14:paraId="6C6C5E9E">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与本企业关系</w:t>
                </w:r>
              </w:p>
            </w:tc>
          </w:sdtContent>
        </w:sdt>
      </w:tr>
      <w:tr w14:paraId="06534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07" w:type="pct"/>
            <w:tcBorders>
              <w:top w:val="single" w:color="auto" w:sz="4" w:space="0"/>
              <w:left w:val="single" w:color="auto" w:sz="4" w:space="0"/>
              <w:bottom w:val="single" w:color="auto" w:sz="4" w:space="0"/>
              <w:right w:val="single" w:color="auto" w:sz="4" w:space="0"/>
            </w:tcBorders>
          </w:tcPr>
          <w:p w14:paraId="45C8663B">
            <w:pPr>
              <w:textAlignment w:val="top"/>
            </w:pPr>
            <w:r>
              <w:rPr>
                <w:rFonts w:hint="eastAsia" w:ascii="宋体" w:hAnsi="宋体"/>
                <w:color w:val="000000"/>
                <w:lang w:bidi="ar"/>
              </w:rPr>
              <w:t>南京英斯瑞德高分子材料股份有限公司</w:t>
            </w:r>
          </w:p>
        </w:tc>
        <w:tc>
          <w:tcPr>
            <w:tcW w:w="2593" w:type="pct"/>
            <w:tcBorders>
              <w:top w:val="single" w:color="auto" w:sz="4" w:space="0"/>
              <w:left w:val="single" w:color="auto" w:sz="4" w:space="0"/>
              <w:bottom w:val="single" w:color="auto" w:sz="4" w:space="0"/>
              <w:right w:val="single" w:color="auto" w:sz="4" w:space="0"/>
            </w:tcBorders>
          </w:tcPr>
          <w:p w14:paraId="1CACDB0A">
            <w:pPr>
              <w:jc w:val="center"/>
              <w:textAlignment w:val="top"/>
            </w:pPr>
            <w:r>
              <w:rPr>
                <w:rFonts w:hint="eastAsia" w:ascii="宋体" w:hAnsi="宋体"/>
                <w:color w:val="000000"/>
                <w:lang w:bidi="ar"/>
              </w:rPr>
              <w:t>子公司联营企业</w:t>
            </w:r>
          </w:p>
        </w:tc>
      </w:tr>
      <w:tr w14:paraId="111A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07" w:type="pct"/>
            <w:tcBorders>
              <w:top w:val="single" w:color="auto" w:sz="4" w:space="0"/>
              <w:left w:val="single" w:color="auto" w:sz="4" w:space="0"/>
              <w:bottom w:val="single" w:color="auto" w:sz="4" w:space="0"/>
              <w:right w:val="single" w:color="auto" w:sz="4" w:space="0"/>
            </w:tcBorders>
          </w:tcPr>
          <w:p w14:paraId="15B5258B">
            <w:pPr>
              <w:textAlignment w:val="top"/>
            </w:pPr>
            <w:r>
              <w:rPr>
                <w:rFonts w:hint="eastAsia" w:ascii="宋体" w:hAnsi="宋体"/>
                <w:color w:val="000000"/>
                <w:lang w:bidi="ar"/>
              </w:rPr>
              <w:t>河北玄德智能科技发展股份有限公司</w:t>
            </w:r>
          </w:p>
        </w:tc>
        <w:tc>
          <w:tcPr>
            <w:tcW w:w="2593" w:type="pct"/>
            <w:tcBorders>
              <w:top w:val="single" w:color="auto" w:sz="4" w:space="0"/>
              <w:left w:val="single" w:color="auto" w:sz="4" w:space="0"/>
              <w:bottom w:val="single" w:color="auto" w:sz="4" w:space="0"/>
              <w:right w:val="single" w:color="auto" w:sz="4" w:space="0"/>
            </w:tcBorders>
          </w:tcPr>
          <w:p w14:paraId="62D3AACD">
            <w:pPr>
              <w:jc w:val="center"/>
              <w:textAlignment w:val="top"/>
            </w:pPr>
            <w:r>
              <w:rPr>
                <w:rFonts w:hint="eastAsia" w:ascii="宋体" w:hAnsi="宋体"/>
                <w:color w:val="000000"/>
                <w:lang w:bidi="ar"/>
              </w:rPr>
              <w:t>子公司联营企业</w:t>
            </w:r>
          </w:p>
        </w:tc>
      </w:tr>
      <w:tr w14:paraId="15DA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07" w:type="pct"/>
            <w:tcBorders>
              <w:top w:val="single" w:color="auto" w:sz="4" w:space="0"/>
              <w:left w:val="single" w:color="auto" w:sz="4" w:space="0"/>
              <w:bottom w:val="single" w:color="auto" w:sz="4" w:space="0"/>
              <w:right w:val="single" w:color="auto" w:sz="4" w:space="0"/>
            </w:tcBorders>
          </w:tcPr>
          <w:p w14:paraId="230FC9C2">
            <w:pPr>
              <w:textAlignment w:val="top"/>
            </w:pPr>
            <w:r>
              <w:rPr>
                <w:rFonts w:hint="eastAsia" w:ascii="宋体" w:hAnsi="宋体"/>
                <w:color w:val="000000"/>
                <w:lang w:bidi="ar"/>
              </w:rPr>
              <w:t>宜昌际华仙女服饰有限公司</w:t>
            </w:r>
          </w:p>
        </w:tc>
        <w:tc>
          <w:tcPr>
            <w:tcW w:w="2593" w:type="pct"/>
            <w:tcBorders>
              <w:top w:val="single" w:color="auto" w:sz="4" w:space="0"/>
              <w:left w:val="single" w:color="auto" w:sz="4" w:space="0"/>
              <w:bottom w:val="single" w:color="auto" w:sz="4" w:space="0"/>
              <w:right w:val="single" w:color="auto" w:sz="4" w:space="0"/>
            </w:tcBorders>
          </w:tcPr>
          <w:p w14:paraId="6E0B6214">
            <w:pPr>
              <w:jc w:val="center"/>
              <w:textAlignment w:val="top"/>
            </w:pPr>
            <w:r>
              <w:rPr>
                <w:rFonts w:hint="eastAsia" w:ascii="宋体" w:hAnsi="宋体"/>
                <w:color w:val="000000"/>
                <w:lang w:bidi="ar"/>
              </w:rPr>
              <w:t>子公司联营企业</w:t>
            </w:r>
          </w:p>
        </w:tc>
      </w:tr>
      <w:tr w14:paraId="4BD1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07" w:type="pct"/>
            <w:tcBorders>
              <w:top w:val="single" w:color="auto" w:sz="4" w:space="0"/>
              <w:left w:val="single" w:color="auto" w:sz="4" w:space="0"/>
              <w:bottom w:val="single" w:color="auto" w:sz="4" w:space="0"/>
              <w:right w:val="single" w:color="auto" w:sz="4" w:space="0"/>
            </w:tcBorders>
          </w:tcPr>
          <w:p w14:paraId="30913144">
            <w:pPr>
              <w:textAlignment w:val="top"/>
            </w:pPr>
            <w:r>
              <w:rPr>
                <w:rFonts w:hint="eastAsia" w:ascii="宋体" w:hAnsi="宋体"/>
                <w:color w:val="000000"/>
                <w:lang w:bidi="ar"/>
              </w:rPr>
              <w:t>湖南中晟高分子新材料有限公司</w:t>
            </w:r>
          </w:p>
        </w:tc>
        <w:tc>
          <w:tcPr>
            <w:tcW w:w="2593" w:type="pct"/>
            <w:tcBorders>
              <w:top w:val="single" w:color="auto" w:sz="4" w:space="0"/>
              <w:left w:val="single" w:color="auto" w:sz="4" w:space="0"/>
              <w:bottom w:val="single" w:color="auto" w:sz="4" w:space="0"/>
              <w:right w:val="single" w:color="auto" w:sz="4" w:space="0"/>
            </w:tcBorders>
          </w:tcPr>
          <w:p w14:paraId="3EFE1C9E">
            <w:pPr>
              <w:jc w:val="center"/>
              <w:textAlignment w:val="top"/>
            </w:pPr>
            <w:r>
              <w:rPr>
                <w:rFonts w:hint="eastAsia" w:ascii="宋体" w:hAnsi="宋体"/>
                <w:color w:val="000000"/>
                <w:lang w:bidi="ar"/>
              </w:rPr>
              <w:t>子公司联营企业</w:t>
            </w:r>
          </w:p>
        </w:tc>
      </w:tr>
      <w:tr w14:paraId="5DB90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07" w:type="pct"/>
            <w:tcBorders>
              <w:top w:val="single" w:color="auto" w:sz="4" w:space="0"/>
              <w:left w:val="single" w:color="auto" w:sz="4" w:space="0"/>
              <w:bottom w:val="single" w:color="auto" w:sz="4" w:space="0"/>
              <w:right w:val="single" w:color="auto" w:sz="4" w:space="0"/>
            </w:tcBorders>
          </w:tcPr>
          <w:p w14:paraId="5218F3A8">
            <w:pPr>
              <w:textAlignment w:val="top"/>
            </w:pPr>
            <w:r>
              <w:rPr>
                <w:rFonts w:hint="eastAsia" w:ascii="宋体" w:hAnsi="宋体"/>
                <w:color w:val="000000"/>
                <w:lang w:bidi="ar"/>
              </w:rPr>
              <w:t>湖北际华置业有限公司</w:t>
            </w:r>
          </w:p>
        </w:tc>
        <w:tc>
          <w:tcPr>
            <w:tcW w:w="2593" w:type="pct"/>
            <w:tcBorders>
              <w:top w:val="single" w:color="auto" w:sz="4" w:space="0"/>
              <w:left w:val="single" w:color="auto" w:sz="4" w:space="0"/>
              <w:bottom w:val="single" w:color="auto" w:sz="4" w:space="0"/>
              <w:right w:val="single" w:color="auto" w:sz="4" w:space="0"/>
            </w:tcBorders>
          </w:tcPr>
          <w:p w14:paraId="47DA09AA">
            <w:pPr>
              <w:jc w:val="center"/>
              <w:textAlignment w:val="top"/>
            </w:pPr>
            <w:r>
              <w:rPr>
                <w:rFonts w:hint="eastAsia" w:ascii="宋体" w:hAnsi="宋体"/>
                <w:color w:val="000000"/>
                <w:lang w:bidi="ar"/>
              </w:rPr>
              <w:t>子公司联营企业</w:t>
            </w:r>
          </w:p>
        </w:tc>
      </w:tr>
      <w:tr w14:paraId="64EF2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07" w:type="pct"/>
            <w:tcBorders>
              <w:top w:val="single" w:color="auto" w:sz="4" w:space="0"/>
              <w:left w:val="single" w:color="auto" w:sz="4" w:space="0"/>
              <w:bottom w:val="single" w:color="auto" w:sz="4" w:space="0"/>
              <w:right w:val="single" w:color="auto" w:sz="4" w:space="0"/>
            </w:tcBorders>
          </w:tcPr>
          <w:p w14:paraId="5565C67D">
            <w:pPr>
              <w:textAlignment w:val="top"/>
            </w:pPr>
            <w:r>
              <w:rPr>
                <w:rFonts w:hint="eastAsia" w:ascii="宋体" w:hAnsi="宋体"/>
                <w:color w:val="000000"/>
                <w:lang w:bidi="ar"/>
              </w:rPr>
              <w:t>际华洁能（天津）环保科技发展有限公司</w:t>
            </w:r>
          </w:p>
        </w:tc>
        <w:tc>
          <w:tcPr>
            <w:tcW w:w="2593" w:type="pct"/>
            <w:tcBorders>
              <w:top w:val="single" w:color="auto" w:sz="4" w:space="0"/>
              <w:left w:val="single" w:color="auto" w:sz="4" w:space="0"/>
              <w:bottom w:val="single" w:color="auto" w:sz="4" w:space="0"/>
              <w:right w:val="single" w:color="auto" w:sz="4" w:space="0"/>
            </w:tcBorders>
          </w:tcPr>
          <w:p w14:paraId="28A864CB">
            <w:pPr>
              <w:jc w:val="center"/>
              <w:textAlignment w:val="top"/>
            </w:pPr>
            <w:r>
              <w:rPr>
                <w:rFonts w:hint="eastAsia" w:ascii="宋体" w:hAnsi="宋体"/>
                <w:color w:val="000000"/>
                <w:lang w:bidi="ar"/>
              </w:rPr>
              <w:t>子公司联营企业</w:t>
            </w:r>
          </w:p>
        </w:tc>
      </w:tr>
      <w:tr w14:paraId="1BD0D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07" w:type="pct"/>
            <w:tcBorders>
              <w:top w:val="single" w:color="auto" w:sz="4" w:space="0"/>
              <w:left w:val="single" w:color="auto" w:sz="4" w:space="0"/>
              <w:bottom w:val="single" w:color="auto" w:sz="4" w:space="0"/>
              <w:right w:val="single" w:color="auto" w:sz="4" w:space="0"/>
            </w:tcBorders>
          </w:tcPr>
          <w:p w14:paraId="627D866C">
            <w:pPr>
              <w:textAlignment w:val="top"/>
            </w:pPr>
            <w:r>
              <w:rPr>
                <w:rFonts w:hint="eastAsia" w:ascii="宋体" w:hAnsi="宋体"/>
                <w:color w:val="000000"/>
                <w:lang w:bidi="ar"/>
              </w:rPr>
              <w:t>邢台诚达房地产开发有限公司</w:t>
            </w:r>
          </w:p>
        </w:tc>
        <w:tc>
          <w:tcPr>
            <w:tcW w:w="2593" w:type="pct"/>
            <w:tcBorders>
              <w:top w:val="single" w:color="auto" w:sz="4" w:space="0"/>
              <w:left w:val="single" w:color="auto" w:sz="4" w:space="0"/>
              <w:bottom w:val="single" w:color="auto" w:sz="4" w:space="0"/>
              <w:right w:val="single" w:color="auto" w:sz="4" w:space="0"/>
            </w:tcBorders>
          </w:tcPr>
          <w:p w14:paraId="26889A6F">
            <w:pPr>
              <w:jc w:val="center"/>
              <w:textAlignment w:val="top"/>
            </w:pPr>
            <w:r>
              <w:rPr>
                <w:rFonts w:hint="eastAsia" w:ascii="宋体" w:hAnsi="宋体"/>
                <w:color w:val="000000"/>
                <w:lang w:bidi="ar"/>
              </w:rPr>
              <w:t>子公司联营企业</w:t>
            </w:r>
          </w:p>
        </w:tc>
      </w:tr>
    </w:tbl>
    <w:p w14:paraId="70F37BD8">
      <w:pPr>
        <w:tabs>
          <w:tab w:val="left" w:pos="1134"/>
        </w:tabs>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其他说明</w:t>
      </w:r>
    </w:p>
    <w:sdt>
      <w:sdtPr>
        <w:rPr>
          <w:rFonts w:cs="Cambria"/>
          <w:color w:val="000000" w:themeColor="text1"/>
          <w14:textFill>
            <w14:solidFill>
              <w14:schemeClr w14:val="tx1"/>
            </w14:solidFill>
          </w14:textFill>
        </w:rPr>
        <w:alias w:val="是否适用：存在关联方交易或余额的合营和联营企业情况说明[双击切换]"/>
        <w:tag w:val="_GBC_6d56e8a9eaca4f499d758b2eb96268bf"/>
        <w:id w:val="147455021"/>
        <w:placeholder>
          <w:docPart w:val="GBC22222222222222222222222222222"/>
        </w:placeholder>
      </w:sdtPr>
      <w:sdtEndPr>
        <w:rPr>
          <w:rFonts w:cs="Cambria"/>
          <w:color w:val="000000" w:themeColor="text1"/>
          <w14:textFill>
            <w14:solidFill>
              <w14:schemeClr w14:val="tx1"/>
            </w14:solidFill>
          </w14:textFill>
        </w:rPr>
      </w:sdtEndPr>
      <w:sdtContent>
        <w:p w14:paraId="34CAC229">
          <w:pPr>
            <w:tabs>
              <w:tab w:val="left" w:pos="1134"/>
            </w:tabs>
            <w:rPr>
              <w:rFonts w:cs="Cambria"/>
              <w:color w:val="000000" w:themeColor="text1"/>
              <w14:textFill>
                <w14:solidFill>
                  <w14:schemeClr w14:val="tx1"/>
                </w14:solidFill>
              </w14:textFill>
            </w:rPr>
          </w:pPr>
          <w:r>
            <w:rPr>
              <w:rFonts w:ascii="宋体" w:hAnsi="宋体" w:cs="Cambria"/>
              <w:color w:val="000000" w:themeColor="text1"/>
              <w14:textFill>
                <w14:solidFill>
                  <w14:schemeClr w14:val="tx1"/>
                </w14:solidFill>
              </w14:textFill>
            </w:rPr>
            <w:fldChar w:fldCharType="begin"/>
          </w:r>
          <w:r>
            <w:rPr>
              <w:rFonts w:hint="eastAsia" w:ascii="宋体" w:hAnsi="宋体" w:cs="Cambria"/>
              <w:color w:val="000000" w:themeColor="text1"/>
              <w14:textFill>
                <w14:solidFill>
                  <w14:schemeClr w14:val="tx1"/>
                </w14:solidFill>
              </w14:textFill>
            </w:rPr>
            <w:instrText xml:space="preserve"> MACROBUTTON  SnrToggleCheckbox □适用 </w:instrText>
          </w:r>
          <w:r>
            <w:rPr>
              <w:rFonts w:ascii="宋体" w:hAnsi="宋体" w:cs="Cambria"/>
              <w:color w:val="000000" w:themeColor="text1"/>
              <w14:textFill>
                <w14:solidFill>
                  <w14:schemeClr w14:val="tx1"/>
                </w14:solidFill>
              </w14:textFill>
            </w:rPr>
            <w:fldChar w:fldCharType="end"/>
          </w:r>
          <w:r>
            <w:rPr>
              <w:rFonts w:ascii="宋体" w:hAnsi="宋体" w:cs="Cambria"/>
              <w:color w:val="000000" w:themeColor="text1"/>
              <w14:textFill>
                <w14:solidFill>
                  <w14:schemeClr w14:val="tx1"/>
                </w14:solidFill>
              </w14:textFill>
            </w:rPr>
            <w:fldChar w:fldCharType="begin"/>
          </w:r>
          <w:r>
            <w:rPr>
              <w:rFonts w:hint="eastAsia" w:ascii="宋体" w:hAnsi="宋体" w:cs="Cambria"/>
              <w:color w:val="000000" w:themeColor="text1"/>
              <w14:textFill>
                <w14:solidFill>
                  <w14:schemeClr w14:val="tx1"/>
                </w14:solidFill>
              </w14:textFill>
            </w:rPr>
            <w:instrText xml:space="preserve"> MACROBUTTON  SnrToggleCheckbox √不适用 </w:instrText>
          </w:r>
          <w:r>
            <w:rPr>
              <w:rFonts w:ascii="宋体" w:hAnsi="宋体" w:cs="Cambria"/>
              <w:color w:val="000000" w:themeColor="text1"/>
              <w14:textFill>
                <w14:solidFill>
                  <w14:schemeClr w14:val="tx1"/>
                </w14:solidFill>
              </w14:textFill>
            </w:rPr>
            <w:fldChar w:fldCharType="end"/>
          </w:r>
        </w:p>
      </w:sdtContent>
    </w:sdt>
    <w:p w14:paraId="73BF3098">
      <w:pPr>
        <w:tabs>
          <w:tab w:val="left" w:pos="1134"/>
        </w:tabs>
        <w:rPr>
          <w:rFonts w:cs="Cambria"/>
          <w:color w:val="000000" w:themeColor="text1"/>
          <w14:textFill>
            <w14:solidFill>
              <w14:schemeClr w14:val="tx1"/>
            </w14:solidFill>
          </w14:textFill>
        </w:rPr>
      </w:pPr>
    </w:p>
    <w:p w14:paraId="3EB6E2F8">
      <w:pPr>
        <w:pStyle w:val="57"/>
        <w:numPr>
          <w:ilvl w:val="0"/>
          <w:numId w:val="104"/>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其他关联方情况</w:t>
      </w:r>
    </w:p>
    <w:sdt>
      <w:sdtPr>
        <w:rPr>
          <w:color w:val="000000" w:themeColor="text1"/>
          <w14:textFill>
            <w14:solidFill>
              <w14:schemeClr w14:val="tx1"/>
            </w14:solidFill>
          </w14:textFill>
        </w:rPr>
        <w:alias w:val="是否适用：其他关联方情况[双击切换]"/>
        <w:tag w:val="_GBC_f9c029ef57734babb6375a74af1e3736"/>
        <w:id w:val="147481878"/>
        <w:placeholder>
          <w:docPart w:val="GBC22222222222222222222222222222"/>
        </w:placeholder>
      </w:sdtPr>
      <w:sdtEndPr>
        <w:rPr>
          <w:color w:val="000000" w:themeColor="text1"/>
          <w14:textFill>
            <w14:solidFill>
              <w14:schemeClr w14:val="tx1"/>
            </w14:solidFill>
          </w14:textFill>
        </w:rPr>
      </w:sdtEndPr>
      <w:sdtContent>
        <w:p w14:paraId="26B25DC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1"/>
        <w:gridCol w:w="4078"/>
      </w:tblGrid>
      <w:tr w14:paraId="1A34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blHeader/>
        </w:trPr>
        <w:sdt>
          <w:sdtPr>
            <w:tag w:val="_PLD_8fe00abbc9b249a98b2e3ac6b12f12db"/>
            <w:id w:val="147460527"/>
          </w:sdtPr>
          <w:sdtContent>
            <w:tc>
              <w:tcPr>
                <w:tcW w:w="2746" w:type="pct"/>
                <w:tcBorders>
                  <w:top w:val="single" w:color="auto" w:sz="4" w:space="0"/>
                  <w:left w:val="single" w:color="auto" w:sz="4" w:space="0"/>
                  <w:bottom w:val="single" w:color="auto" w:sz="4" w:space="0"/>
                  <w:right w:val="single" w:color="auto" w:sz="4" w:space="0"/>
                </w:tcBorders>
              </w:tcPr>
              <w:p w14:paraId="7110B543">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其他关联方名称</w:t>
                </w:r>
              </w:p>
            </w:tc>
          </w:sdtContent>
        </w:sdt>
        <w:sdt>
          <w:sdtPr>
            <w:tag w:val="_PLD_c1304840da1e482f80286e0c7ca19002"/>
            <w:id w:val="147470390"/>
          </w:sdtPr>
          <w:sdtContent>
            <w:tc>
              <w:tcPr>
                <w:tcW w:w="2253" w:type="pct"/>
                <w:tcBorders>
                  <w:top w:val="single" w:color="auto" w:sz="4" w:space="0"/>
                  <w:left w:val="single" w:color="auto" w:sz="4" w:space="0"/>
                  <w:bottom w:val="single" w:color="auto" w:sz="4" w:space="0"/>
                  <w:right w:val="single" w:color="auto" w:sz="4" w:space="0"/>
                </w:tcBorders>
              </w:tcPr>
              <w:p w14:paraId="7D5713A9">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其他关联方与本企业关系</w:t>
                </w:r>
              </w:p>
            </w:tc>
          </w:sdtContent>
        </w:sdt>
      </w:tr>
      <w:tr w14:paraId="13438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636A911D">
            <w:pPr>
              <w:rPr>
                <w:rFonts w:cs="Cambria"/>
              </w:rPr>
            </w:pPr>
            <w:r>
              <w:t>北京呼家楼宾馆有限公司</w:t>
            </w:r>
          </w:p>
        </w:tc>
        <w:sdt>
          <w:sdtPr>
            <w:rPr>
              <w:rFonts w:cs="Cambria"/>
              <w:color w:val="000000" w:themeColor="text1"/>
              <w14:textFill>
                <w14:solidFill>
                  <w14:schemeClr w14:val="tx1"/>
                </w14:solidFill>
              </w14:textFill>
            </w:rPr>
            <w:alias w:val="本企业的其他关联方情况明细－其他关联方与本公司关系"/>
            <w:tag w:val="_GBC_2205fb8ea5f648b5a0c9e8e3f8499f9f"/>
            <w:id w:val="14747871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color w:val="000000" w:themeColor="text1"/>
              <w14:textFill>
                <w14:solidFill>
                  <w14:schemeClr w14:val="tx1"/>
                </w14:solidFill>
              </w14:textFill>
            </w:rPr>
          </w:sdtEndPr>
          <w:sdtContent>
            <w:tc>
              <w:tcPr>
                <w:tcW w:w="2253" w:type="pct"/>
                <w:tcBorders>
                  <w:top w:val="single" w:color="auto" w:sz="4" w:space="0"/>
                  <w:left w:val="single" w:color="auto" w:sz="4" w:space="0"/>
                  <w:bottom w:val="single" w:color="auto" w:sz="4" w:space="0"/>
                  <w:right w:val="single" w:color="auto" w:sz="4" w:space="0"/>
                </w:tcBorders>
              </w:tcPr>
              <w:p w14:paraId="2CBB89BA">
                <w:pPr>
                  <w:jc w:val="center"/>
                  <w:rPr>
                    <w:rFonts w:cs="Cambria"/>
                    <w:color w:val="000000" w:themeColor="text1"/>
                    <w14:textFill>
                      <w14:solidFill>
                        <w14:schemeClr w14:val="tx1"/>
                      </w14:solidFill>
                    </w14:textFill>
                  </w:rPr>
                </w:pPr>
                <w:r>
                  <w:rPr>
                    <w:rFonts w:cs="Cambria"/>
                    <w:color w:val="000000" w:themeColor="text1"/>
                    <w14:textFill>
                      <w14:solidFill>
                        <w14:schemeClr w14:val="tx1"/>
                      </w14:solidFill>
                    </w14:textFill>
                  </w:rPr>
                  <w:t>母公司的全资子公司</w:t>
                </w:r>
              </w:p>
            </w:tc>
          </w:sdtContent>
        </w:sdt>
      </w:tr>
      <w:tr w14:paraId="3A2B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21B45210">
            <w:pPr>
              <w:rPr>
                <w:rFonts w:cs="Cambria"/>
              </w:rPr>
            </w:pPr>
            <w:r>
              <w:t>河北新兴能源科技股份有限公司</w:t>
            </w:r>
          </w:p>
        </w:tc>
        <w:tc>
          <w:tcPr>
            <w:tcW w:w="2253" w:type="pct"/>
            <w:tcBorders>
              <w:top w:val="single" w:color="auto" w:sz="4" w:space="0"/>
              <w:left w:val="single" w:color="auto" w:sz="4" w:space="0"/>
              <w:bottom w:val="single" w:color="auto" w:sz="4" w:space="0"/>
              <w:right w:val="single" w:color="auto" w:sz="4" w:space="0"/>
            </w:tcBorders>
          </w:tcPr>
          <w:p w14:paraId="674A9D21">
            <w:pPr>
              <w:jc w:val="center"/>
              <w:rPr>
                <w:color w:val="000000" w:themeColor="text1"/>
                <w14:textFill>
                  <w14:solidFill>
                    <w14:schemeClr w14:val="tx1"/>
                  </w14:solidFill>
                </w14:textFill>
              </w:rPr>
            </w:pPr>
            <w:r>
              <w:t>母公司的控股子公司</w:t>
            </w:r>
          </w:p>
        </w:tc>
      </w:tr>
      <w:tr w14:paraId="3FF18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2C31227B">
            <w:pPr>
              <w:rPr>
                <w:rFonts w:cs="Cambria"/>
              </w:rPr>
            </w:pPr>
            <w:r>
              <w:t>新兴际华（北京）材料技术研究院有限公司</w:t>
            </w:r>
          </w:p>
        </w:tc>
        <w:tc>
          <w:tcPr>
            <w:tcW w:w="2253" w:type="pct"/>
            <w:tcBorders>
              <w:top w:val="single" w:color="auto" w:sz="4" w:space="0"/>
              <w:left w:val="single" w:color="auto" w:sz="4" w:space="0"/>
              <w:bottom w:val="single" w:color="auto" w:sz="4" w:space="0"/>
              <w:right w:val="single" w:color="auto" w:sz="4" w:space="0"/>
            </w:tcBorders>
          </w:tcPr>
          <w:p w14:paraId="47BB4384">
            <w:pPr>
              <w:jc w:val="center"/>
              <w:rPr>
                <w:color w:val="000000" w:themeColor="text1"/>
                <w14:textFill>
                  <w14:solidFill>
                    <w14:schemeClr w14:val="tx1"/>
                  </w14:solidFill>
                </w14:textFill>
              </w:rPr>
            </w:pPr>
            <w:r>
              <w:t>母公司的全资子公司</w:t>
            </w:r>
          </w:p>
        </w:tc>
      </w:tr>
      <w:tr w14:paraId="0E55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7B315B0F">
            <w:pPr>
              <w:rPr>
                <w:rFonts w:cs="Cambria"/>
              </w:rPr>
            </w:pPr>
            <w:r>
              <w:t>新兴际华应急装备技术有限公司</w:t>
            </w:r>
          </w:p>
        </w:tc>
        <w:tc>
          <w:tcPr>
            <w:tcW w:w="2253" w:type="pct"/>
            <w:tcBorders>
              <w:top w:val="single" w:color="auto" w:sz="4" w:space="0"/>
              <w:left w:val="single" w:color="auto" w:sz="4" w:space="0"/>
              <w:bottom w:val="single" w:color="auto" w:sz="4" w:space="0"/>
              <w:right w:val="single" w:color="auto" w:sz="4" w:space="0"/>
            </w:tcBorders>
          </w:tcPr>
          <w:p w14:paraId="0EA33EC6">
            <w:pPr>
              <w:jc w:val="center"/>
              <w:rPr>
                <w:color w:val="000000" w:themeColor="text1"/>
                <w14:textFill>
                  <w14:solidFill>
                    <w14:schemeClr w14:val="tx1"/>
                  </w14:solidFill>
                </w14:textFill>
              </w:rPr>
            </w:pPr>
            <w:r>
              <w:t>母公司的全资子公司</w:t>
            </w:r>
          </w:p>
        </w:tc>
      </w:tr>
      <w:tr w14:paraId="79A52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14198C9D">
            <w:pPr>
              <w:rPr>
                <w:rFonts w:cs="Cambria"/>
              </w:rPr>
            </w:pPr>
            <w:r>
              <w:t>新兴际华资产经营管理有限公司</w:t>
            </w:r>
          </w:p>
        </w:tc>
        <w:tc>
          <w:tcPr>
            <w:tcW w:w="2253" w:type="pct"/>
            <w:tcBorders>
              <w:top w:val="single" w:color="auto" w:sz="4" w:space="0"/>
              <w:left w:val="single" w:color="auto" w:sz="4" w:space="0"/>
              <w:bottom w:val="single" w:color="auto" w:sz="4" w:space="0"/>
              <w:right w:val="single" w:color="auto" w:sz="4" w:space="0"/>
            </w:tcBorders>
          </w:tcPr>
          <w:p w14:paraId="42820B5C">
            <w:pPr>
              <w:jc w:val="center"/>
              <w:rPr>
                <w:color w:val="000000" w:themeColor="text1"/>
                <w14:textFill>
                  <w14:solidFill>
                    <w14:schemeClr w14:val="tx1"/>
                  </w14:solidFill>
                </w14:textFill>
              </w:rPr>
            </w:pPr>
            <w:r>
              <w:t>母公司的全资子公司</w:t>
            </w:r>
          </w:p>
        </w:tc>
      </w:tr>
      <w:tr w14:paraId="700F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25820AF6">
            <w:pPr>
              <w:rPr>
                <w:rFonts w:cs="Cambria"/>
              </w:rPr>
            </w:pPr>
            <w:r>
              <w:t>芜湖新兴铸管有限责任公司</w:t>
            </w:r>
          </w:p>
        </w:tc>
        <w:tc>
          <w:tcPr>
            <w:tcW w:w="2253" w:type="pct"/>
            <w:tcBorders>
              <w:top w:val="single" w:color="auto" w:sz="4" w:space="0"/>
              <w:left w:val="single" w:color="auto" w:sz="4" w:space="0"/>
              <w:bottom w:val="single" w:color="auto" w:sz="4" w:space="0"/>
              <w:right w:val="single" w:color="auto" w:sz="4" w:space="0"/>
            </w:tcBorders>
          </w:tcPr>
          <w:p w14:paraId="01F2EA80">
            <w:pPr>
              <w:jc w:val="center"/>
              <w:rPr>
                <w:color w:val="000000" w:themeColor="text1"/>
                <w14:textFill>
                  <w14:solidFill>
                    <w14:schemeClr w14:val="tx1"/>
                  </w14:solidFill>
                </w14:textFill>
              </w:rPr>
            </w:pPr>
            <w:r>
              <w:t>母公司的控股子公司</w:t>
            </w:r>
          </w:p>
        </w:tc>
      </w:tr>
      <w:tr w14:paraId="19F61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4245CF15">
            <w:pPr>
              <w:rPr>
                <w:rFonts w:cs="Cambria"/>
              </w:rPr>
            </w:pPr>
            <w:r>
              <w:t>新兴际华投资有限公司</w:t>
            </w:r>
          </w:p>
        </w:tc>
        <w:tc>
          <w:tcPr>
            <w:tcW w:w="2253" w:type="pct"/>
            <w:tcBorders>
              <w:top w:val="single" w:color="auto" w:sz="4" w:space="0"/>
              <w:left w:val="single" w:color="auto" w:sz="4" w:space="0"/>
              <w:bottom w:val="single" w:color="auto" w:sz="4" w:space="0"/>
              <w:right w:val="single" w:color="auto" w:sz="4" w:space="0"/>
            </w:tcBorders>
          </w:tcPr>
          <w:p w14:paraId="57234E8C">
            <w:pPr>
              <w:jc w:val="center"/>
              <w:rPr>
                <w:color w:val="000000" w:themeColor="text1"/>
                <w14:textFill>
                  <w14:solidFill>
                    <w14:schemeClr w14:val="tx1"/>
                  </w14:solidFill>
                </w14:textFill>
              </w:rPr>
            </w:pPr>
            <w:r>
              <w:t>母公司的控股子公司</w:t>
            </w:r>
          </w:p>
        </w:tc>
      </w:tr>
      <w:tr w14:paraId="5962E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6F302F3E">
            <w:pPr>
              <w:rPr>
                <w:rFonts w:cs="Cambria"/>
              </w:rPr>
            </w:pPr>
            <w:r>
              <w:t>新兴际华应急产业有限公司</w:t>
            </w:r>
          </w:p>
        </w:tc>
        <w:tc>
          <w:tcPr>
            <w:tcW w:w="2253" w:type="pct"/>
            <w:tcBorders>
              <w:top w:val="single" w:color="auto" w:sz="4" w:space="0"/>
              <w:left w:val="single" w:color="auto" w:sz="4" w:space="0"/>
              <w:bottom w:val="single" w:color="auto" w:sz="4" w:space="0"/>
              <w:right w:val="single" w:color="auto" w:sz="4" w:space="0"/>
            </w:tcBorders>
          </w:tcPr>
          <w:p w14:paraId="7A59B044">
            <w:pPr>
              <w:jc w:val="center"/>
              <w:rPr>
                <w:color w:val="000000" w:themeColor="text1"/>
                <w14:textFill>
                  <w14:solidFill>
                    <w14:schemeClr w14:val="tx1"/>
                  </w14:solidFill>
                </w14:textFill>
              </w:rPr>
            </w:pPr>
            <w:r>
              <w:t>母公司的全资子公司</w:t>
            </w:r>
          </w:p>
        </w:tc>
      </w:tr>
      <w:tr w14:paraId="7F13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72673B15">
            <w:pPr>
              <w:rPr>
                <w:rFonts w:cs="Cambria"/>
              </w:rPr>
            </w:pPr>
            <w:r>
              <w:t>石家庄际华资产管理有限公司</w:t>
            </w:r>
          </w:p>
        </w:tc>
        <w:tc>
          <w:tcPr>
            <w:tcW w:w="2253" w:type="pct"/>
            <w:tcBorders>
              <w:top w:val="single" w:color="auto" w:sz="4" w:space="0"/>
              <w:left w:val="single" w:color="auto" w:sz="4" w:space="0"/>
              <w:bottom w:val="single" w:color="auto" w:sz="4" w:space="0"/>
              <w:right w:val="single" w:color="auto" w:sz="4" w:space="0"/>
            </w:tcBorders>
          </w:tcPr>
          <w:p w14:paraId="43C2C421">
            <w:pPr>
              <w:jc w:val="center"/>
              <w:rPr>
                <w:color w:val="000000" w:themeColor="text1"/>
                <w14:textFill>
                  <w14:solidFill>
                    <w14:schemeClr w14:val="tx1"/>
                  </w14:solidFill>
                </w14:textFill>
              </w:rPr>
            </w:pPr>
            <w:r>
              <w:t>母公司的控股子公司</w:t>
            </w:r>
          </w:p>
        </w:tc>
      </w:tr>
      <w:tr w14:paraId="56AC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02E08A00">
            <w:pPr>
              <w:rPr>
                <w:rFonts w:cs="Cambria"/>
              </w:rPr>
            </w:pPr>
            <w:r>
              <w:t>广东新兴铸管有限公司</w:t>
            </w:r>
          </w:p>
        </w:tc>
        <w:tc>
          <w:tcPr>
            <w:tcW w:w="2253" w:type="pct"/>
            <w:tcBorders>
              <w:top w:val="single" w:color="auto" w:sz="4" w:space="0"/>
              <w:left w:val="single" w:color="auto" w:sz="4" w:space="0"/>
              <w:bottom w:val="single" w:color="auto" w:sz="4" w:space="0"/>
              <w:right w:val="single" w:color="auto" w:sz="4" w:space="0"/>
            </w:tcBorders>
          </w:tcPr>
          <w:p w14:paraId="75DE16E0">
            <w:pPr>
              <w:jc w:val="center"/>
              <w:rPr>
                <w:color w:val="000000" w:themeColor="text1"/>
                <w14:textFill>
                  <w14:solidFill>
                    <w14:schemeClr w14:val="tx1"/>
                  </w14:solidFill>
                </w14:textFill>
              </w:rPr>
            </w:pPr>
            <w:r>
              <w:t>母公司的控股子公司</w:t>
            </w:r>
          </w:p>
        </w:tc>
      </w:tr>
      <w:tr w14:paraId="6BD72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6F058871">
            <w:pPr>
              <w:rPr>
                <w:rFonts w:cs="Cambria"/>
              </w:rPr>
            </w:pPr>
            <w:r>
              <w:t>上海际华物流有限公司</w:t>
            </w:r>
          </w:p>
        </w:tc>
        <w:tc>
          <w:tcPr>
            <w:tcW w:w="2253" w:type="pct"/>
            <w:tcBorders>
              <w:top w:val="single" w:color="auto" w:sz="4" w:space="0"/>
              <w:left w:val="single" w:color="auto" w:sz="4" w:space="0"/>
              <w:bottom w:val="single" w:color="auto" w:sz="4" w:space="0"/>
              <w:right w:val="single" w:color="auto" w:sz="4" w:space="0"/>
            </w:tcBorders>
          </w:tcPr>
          <w:p w14:paraId="24789548">
            <w:pPr>
              <w:jc w:val="center"/>
              <w:rPr>
                <w:color w:val="000000" w:themeColor="text1"/>
                <w14:textFill>
                  <w14:solidFill>
                    <w14:schemeClr w14:val="tx1"/>
                  </w14:solidFill>
                </w14:textFill>
              </w:rPr>
            </w:pPr>
            <w:r>
              <w:t>母公司的控股子公司</w:t>
            </w:r>
          </w:p>
        </w:tc>
      </w:tr>
      <w:tr w14:paraId="31828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20C15D46">
            <w:pPr>
              <w:rPr>
                <w:rFonts w:cs="Cambria"/>
              </w:rPr>
            </w:pPr>
            <w:r>
              <w:t>际华五三零三服装有限公司</w:t>
            </w:r>
          </w:p>
        </w:tc>
        <w:tc>
          <w:tcPr>
            <w:tcW w:w="2253" w:type="pct"/>
            <w:tcBorders>
              <w:top w:val="single" w:color="auto" w:sz="4" w:space="0"/>
              <w:left w:val="single" w:color="auto" w:sz="4" w:space="0"/>
              <w:bottom w:val="single" w:color="auto" w:sz="4" w:space="0"/>
              <w:right w:val="single" w:color="auto" w:sz="4" w:space="0"/>
            </w:tcBorders>
          </w:tcPr>
          <w:p w14:paraId="329A7F58">
            <w:pPr>
              <w:jc w:val="center"/>
              <w:rPr>
                <w:color w:val="000000" w:themeColor="text1"/>
                <w14:textFill>
                  <w14:solidFill>
                    <w14:schemeClr w14:val="tx1"/>
                  </w14:solidFill>
                </w14:textFill>
              </w:rPr>
            </w:pPr>
            <w:r>
              <w:t>母公司的全资子公司</w:t>
            </w:r>
          </w:p>
        </w:tc>
      </w:tr>
      <w:tr w14:paraId="4B2D8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07749140">
            <w:pPr>
              <w:rPr>
                <w:rFonts w:cs="Cambria"/>
              </w:rPr>
            </w:pPr>
            <w:r>
              <w:t>辽宁际华三五二三特种装备有限公司</w:t>
            </w:r>
          </w:p>
        </w:tc>
        <w:tc>
          <w:tcPr>
            <w:tcW w:w="2253" w:type="pct"/>
            <w:tcBorders>
              <w:top w:val="single" w:color="auto" w:sz="4" w:space="0"/>
              <w:left w:val="single" w:color="auto" w:sz="4" w:space="0"/>
              <w:bottom w:val="single" w:color="auto" w:sz="4" w:space="0"/>
              <w:right w:val="single" w:color="auto" w:sz="4" w:space="0"/>
            </w:tcBorders>
          </w:tcPr>
          <w:p w14:paraId="213B812A">
            <w:pPr>
              <w:jc w:val="center"/>
              <w:rPr>
                <w:color w:val="000000" w:themeColor="text1"/>
                <w14:textFill>
                  <w14:solidFill>
                    <w14:schemeClr w14:val="tx1"/>
                  </w14:solidFill>
                </w14:textFill>
              </w:rPr>
            </w:pPr>
            <w:r>
              <w:t>母公司的全资子公司</w:t>
            </w:r>
          </w:p>
        </w:tc>
      </w:tr>
      <w:tr w14:paraId="1594F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3F19B12E">
            <w:pPr>
              <w:rPr>
                <w:rFonts w:cs="Cambria"/>
              </w:rPr>
            </w:pPr>
            <w:r>
              <w:t>秦皇岛际华三五四四鞋业有限公司</w:t>
            </w:r>
          </w:p>
        </w:tc>
        <w:tc>
          <w:tcPr>
            <w:tcW w:w="2253" w:type="pct"/>
            <w:tcBorders>
              <w:top w:val="single" w:color="auto" w:sz="4" w:space="0"/>
              <w:left w:val="single" w:color="auto" w:sz="4" w:space="0"/>
              <w:bottom w:val="single" w:color="auto" w:sz="4" w:space="0"/>
              <w:right w:val="single" w:color="auto" w:sz="4" w:space="0"/>
            </w:tcBorders>
          </w:tcPr>
          <w:p w14:paraId="6428724E">
            <w:pPr>
              <w:jc w:val="center"/>
              <w:rPr>
                <w:color w:val="000000" w:themeColor="text1"/>
                <w14:textFill>
                  <w14:solidFill>
                    <w14:schemeClr w14:val="tx1"/>
                  </w14:solidFill>
                </w14:textFill>
              </w:rPr>
            </w:pPr>
            <w:r>
              <w:t>母公司的全资子公司</w:t>
            </w:r>
          </w:p>
        </w:tc>
      </w:tr>
      <w:tr w14:paraId="26B9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40EDEA07">
            <w:pPr>
              <w:rPr>
                <w:rFonts w:cs="Cambria"/>
              </w:rPr>
            </w:pPr>
            <w:r>
              <w:t>贵州际华三五三五商贸有限公司</w:t>
            </w:r>
          </w:p>
        </w:tc>
        <w:tc>
          <w:tcPr>
            <w:tcW w:w="2253" w:type="pct"/>
            <w:tcBorders>
              <w:top w:val="single" w:color="auto" w:sz="4" w:space="0"/>
              <w:left w:val="single" w:color="auto" w:sz="4" w:space="0"/>
              <w:bottom w:val="single" w:color="auto" w:sz="4" w:space="0"/>
              <w:right w:val="single" w:color="auto" w:sz="4" w:space="0"/>
            </w:tcBorders>
          </w:tcPr>
          <w:p w14:paraId="14F369FB">
            <w:pPr>
              <w:jc w:val="center"/>
              <w:rPr>
                <w:color w:val="000000" w:themeColor="text1"/>
                <w14:textFill>
                  <w14:solidFill>
                    <w14:schemeClr w14:val="tx1"/>
                  </w14:solidFill>
                </w14:textFill>
              </w:rPr>
            </w:pPr>
            <w:r>
              <w:t>母公司的控股子公司</w:t>
            </w:r>
          </w:p>
        </w:tc>
      </w:tr>
      <w:tr w14:paraId="2852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276FB54E">
            <w:pPr>
              <w:rPr>
                <w:rFonts w:cs="Cambria"/>
              </w:rPr>
            </w:pPr>
            <w:r>
              <w:t>新兴职业装备生产技术研究所</w:t>
            </w:r>
          </w:p>
        </w:tc>
        <w:tc>
          <w:tcPr>
            <w:tcW w:w="2253" w:type="pct"/>
            <w:tcBorders>
              <w:top w:val="single" w:color="auto" w:sz="4" w:space="0"/>
              <w:left w:val="single" w:color="auto" w:sz="4" w:space="0"/>
              <w:bottom w:val="single" w:color="auto" w:sz="4" w:space="0"/>
              <w:right w:val="single" w:color="auto" w:sz="4" w:space="0"/>
            </w:tcBorders>
          </w:tcPr>
          <w:p w14:paraId="7C12A521">
            <w:pPr>
              <w:jc w:val="center"/>
              <w:rPr>
                <w:color w:val="000000" w:themeColor="text1"/>
                <w14:textFill>
                  <w14:solidFill>
                    <w14:schemeClr w14:val="tx1"/>
                  </w14:solidFill>
                </w14:textFill>
              </w:rPr>
            </w:pPr>
            <w:r>
              <w:t>母公司的控股子公司</w:t>
            </w:r>
          </w:p>
        </w:tc>
      </w:tr>
      <w:tr w14:paraId="600B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41BF83E9">
            <w:pPr>
              <w:rPr>
                <w:rFonts w:cs="Cambria"/>
              </w:rPr>
            </w:pPr>
            <w:r>
              <w:t>济南泰山鞋厂</w:t>
            </w:r>
          </w:p>
        </w:tc>
        <w:tc>
          <w:tcPr>
            <w:tcW w:w="2253" w:type="pct"/>
            <w:tcBorders>
              <w:top w:val="single" w:color="auto" w:sz="4" w:space="0"/>
              <w:left w:val="single" w:color="auto" w:sz="4" w:space="0"/>
              <w:bottom w:val="single" w:color="auto" w:sz="4" w:space="0"/>
              <w:right w:val="single" w:color="auto" w:sz="4" w:space="0"/>
            </w:tcBorders>
          </w:tcPr>
          <w:p w14:paraId="2E65C20C">
            <w:pPr>
              <w:jc w:val="center"/>
              <w:rPr>
                <w:color w:val="000000" w:themeColor="text1"/>
                <w14:textFill>
                  <w14:solidFill>
                    <w14:schemeClr w14:val="tx1"/>
                  </w14:solidFill>
                </w14:textFill>
              </w:rPr>
            </w:pPr>
            <w:r>
              <w:t>母公司的控股子公司</w:t>
            </w:r>
          </w:p>
        </w:tc>
      </w:tr>
      <w:tr w14:paraId="7E52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464FACF4">
            <w:pPr>
              <w:rPr>
                <w:rFonts w:cs="Cambria"/>
              </w:rPr>
            </w:pPr>
            <w:r>
              <w:t>黄石新兴管业有限公司</w:t>
            </w:r>
          </w:p>
        </w:tc>
        <w:tc>
          <w:tcPr>
            <w:tcW w:w="2253" w:type="pct"/>
            <w:tcBorders>
              <w:top w:val="single" w:color="auto" w:sz="4" w:space="0"/>
              <w:left w:val="single" w:color="auto" w:sz="4" w:space="0"/>
              <w:bottom w:val="single" w:color="auto" w:sz="4" w:space="0"/>
              <w:right w:val="single" w:color="auto" w:sz="4" w:space="0"/>
            </w:tcBorders>
          </w:tcPr>
          <w:p w14:paraId="18EE18B8">
            <w:pPr>
              <w:jc w:val="center"/>
              <w:rPr>
                <w:color w:val="000000" w:themeColor="text1"/>
                <w14:textFill>
                  <w14:solidFill>
                    <w14:schemeClr w14:val="tx1"/>
                  </w14:solidFill>
                </w14:textFill>
              </w:rPr>
            </w:pPr>
            <w:r>
              <w:t>母公司的控股子公司</w:t>
            </w:r>
          </w:p>
        </w:tc>
      </w:tr>
      <w:tr w14:paraId="29E14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39CDE2E1">
            <w:pPr>
              <w:rPr>
                <w:rFonts w:cs="Cambria"/>
              </w:rPr>
            </w:pPr>
            <w:r>
              <w:t>湖北新兴全力机械有限公司</w:t>
            </w:r>
          </w:p>
        </w:tc>
        <w:tc>
          <w:tcPr>
            <w:tcW w:w="2253" w:type="pct"/>
            <w:tcBorders>
              <w:top w:val="single" w:color="auto" w:sz="4" w:space="0"/>
              <w:left w:val="single" w:color="auto" w:sz="4" w:space="0"/>
              <w:bottom w:val="single" w:color="auto" w:sz="4" w:space="0"/>
              <w:right w:val="single" w:color="auto" w:sz="4" w:space="0"/>
            </w:tcBorders>
          </w:tcPr>
          <w:p w14:paraId="28EF47A7">
            <w:pPr>
              <w:jc w:val="center"/>
              <w:rPr>
                <w:color w:val="000000" w:themeColor="text1"/>
                <w14:textFill>
                  <w14:solidFill>
                    <w14:schemeClr w14:val="tx1"/>
                  </w14:solidFill>
                </w14:textFill>
              </w:rPr>
            </w:pPr>
            <w:r>
              <w:t>母公司的控股子公司</w:t>
            </w:r>
          </w:p>
        </w:tc>
      </w:tr>
      <w:tr w14:paraId="1B57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02DC2B79">
            <w:pPr>
              <w:rPr>
                <w:rFonts w:cs="Cambria"/>
              </w:rPr>
            </w:pPr>
            <w:r>
              <w:t>新兴重工集团有限公司</w:t>
            </w:r>
          </w:p>
        </w:tc>
        <w:tc>
          <w:tcPr>
            <w:tcW w:w="2253" w:type="pct"/>
            <w:tcBorders>
              <w:top w:val="single" w:color="auto" w:sz="4" w:space="0"/>
              <w:left w:val="single" w:color="auto" w:sz="4" w:space="0"/>
              <w:bottom w:val="single" w:color="auto" w:sz="4" w:space="0"/>
              <w:right w:val="single" w:color="auto" w:sz="4" w:space="0"/>
            </w:tcBorders>
          </w:tcPr>
          <w:p w14:paraId="6846489A">
            <w:pPr>
              <w:jc w:val="center"/>
              <w:rPr>
                <w:color w:val="000000" w:themeColor="text1"/>
                <w14:textFill>
                  <w14:solidFill>
                    <w14:schemeClr w14:val="tx1"/>
                  </w14:solidFill>
                </w14:textFill>
              </w:rPr>
            </w:pPr>
            <w:r>
              <w:t>母公司的全资子公司</w:t>
            </w:r>
          </w:p>
        </w:tc>
      </w:tr>
      <w:tr w14:paraId="6B627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362097A5">
            <w:pPr>
              <w:rPr>
                <w:rFonts w:cs="Cambria"/>
              </w:rPr>
            </w:pPr>
            <w:r>
              <w:t>新兴河北工程技术有限公司</w:t>
            </w:r>
          </w:p>
        </w:tc>
        <w:tc>
          <w:tcPr>
            <w:tcW w:w="2253" w:type="pct"/>
            <w:tcBorders>
              <w:top w:val="single" w:color="auto" w:sz="4" w:space="0"/>
              <w:left w:val="single" w:color="auto" w:sz="4" w:space="0"/>
              <w:bottom w:val="single" w:color="auto" w:sz="4" w:space="0"/>
              <w:right w:val="single" w:color="auto" w:sz="4" w:space="0"/>
            </w:tcBorders>
          </w:tcPr>
          <w:p w14:paraId="49CF94BE">
            <w:pPr>
              <w:jc w:val="center"/>
              <w:rPr>
                <w:color w:val="000000" w:themeColor="text1"/>
                <w14:textFill>
                  <w14:solidFill>
                    <w14:schemeClr w14:val="tx1"/>
                  </w14:solidFill>
                </w14:textFill>
              </w:rPr>
            </w:pPr>
            <w:r>
              <w:t>母公司的控股子公司</w:t>
            </w:r>
          </w:p>
        </w:tc>
      </w:tr>
      <w:tr w14:paraId="7209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2531AC14">
            <w:pPr>
              <w:rPr>
                <w:rFonts w:cs="Cambria"/>
              </w:rPr>
            </w:pPr>
            <w:r>
              <w:t>天津华津制药有限公司</w:t>
            </w:r>
          </w:p>
        </w:tc>
        <w:tc>
          <w:tcPr>
            <w:tcW w:w="2253" w:type="pct"/>
            <w:tcBorders>
              <w:top w:val="single" w:color="auto" w:sz="4" w:space="0"/>
              <w:left w:val="single" w:color="auto" w:sz="4" w:space="0"/>
              <w:bottom w:val="single" w:color="auto" w:sz="4" w:space="0"/>
              <w:right w:val="single" w:color="auto" w:sz="4" w:space="0"/>
            </w:tcBorders>
          </w:tcPr>
          <w:p w14:paraId="37192FBB">
            <w:pPr>
              <w:jc w:val="center"/>
              <w:rPr>
                <w:color w:val="000000" w:themeColor="text1"/>
                <w14:textFill>
                  <w14:solidFill>
                    <w14:schemeClr w14:val="tx1"/>
                  </w14:solidFill>
                </w14:textFill>
              </w:rPr>
            </w:pPr>
            <w:r>
              <w:t>母公司的全资子公司</w:t>
            </w:r>
          </w:p>
        </w:tc>
      </w:tr>
      <w:tr w14:paraId="49DD3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306A18B6">
            <w:pPr>
              <w:rPr>
                <w:rFonts w:cs="Cambria"/>
              </w:rPr>
            </w:pPr>
            <w:r>
              <w:t>河北新兴铸管有限公司</w:t>
            </w:r>
          </w:p>
        </w:tc>
        <w:tc>
          <w:tcPr>
            <w:tcW w:w="2253" w:type="pct"/>
            <w:tcBorders>
              <w:top w:val="single" w:color="auto" w:sz="4" w:space="0"/>
              <w:left w:val="single" w:color="auto" w:sz="4" w:space="0"/>
              <w:bottom w:val="single" w:color="auto" w:sz="4" w:space="0"/>
              <w:right w:val="single" w:color="auto" w:sz="4" w:space="0"/>
            </w:tcBorders>
          </w:tcPr>
          <w:p w14:paraId="4ECB9F6B">
            <w:pPr>
              <w:jc w:val="center"/>
              <w:rPr>
                <w:color w:val="000000" w:themeColor="text1"/>
                <w14:textFill>
                  <w14:solidFill>
                    <w14:schemeClr w14:val="tx1"/>
                  </w14:solidFill>
                </w14:textFill>
              </w:rPr>
            </w:pPr>
            <w:r>
              <w:t>母公司的控股子公司</w:t>
            </w:r>
          </w:p>
        </w:tc>
      </w:tr>
      <w:tr w14:paraId="53E9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06CB5372">
            <w:pPr>
              <w:rPr>
                <w:rFonts w:cs="Cambria"/>
              </w:rPr>
            </w:pPr>
            <w:r>
              <w:t>桃江新兴管件有限责任公司</w:t>
            </w:r>
          </w:p>
        </w:tc>
        <w:tc>
          <w:tcPr>
            <w:tcW w:w="2253" w:type="pct"/>
            <w:tcBorders>
              <w:top w:val="single" w:color="auto" w:sz="4" w:space="0"/>
              <w:left w:val="single" w:color="auto" w:sz="4" w:space="0"/>
              <w:bottom w:val="single" w:color="auto" w:sz="4" w:space="0"/>
              <w:right w:val="single" w:color="auto" w:sz="4" w:space="0"/>
            </w:tcBorders>
          </w:tcPr>
          <w:p w14:paraId="0D9D4944">
            <w:pPr>
              <w:jc w:val="center"/>
              <w:rPr>
                <w:color w:val="000000" w:themeColor="text1"/>
                <w14:textFill>
                  <w14:solidFill>
                    <w14:schemeClr w14:val="tx1"/>
                  </w14:solidFill>
                </w14:textFill>
              </w:rPr>
            </w:pPr>
            <w:r>
              <w:t>母公司的控股子公司</w:t>
            </w:r>
          </w:p>
        </w:tc>
      </w:tr>
      <w:tr w14:paraId="714E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2B7A3F40">
            <w:pPr>
              <w:rPr>
                <w:rFonts w:cs="Cambria"/>
              </w:rPr>
            </w:pPr>
            <w:r>
              <w:t>聚联智汇水务科技有限公司</w:t>
            </w:r>
          </w:p>
        </w:tc>
        <w:tc>
          <w:tcPr>
            <w:tcW w:w="2253" w:type="pct"/>
            <w:tcBorders>
              <w:top w:val="single" w:color="auto" w:sz="4" w:space="0"/>
              <w:left w:val="single" w:color="auto" w:sz="4" w:space="0"/>
              <w:bottom w:val="single" w:color="auto" w:sz="4" w:space="0"/>
              <w:right w:val="single" w:color="auto" w:sz="4" w:space="0"/>
            </w:tcBorders>
          </w:tcPr>
          <w:p w14:paraId="365E63A9">
            <w:pPr>
              <w:jc w:val="center"/>
              <w:rPr>
                <w:color w:val="000000" w:themeColor="text1"/>
                <w14:textFill>
                  <w14:solidFill>
                    <w14:schemeClr w14:val="tx1"/>
                  </w14:solidFill>
                </w14:textFill>
              </w:rPr>
            </w:pPr>
            <w:r>
              <w:t>母公司的控股子公司</w:t>
            </w:r>
          </w:p>
        </w:tc>
      </w:tr>
      <w:tr w14:paraId="6B13C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4EAF41E3">
            <w:pPr>
              <w:rPr>
                <w:rFonts w:cs="Cambria"/>
              </w:rPr>
            </w:pPr>
            <w:r>
              <w:t>上海三五一六置业有限公司</w:t>
            </w:r>
          </w:p>
        </w:tc>
        <w:tc>
          <w:tcPr>
            <w:tcW w:w="2253" w:type="pct"/>
            <w:tcBorders>
              <w:top w:val="single" w:color="auto" w:sz="4" w:space="0"/>
              <w:left w:val="single" w:color="auto" w:sz="4" w:space="0"/>
              <w:bottom w:val="single" w:color="auto" w:sz="4" w:space="0"/>
              <w:right w:val="single" w:color="auto" w:sz="4" w:space="0"/>
            </w:tcBorders>
          </w:tcPr>
          <w:p w14:paraId="5B187BA0">
            <w:pPr>
              <w:jc w:val="center"/>
              <w:rPr>
                <w:color w:val="000000" w:themeColor="text1"/>
                <w14:textFill>
                  <w14:solidFill>
                    <w14:schemeClr w14:val="tx1"/>
                  </w14:solidFill>
                </w14:textFill>
              </w:rPr>
            </w:pPr>
            <w:r>
              <w:t>母公司的全资子公司</w:t>
            </w:r>
          </w:p>
        </w:tc>
      </w:tr>
      <w:tr w14:paraId="3E5F7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443187C4">
            <w:pPr>
              <w:rPr>
                <w:rFonts w:cs="Cambria"/>
              </w:rPr>
            </w:pPr>
            <w:r>
              <w:t>广州新星投资发展有限公司</w:t>
            </w:r>
          </w:p>
        </w:tc>
        <w:tc>
          <w:tcPr>
            <w:tcW w:w="2253" w:type="pct"/>
            <w:tcBorders>
              <w:top w:val="single" w:color="auto" w:sz="4" w:space="0"/>
              <w:left w:val="single" w:color="auto" w:sz="4" w:space="0"/>
              <w:bottom w:val="single" w:color="auto" w:sz="4" w:space="0"/>
              <w:right w:val="single" w:color="auto" w:sz="4" w:space="0"/>
            </w:tcBorders>
          </w:tcPr>
          <w:p w14:paraId="2FA1349D">
            <w:pPr>
              <w:jc w:val="center"/>
              <w:rPr>
                <w:color w:val="000000" w:themeColor="text1"/>
                <w14:textFill>
                  <w14:solidFill>
                    <w14:schemeClr w14:val="tx1"/>
                  </w14:solidFill>
                </w14:textFill>
              </w:rPr>
            </w:pPr>
            <w:r>
              <w:t>母公司的全资子公司</w:t>
            </w:r>
          </w:p>
        </w:tc>
      </w:tr>
      <w:tr w14:paraId="7648A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111293B1">
            <w:pPr>
              <w:rPr>
                <w:rFonts w:cs="Cambria"/>
              </w:rPr>
            </w:pPr>
            <w:r>
              <w:t>中新联进出口有限公司</w:t>
            </w:r>
          </w:p>
        </w:tc>
        <w:tc>
          <w:tcPr>
            <w:tcW w:w="2253" w:type="pct"/>
            <w:tcBorders>
              <w:top w:val="single" w:color="auto" w:sz="4" w:space="0"/>
              <w:left w:val="single" w:color="auto" w:sz="4" w:space="0"/>
              <w:bottom w:val="single" w:color="auto" w:sz="4" w:space="0"/>
              <w:right w:val="single" w:color="auto" w:sz="4" w:space="0"/>
            </w:tcBorders>
          </w:tcPr>
          <w:p w14:paraId="5DD95880">
            <w:pPr>
              <w:jc w:val="center"/>
              <w:rPr>
                <w:color w:val="000000" w:themeColor="text1"/>
                <w14:textFill>
                  <w14:solidFill>
                    <w14:schemeClr w14:val="tx1"/>
                  </w14:solidFill>
                </w14:textFill>
              </w:rPr>
            </w:pPr>
            <w:r>
              <w:t>母公司的全资子公司</w:t>
            </w:r>
          </w:p>
        </w:tc>
      </w:tr>
      <w:tr w14:paraId="526E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3C9C59DA">
            <w:pPr>
              <w:rPr>
                <w:rFonts w:cs="Cambria"/>
              </w:rPr>
            </w:pPr>
            <w:r>
              <w:t>北京三五零一服装厂有限公司</w:t>
            </w:r>
          </w:p>
        </w:tc>
        <w:tc>
          <w:tcPr>
            <w:tcW w:w="2253" w:type="pct"/>
            <w:tcBorders>
              <w:top w:val="single" w:color="auto" w:sz="4" w:space="0"/>
              <w:left w:val="single" w:color="auto" w:sz="4" w:space="0"/>
              <w:bottom w:val="single" w:color="auto" w:sz="4" w:space="0"/>
              <w:right w:val="single" w:color="auto" w:sz="4" w:space="0"/>
            </w:tcBorders>
          </w:tcPr>
          <w:p w14:paraId="1012EDD5">
            <w:pPr>
              <w:jc w:val="center"/>
              <w:rPr>
                <w:color w:val="000000" w:themeColor="text1"/>
                <w14:textFill>
                  <w14:solidFill>
                    <w14:schemeClr w14:val="tx1"/>
                  </w14:solidFill>
                </w14:textFill>
              </w:rPr>
            </w:pPr>
            <w:r>
              <w:t>母公司的全资子公司</w:t>
            </w:r>
          </w:p>
        </w:tc>
      </w:tr>
      <w:tr w14:paraId="1D34B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36870C80">
            <w:pPr>
              <w:rPr>
                <w:rFonts w:cs="Cambria"/>
              </w:rPr>
            </w:pPr>
            <w:r>
              <w:t>武汉际华园投资建设有限公司</w:t>
            </w:r>
          </w:p>
        </w:tc>
        <w:tc>
          <w:tcPr>
            <w:tcW w:w="2253" w:type="pct"/>
            <w:tcBorders>
              <w:top w:val="single" w:color="auto" w:sz="4" w:space="0"/>
              <w:left w:val="single" w:color="auto" w:sz="4" w:space="0"/>
              <w:bottom w:val="single" w:color="auto" w:sz="4" w:space="0"/>
              <w:right w:val="single" w:color="auto" w:sz="4" w:space="0"/>
            </w:tcBorders>
          </w:tcPr>
          <w:p w14:paraId="1B83A61C">
            <w:pPr>
              <w:jc w:val="center"/>
              <w:rPr>
                <w:color w:val="000000" w:themeColor="text1"/>
                <w14:textFill>
                  <w14:solidFill>
                    <w14:schemeClr w14:val="tx1"/>
                  </w14:solidFill>
                </w14:textFill>
              </w:rPr>
            </w:pPr>
            <w:r>
              <w:t>母公司的全资子公司</w:t>
            </w:r>
          </w:p>
        </w:tc>
      </w:tr>
      <w:tr w14:paraId="6A6F5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4141E00E">
            <w:pPr>
              <w:rPr>
                <w:rFonts w:cs="Cambria"/>
              </w:rPr>
            </w:pPr>
            <w:r>
              <w:t>咸阳际华投资发展有限公司</w:t>
            </w:r>
          </w:p>
        </w:tc>
        <w:tc>
          <w:tcPr>
            <w:tcW w:w="2253" w:type="pct"/>
            <w:tcBorders>
              <w:top w:val="single" w:color="auto" w:sz="4" w:space="0"/>
              <w:left w:val="single" w:color="auto" w:sz="4" w:space="0"/>
              <w:bottom w:val="single" w:color="auto" w:sz="4" w:space="0"/>
              <w:right w:val="single" w:color="auto" w:sz="4" w:space="0"/>
            </w:tcBorders>
          </w:tcPr>
          <w:p w14:paraId="71C37D39">
            <w:pPr>
              <w:jc w:val="center"/>
              <w:rPr>
                <w:color w:val="000000" w:themeColor="text1"/>
                <w14:textFill>
                  <w14:solidFill>
                    <w14:schemeClr w14:val="tx1"/>
                  </w14:solidFill>
                </w14:textFill>
              </w:rPr>
            </w:pPr>
            <w:r>
              <w:t>母公司的控股子公司</w:t>
            </w:r>
          </w:p>
        </w:tc>
      </w:tr>
      <w:tr w14:paraId="4458D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432BF6D3">
            <w:pPr>
              <w:rPr>
                <w:rFonts w:cs="Cambria"/>
              </w:rPr>
            </w:pPr>
            <w:r>
              <w:t>汉川际华三五零九置业有限公司</w:t>
            </w:r>
          </w:p>
        </w:tc>
        <w:tc>
          <w:tcPr>
            <w:tcW w:w="2253" w:type="pct"/>
            <w:tcBorders>
              <w:top w:val="single" w:color="auto" w:sz="4" w:space="0"/>
              <w:left w:val="single" w:color="auto" w:sz="4" w:space="0"/>
              <w:bottom w:val="single" w:color="auto" w:sz="4" w:space="0"/>
              <w:right w:val="single" w:color="auto" w:sz="4" w:space="0"/>
            </w:tcBorders>
          </w:tcPr>
          <w:p w14:paraId="4BCF8547">
            <w:pPr>
              <w:jc w:val="center"/>
              <w:rPr>
                <w:color w:val="000000" w:themeColor="text1"/>
                <w14:textFill>
                  <w14:solidFill>
                    <w14:schemeClr w14:val="tx1"/>
                  </w14:solidFill>
                </w14:textFill>
              </w:rPr>
            </w:pPr>
            <w:r>
              <w:t>母公司的控股子公司</w:t>
            </w:r>
          </w:p>
        </w:tc>
      </w:tr>
      <w:tr w14:paraId="3B5C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03EC9980">
            <w:pPr>
              <w:rPr>
                <w:rFonts w:cs="Cambria"/>
              </w:rPr>
            </w:pPr>
            <w:r>
              <w:t>新兴际华检验检测（北京）有限公司</w:t>
            </w:r>
          </w:p>
        </w:tc>
        <w:tc>
          <w:tcPr>
            <w:tcW w:w="2253" w:type="pct"/>
            <w:tcBorders>
              <w:top w:val="single" w:color="auto" w:sz="4" w:space="0"/>
              <w:left w:val="single" w:color="auto" w:sz="4" w:space="0"/>
              <w:bottom w:val="single" w:color="auto" w:sz="4" w:space="0"/>
              <w:right w:val="single" w:color="auto" w:sz="4" w:space="0"/>
            </w:tcBorders>
          </w:tcPr>
          <w:p w14:paraId="355A152C">
            <w:pPr>
              <w:jc w:val="center"/>
              <w:rPr>
                <w:color w:val="000000" w:themeColor="text1"/>
                <w14:textFill>
                  <w14:solidFill>
                    <w14:schemeClr w14:val="tx1"/>
                  </w14:solidFill>
                </w14:textFill>
              </w:rPr>
            </w:pPr>
            <w:r>
              <w:t>母公司的控股子公司</w:t>
            </w:r>
          </w:p>
        </w:tc>
      </w:tr>
      <w:tr w14:paraId="6FA94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7D921BD6">
            <w:pPr>
              <w:rPr>
                <w:rFonts w:cs="Cambria"/>
              </w:rPr>
            </w:pPr>
            <w:r>
              <w:t>天津双鹿大厦有限公司</w:t>
            </w:r>
          </w:p>
        </w:tc>
        <w:tc>
          <w:tcPr>
            <w:tcW w:w="2253" w:type="pct"/>
            <w:tcBorders>
              <w:top w:val="single" w:color="auto" w:sz="4" w:space="0"/>
              <w:left w:val="single" w:color="auto" w:sz="4" w:space="0"/>
              <w:bottom w:val="single" w:color="auto" w:sz="4" w:space="0"/>
              <w:right w:val="single" w:color="auto" w:sz="4" w:space="0"/>
            </w:tcBorders>
          </w:tcPr>
          <w:p w14:paraId="2A10BABB">
            <w:pPr>
              <w:jc w:val="center"/>
              <w:rPr>
                <w:color w:val="000000" w:themeColor="text1"/>
                <w14:textFill>
                  <w14:solidFill>
                    <w14:schemeClr w14:val="tx1"/>
                  </w14:solidFill>
                </w14:textFill>
              </w:rPr>
            </w:pPr>
            <w:r>
              <w:t>母公司的控股子公司</w:t>
            </w:r>
          </w:p>
        </w:tc>
      </w:tr>
      <w:tr w14:paraId="7166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464AB2AA">
            <w:pPr>
              <w:rPr>
                <w:rFonts w:cs="Cambria"/>
              </w:rPr>
            </w:pPr>
            <w:r>
              <w:t>南京际华五三零二科技发展有限公司</w:t>
            </w:r>
          </w:p>
        </w:tc>
        <w:tc>
          <w:tcPr>
            <w:tcW w:w="2253" w:type="pct"/>
            <w:tcBorders>
              <w:top w:val="single" w:color="auto" w:sz="4" w:space="0"/>
              <w:left w:val="single" w:color="auto" w:sz="4" w:space="0"/>
              <w:bottom w:val="single" w:color="auto" w:sz="4" w:space="0"/>
              <w:right w:val="single" w:color="auto" w:sz="4" w:space="0"/>
            </w:tcBorders>
          </w:tcPr>
          <w:p w14:paraId="068D3D77">
            <w:pPr>
              <w:jc w:val="center"/>
              <w:rPr>
                <w:color w:val="000000" w:themeColor="text1"/>
                <w14:textFill>
                  <w14:solidFill>
                    <w14:schemeClr w14:val="tx1"/>
                  </w14:solidFill>
                </w14:textFill>
              </w:rPr>
            </w:pPr>
            <w:r>
              <w:t>母公司的控股子公司</w:t>
            </w:r>
          </w:p>
        </w:tc>
      </w:tr>
      <w:tr w14:paraId="5F0CF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5786042C">
            <w:pPr>
              <w:rPr>
                <w:rFonts w:cs="Cambria"/>
              </w:rPr>
            </w:pPr>
            <w:r>
              <w:t>广东际华园投资发展有限公司</w:t>
            </w:r>
          </w:p>
        </w:tc>
        <w:tc>
          <w:tcPr>
            <w:tcW w:w="2253" w:type="pct"/>
            <w:tcBorders>
              <w:top w:val="single" w:color="auto" w:sz="4" w:space="0"/>
              <w:left w:val="single" w:color="auto" w:sz="4" w:space="0"/>
              <w:bottom w:val="single" w:color="auto" w:sz="4" w:space="0"/>
              <w:right w:val="single" w:color="auto" w:sz="4" w:space="0"/>
            </w:tcBorders>
          </w:tcPr>
          <w:p w14:paraId="4D220EA1">
            <w:pPr>
              <w:jc w:val="center"/>
              <w:rPr>
                <w:color w:val="000000" w:themeColor="text1"/>
                <w14:textFill>
                  <w14:solidFill>
                    <w14:schemeClr w14:val="tx1"/>
                  </w14:solidFill>
                </w14:textFill>
              </w:rPr>
            </w:pPr>
            <w:r>
              <w:t>母公司的全资子公司</w:t>
            </w:r>
          </w:p>
        </w:tc>
      </w:tr>
      <w:tr w14:paraId="24B0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0570116A">
            <w:pPr>
              <w:rPr>
                <w:rFonts w:cs="Cambria"/>
              </w:rPr>
            </w:pPr>
            <w:r>
              <w:t>新兴际华（岳阳）投资发展有限公司</w:t>
            </w:r>
          </w:p>
        </w:tc>
        <w:tc>
          <w:tcPr>
            <w:tcW w:w="2253" w:type="pct"/>
            <w:tcBorders>
              <w:top w:val="single" w:color="auto" w:sz="4" w:space="0"/>
              <w:left w:val="single" w:color="auto" w:sz="4" w:space="0"/>
              <w:bottom w:val="single" w:color="auto" w:sz="4" w:space="0"/>
              <w:right w:val="single" w:color="auto" w:sz="4" w:space="0"/>
            </w:tcBorders>
          </w:tcPr>
          <w:p w14:paraId="7AE2ADDA">
            <w:pPr>
              <w:jc w:val="center"/>
              <w:rPr>
                <w:color w:val="000000" w:themeColor="text1"/>
                <w14:textFill>
                  <w14:solidFill>
                    <w14:schemeClr w14:val="tx1"/>
                  </w14:solidFill>
                </w14:textFill>
              </w:rPr>
            </w:pPr>
            <w:r>
              <w:t>母公司的控股子公司</w:t>
            </w:r>
          </w:p>
        </w:tc>
      </w:tr>
      <w:tr w14:paraId="3A4E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4A79A89B">
            <w:pPr>
              <w:rPr>
                <w:rFonts w:cs="Cambria"/>
              </w:rPr>
            </w:pPr>
            <w:r>
              <w:t>际华军研（北京）特种装备科技有限公司</w:t>
            </w:r>
          </w:p>
        </w:tc>
        <w:tc>
          <w:tcPr>
            <w:tcW w:w="2253" w:type="pct"/>
            <w:tcBorders>
              <w:top w:val="single" w:color="auto" w:sz="4" w:space="0"/>
              <w:left w:val="single" w:color="auto" w:sz="4" w:space="0"/>
              <w:bottom w:val="single" w:color="auto" w:sz="4" w:space="0"/>
              <w:right w:val="single" w:color="auto" w:sz="4" w:space="0"/>
            </w:tcBorders>
          </w:tcPr>
          <w:p w14:paraId="11D2411E">
            <w:pPr>
              <w:jc w:val="center"/>
              <w:rPr>
                <w:color w:val="000000" w:themeColor="text1"/>
                <w14:textFill>
                  <w14:solidFill>
                    <w14:schemeClr w14:val="tx1"/>
                  </w14:solidFill>
                </w14:textFill>
              </w:rPr>
            </w:pPr>
            <w:r>
              <w:t>母公司的控股子公司</w:t>
            </w:r>
          </w:p>
        </w:tc>
      </w:tr>
      <w:tr w14:paraId="08EBA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246062F2">
            <w:pPr>
              <w:rPr>
                <w:rFonts w:cs="Cambria"/>
              </w:rPr>
            </w:pPr>
            <w:r>
              <w:t>南京新际资产运营有限公司</w:t>
            </w:r>
          </w:p>
        </w:tc>
        <w:tc>
          <w:tcPr>
            <w:tcW w:w="2253" w:type="pct"/>
            <w:tcBorders>
              <w:top w:val="single" w:color="auto" w:sz="4" w:space="0"/>
              <w:left w:val="single" w:color="auto" w:sz="4" w:space="0"/>
              <w:bottom w:val="single" w:color="auto" w:sz="4" w:space="0"/>
              <w:right w:val="single" w:color="auto" w:sz="4" w:space="0"/>
            </w:tcBorders>
          </w:tcPr>
          <w:p w14:paraId="0E619725">
            <w:pPr>
              <w:jc w:val="center"/>
              <w:rPr>
                <w:color w:val="000000" w:themeColor="text1"/>
                <w14:textFill>
                  <w14:solidFill>
                    <w14:schemeClr w14:val="tx1"/>
                  </w14:solidFill>
                </w14:textFill>
              </w:rPr>
            </w:pPr>
            <w:r>
              <w:t>母公司的控股子公司</w:t>
            </w:r>
          </w:p>
        </w:tc>
      </w:tr>
      <w:tr w14:paraId="0A0DE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552578AF">
            <w:pPr>
              <w:rPr>
                <w:rFonts w:cs="Cambria"/>
              </w:rPr>
            </w:pPr>
            <w:r>
              <w:t>际华三五二三特种装备有限公司</w:t>
            </w:r>
          </w:p>
        </w:tc>
        <w:tc>
          <w:tcPr>
            <w:tcW w:w="2253" w:type="pct"/>
            <w:tcBorders>
              <w:top w:val="single" w:color="auto" w:sz="4" w:space="0"/>
              <w:left w:val="single" w:color="auto" w:sz="4" w:space="0"/>
              <w:bottom w:val="single" w:color="auto" w:sz="4" w:space="0"/>
              <w:right w:val="single" w:color="auto" w:sz="4" w:space="0"/>
            </w:tcBorders>
          </w:tcPr>
          <w:p w14:paraId="5687A4BC">
            <w:pPr>
              <w:jc w:val="center"/>
              <w:rPr>
                <w:color w:val="000000" w:themeColor="text1"/>
                <w14:textFill>
                  <w14:solidFill>
                    <w14:schemeClr w14:val="tx1"/>
                  </w14:solidFill>
                </w14:textFill>
              </w:rPr>
            </w:pPr>
            <w:r>
              <w:t>母公司的全资子公司</w:t>
            </w:r>
          </w:p>
        </w:tc>
      </w:tr>
      <w:tr w14:paraId="3724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5188421A">
            <w:pPr>
              <w:rPr>
                <w:rFonts w:cs="Cambria"/>
              </w:rPr>
            </w:pPr>
            <w:r>
              <w:t>新兴铸管国际发展有限公司</w:t>
            </w:r>
          </w:p>
        </w:tc>
        <w:tc>
          <w:tcPr>
            <w:tcW w:w="2253" w:type="pct"/>
            <w:tcBorders>
              <w:top w:val="single" w:color="auto" w:sz="4" w:space="0"/>
              <w:left w:val="single" w:color="auto" w:sz="4" w:space="0"/>
              <w:bottom w:val="single" w:color="auto" w:sz="4" w:space="0"/>
              <w:right w:val="single" w:color="auto" w:sz="4" w:space="0"/>
            </w:tcBorders>
          </w:tcPr>
          <w:p w14:paraId="5AEF2669">
            <w:pPr>
              <w:jc w:val="center"/>
              <w:rPr>
                <w:color w:val="000000" w:themeColor="text1"/>
                <w14:textFill>
                  <w14:solidFill>
                    <w14:schemeClr w14:val="tx1"/>
                  </w14:solidFill>
                </w14:textFill>
              </w:rPr>
            </w:pPr>
            <w:r>
              <w:t>母公司的控股子公司</w:t>
            </w:r>
          </w:p>
        </w:tc>
      </w:tr>
      <w:tr w14:paraId="0F504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765B4685">
            <w:pPr>
              <w:rPr>
                <w:rFonts w:cs="Cambria"/>
              </w:rPr>
            </w:pPr>
            <w:r>
              <w:t>新兴际华伊犁农牧科技发展有限公司</w:t>
            </w:r>
          </w:p>
        </w:tc>
        <w:tc>
          <w:tcPr>
            <w:tcW w:w="2253" w:type="pct"/>
            <w:tcBorders>
              <w:top w:val="single" w:color="auto" w:sz="4" w:space="0"/>
              <w:left w:val="single" w:color="auto" w:sz="4" w:space="0"/>
              <w:bottom w:val="single" w:color="auto" w:sz="4" w:space="0"/>
              <w:right w:val="single" w:color="auto" w:sz="4" w:space="0"/>
            </w:tcBorders>
          </w:tcPr>
          <w:p w14:paraId="1E3C3C35">
            <w:pPr>
              <w:jc w:val="center"/>
              <w:rPr>
                <w:color w:val="000000" w:themeColor="text1"/>
                <w14:textFill>
                  <w14:solidFill>
                    <w14:schemeClr w14:val="tx1"/>
                  </w14:solidFill>
                </w14:textFill>
              </w:rPr>
            </w:pPr>
            <w:r>
              <w:t>母公司的控股子公司</w:t>
            </w:r>
          </w:p>
        </w:tc>
      </w:tr>
      <w:tr w14:paraId="0805A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2EC4EC2F">
            <w:pPr>
              <w:rPr>
                <w:rFonts w:cs="Cambria"/>
              </w:rPr>
            </w:pPr>
            <w:r>
              <w:t>襄阳新兴际华投资发展有限公司</w:t>
            </w:r>
          </w:p>
        </w:tc>
        <w:tc>
          <w:tcPr>
            <w:tcW w:w="2253" w:type="pct"/>
            <w:tcBorders>
              <w:top w:val="single" w:color="auto" w:sz="4" w:space="0"/>
              <w:left w:val="single" w:color="auto" w:sz="4" w:space="0"/>
              <w:bottom w:val="single" w:color="auto" w:sz="4" w:space="0"/>
              <w:right w:val="single" w:color="auto" w:sz="4" w:space="0"/>
            </w:tcBorders>
          </w:tcPr>
          <w:p w14:paraId="4576411B">
            <w:pPr>
              <w:jc w:val="center"/>
              <w:rPr>
                <w:color w:val="000000" w:themeColor="text1"/>
                <w14:textFill>
                  <w14:solidFill>
                    <w14:schemeClr w14:val="tx1"/>
                  </w14:solidFill>
                </w14:textFill>
              </w:rPr>
            </w:pPr>
            <w:r>
              <w:t>母公司的控股子公司</w:t>
            </w:r>
          </w:p>
        </w:tc>
      </w:tr>
      <w:tr w14:paraId="0090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067AA11A">
            <w:pPr>
              <w:rPr>
                <w:rFonts w:cs="Cambria"/>
              </w:rPr>
            </w:pPr>
            <w:r>
              <w:t>南京三五〇三投资发展有限公司</w:t>
            </w:r>
          </w:p>
        </w:tc>
        <w:tc>
          <w:tcPr>
            <w:tcW w:w="2253" w:type="pct"/>
            <w:tcBorders>
              <w:top w:val="single" w:color="auto" w:sz="4" w:space="0"/>
              <w:left w:val="single" w:color="auto" w:sz="4" w:space="0"/>
              <w:bottom w:val="single" w:color="auto" w:sz="4" w:space="0"/>
              <w:right w:val="single" w:color="auto" w:sz="4" w:space="0"/>
            </w:tcBorders>
          </w:tcPr>
          <w:p w14:paraId="1A531237">
            <w:pPr>
              <w:jc w:val="center"/>
              <w:rPr>
                <w:color w:val="000000" w:themeColor="text1"/>
                <w14:textFill>
                  <w14:solidFill>
                    <w14:schemeClr w14:val="tx1"/>
                  </w14:solidFill>
                </w14:textFill>
              </w:rPr>
            </w:pPr>
            <w:r>
              <w:t>母公司的控股子公司</w:t>
            </w:r>
          </w:p>
        </w:tc>
      </w:tr>
      <w:tr w14:paraId="0CFC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7B154789">
            <w:pPr>
              <w:rPr>
                <w:rFonts w:cs="Cambria"/>
              </w:rPr>
            </w:pPr>
            <w:r>
              <w:t>新兴铸管集团邯郸新材料有限公司</w:t>
            </w:r>
          </w:p>
        </w:tc>
        <w:tc>
          <w:tcPr>
            <w:tcW w:w="2253" w:type="pct"/>
            <w:tcBorders>
              <w:top w:val="single" w:color="auto" w:sz="4" w:space="0"/>
              <w:left w:val="single" w:color="auto" w:sz="4" w:space="0"/>
              <w:bottom w:val="single" w:color="auto" w:sz="4" w:space="0"/>
              <w:right w:val="single" w:color="auto" w:sz="4" w:space="0"/>
            </w:tcBorders>
          </w:tcPr>
          <w:p w14:paraId="6EF34B94">
            <w:pPr>
              <w:jc w:val="center"/>
              <w:rPr>
                <w:color w:val="000000" w:themeColor="text1"/>
                <w14:textFill>
                  <w14:solidFill>
                    <w14:schemeClr w14:val="tx1"/>
                  </w14:solidFill>
                </w14:textFill>
              </w:rPr>
            </w:pPr>
            <w:r>
              <w:t>母公司的控股子公司</w:t>
            </w:r>
          </w:p>
        </w:tc>
      </w:tr>
      <w:tr w14:paraId="099D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76D891F0">
            <w:pPr>
              <w:rPr>
                <w:rFonts w:cs="Cambria"/>
              </w:rPr>
            </w:pPr>
            <w:r>
              <w:t>新兴际华集团财务有限公司</w:t>
            </w:r>
          </w:p>
        </w:tc>
        <w:tc>
          <w:tcPr>
            <w:tcW w:w="2253" w:type="pct"/>
            <w:tcBorders>
              <w:top w:val="single" w:color="auto" w:sz="4" w:space="0"/>
              <w:left w:val="single" w:color="auto" w:sz="4" w:space="0"/>
              <w:bottom w:val="single" w:color="auto" w:sz="4" w:space="0"/>
              <w:right w:val="single" w:color="auto" w:sz="4" w:space="0"/>
            </w:tcBorders>
          </w:tcPr>
          <w:p w14:paraId="6AB29BBB">
            <w:pPr>
              <w:jc w:val="center"/>
              <w:rPr>
                <w:color w:val="000000" w:themeColor="text1"/>
                <w14:textFill>
                  <w14:solidFill>
                    <w14:schemeClr w14:val="tx1"/>
                  </w14:solidFill>
                </w14:textFill>
              </w:rPr>
            </w:pPr>
            <w:r>
              <w:t>母公司的全资子公司</w:t>
            </w:r>
          </w:p>
        </w:tc>
      </w:tr>
      <w:tr w14:paraId="2BD6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66CF2B8A">
            <w:pPr>
              <w:rPr>
                <w:rFonts w:cs="Cambria"/>
              </w:rPr>
            </w:pPr>
            <w:r>
              <w:t>北京三兴汽车有限公司</w:t>
            </w:r>
          </w:p>
        </w:tc>
        <w:tc>
          <w:tcPr>
            <w:tcW w:w="2253" w:type="pct"/>
            <w:tcBorders>
              <w:top w:val="single" w:color="auto" w:sz="4" w:space="0"/>
              <w:left w:val="single" w:color="auto" w:sz="4" w:space="0"/>
              <w:bottom w:val="single" w:color="auto" w:sz="4" w:space="0"/>
              <w:right w:val="single" w:color="auto" w:sz="4" w:space="0"/>
            </w:tcBorders>
          </w:tcPr>
          <w:p w14:paraId="21387ADF">
            <w:pPr>
              <w:jc w:val="center"/>
              <w:rPr>
                <w:color w:val="000000" w:themeColor="text1"/>
                <w14:textFill>
                  <w14:solidFill>
                    <w14:schemeClr w14:val="tx1"/>
                  </w14:solidFill>
                </w14:textFill>
              </w:rPr>
            </w:pPr>
            <w:r>
              <w:t>母公司的全资子公司</w:t>
            </w:r>
          </w:p>
        </w:tc>
      </w:tr>
      <w:tr w14:paraId="5657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3CFC6FFF">
            <w:pPr>
              <w:rPr>
                <w:rFonts w:cs="Cambria"/>
              </w:rPr>
            </w:pPr>
            <w:r>
              <w:t>天津金汇药业集团有限公司</w:t>
            </w:r>
          </w:p>
        </w:tc>
        <w:tc>
          <w:tcPr>
            <w:tcW w:w="2253" w:type="pct"/>
            <w:tcBorders>
              <w:top w:val="single" w:color="auto" w:sz="4" w:space="0"/>
              <w:left w:val="single" w:color="auto" w:sz="4" w:space="0"/>
              <w:bottom w:val="single" w:color="auto" w:sz="4" w:space="0"/>
              <w:right w:val="single" w:color="auto" w:sz="4" w:space="0"/>
            </w:tcBorders>
          </w:tcPr>
          <w:p w14:paraId="268419A2">
            <w:pPr>
              <w:jc w:val="center"/>
              <w:rPr>
                <w:color w:val="000000" w:themeColor="text1"/>
                <w14:textFill>
                  <w14:solidFill>
                    <w14:schemeClr w14:val="tx1"/>
                  </w14:solidFill>
                </w14:textFill>
              </w:rPr>
            </w:pPr>
            <w:r>
              <w:t>母公司的控股子公司</w:t>
            </w:r>
          </w:p>
        </w:tc>
      </w:tr>
      <w:tr w14:paraId="4192F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016F9EF1">
            <w:pPr>
              <w:rPr>
                <w:rFonts w:cs="Cambria"/>
              </w:rPr>
            </w:pPr>
            <w:r>
              <w:t>财富嘉苑（天津）置业有限公司</w:t>
            </w:r>
          </w:p>
        </w:tc>
        <w:tc>
          <w:tcPr>
            <w:tcW w:w="2253" w:type="pct"/>
            <w:tcBorders>
              <w:top w:val="single" w:color="auto" w:sz="4" w:space="0"/>
              <w:left w:val="single" w:color="auto" w:sz="4" w:space="0"/>
              <w:bottom w:val="single" w:color="auto" w:sz="4" w:space="0"/>
              <w:right w:val="single" w:color="auto" w:sz="4" w:space="0"/>
            </w:tcBorders>
          </w:tcPr>
          <w:p w14:paraId="540BA678">
            <w:pPr>
              <w:jc w:val="center"/>
              <w:rPr>
                <w:color w:val="000000" w:themeColor="text1"/>
                <w14:textFill>
                  <w14:solidFill>
                    <w14:schemeClr w14:val="tx1"/>
                  </w14:solidFill>
                </w14:textFill>
              </w:rPr>
            </w:pPr>
            <w:r>
              <w:t>母公司的全资子公司</w:t>
            </w:r>
          </w:p>
        </w:tc>
      </w:tr>
      <w:tr w14:paraId="7A8B4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45E05636">
            <w:pPr>
              <w:rPr>
                <w:rFonts w:cs="Cambria"/>
              </w:rPr>
            </w:pPr>
            <w:r>
              <w:t>新兴铸管阜康能源有限公司</w:t>
            </w:r>
          </w:p>
        </w:tc>
        <w:tc>
          <w:tcPr>
            <w:tcW w:w="2253" w:type="pct"/>
            <w:tcBorders>
              <w:top w:val="single" w:color="auto" w:sz="4" w:space="0"/>
              <w:left w:val="single" w:color="auto" w:sz="4" w:space="0"/>
              <w:bottom w:val="single" w:color="auto" w:sz="4" w:space="0"/>
              <w:right w:val="single" w:color="auto" w:sz="4" w:space="0"/>
            </w:tcBorders>
          </w:tcPr>
          <w:p w14:paraId="31CE76FA">
            <w:pPr>
              <w:jc w:val="center"/>
              <w:rPr>
                <w:color w:val="000000" w:themeColor="text1"/>
                <w14:textFill>
                  <w14:solidFill>
                    <w14:schemeClr w14:val="tx1"/>
                  </w14:solidFill>
                </w14:textFill>
              </w:rPr>
            </w:pPr>
            <w:r>
              <w:t>母公司的控股子公司</w:t>
            </w:r>
          </w:p>
        </w:tc>
      </w:tr>
      <w:tr w14:paraId="3979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5A3E84D5">
            <w:pPr>
              <w:rPr>
                <w:rFonts w:cs="Cambria"/>
              </w:rPr>
            </w:pPr>
            <w:r>
              <w:t>中铸新兴企业管理有限公司</w:t>
            </w:r>
          </w:p>
        </w:tc>
        <w:tc>
          <w:tcPr>
            <w:tcW w:w="2253" w:type="pct"/>
            <w:tcBorders>
              <w:top w:val="single" w:color="auto" w:sz="4" w:space="0"/>
              <w:left w:val="single" w:color="auto" w:sz="4" w:space="0"/>
              <w:bottom w:val="single" w:color="auto" w:sz="4" w:space="0"/>
              <w:right w:val="single" w:color="auto" w:sz="4" w:space="0"/>
            </w:tcBorders>
          </w:tcPr>
          <w:p w14:paraId="4595EF07">
            <w:pPr>
              <w:jc w:val="center"/>
              <w:rPr>
                <w:color w:val="000000" w:themeColor="text1"/>
                <w14:textFill>
                  <w14:solidFill>
                    <w14:schemeClr w14:val="tx1"/>
                  </w14:solidFill>
                </w14:textFill>
              </w:rPr>
            </w:pPr>
            <w:r>
              <w:t>母公司的控股子公司</w:t>
            </w:r>
          </w:p>
        </w:tc>
      </w:tr>
      <w:tr w14:paraId="4898E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3E833C64">
            <w:pPr>
              <w:rPr>
                <w:rFonts w:cs="Cambria"/>
              </w:rPr>
            </w:pPr>
            <w:r>
              <w:t>新兴铸管股份有限公司</w:t>
            </w:r>
          </w:p>
        </w:tc>
        <w:tc>
          <w:tcPr>
            <w:tcW w:w="2253" w:type="pct"/>
            <w:tcBorders>
              <w:top w:val="single" w:color="auto" w:sz="4" w:space="0"/>
              <w:left w:val="single" w:color="auto" w:sz="4" w:space="0"/>
              <w:bottom w:val="single" w:color="auto" w:sz="4" w:space="0"/>
              <w:right w:val="single" w:color="auto" w:sz="4" w:space="0"/>
            </w:tcBorders>
          </w:tcPr>
          <w:p w14:paraId="3F432AD4">
            <w:pPr>
              <w:jc w:val="center"/>
              <w:rPr>
                <w:color w:val="000000" w:themeColor="text1"/>
                <w14:textFill>
                  <w14:solidFill>
                    <w14:schemeClr w14:val="tx1"/>
                  </w14:solidFill>
                </w14:textFill>
              </w:rPr>
            </w:pPr>
            <w:r>
              <w:t>母公司的控股子公司</w:t>
            </w:r>
          </w:p>
        </w:tc>
      </w:tr>
      <w:tr w14:paraId="51CF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7972DCB6">
            <w:pPr>
              <w:rPr>
                <w:rFonts w:cs="Cambria"/>
              </w:rPr>
            </w:pPr>
            <w:r>
              <w:t>新兴发展（北京）国际贸易有限公司</w:t>
            </w:r>
          </w:p>
        </w:tc>
        <w:tc>
          <w:tcPr>
            <w:tcW w:w="2253" w:type="pct"/>
            <w:tcBorders>
              <w:top w:val="single" w:color="auto" w:sz="4" w:space="0"/>
              <w:left w:val="single" w:color="auto" w:sz="4" w:space="0"/>
              <w:bottom w:val="single" w:color="auto" w:sz="4" w:space="0"/>
              <w:right w:val="single" w:color="auto" w:sz="4" w:space="0"/>
            </w:tcBorders>
          </w:tcPr>
          <w:p w14:paraId="6AAF8E17">
            <w:pPr>
              <w:jc w:val="center"/>
              <w:rPr>
                <w:color w:val="000000" w:themeColor="text1"/>
                <w14:textFill>
                  <w14:solidFill>
                    <w14:schemeClr w14:val="tx1"/>
                  </w14:solidFill>
                </w14:textFill>
              </w:rPr>
            </w:pPr>
            <w:r>
              <w:t>母公司的全资子公司</w:t>
            </w:r>
          </w:p>
        </w:tc>
      </w:tr>
      <w:tr w14:paraId="11C75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1F95ADD6">
            <w:pPr>
              <w:rPr>
                <w:rFonts w:cs="Cambria"/>
              </w:rPr>
            </w:pPr>
            <w:r>
              <w:t>广东新兴发展供应链管理有限公司</w:t>
            </w:r>
          </w:p>
        </w:tc>
        <w:tc>
          <w:tcPr>
            <w:tcW w:w="2253" w:type="pct"/>
            <w:tcBorders>
              <w:top w:val="single" w:color="auto" w:sz="4" w:space="0"/>
              <w:left w:val="single" w:color="auto" w:sz="4" w:space="0"/>
              <w:bottom w:val="single" w:color="auto" w:sz="4" w:space="0"/>
              <w:right w:val="single" w:color="auto" w:sz="4" w:space="0"/>
            </w:tcBorders>
          </w:tcPr>
          <w:p w14:paraId="716A91C7">
            <w:pPr>
              <w:jc w:val="center"/>
              <w:rPr>
                <w:color w:val="000000" w:themeColor="text1"/>
                <w14:textFill>
                  <w14:solidFill>
                    <w14:schemeClr w14:val="tx1"/>
                  </w14:solidFill>
                </w14:textFill>
              </w:rPr>
            </w:pPr>
            <w:r>
              <w:t>母公司的控股子公司</w:t>
            </w:r>
          </w:p>
        </w:tc>
      </w:tr>
      <w:tr w14:paraId="3B14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050ECBCB">
            <w:pPr>
              <w:rPr>
                <w:rFonts w:cs="Cambria"/>
              </w:rPr>
            </w:pPr>
            <w:r>
              <w:t>贵港新兴城投有限责任公司</w:t>
            </w:r>
          </w:p>
        </w:tc>
        <w:tc>
          <w:tcPr>
            <w:tcW w:w="2253" w:type="pct"/>
            <w:tcBorders>
              <w:top w:val="single" w:color="auto" w:sz="4" w:space="0"/>
              <w:left w:val="single" w:color="auto" w:sz="4" w:space="0"/>
              <w:bottom w:val="single" w:color="auto" w:sz="4" w:space="0"/>
              <w:right w:val="single" w:color="auto" w:sz="4" w:space="0"/>
            </w:tcBorders>
          </w:tcPr>
          <w:p w14:paraId="2EE8C322">
            <w:pPr>
              <w:jc w:val="center"/>
              <w:rPr>
                <w:color w:val="000000" w:themeColor="text1"/>
                <w14:textFill>
                  <w14:solidFill>
                    <w14:schemeClr w14:val="tx1"/>
                  </w14:solidFill>
                </w14:textFill>
              </w:rPr>
            </w:pPr>
            <w:r>
              <w:t>母公司的全资子公司</w:t>
            </w:r>
          </w:p>
        </w:tc>
      </w:tr>
      <w:tr w14:paraId="596A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6485E107">
            <w:pPr>
              <w:rPr>
                <w:rFonts w:cs="Cambria"/>
              </w:rPr>
            </w:pPr>
            <w:r>
              <w:t>新兴际华（上海）工程科技研究院有限公司</w:t>
            </w:r>
          </w:p>
        </w:tc>
        <w:tc>
          <w:tcPr>
            <w:tcW w:w="2253" w:type="pct"/>
            <w:tcBorders>
              <w:top w:val="single" w:color="auto" w:sz="4" w:space="0"/>
              <w:left w:val="single" w:color="auto" w:sz="4" w:space="0"/>
              <w:bottom w:val="single" w:color="auto" w:sz="4" w:space="0"/>
              <w:right w:val="single" w:color="auto" w:sz="4" w:space="0"/>
            </w:tcBorders>
          </w:tcPr>
          <w:p w14:paraId="5C258515">
            <w:pPr>
              <w:jc w:val="center"/>
              <w:rPr>
                <w:color w:val="000000" w:themeColor="text1"/>
                <w14:textFill>
                  <w14:solidFill>
                    <w14:schemeClr w14:val="tx1"/>
                  </w14:solidFill>
                </w14:textFill>
              </w:rPr>
            </w:pPr>
            <w:r>
              <w:t>母公司的全资子公司</w:t>
            </w:r>
          </w:p>
        </w:tc>
      </w:tr>
      <w:tr w14:paraId="5D965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618FB290">
            <w:pPr>
              <w:rPr>
                <w:rFonts w:cs="Cambria"/>
              </w:rPr>
            </w:pPr>
            <w:r>
              <w:t>陕西际华园开发建设有限公司</w:t>
            </w:r>
          </w:p>
        </w:tc>
        <w:tc>
          <w:tcPr>
            <w:tcW w:w="2253" w:type="pct"/>
            <w:tcBorders>
              <w:top w:val="single" w:color="auto" w:sz="4" w:space="0"/>
              <w:left w:val="single" w:color="auto" w:sz="4" w:space="0"/>
              <w:bottom w:val="single" w:color="auto" w:sz="4" w:space="0"/>
              <w:right w:val="single" w:color="auto" w:sz="4" w:space="0"/>
            </w:tcBorders>
          </w:tcPr>
          <w:p w14:paraId="2C7A531D">
            <w:pPr>
              <w:jc w:val="center"/>
              <w:rPr>
                <w:color w:val="000000" w:themeColor="text1"/>
                <w14:textFill>
                  <w14:solidFill>
                    <w14:schemeClr w14:val="tx1"/>
                  </w14:solidFill>
                </w14:textFill>
              </w:rPr>
            </w:pPr>
            <w:r>
              <w:t>母公司的全资子公司</w:t>
            </w:r>
          </w:p>
        </w:tc>
      </w:tr>
      <w:tr w14:paraId="01035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2C2E0ADD">
            <w:pPr>
              <w:rPr>
                <w:rFonts w:cs="Cambria"/>
              </w:rPr>
            </w:pPr>
            <w:r>
              <w:t>四川省川建管道有限公司</w:t>
            </w:r>
          </w:p>
        </w:tc>
        <w:tc>
          <w:tcPr>
            <w:tcW w:w="2253" w:type="pct"/>
            <w:tcBorders>
              <w:top w:val="single" w:color="auto" w:sz="4" w:space="0"/>
              <w:left w:val="single" w:color="auto" w:sz="4" w:space="0"/>
              <w:bottom w:val="single" w:color="auto" w:sz="4" w:space="0"/>
              <w:right w:val="single" w:color="auto" w:sz="4" w:space="0"/>
            </w:tcBorders>
          </w:tcPr>
          <w:p w14:paraId="7396CC84">
            <w:pPr>
              <w:jc w:val="center"/>
              <w:rPr>
                <w:color w:val="000000" w:themeColor="text1"/>
                <w14:textFill>
                  <w14:solidFill>
                    <w14:schemeClr w14:val="tx1"/>
                  </w14:solidFill>
                </w14:textFill>
              </w:rPr>
            </w:pPr>
            <w:r>
              <w:t>母公司的控股子公司</w:t>
            </w:r>
          </w:p>
        </w:tc>
      </w:tr>
      <w:tr w14:paraId="755F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4E059D40">
            <w:pPr>
              <w:rPr>
                <w:rFonts w:cs="Cambria"/>
              </w:rPr>
            </w:pPr>
            <w:r>
              <w:t>荷原商业管理（北京）有限公司</w:t>
            </w:r>
          </w:p>
        </w:tc>
        <w:tc>
          <w:tcPr>
            <w:tcW w:w="2253" w:type="pct"/>
            <w:tcBorders>
              <w:top w:val="single" w:color="auto" w:sz="4" w:space="0"/>
              <w:left w:val="single" w:color="auto" w:sz="4" w:space="0"/>
              <w:bottom w:val="single" w:color="auto" w:sz="4" w:space="0"/>
              <w:right w:val="single" w:color="auto" w:sz="4" w:space="0"/>
            </w:tcBorders>
          </w:tcPr>
          <w:p w14:paraId="6D72E85E">
            <w:pPr>
              <w:jc w:val="center"/>
              <w:rPr>
                <w:color w:val="000000" w:themeColor="text1"/>
                <w14:textFill>
                  <w14:solidFill>
                    <w14:schemeClr w14:val="tx1"/>
                  </w14:solidFill>
                </w14:textFill>
              </w:rPr>
            </w:pPr>
            <w:r>
              <w:t>母公司的全资子公司</w:t>
            </w:r>
          </w:p>
        </w:tc>
      </w:tr>
      <w:tr w14:paraId="77ED9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779A671B">
            <w:pPr>
              <w:rPr>
                <w:rFonts w:cs="Cambria"/>
              </w:rPr>
            </w:pPr>
            <w:r>
              <w:t>武汉汉江资产运营有限公司</w:t>
            </w:r>
          </w:p>
        </w:tc>
        <w:tc>
          <w:tcPr>
            <w:tcW w:w="2253" w:type="pct"/>
            <w:tcBorders>
              <w:top w:val="single" w:color="auto" w:sz="4" w:space="0"/>
              <w:left w:val="single" w:color="auto" w:sz="4" w:space="0"/>
              <w:bottom w:val="single" w:color="auto" w:sz="4" w:space="0"/>
              <w:right w:val="single" w:color="auto" w:sz="4" w:space="0"/>
            </w:tcBorders>
          </w:tcPr>
          <w:p w14:paraId="01E391C8">
            <w:pPr>
              <w:jc w:val="center"/>
              <w:rPr>
                <w:color w:val="000000" w:themeColor="text1"/>
                <w14:textFill>
                  <w14:solidFill>
                    <w14:schemeClr w14:val="tx1"/>
                  </w14:solidFill>
                </w14:textFill>
              </w:rPr>
            </w:pPr>
            <w:r>
              <w:t>母公司的控股子公司</w:t>
            </w:r>
          </w:p>
        </w:tc>
      </w:tr>
      <w:tr w14:paraId="7C2C8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59531C79">
            <w:pPr>
              <w:rPr>
                <w:rFonts w:cs="Cambria"/>
              </w:rPr>
            </w:pPr>
            <w:r>
              <w:t>新兴移山（天津）重工有限公司</w:t>
            </w:r>
          </w:p>
        </w:tc>
        <w:tc>
          <w:tcPr>
            <w:tcW w:w="2253" w:type="pct"/>
            <w:tcBorders>
              <w:top w:val="single" w:color="auto" w:sz="4" w:space="0"/>
              <w:left w:val="single" w:color="auto" w:sz="4" w:space="0"/>
              <w:bottom w:val="single" w:color="auto" w:sz="4" w:space="0"/>
              <w:right w:val="single" w:color="auto" w:sz="4" w:space="0"/>
            </w:tcBorders>
          </w:tcPr>
          <w:p w14:paraId="0E936338">
            <w:pPr>
              <w:jc w:val="center"/>
              <w:rPr>
                <w:color w:val="000000" w:themeColor="text1"/>
                <w14:textFill>
                  <w14:solidFill>
                    <w14:schemeClr w14:val="tx1"/>
                  </w14:solidFill>
                </w14:textFill>
              </w:rPr>
            </w:pPr>
            <w:r>
              <w:t>母公司的全资子公司</w:t>
            </w:r>
          </w:p>
        </w:tc>
      </w:tr>
      <w:tr w14:paraId="6F5B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64B98E8B">
            <w:pPr>
              <w:rPr>
                <w:rFonts w:cs="Cambria"/>
              </w:rPr>
            </w:pPr>
            <w:r>
              <w:t>新兴际华物业服务（北京）有限公司</w:t>
            </w:r>
          </w:p>
        </w:tc>
        <w:tc>
          <w:tcPr>
            <w:tcW w:w="2253" w:type="pct"/>
            <w:tcBorders>
              <w:top w:val="single" w:color="auto" w:sz="4" w:space="0"/>
              <w:left w:val="single" w:color="auto" w:sz="4" w:space="0"/>
              <w:bottom w:val="single" w:color="auto" w:sz="4" w:space="0"/>
              <w:right w:val="single" w:color="auto" w:sz="4" w:space="0"/>
            </w:tcBorders>
          </w:tcPr>
          <w:p w14:paraId="1F9DC456">
            <w:pPr>
              <w:jc w:val="center"/>
              <w:rPr>
                <w:color w:val="000000" w:themeColor="text1"/>
                <w14:textFill>
                  <w14:solidFill>
                    <w14:schemeClr w14:val="tx1"/>
                  </w14:solidFill>
                </w14:textFill>
              </w:rPr>
            </w:pPr>
            <w:r>
              <w:t>母公司的全资子公司</w:t>
            </w:r>
          </w:p>
        </w:tc>
      </w:tr>
      <w:tr w14:paraId="27E75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62A5B7A0">
            <w:pPr>
              <w:rPr>
                <w:rFonts w:cs="Cambria"/>
              </w:rPr>
            </w:pPr>
            <w:r>
              <w:t>新兴际华（北京）应急救援科技有限公司</w:t>
            </w:r>
          </w:p>
        </w:tc>
        <w:tc>
          <w:tcPr>
            <w:tcW w:w="2253" w:type="pct"/>
            <w:tcBorders>
              <w:top w:val="single" w:color="auto" w:sz="4" w:space="0"/>
              <w:left w:val="single" w:color="auto" w:sz="4" w:space="0"/>
              <w:bottom w:val="single" w:color="auto" w:sz="4" w:space="0"/>
              <w:right w:val="single" w:color="auto" w:sz="4" w:space="0"/>
            </w:tcBorders>
          </w:tcPr>
          <w:p w14:paraId="07C2785E">
            <w:pPr>
              <w:jc w:val="center"/>
              <w:rPr>
                <w:color w:val="000000" w:themeColor="text1"/>
                <w14:textFill>
                  <w14:solidFill>
                    <w14:schemeClr w14:val="tx1"/>
                  </w14:solidFill>
                </w14:textFill>
              </w:rPr>
            </w:pPr>
            <w:r>
              <w:t>母公司的全资子公司</w:t>
            </w:r>
          </w:p>
        </w:tc>
      </w:tr>
      <w:tr w14:paraId="3E74E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27CCD18C">
            <w:pPr>
              <w:rPr>
                <w:rFonts w:cs="Cambria"/>
              </w:rPr>
            </w:pPr>
            <w:r>
              <w:t>荷原置地控股有限公司</w:t>
            </w:r>
          </w:p>
        </w:tc>
        <w:tc>
          <w:tcPr>
            <w:tcW w:w="2253" w:type="pct"/>
            <w:tcBorders>
              <w:top w:val="single" w:color="auto" w:sz="4" w:space="0"/>
              <w:left w:val="single" w:color="auto" w:sz="4" w:space="0"/>
              <w:bottom w:val="single" w:color="auto" w:sz="4" w:space="0"/>
              <w:right w:val="single" w:color="auto" w:sz="4" w:space="0"/>
            </w:tcBorders>
          </w:tcPr>
          <w:p w14:paraId="1EA9D7D0">
            <w:pPr>
              <w:jc w:val="center"/>
              <w:rPr>
                <w:color w:val="000000" w:themeColor="text1"/>
                <w14:textFill>
                  <w14:solidFill>
                    <w14:schemeClr w14:val="tx1"/>
                  </w14:solidFill>
                </w14:textFill>
              </w:rPr>
            </w:pPr>
            <w:r>
              <w:t>其他关联方</w:t>
            </w:r>
          </w:p>
        </w:tc>
      </w:tr>
      <w:tr w14:paraId="20732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73C10109">
            <w:pPr>
              <w:rPr>
                <w:rFonts w:cs="Cambria"/>
              </w:rPr>
            </w:pPr>
            <w:r>
              <w:t>际华（天津）智能热力有限公司</w:t>
            </w:r>
          </w:p>
        </w:tc>
        <w:tc>
          <w:tcPr>
            <w:tcW w:w="2253" w:type="pct"/>
            <w:tcBorders>
              <w:top w:val="single" w:color="auto" w:sz="4" w:space="0"/>
              <w:left w:val="single" w:color="auto" w:sz="4" w:space="0"/>
              <w:bottom w:val="single" w:color="auto" w:sz="4" w:space="0"/>
              <w:right w:val="single" w:color="auto" w:sz="4" w:space="0"/>
            </w:tcBorders>
          </w:tcPr>
          <w:p w14:paraId="63D8246C">
            <w:pPr>
              <w:jc w:val="center"/>
              <w:rPr>
                <w:color w:val="000000" w:themeColor="text1"/>
                <w14:textFill>
                  <w14:solidFill>
                    <w14:schemeClr w14:val="tx1"/>
                  </w14:solidFill>
                </w14:textFill>
              </w:rPr>
            </w:pPr>
            <w:r>
              <w:t>其他关联方</w:t>
            </w:r>
          </w:p>
        </w:tc>
      </w:tr>
      <w:tr w14:paraId="4920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087EB212">
            <w:pPr>
              <w:rPr>
                <w:rFonts w:cs="Cambria"/>
              </w:rPr>
            </w:pPr>
            <w:r>
              <w:t>湖北三六一一应急装备有限公司</w:t>
            </w:r>
          </w:p>
        </w:tc>
        <w:tc>
          <w:tcPr>
            <w:tcW w:w="2253" w:type="pct"/>
            <w:tcBorders>
              <w:top w:val="single" w:color="auto" w:sz="4" w:space="0"/>
              <w:left w:val="single" w:color="auto" w:sz="4" w:space="0"/>
              <w:bottom w:val="single" w:color="auto" w:sz="4" w:space="0"/>
              <w:right w:val="single" w:color="auto" w:sz="4" w:space="0"/>
            </w:tcBorders>
          </w:tcPr>
          <w:p w14:paraId="184B561B">
            <w:pPr>
              <w:jc w:val="center"/>
              <w:rPr>
                <w:color w:val="000000" w:themeColor="text1"/>
                <w14:textFill>
                  <w14:solidFill>
                    <w14:schemeClr w14:val="tx1"/>
                  </w14:solidFill>
                </w14:textFill>
              </w:rPr>
            </w:pPr>
            <w:r>
              <w:t>母公司的全资子公司</w:t>
            </w:r>
          </w:p>
        </w:tc>
      </w:tr>
      <w:tr w14:paraId="49A0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02E4C09D">
            <w:pPr>
              <w:rPr>
                <w:rFonts w:cs="Cambria"/>
              </w:rPr>
            </w:pPr>
            <w:r>
              <w:t>天津移山工程机械有限公司</w:t>
            </w:r>
          </w:p>
        </w:tc>
        <w:tc>
          <w:tcPr>
            <w:tcW w:w="2253" w:type="pct"/>
            <w:tcBorders>
              <w:top w:val="single" w:color="auto" w:sz="4" w:space="0"/>
              <w:left w:val="single" w:color="auto" w:sz="4" w:space="0"/>
              <w:bottom w:val="single" w:color="auto" w:sz="4" w:space="0"/>
              <w:right w:val="single" w:color="auto" w:sz="4" w:space="0"/>
            </w:tcBorders>
          </w:tcPr>
          <w:p w14:paraId="04B6D66A">
            <w:pPr>
              <w:jc w:val="center"/>
              <w:rPr>
                <w:color w:val="000000" w:themeColor="text1"/>
                <w14:textFill>
                  <w14:solidFill>
                    <w14:schemeClr w14:val="tx1"/>
                  </w14:solidFill>
                </w14:textFill>
              </w:rPr>
            </w:pPr>
            <w:r>
              <w:t>母公司的全资子公司</w:t>
            </w:r>
          </w:p>
        </w:tc>
      </w:tr>
      <w:tr w14:paraId="6917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68BBE538">
            <w:pPr>
              <w:rPr>
                <w:rFonts w:cs="Cambria"/>
              </w:rPr>
            </w:pPr>
            <w:r>
              <w:t>新兴际华科技（天津）有限公司</w:t>
            </w:r>
          </w:p>
        </w:tc>
        <w:tc>
          <w:tcPr>
            <w:tcW w:w="2253" w:type="pct"/>
            <w:tcBorders>
              <w:top w:val="single" w:color="auto" w:sz="4" w:space="0"/>
              <w:left w:val="single" w:color="auto" w:sz="4" w:space="0"/>
              <w:bottom w:val="single" w:color="auto" w:sz="4" w:space="0"/>
              <w:right w:val="single" w:color="auto" w:sz="4" w:space="0"/>
            </w:tcBorders>
          </w:tcPr>
          <w:p w14:paraId="53C19F52">
            <w:pPr>
              <w:jc w:val="center"/>
              <w:rPr>
                <w:color w:val="000000" w:themeColor="text1"/>
                <w14:textFill>
                  <w14:solidFill>
                    <w14:schemeClr w14:val="tx1"/>
                  </w14:solidFill>
                </w14:textFill>
              </w:rPr>
            </w:pPr>
            <w:r>
              <w:t>母公司的控股子公司</w:t>
            </w:r>
          </w:p>
        </w:tc>
      </w:tr>
      <w:tr w14:paraId="3AF7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266B1E71">
            <w:pPr>
              <w:rPr>
                <w:rFonts w:cs="Cambria"/>
              </w:rPr>
            </w:pPr>
            <w:r>
              <w:t>新兴铸管（上海）金属资源有限公司</w:t>
            </w:r>
          </w:p>
        </w:tc>
        <w:tc>
          <w:tcPr>
            <w:tcW w:w="2253" w:type="pct"/>
            <w:tcBorders>
              <w:top w:val="single" w:color="auto" w:sz="4" w:space="0"/>
              <w:left w:val="single" w:color="auto" w:sz="4" w:space="0"/>
              <w:bottom w:val="single" w:color="auto" w:sz="4" w:space="0"/>
              <w:right w:val="single" w:color="auto" w:sz="4" w:space="0"/>
            </w:tcBorders>
          </w:tcPr>
          <w:p w14:paraId="4DE765F2">
            <w:pPr>
              <w:jc w:val="center"/>
              <w:rPr>
                <w:color w:val="000000" w:themeColor="text1"/>
                <w14:textFill>
                  <w14:solidFill>
                    <w14:schemeClr w14:val="tx1"/>
                  </w14:solidFill>
                </w14:textFill>
              </w:rPr>
            </w:pPr>
            <w:r>
              <w:t>母公司的全资子公司</w:t>
            </w:r>
          </w:p>
        </w:tc>
      </w:tr>
      <w:tr w14:paraId="27BF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6E6D4311">
            <w:pPr>
              <w:rPr>
                <w:rFonts w:cs="Cambria"/>
              </w:rPr>
            </w:pPr>
            <w:r>
              <w:t>大连新东昌置地有限公司</w:t>
            </w:r>
          </w:p>
        </w:tc>
        <w:tc>
          <w:tcPr>
            <w:tcW w:w="2253" w:type="pct"/>
            <w:tcBorders>
              <w:top w:val="single" w:color="auto" w:sz="4" w:space="0"/>
              <w:left w:val="single" w:color="auto" w:sz="4" w:space="0"/>
              <w:bottom w:val="single" w:color="auto" w:sz="4" w:space="0"/>
              <w:right w:val="single" w:color="auto" w:sz="4" w:space="0"/>
            </w:tcBorders>
          </w:tcPr>
          <w:p w14:paraId="1C3C335D">
            <w:pPr>
              <w:jc w:val="center"/>
              <w:rPr>
                <w:color w:val="000000" w:themeColor="text1"/>
                <w14:textFill>
                  <w14:solidFill>
                    <w14:schemeClr w14:val="tx1"/>
                  </w14:solidFill>
                </w14:textFill>
              </w:rPr>
            </w:pPr>
            <w:r>
              <w:t>母公司的控股子公司</w:t>
            </w:r>
          </w:p>
        </w:tc>
      </w:tr>
      <w:tr w14:paraId="64E6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4053C396">
            <w:pPr>
              <w:rPr>
                <w:rFonts w:cs="Cambria"/>
              </w:rPr>
            </w:pPr>
            <w:r>
              <w:t>新兴达美（天津）投资有限公司</w:t>
            </w:r>
          </w:p>
        </w:tc>
        <w:tc>
          <w:tcPr>
            <w:tcW w:w="2253" w:type="pct"/>
            <w:tcBorders>
              <w:top w:val="single" w:color="auto" w:sz="4" w:space="0"/>
              <w:left w:val="single" w:color="auto" w:sz="4" w:space="0"/>
              <w:bottom w:val="single" w:color="auto" w:sz="4" w:space="0"/>
              <w:right w:val="single" w:color="auto" w:sz="4" w:space="0"/>
            </w:tcBorders>
          </w:tcPr>
          <w:p w14:paraId="11F84712">
            <w:pPr>
              <w:jc w:val="center"/>
              <w:rPr>
                <w:color w:val="000000" w:themeColor="text1"/>
                <w14:textFill>
                  <w14:solidFill>
                    <w14:schemeClr w14:val="tx1"/>
                  </w14:solidFill>
                </w14:textFill>
              </w:rPr>
            </w:pPr>
            <w:r>
              <w:t>母公司的全资子公司</w:t>
            </w:r>
          </w:p>
        </w:tc>
      </w:tr>
      <w:tr w14:paraId="66D39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0EDE6DA5">
            <w:pPr>
              <w:rPr>
                <w:rFonts w:cs="Cambria"/>
              </w:rPr>
            </w:pPr>
            <w:r>
              <w:t>新兴际华（北京）智能装备技术研究院有限公司</w:t>
            </w:r>
          </w:p>
        </w:tc>
        <w:tc>
          <w:tcPr>
            <w:tcW w:w="2253" w:type="pct"/>
            <w:tcBorders>
              <w:top w:val="single" w:color="auto" w:sz="4" w:space="0"/>
              <w:left w:val="single" w:color="auto" w:sz="4" w:space="0"/>
              <w:bottom w:val="single" w:color="auto" w:sz="4" w:space="0"/>
              <w:right w:val="single" w:color="auto" w:sz="4" w:space="0"/>
            </w:tcBorders>
          </w:tcPr>
          <w:p w14:paraId="670ADFB0">
            <w:pPr>
              <w:jc w:val="center"/>
              <w:rPr>
                <w:color w:val="000000" w:themeColor="text1"/>
                <w14:textFill>
                  <w14:solidFill>
                    <w14:schemeClr w14:val="tx1"/>
                  </w14:solidFill>
                </w14:textFill>
              </w:rPr>
            </w:pPr>
            <w:r>
              <w:t>母公司的全资子公司</w:t>
            </w:r>
          </w:p>
        </w:tc>
      </w:tr>
      <w:tr w14:paraId="72FBE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0EFC8B90">
            <w:pPr>
              <w:rPr>
                <w:rFonts w:cs="Cambria"/>
              </w:rPr>
            </w:pPr>
            <w:r>
              <w:t>湖北三六一一特种装备有限责任公司</w:t>
            </w:r>
          </w:p>
        </w:tc>
        <w:tc>
          <w:tcPr>
            <w:tcW w:w="2253" w:type="pct"/>
            <w:tcBorders>
              <w:top w:val="single" w:color="auto" w:sz="4" w:space="0"/>
              <w:left w:val="single" w:color="auto" w:sz="4" w:space="0"/>
              <w:bottom w:val="single" w:color="auto" w:sz="4" w:space="0"/>
              <w:right w:val="single" w:color="auto" w:sz="4" w:space="0"/>
            </w:tcBorders>
          </w:tcPr>
          <w:p w14:paraId="0E3BF6D4">
            <w:pPr>
              <w:jc w:val="center"/>
              <w:rPr>
                <w:color w:val="000000" w:themeColor="text1"/>
                <w14:textFill>
                  <w14:solidFill>
                    <w14:schemeClr w14:val="tx1"/>
                  </w14:solidFill>
                </w14:textFill>
              </w:rPr>
            </w:pPr>
            <w:r>
              <w:t>母公司的控股子公司</w:t>
            </w:r>
          </w:p>
        </w:tc>
      </w:tr>
      <w:tr w14:paraId="6D1B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62296C5F">
            <w:pPr>
              <w:rPr>
                <w:rFonts w:cs="Cambria"/>
              </w:rPr>
            </w:pPr>
            <w:r>
              <w:t>新兴铸管（埃及）股份有限公司</w:t>
            </w:r>
          </w:p>
        </w:tc>
        <w:tc>
          <w:tcPr>
            <w:tcW w:w="2253" w:type="pct"/>
            <w:tcBorders>
              <w:top w:val="single" w:color="auto" w:sz="4" w:space="0"/>
              <w:left w:val="single" w:color="auto" w:sz="4" w:space="0"/>
              <w:bottom w:val="single" w:color="auto" w:sz="4" w:space="0"/>
              <w:right w:val="single" w:color="auto" w:sz="4" w:space="0"/>
            </w:tcBorders>
          </w:tcPr>
          <w:p w14:paraId="41073C20">
            <w:pPr>
              <w:jc w:val="center"/>
              <w:rPr>
                <w:color w:val="000000" w:themeColor="text1"/>
                <w14:textFill>
                  <w14:solidFill>
                    <w14:schemeClr w14:val="tx1"/>
                  </w14:solidFill>
                </w14:textFill>
              </w:rPr>
            </w:pPr>
            <w:r>
              <w:t>母公司的控股子公司</w:t>
            </w:r>
          </w:p>
        </w:tc>
      </w:tr>
      <w:tr w14:paraId="3F557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746" w:type="pct"/>
            <w:tcBorders>
              <w:top w:val="single" w:color="auto" w:sz="4" w:space="0"/>
              <w:left w:val="single" w:color="auto" w:sz="4" w:space="0"/>
              <w:bottom w:val="single" w:color="auto" w:sz="4" w:space="0"/>
              <w:right w:val="single" w:color="auto" w:sz="4" w:space="0"/>
            </w:tcBorders>
            <w:vAlign w:val="center"/>
          </w:tcPr>
          <w:p w14:paraId="53E319AD">
            <w:pPr>
              <w:rPr>
                <w:rFonts w:cs="Cambria"/>
              </w:rPr>
            </w:pPr>
            <w:r>
              <w:t>新兴铸管集团资源投资发展有限公司</w:t>
            </w:r>
          </w:p>
        </w:tc>
        <w:tc>
          <w:tcPr>
            <w:tcW w:w="2253" w:type="pct"/>
            <w:tcBorders>
              <w:top w:val="single" w:color="auto" w:sz="4" w:space="0"/>
              <w:left w:val="single" w:color="auto" w:sz="4" w:space="0"/>
              <w:bottom w:val="single" w:color="auto" w:sz="4" w:space="0"/>
              <w:right w:val="single" w:color="auto" w:sz="4" w:space="0"/>
            </w:tcBorders>
          </w:tcPr>
          <w:p w14:paraId="726C5BCD">
            <w:pPr>
              <w:jc w:val="center"/>
              <w:rPr>
                <w:color w:val="000000" w:themeColor="text1"/>
                <w14:textFill>
                  <w14:solidFill>
                    <w14:schemeClr w14:val="tx1"/>
                  </w14:solidFill>
                </w14:textFill>
              </w:rPr>
            </w:pPr>
            <w:r>
              <w:t>母公司的控股子公司</w:t>
            </w:r>
          </w:p>
        </w:tc>
      </w:tr>
    </w:tbl>
    <w:p w14:paraId="606F2033"/>
    <w:p w14:paraId="70F56C88">
      <w:pPr>
        <w:tabs>
          <w:tab w:val="left" w:pos="1134"/>
        </w:tabs>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他说明</w:t>
      </w:r>
    </w:p>
    <w:sdt>
      <w:sdtPr>
        <w:rPr>
          <w:rFonts w:cs="Cambria"/>
          <w:color w:val="000000" w:themeColor="text1"/>
          <w14:textFill>
            <w14:solidFill>
              <w14:schemeClr w14:val="tx1"/>
            </w14:solidFill>
          </w14:textFill>
        </w:rPr>
        <w:alias w:val="本企业的其他关联方情况的说明"/>
        <w:tag w:val="_GBC_214bcb1375e347c4be22006f5cc854a9"/>
        <w:id w:val="147468222"/>
        <w:placeholder>
          <w:docPart w:val="GBC22222222222222222222222222222"/>
        </w:placeholder>
      </w:sdtPr>
      <w:sdtEndPr>
        <w:rPr>
          <w:rFonts w:cs="Cambria"/>
          <w:color w:val="000000" w:themeColor="text1"/>
          <w14:textFill>
            <w14:solidFill>
              <w14:schemeClr w14:val="tx1"/>
            </w14:solidFill>
          </w14:textFill>
        </w:rPr>
      </w:sdtEndPr>
      <w:sdtContent>
        <w:p w14:paraId="24089014">
          <w:pPr>
            <w:tabs>
              <w:tab w:val="left" w:pos="1134"/>
            </w:tabs>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无</w:t>
          </w:r>
        </w:p>
      </w:sdtContent>
    </w:sdt>
    <w:p w14:paraId="364FD148">
      <w:pPr>
        <w:tabs>
          <w:tab w:val="left" w:pos="1134"/>
        </w:tabs>
        <w:rPr>
          <w:rFonts w:cs="Cambria"/>
          <w:b/>
          <w:color w:val="000000" w:themeColor="text1"/>
          <w14:textFill>
            <w14:solidFill>
              <w14:schemeClr w14:val="tx1"/>
            </w14:solidFill>
          </w14:textFill>
        </w:rPr>
      </w:pPr>
    </w:p>
    <w:p w14:paraId="6D6727B2">
      <w:pPr>
        <w:pStyle w:val="57"/>
        <w:numPr>
          <w:ilvl w:val="0"/>
          <w:numId w:val="104"/>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关联交易情况</w:t>
      </w:r>
    </w:p>
    <w:p w14:paraId="75026A81">
      <w:pPr>
        <w:pStyle w:val="58"/>
        <w:numPr>
          <w:ilvl w:val="0"/>
          <w:numId w:val="105"/>
        </w:numPr>
        <w:tabs>
          <w:tab w:val="left" w:pos="616"/>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购销商品、提供和接受劳务的关联交易</w:t>
      </w:r>
    </w:p>
    <w:p w14:paraId="7D74FBEF">
      <w:pPr>
        <w:rPr>
          <w:color w:val="000000" w:themeColor="text1"/>
          <w14:textFill>
            <w14:solidFill>
              <w14:schemeClr w14:val="tx1"/>
            </w14:solidFill>
          </w14:textFill>
        </w:rPr>
      </w:pPr>
      <w:r>
        <w:rPr>
          <w:rFonts w:hint="eastAsia"/>
          <w:color w:val="000000" w:themeColor="text1"/>
          <w14:textFill>
            <w14:solidFill>
              <w14:schemeClr w14:val="tx1"/>
            </w14:solidFill>
          </w14:textFill>
        </w:rPr>
        <w:t>采购商品/接受劳务情况表</w:t>
      </w:r>
    </w:p>
    <w:sdt>
      <w:sdtPr>
        <w:rPr>
          <w:color w:val="000000" w:themeColor="text1"/>
          <w14:textFill>
            <w14:solidFill>
              <w14:schemeClr w14:val="tx1"/>
            </w14:solidFill>
          </w14:textFill>
        </w:rPr>
        <w:alias w:val="是否适用：采购商品或接受劳务情况表[双击切换]"/>
        <w:tag w:val="_GBC_af7e43b831354837910c4edde708e04a"/>
        <w:id w:val="-1197921612"/>
      </w:sdtPr>
      <w:sdtEndPr>
        <w:rPr>
          <w:color w:val="000000" w:themeColor="text1"/>
          <w14:textFill>
            <w14:solidFill>
              <w14:schemeClr w14:val="tx1"/>
            </w14:solidFill>
          </w14:textFill>
        </w:rPr>
      </w:sdtEndPr>
      <w:sdtContent>
        <w:p w14:paraId="20928FF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1AC5223A">
      <w:pPr>
        <w:jc w:val="right"/>
        <w:rPr>
          <w:rFonts w:cs="Cambria"/>
          <w:b/>
          <w:bCs w:val="0"/>
          <w:color w:val="000000" w:themeColor="text1"/>
          <w14:textFill>
            <w14:solidFill>
              <w14:schemeClr w14:val="tx1"/>
            </w14:solidFill>
          </w14:textFill>
        </w:rPr>
      </w:pPr>
      <w:r>
        <w:rPr>
          <w:rFonts w:hint="eastAsia" w:cs="Cambria"/>
          <w:color w:val="000000" w:themeColor="text1"/>
          <w14:textFill>
            <w14:solidFill>
              <w14:schemeClr w14:val="tx1"/>
            </w14:solidFill>
          </w14:textFill>
        </w:rPr>
        <w:t>单位：</w:t>
      </w:r>
      <w:sdt>
        <w:sdtPr>
          <w:rPr>
            <w:rFonts w:hint="eastAsia" w:cs="Cambria"/>
            <w:color w:val="000000" w:themeColor="text1"/>
            <w14:textFill>
              <w14:solidFill>
                <w14:schemeClr w14:val="tx1"/>
              </w14:solidFill>
            </w14:textFill>
          </w:rPr>
          <w:alias w:val="单位：采购商品接受劳务情况表"/>
          <w:tag w:val="_GBC_45ae86deace34388a904346eae355be1"/>
          <w:id w:val="-1982688498"/>
          <w:comboBox>
            <w:listItem w:displayText="元" w:value="1"/>
            <w:listItem w:displayText="千元" w:value="1000"/>
            <w:listItem w:displayText="万元" w:value="10000"/>
            <w:listItem w:displayText="百万元" w:value="1000000"/>
            <w:listItem w:displayText="亿元" w:value="100000000"/>
          </w:comboBox>
        </w:sdtPr>
        <w:sdtEndPr>
          <w:rPr>
            <w:rFonts w:hint="eastAsia" w:cs="Cambria"/>
            <w:color w:val="000000" w:themeColor="text1"/>
            <w14:textFill>
              <w14:solidFill>
                <w14:schemeClr w14:val="tx1"/>
              </w14:solidFill>
            </w14:textFill>
          </w:rPr>
        </w:sdtEndPr>
        <w:sdtContent>
          <w:r>
            <w:rPr>
              <w:rFonts w:hint="eastAsia" w:cs="Cambria"/>
              <w:color w:val="000000" w:themeColor="text1"/>
              <w14:textFill>
                <w14:solidFill>
                  <w14:schemeClr w14:val="tx1"/>
                </w14:solidFill>
              </w14:textFill>
            </w:rPr>
            <w:t>元</w:t>
          </w:r>
        </w:sdtContent>
      </w:sdt>
      <w:r>
        <w:rPr>
          <w:rFonts w:hint="eastAsia" w:cs="Cambria"/>
          <w:color w:val="000000" w:themeColor="text1"/>
          <w14:textFill>
            <w14:solidFill>
              <w14:schemeClr w14:val="tx1"/>
            </w14:solidFill>
          </w14:textFill>
        </w:rPr>
        <w:t xml:space="preserve">  币种：</w:t>
      </w:r>
      <w:sdt>
        <w:sdtPr>
          <w:rPr>
            <w:rFonts w:hint="eastAsia" w:cs="Cambria"/>
            <w:color w:val="000000" w:themeColor="text1"/>
            <w14:textFill>
              <w14:solidFill>
                <w14:schemeClr w14:val="tx1"/>
              </w14:solidFill>
            </w14:textFill>
          </w:rPr>
          <w:alias w:val="币种：采购商品接受劳务情况表"/>
          <w:tag w:val="_GBC_ac9ca64b68bd493da1d7e7c719a6104c"/>
          <w:id w:val="-56124616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s="Cambria"/>
            <w:color w:val="000000" w:themeColor="text1"/>
            <w14:textFill>
              <w14:solidFill>
                <w14:schemeClr w14:val="tx1"/>
              </w14:solidFill>
            </w14:textFill>
          </w:rPr>
        </w:sdtEndPr>
        <w:sdtContent>
          <w:r>
            <w:rPr>
              <w:rFonts w:hint="eastAsia" w:cs="Cambria"/>
              <w:color w:val="000000" w:themeColor="text1"/>
              <w14:textFill>
                <w14:solidFill>
                  <w14:schemeClr w14:val="tx1"/>
                </w14:solidFill>
              </w14:textFill>
            </w:rPr>
            <w:t>人民币</w:t>
          </w:r>
        </w:sdtContent>
      </w:sdt>
    </w:p>
    <w:tbl>
      <w:tblPr>
        <w:tblStyle w:val="37"/>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274"/>
        <w:gridCol w:w="1538"/>
        <w:gridCol w:w="1547"/>
        <w:gridCol w:w="1685"/>
      </w:tblGrid>
      <w:tr w14:paraId="7B6305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5" w:hRule="atLeast"/>
          <w:tblHeader/>
        </w:trPr>
        <w:sdt>
          <w:sdtPr>
            <w:rPr>
              <w:rFonts w:cs="Times New Roman"/>
            </w:rPr>
            <w:tag w:val="_PLD_c09a7dc97d494a8fb07056392e54876a"/>
            <w:id w:val="-1786563649"/>
          </w:sdtPr>
          <w:sdtEndPr>
            <w:rPr>
              <w:rFonts w:cs="Times New Roman"/>
            </w:rPr>
          </w:sdtEndPr>
          <w:sdtContent>
            <w:tc>
              <w:tcPr>
                <w:tcW w:w="2362" w:type="pct"/>
                <w:tcBorders>
                  <w:top w:val="single" w:color="auto" w:sz="4" w:space="0"/>
                  <w:left w:val="single" w:color="auto" w:sz="4" w:space="0"/>
                  <w:bottom w:val="single" w:color="auto" w:sz="4" w:space="0"/>
                  <w:right w:val="single" w:color="auto" w:sz="4" w:space="0"/>
                </w:tcBorders>
                <w:vAlign w:val="center"/>
              </w:tcPr>
              <w:p w14:paraId="3AEB601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关联方</w:t>
                </w:r>
              </w:p>
            </w:tc>
          </w:sdtContent>
        </w:sdt>
        <w:sdt>
          <w:sdtPr>
            <w:rPr>
              <w:rFonts w:cs="Times New Roman"/>
            </w:rPr>
            <w:tag w:val="_PLD_6f5fdab53c694e56963e5e189cd0c28d"/>
            <w:id w:val="2078944842"/>
          </w:sdtPr>
          <w:sdtEndPr>
            <w:rPr>
              <w:rFonts w:cs="Times New Roman"/>
            </w:rPr>
          </w:sdtEndPr>
          <w:sdtContent>
            <w:tc>
              <w:tcPr>
                <w:tcW w:w="850" w:type="pct"/>
                <w:tcBorders>
                  <w:top w:val="single" w:color="auto" w:sz="4" w:space="0"/>
                  <w:left w:val="single" w:color="auto" w:sz="4" w:space="0"/>
                  <w:bottom w:val="single" w:color="auto" w:sz="4" w:space="0"/>
                  <w:right w:val="single" w:color="auto" w:sz="4" w:space="0"/>
                </w:tcBorders>
                <w:vAlign w:val="center"/>
              </w:tcPr>
              <w:p w14:paraId="70BCF5D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关联交易内容</w:t>
                </w:r>
              </w:p>
            </w:tc>
          </w:sdtContent>
        </w:sdt>
        <w:sdt>
          <w:sdtPr>
            <w:rPr>
              <w:rFonts w:cs="Times New Roman"/>
            </w:rPr>
            <w:tag w:val="_PLD_1237b998b2a64f30a674dff433b841b0"/>
            <w:id w:val="414214711"/>
          </w:sdtPr>
          <w:sdtEndPr>
            <w:rPr>
              <w:rFonts w:cs="Times New Roman"/>
            </w:rPr>
          </w:sdtEndPr>
          <w:sdtContent>
            <w:tc>
              <w:tcPr>
                <w:tcW w:w="855" w:type="pct"/>
                <w:tcBorders>
                  <w:top w:val="single" w:color="auto" w:sz="4" w:space="0"/>
                  <w:left w:val="single" w:color="auto" w:sz="4" w:space="0"/>
                  <w:right w:val="single" w:color="auto" w:sz="4" w:space="0"/>
                </w:tcBorders>
                <w:vAlign w:val="center"/>
              </w:tcPr>
              <w:p w14:paraId="60640280">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tc>
          </w:sdtContent>
        </w:sdt>
        <w:sdt>
          <w:sdtPr>
            <w:rPr>
              <w:rFonts w:cs="Times New Roman"/>
            </w:rPr>
            <w:tag w:val="_PLD_f7d77ff6fdf642199e4c9fc12f00610d"/>
            <w:id w:val="688265091"/>
          </w:sdtPr>
          <w:sdtEndPr>
            <w:rPr>
              <w:rFonts w:cs="Times New Roman"/>
            </w:rPr>
          </w:sdtEndPr>
          <w:sdtContent>
            <w:tc>
              <w:tcPr>
                <w:tcW w:w="931" w:type="pct"/>
                <w:tcBorders>
                  <w:top w:val="single" w:color="auto" w:sz="4" w:space="0"/>
                  <w:left w:val="single" w:color="auto" w:sz="4" w:space="0"/>
                  <w:right w:val="single" w:color="auto" w:sz="4" w:space="0"/>
                </w:tcBorders>
                <w:vAlign w:val="center"/>
              </w:tcPr>
              <w:p w14:paraId="798F383F">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tc>
          </w:sdtContent>
        </w:sdt>
      </w:tr>
      <w:sdt>
        <w:sdtPr>
          <w:rPr>
            <w:rFonts w:cs="Times New Roman"/>
            <w:color w:val="000000" w:themeColor="text1"/>
            <w14:textFill>
              <w14:solidFill>
                <w14:schemeClr w14:val="tx1"/>
              </w14:solidFill>
            </w14:textFill>
          </w:rPr>
          <w:alias w:val="采购商品接受劳务情况明细"/>
          <w:tag w:val="_TUP_6a1f8fb777604032986c4beda62c76c1"/>
          <w:id w:val="1507318083"/>
          <w:placeholder>
            <w:docPart w:val="{dac80138-80a9-4f66-bd31-592d454e5556}"/>
          </w:placeholder>
        </w:sdtPr>
        <w:sdtEndPr>
          <w:rPr>
            <w:rFonts w:cs="Times New Roman"/>
            <w:color w:val="000000" w:themeColor="text1"/>
            <w14:textFill>
              <w14:solidFill>
                <w14:schemeClr w14:val="tx1"/>
              </w14:solidFill>
            </w14:textFill>
          </w:rPr>
        </w:sdtEndPr>
        <w:sdtContent>
          <w:tr w14:paraId="705923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62" w:type="pct"/>
                <w:tcBorders>
                  <w:top w:val="single" w:color="auto" w:sz="4" w:space="0"/>
                  <w:left w:val="single" w:color="auto" w:sz="4" w:space="0"/>
                  <w:bottom w:val="single" w:color="auto" w:sz="4" w:space="0"/>
                  <w:right w:val="single" w:color="auto" w:sz="4" w:space="0"/>
                </w:tcBorders>
              </w:tcPr>
              <w:p w14:paraId="4869B140">
                <w:pPr>
                  <w:rPr>
                    <w:rFonts w:cs="Times New Roman"/>
                  </w:rPr>
                </w:pPr>
                <w:bookmarkStart w:id="410" w:name="_Hlk40536931"/>
                <w:r>
                  <w:rPr>
                    <w:rFonts w:cs="Times New Roman"/>
                  </w:rPr>
                  <w:t>石家庄际华资产管理有限公司</w:t>
                </w:r>
              </w:p>
            </w:tc>
            <w:tc>
              <w:tcPr>
                <w:tcW w:w="850" w:type="pct"/>
                <w:tcBorders>
                  <w:top w:val="single" w:color="auto" w:sz="4" w:space="0"/>
                  <w:left w:val="single" w:color="auto" w:sz="4" w:space="0"/>
                  <w:bottom w:val="single" w:color="auto" w:sz="4" w:space="0"/>
                  <w:right w:val="single" w:color="auto" w:sz="4" w:space="0"/>
                </w:tcBorders>
              </w:tcPr>
              <w:p w14:paraId="3D0EAEBA">
                <w:pPr>
                  <w:jc w:val="center"/>
                  <w:rPr>
                    <w:rFonts w:cs="Times New Roman"/>
                  </w:rPr>
                </w:pPr>
                <w:r>
                  <w:rPr>
                    <w:rFonts w:cs="Times New Roman"/>
                  </w:rPr>
                  <w:t>采购商品</w:t>
                </w:r>
              </w:p>
            </w:tc>
            <w:tc>
              <w:tcPr>
                <w:tcW w:w="855" w:type="pct"/>
                <w:tcBorders>
                  <w:top w:val="single" w:color="auto" w:sz="4" w:space="0"/>
                  <w:left w:val="single" w:color="auto" w:sz="4" w:space="0"/>
                  <w:bottom w:val="single" w:color="auto" w:sz="4" w:space="0"/>
                  <w:right w:val="single" w:color="auto" w:sz="4" w:space="0"/>
                </w:tcBorders>
              </w:tcPr>
              <w:p w14:paraId="0C19E330">
                <w:pPr>
                  <w:jc w:val="right"/>
                  <w:rPr>
                    <w:rFonts w:cs="Times New Roman"/>
                  </w:rPr>
                </w:pPr>
                <w:r>
                  <w:rPr>
                    <w:rFonts w:cs="Times New Roman"/>
                  </w:rPr>
                  <w:t>13,555,674.58</w:t>
                </w:r>
              </w:p>
            </w:tc>
            <w:tc>
              <w:tcPr>
                <w:tcW w:w="931" w:type="pct"/>
                <w:tcBorders>
                  <w:top w:val="single" w:color="auto" w:sz="4" w:space="0"/>
                  <w:left w:val="single" w:color="auto" w:sz="4" w:space="0"/>
                  <w:bottom w:val="single" w:color="auto" w:sz="4" w:space="0"/>
                  <w:right w:val="single" w:color="auto" w:sz="4" w:space="0"/>
                </w:tcBorders>
              </w:tcPr>
              <w:p w14:paraId="3EFDF7E6">
                <w:pPr>
                  <w:jc w:val="right"/>
                  <w:rPr>
                    <w:rFonts w:cs="Times New Roman"/>
                  </w:rPr>
                </w:pPr>
                <w:r>
                  <w:rPr>
                    <w:rFonts w:cs="Times New Roman"/>
                  </w:rPr>
                  <w:t>23,962,644.37</w:t>
                </w:r>
              </w:p>
            </w:tc>
          </w:tr>
        </w:sdtContent>
      </w:sdt>
      <w:sdt>
        <w:sdtPr>
          <w:rPr>
            <w:rFonts w:cs="Times New Roman"/>
            <w:color w:val="000000" w:themeColor="text1"/>
            <w14:textFill>
              <w14:solidFill>
                <w14:schemeClr w14:val="tx1"/>
              </w14:solidFill>
            </w14:textFill>
          </w:rPr>
          <w:alias w:val="采购商品接受劳务情况明细"/>
          <w:tag w:val="_TUP_6a1f8fb777604032986c4beda62c76c1"/>
          <w:id w:val="1201679132"/>
          <w:placeholder>
            <w:docPart w:val="{dac80138-80a9-4f66-bd31-592d454e5556}"/>
          </w:placeholder>
        </w:sdtPr>
        <w:sdtEndPr>
          <w:rPr>
            <w:rFonts w:cs="Times New Roman"/>
            <w:color w:val="000000" w:themeColor="text1"/>
            <w14:textFill>
              <w14:solidFill>
                <w14:schemeClr w14:val="tx1"/>
              </w14:solidFill>
            </w14:textFill>
          </w:rPr>
        </w:sdtEndPr>
        <w:sdtContent>
          <w:tr w14:paraId="1606BA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62" w:type="pct"/>
                <w:tcBorders>
                  <w:top w:val="single" w:color="auto" w:sz="4" w:space="0"/>
                  <w:left w:val="single" w:color="auto" w:sz="4" w:space="0"/>
                  <w:bottom w:val="single" w:color="auto" w:sz="4" w:space="0"/>
                  <w:right w:val="single" w:color="auto" w:sz="4" w:space="0"/>
                </w:tcBorders>
              </w:tcPr>
              <w:p w14:paraId="21561FA8">
                <w:pPr>
                  <w:rPr>
                    <w:rFonts w:cs="Times New Roman"/>
                  </w:rPr>
                </w:pPr>
                <w:r>
                  <w:rPr>
                    <w:rFonts w:cs="Times New Roman"/>
                  </w:rPr>
                  <w:t>湖南中晟高分子新材料有限公司</w:t>
                </w:r>
              </w:p>
            </w:tc>
            <w:tc>
              <w:tcPr>
                <w:tcW w:w="850" w:type="pct"/>
                <w:tcBorders>
                  <w:top w:val="single" w:color="auto" w:sz="4" w:space="0"/>
                  <w:left w:val="single" w:color="auto" w:sz="4" w:space="0"/>
                  <w:bottom w:val="single" w:color="auto" w:sz="4" w:space="0"/>
                  <w:right w:val="single" w:color="auto" w:sz="4" w:space="0"/>
                </w:tcBorders>
              </w:tcPr>
              <w:p w14:paraId="09B3F731">
                <w:pPr>
                  <w:jc w:val="center"/>
                  <w:rPr>
                    <w:rFonts w:cs="Times New Roman"/>
                  </w:rPr>
                </w:pPr>
                <w:r>
                  <w:rPr>
                    <w:rFonts w:cs="Times New Roman"/>
                  </w:rPr>
                  <w:t>采购商品</w:t>
                </w:r>
              </w:p>
            </w:tc>
            <w:tc>
              <w:tcPr>
                <w:tcW w:w="855" w:type="pct"/>
                <w:tcBorders>
                  <w:top w:val="single" w:color="auto" w:sz="4" w:space="0"/>
                  <w:left w:val="single" w:color="auto" w:sz="4" w:space="0"/>
                  <w:bottom w:val="single" w:color="auto" w:sz="4" w:space="0"/>
                  <w:right w:val="single" w:color="auto" w:sz="4" w:space="0"/>
                </w:tcBorders>
              </w:tcPr>
              <w:p w14:paraId="3C53FF28">
                <w:pPr>
                  <w:jc w:val="right"/>
                  <w:rPr>
                    <w:rFonts w:cs="Times New Roman"/>
                  </w:rPr>
                </w:pPr>
                <w:r>
                  <w:rPr>
                    <w:rFonts w:cs="Times New Roman"/>
                  </w:rPr>
                  <w:t>14,162,135.01</w:t>
                </w:r>
              </w:p>
            </w:tc>
            <w:tc>
              <w:tcPr>
                <w:tcW w:w="931" w:type="pct"/>
                <w:tcBorders>
                  <w:top w:val="single" w:color="auto" w:sz="4" w:space="0"/>
                  <w:left w:val="single" w:color="auto" w:sz="4" w:space="0"/>
                  <w:bottom w:val="single" w:color="auto" w:sz="4" w:space="0"/>
                  <w:right w:val="single" w:color="auto" w:sz="4" w:space="0"/>
                </w:tcBorders>
              </w:tcPr>
              <w:p w14:paraId="4A1ADACB">
                <w:pPr>
                  <w:jc w:val="right"/>
                  <w:rPr>
                    <w:rFonts w:cs="Times New Roman"/>
                  </w:rPr>
                </w:pPr>
                <w:r>
                  <w:rPr>
                    <w:rFonts w:cs="Times New Roman"/>
                  </w:rPr>
                  <w:t>35,344,591.09</w:t>
                </w:r>
              </w:p>
            </w:tc>
          </w:tr>
        </w:sdtContent>
      </w:sdt>
      <w:sdt>
        <w:sdtPr>
          <w:rPr>
            <w:rFonts w:cs="Times New Roman"/>
            <w:color w:val="000000" w:themeColor="text1"/>
            <w14:textFill>
              <w14:solidFill>
                <w14:schemeClr w14:val="tx1"/>
              </w14:solidFill>
            </w14:textFill>
          </w:rPr>
          <w:alias w:val="采购商品接受劳务情况明细"/>
          <w:tag w:val="_TUP_6a1f8fb777604032986c4beda62c76c1"/>
          <w:id w:val="579101088"/>
          <w:placeholder>
            <w:docPart w:val="{dac80138-80a9-4f66-bd31-592d454e5556}"/>
          </w:placeholder>
        </w:sdtPr>
        <w:sdtEndPr>
          <w:rPr>
            <w:rFonts w:cs="Times New Roman"/>
            <w:color w:val="000000" w:themeColor="text1"/>
            <w14:textFill>
              <w14:solidFill>
                <w14:schemeClr w14:val="tx1"/>
              </w14:solidFill>
            </w14:textFill>
          </w:rPr>
        </w:sdtEndPr>
        <w:sdtContent>
          <w:tr w14:paraId="3623AF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Pr>
            <w:tc>
              <w:tcPr>
                <w:tcW w:w="2362" w:type="pct"/>
                <w:tcBorders>
                  <w:top w:val="single" w:color="auto" w:sz="4" w:space="0"/>
                  <w:left w:val="single" w:color="auto" w:sz="4" w:space="0"/>
                  <w:bottom w:val="single" w:color="auto" w:sz="4" w:space="0"/>
                  <w:right w:val="single" w:color="auto" w:sz="4" w:space="0"/>
                </w:tcBorders>
              </w:tcPr>
              <w:p w14:paraId="7DA37543">
                <w:pPr>
                  <w:rPr>
                    <w:rFonts w:cs="Times New Roman"/>
                  </w:rPr>
                </w:pPr>
                <w:r>
                  <w:rPr>
                    <w:rFonts w:cs="Times New Roman"/>
                  </w:rPr>
                  <w:t>南京英斯瑞德高分子材料股份有限公司</w:t>
                </w:r>
              </w:p>
            </w:tc>
            <w:tc>
              <w:tcPr>
                <w:tcW w:w="850" w:type="pct"/>
                <w:tcBorders>
                  <w:top w:val="single" w:color="auto" w:sz="4" w:space="0"/>
                  <w:left w:val="single" w:color="auto" w:sz="4" w:space="0"/>
                  <w:bottom w:val="single" w:color="auto" w:sz="4" w:space="0"/>
                  <w:right w:val="single" w:color="auto" w:sz="4" w:space="0"/>
                </w:tcBorders>
              </w:tcPr>
              <w:p w14:paraId="72131D12">
                <w:pPr>
                  <w:jc w:val="center"/>
                  <w:rPr>
                    <w:rFonts w:cs="Times New Roman"/>
                  </w:rPr>
                </w:pPr>
                <w:r>
                  <w:rPr>
                    <w:rFonts w:cs="Times New Roman"/>
                  </w:rPr>
                  <w:t>采购商品</w:t>
                </w:r>
              </w:p>
            </w:tc>
            <w:tc>
              <w:tcPr>
                <w:tcW w:w="855" w:type="pct"/>
                <w:tcBorders>
                  <w:top w:val="single" w:color="auto" w:sz="4" w:space="0"/>
                  <w:left w:val="single" w:color="auto" w:sz="4" w:space="0"/>
                  <w:bottom w:val="single" w:color="auto" w:sz="4" w:space="0"/>
                  <w:right w:val="single" w:color="auto" w:sz="4" w:space="0"/>
                </w:tcBorders>
              </w:tcPr>
              <w:p w14:paraId="0B053312">
                <w:pPr>
                  <w:jc w:val="right"/>
                  <w:rPr>
                    <w:rFonts w:cs="Times New Roman"/>
                  </w:rPr>
                </w:pPr>
                <w:r>
                  <w:rPr>
                    <w:rFonts w:cs="Times New Roman"/>
                  </w:rPr>
                  <w:t>2,169,198.36</w:t>
                </w:r>
              </w:p>
            </w:tc>
            <w:tc>
              <w:tcPr>
                <w:tcW w:w="931" w:type="pct"/>
                <w:tcBorders>
                  <w:top w:val="single" w:color="auto" w:sz="4" w:space="0"/>
                  <w:left w:val="single" w:color="auto" w:sz="4" w:space="0"/>
                  <w:bottom w:val="single" w:color="auto" w:sz="4" w:space="0"/>
                  <w:right w:val="single" w:color="auto" w:sz="4" w:space="0"/>
                </w:tcBorders>
              </w:tcPr>
              <w:p w14:paraId="22567EA7">
                <w:pPr>
                  <w:jc w:val="right"/>
                  <w:rPr>
                    <w:rFonts w:cs="Times New Roman"/>
                  </w:rPr>
                </w:pPr>
                <w:r>
                  <w:rPr>
                    <w:rFonts w:cs="Times New Roman"/>
                  </w:rPr>
                  <w:t>5,718,659.15</w:t>
                </w:r>
              </w:p>
            </w:tc>
          </w:tr>
        </w:sdtContent>
      </w:sdt>
      <w:sdt>
        <w:sdtPr>
          <w:rPr>
            <w:rFonts w:cs="Times New Roman"/>
            <w:color w:val="000000" w:themeColor="text1"/>
            <w14:textFill>
              <w14:solidFill>
                <w14:schemeClr w14:val="tx1"/>
              </w14:solidFill>
            </w14:textFill>
          </w:rPr>
          <w:alias w:val="采购商品接受劳务情况明细"/>
          <w:tag w:val="_TUP_6a1f8fb777604032986c4beda62c76c1"/>
          <w:id w:val="2124570592"/>
          <w:placeholder>
            <w:docPart w:val="{dac80138-80a9-4f66-bd31-592d454e5556}"/>
          </w:placeholder>
        </w:sdtPr>
        <w:sdtEndPr>
          <w:rPr>
            <w:rFonts w:cs="Times New Roman"/>
            <w:color w:val="000000" w:themeColor="text1"/>
            <w14:textFill>
              <w14:solidFill>
                <w14:schemeClr w14:val="tx1"/>
              </w14:solidFill>
            </w14:textFill>
          </w:rPr>
        </w:sdtEndPr>
        <w:sdtContent>
          <w:tr w14:paraId="211928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Pr>
            <w:tc>
              <w:tcPr>
                <w:tcW w:w="2362" w:type="pct"/>
                <w:tcBorders>
                  <w:top w:val="single" w:color="auto" w:sz="4" w:space="0"/>
                  <w:left w:val="single" w:color="auto" w:sz="4" w:space="0"/>
                  <w:bottom w:val="single" w:color="auto" w:sz="4" w:space="0"/>
                  <w:right w:val="single" w:color="auto" w:sz="4" w:space="0"/>
                </w:tcBorders>
              </w:tcPr>
              <w:p w14:paraId="46CD5A72">
                <w:pPr>
                  <w:rPr>
                    <w:rFonts w:cs="Times New Roman"/>
                  </w:rPr>
                </w:pPr>
                <w:r>
                  <w:rPr>
                    <w:rFonts w:cs="Times New Roman"/>
                  </w:rPr>
                  <w:t>新兴际华（北京）材料技术研究院有限公司</w:t>
                </w:r>
              </w:p>
            </w:tc>
            <w:tc>
              <w:tcPr>
                <w:tcW w:w="850" w:type="pct"/>
                <w:tcBorders>
                  <w:top w:val="single" w:color="auto" w:sz="4" w:space="0"/>
                  <w:left w:val="single" w:color="auto" w:sz="4" w:space="0"/>
                  <w:bottom w:val="single" w:color="auto" w:sz="4" w:space="0"/>
                  <w:right w:val="single" w:color="auto" w:sz="4" w:space="0"/>
                </w:tcBorders>
              </w:tcPr>
              <w:p w14:paraId="0B8022DB">
                <w:pPr>
                  <w:jc w:val="center"/>
                  <w:rPr>
                    <w:rFonts w:cs="Times New Roman"/>
                  </w:rPr>
                </w:pPr>
                <w:r>
                  <w:rPr>
                    <w:rFonts w:cs="Times New Roman"/>
                  </w:rPr>
                  <w:t>采购商品</w:t>
                </w:r>
              </w:p>
            </w:tc>
            <w:tc>
              <w:tcPr>
                <w:tcW w:w="855" w:type="pct"/>
                <w:tcBorders>
                  <w:top w:val="single" w:color="auto" w:sz="4" w:space="0"/>
                  <w:left w:val="single" w:color="auto" w:sz="4" w:space="0"/>
                  <w:bottom w:val="single" w:color="auto" w:sz="4" w:space="0"/>
                  <w:right w:val="single" w:color="auto" w:sz="4" w:space="0"/>
                </w:tcBorders>
              </w:tcPr>
              <w:p w14:paraId="18922421">
                <w:pPr>
                  <w:jc w:val="right"/>
                  <w:rPr>
                    <w:rFonts w:cs="Times New Roman"/>
                  </w:rPr>
                </w:pPr>
                <w:r>
                  <w:rPr>
                    <w:rFonts w:cs="Times New Roman"/>
                  </w:rPr>
                  <w:t>1,006,529.20</w:t>
                </w:r>
              </w:p>
            </w:tc>
            <w:tc>
              <w:tcPr>
                <w:tcW w:w="931" w:type="pct"/>
                <w:tcBorders>
                  <w:top w:val="single" w:color="auto" w:sz="4" w:space="0"/>
                  <w:left w:val="single" w:color="auto" w:sz="4" w:space="0"/>
                  <w:bottom w:val="single" w:color="auto" w:sz="4" w:space="0"/>
                  <w:right w:val="single" w:color="auto" w:sz="4" w:space="0"/>
                </w:tcBorders>
              </w:tcPr>
              <w:p w14:paraId="6B07FE6D">
                <w:pPr>
                  <w:jc w:val="right"/>
                  <w:rPr>
                    <w:rFonts w:cs="Times New Roman"/>
                  </w:rPr>
                </w:pPr>
                <w:r>
                  <w:rPr>
                    <w:rFonts w:cs="Times New Roman"/>
                  </w:rPr>
                  <w:t>291,334.53</w:t>
                </w:r>
              </w:p>
            </w:tc>
          </w:tr>
        </w:sdtContent>
      </w:sdt>
      <w:sdt>
        <w:sdtPr>
          <w:rPr>
            <w:rFonts w:cs="Times New Roman"/>
            <w:color w:val="000000" w:themeColor="text1"/>
            <w14:textFill>
              <w14:solidFill>
                <w14:schemeClr w14:val="tx1"/>
              </w14:solidFill>
            </w14:textFill>
          </w:rPr>
          <w:alias w:val="采购商品接受劳务情况明细"/>
          <w:tag w:val="_TUP_6a1f8fb777604032986c4beda62c76c1"/>
          <w:id w:val="1982729117"/>
          <w:placeholder>
            <w:docPart w:val="{dac80138-80a9-4f66-bd31-592d454e5556}"/>
          </w:placeholder>
        </w:sdtPr>
        <w:sdtEndPr>
          <w:rPr>
            <w:rFonts w:cs="Times New Roman"/>
            <w:color w:val="000000" w:themeColor="text1"/>
            <w14:textFill>
              <w14:solidFill>
                <w14:schemeClr w14:val="tx1"/>
              </w14:solidFill>
            </w14:textFill>
          </w:rPr>
        </w:sdtEndPr>
        <w:sdtContent>
          <w:tr w14:paraId="6A452F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62" w:type="pct"/>
                <w:tcBorders>
                  <w:top w:val="single" w:color="auto" w:sz="4" w:space="0"/>
                  <w:left w:val="single" w:color="auto" w:sz="4" w:space="0"/>
                  <w:bottom w:val="single" w:color="auto" w:sz="4" w:space="0"/>
                  <w:right w:val="single" w:color="auto" w:sz="4" w:space="0"/>
                </w:tcBorders>
              </w:tcPr>
              <w:p w14:paraId="53EEA0E3">
                <w:pPr>
                  <w:rPr>
                    <w:rFonts w:cs="Times New Roman"/>
                  </w:rPr>
                </w:pPr>
                <w:r>
                  <w:rPr>
                    <w:rFonts w:cs="Times New Roman"/>
                  </w:rPr>
                  <w:t>新兴际华检验检测（北京）有限公司</w:t>
                </w:r>
              </w:p>
            </w:tc>
            <w:tc>
              <w:tcPr>
                <w:tcW w:w="850" w:type="pct"/>
                <w:tcBorders>
                  <w:top w:val="single" w:color="auto" w:sz="4" w:space="0"/>
                  <w:left w:val="single" w:color="auto" w:sz="4" w:space="0"/>
                  <w:bottom w:val="single" w:color="auto" w:sz="4" w:space="0"/>
                  <w:right w:val="single" w:color="auto" w:sz="4" w:space="0"/>
                </w:tcBorders>
              </w:tcPr>
              <w:p w14:paraId="4C01C81C">
                <w:pPr>
                  <w:jc w:val="center"/>
                  <w:rPr>
                    <w:rFonts w:cs="Times New Roman"/>
                  </w:rPr>
                </w:pPr>
                <w:r>
                  <w:rPr>
                    <w:rFonts w:cs="Times New Roman"/>
                  </w:rPr>
                  <w:t>采购商品</w:t>
                </w:r>
              </w:p>
            </w:tc>
            <w:tc>
              <w:tcPr>
                <w:tcW w:w="855" w:type="pct"/>
                <w:tcBorders>
                  <w:top w:val="single" w:color="auto" w:sz="4" w:space="0"/>
                  <w:left w:val="single" w:color="auto" w:sz="4" w:space="0"/>
                  <w:bottom w:val="single" w:color="auto" w:sz="4" w:space="0"/>
                  <w:right w:val="single" w:color="auto" w:sz="4" w:space="0"/>
                </w:tcBorders>
              </w:tcPr>
              <w:p w14:paraId="4C4DD23F">
                <w:pPr>
                  <w:jc w:val="right"/>
                  <w:rPr>
                    <w:rFonts w:cs="Times New Roman"/>
                  </w:rPr>
                </w:pPr>
                <w:r>
                  <w:rPr>
                    <w:rFonts w:cs="Times New Roman"/>
                  </w:rPr>
                  <w:t>83,448.59</w:t>
                </w:r>
              </w:p>
            </w:tc>
            <w:tc>
              <w:tcPr>
                <w:tcW w:w="931" w:type="pct"/>
                <w:tcBorders>
                  <w:top w:val="single" w:color="auto" w:sz="4" w:space="0"/>
                  <w:left w:val="single" w:color="auto" w:sz="4" w:space="0"/>
                  <w:bottom w:val="single" w:color="auto" w:sz="4" w:space="0"/>
                  <w:right w:val="single" w:color="auto" w:sz="4" w:space="0"/>
                </w:tcBorders>
              </w:tcPr>
              <w:p w14:paraId="13F3BAC4">
                <w:pPr>
                  <w:jc w:val="right"/>
                  <w:rPr>
                    <w:rFonts w:cs="Times New Roman"/>
                  </w:rPr>
                </w:pPr>
                <w:r>
                  <w:rPr>
                    <w:rFonts w:cs="Times New Roman"/>
                  </w:rPr>
                  <w:t>47,339.63</w:t>
                </w:r>
              </w:p>
            </w:tc>
          </w:tr>
        </w:sdtContent>
      </w:sdt>
      <w:sdt>
        <w:sdtPr>
          <w:rPr>
            <w:rFonts w:cs="Times New Roman"/>
            <w:color w:val="000000" w:themeColor="text1"/>
            <w14:textFill>
              <w14:solidFill>
                <w14:schemeClr w14:val="tx1"/>
              </w14:solidFill>
            </w14:textFill>
          </w:rPr>
          <w:alias w:val="采购商品接受劳务情况明细"/>
          <w:tag w:val="_TUP_6a1f8fb777604032986c4beda62c76c1"/>
          <w:id w:val="-691834251"/>
          <w:placeholder>
            <w:docPart w:val="{dac80138-80a9-4f66-bd31-592d454e5556}"/>
          </w:placeholder>
        </w:sdtPr>
        <w:sdtEndPr>
          <w:rPr>
            <w:rFonts w:cs="Times New Roman"/>
            <w:color w:val="000000" w:themeColor="text1"/>
            <w14:textFill>
              <w14:solidFill>
                <w14:schemeClr w14:val="tx1"/>
              </w14:solidFill>
            </w14:textFill>
          </w:rPr>
        </w:sdtEndPr>
        <w:sdtContent>
          <w:tr w14:paraId="591BC0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62" w:type="pct"/>
                <w:tcBorders>
                  <w:top w:val="single" w:color="auto" w:sz="4" w:space="0"/>
                  <w:left w:val="single" w:color="auto" w:sz="4" w:space="0"/>
                  <w:bottom w:val="single" w:color="auto" w:sz="4" w:space="0"/>
                  <w:right w:val="single" w:color="auto" w:sz="4" w:space="0"/>
                </w:tcBorders>
              </w:tcPr>
              <w:p w14:paraId="23587D1F">
                <w:pPr>
                  <w:rPr>
                    <w:rFonts w:cs="Times New Roman"/>
                  </w:rPr>
                </w:pPr>
                <w:r>
                  <w:rPr>
                    <w:rFonts w:cs="Times New Roman"/>
                  </w:rPr>
                  <w:t>新兴际华（上海）工程科技研究院有限公司</w:t>
                </w:r>
              </w:p>
            </w:tc>
            <w:tc>
              <w:tcPr>
                <w:tcW w:w="850" w:type="pct"/>
                <w:tcBorders>
                  <w:top w:val="single" w:color="auto" w:sz="4" w:space="0"/>
                  <w:left w:val="single" w:color="auto" w:sz="4" w:space="0"/>
                  <w:bottom w:val="single" w:color="auto" w:sz="4" w:space="0"/>
                  <w:right w:val="single" w:color="auto" w:sz="4" w:space="0"/>
                </w:tcBorders>
              </w:tcPr>
              <w:p w14:paraId="4787233F">
                <w:pPr>
                  <w:jc w:val="center"/>
                  <w:rPr>
                    <w:rFonts w:cs="Times New Roman"/>
                  </w:rPr>
                </w:pPr>
                <w:r>
                  <w:rPr>
                    <w:rFonts w:cs="Times New Roman"/>
                  </w:rPr>
                  <w:t>采购商品</w:t>
                </w:r>
              </w:p>
            </w:tc>
            <w:tc>
              <w:tcPr>
                <w:tcW w:w="855" w:type="pct"/>
                <w:tcBorders>
                  <w:top w:val="single" w:color="auto" w:sz="4" w:space="0"/>
                  <w:left w:val="single" w:color="auto" w:sz="4" w:space="0"/>
                  <w:bottom w:val="single" w:color="auto" w:sz="4" w:space="0"/>
                  <w:right w:val="single" w:color="auto" w:sz="4" w:space="0"/>
                </w:tcBorders>
              </w:tcPr>
              <w:p w14:paraId="02D06C13">
                <w:pPr>
                  <w:jc w:val="right"/>
                  <w:rPr>
                    <w:rFonts w:cs="Times New Roman"/>
                  </w:rPr>
                </w:pPr>
                <w:r>
                  <w:rPr>
                    <w:rFonts w:cs="Times New Roman"/>
                  </w:rPr>
                  <w:t>77,433.63</w:t>
                </w:r>
              </w:p>
            </w:tc>
            <w:tc>
              <w:tcPr>
                <w:tcW w:w="931" w:type="pct"/>
                <w:tcBorders>
                  <w:top w:val="single" w:color="auto" w:sz="4" w:space="0"/>
                  <w:left w:val="single" w:color="auto" w:sz="4" w:space="0"/>
                  <w:bottom w:val="single" w:color="auto" w:sz="4" w:space="0"/>
                  <w:right w:val="single" w:color="auto" w:sz="4" w:space="0"/>
                </w:tcBorders>
              </w:tcPr>
              <w:p w14:paraId="68D72432">
                <w:pPr>
                  <w:jc w:val="right"/>
                  <w:rPr>
                    <w:rFonts w:cs="Times New Roman"/>
                  </w:rPr>
                </w:pPr>
              </w:p>
            </w:tc>
          </w:tr>
        </w:sdtContent>
      </w:sdt>
      <w:sdt>
        <w:sdtPr>
          <w:rPr>
            <w:rFonts w:cs="Times New Roman"/>
            <w:color w:val="000000" w:themeColor="text1"/>
            <w14:textFill>
              <w14:solidFill>
                <w14:schemeClr w14:val="tx1"/>
              </w14:solidFill>
            </w14:textFill>
          </w:rPr>
          <w:alias w:val="采购商品接受劳务情况明细"/>
          <w:tag w:val="_TUP_6a1f8fb777604032986c4beda62c76c1"/>
          <w:id w:val="1301656365"/>
          <w:placeholder>
            <w:docPart w:val="{dac80138-80a9-4f66-bd31-592d454e5556}"/>
          </w:placeholder>
        </w:sdtPr>
        <w:sdtEndPr>
          <w:rPr>
            <w:rFonts w:cs="Times New Roman"/>
            <w:color w:val="000000" w:themeColor="text1"/>
            <w14:textFill>
              <w14:solidFill>
                <w14:schemeClr w14:val="tx1"/>
              </w14:solidFill>
            </w14:textFill>
          </w:rPr>
        </w:sdtEndPr>
        <w:sdtContent>
          <w:tr w14:paraId="561EFB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62" w:type="pct"/>
                <w:tcBorders>
                  <w:top w:val="single" w:color="auto" w:sz="4" w:space="0"/>
                  <w:left w:val="single" w:color="auto" w:sz="4" w:space="0"/>
                  <w:bottom w:val="single" w:color="auto" w:sz="4" w:space="0"/>
                  <w:right w:val="single" w:color="auto" w:sz="4" w:space="0"/>
                </w:tcBorders>
              </w:tcPr>
              <w:p w14:paraId="4D3AF7EF">
                <w:pPr>
                  <w:rPr>
                    <w:rFonts w:cs="Times New Roman"/>
                  </w:rPr>
                </w:pPr>
                <w:r>
                  <w:rPr>
                    <w:rFonts w:cs="Times New Roman"/>
                  </w:rPr>
                  <w:t>上海际华物流有限公司</w:t>
                </w:r>
              </w:p>
            </w:tc>
            <w:tc>
              <w:tcPr>
                <w:tcW w:w="850" w:type="pct"/>
                <w:tcBorders>
                  <w:top w:val="single" w:color="auto" w:sz="4" w:space="0"/>
                  <w:left w:val="single" w:color="auto" w:sz="4" w:space="0"/>
                  <w:bottom w:val="single" w:color="auto" w:sz="4" w:space="0"/>
                  <w:right w:val="single" w:color="auto" w:sz="4" w:space="0"/>
                </w:tcBorders>
              </w:tcPr>
              <w:p w14:paraId="1C0FE781">
                <w:pPr>
                  <w:jc w:val="center"/>
                  <w:rPr>
                    <w:rFonts w:cs="Times New Roman"/>
                  </w:rPr>
                </w:pPr>
                <w:r>
                  <w:rPr>
                    <w:rFonts w:cs="Times New Roman"/>
                  </w:rPr>
                  <w:t>采购商品</w:t>
                </w:r>
              </w:p>
            </w:tc>
            <w:tc>
              <w:tcPr>
                <w:tcW w:w="855" w:type="pct"/>
                <w:tcBorders>
                  <w:top w:val="single" w:color="auto" w:sz="4" w:space="0"/>
                  <w:left w:val="single" w:color="auto" w:sz="4" w:space="0"/>
                  <w:bottom w:val="single" w:color="auto" w:sz="4" w:space="0"/>
                  <w:right w:val="single" w:color="auto" w:sz="4" w:space="0"/>
                </w:tcBorders>
              </w:tcPr>
              <w:p w14:paraId="25CE9E36">
                <w:pPr>
                  <w:jc w:val="right"/>
                  <w:rPr>
                    <w:rFonts w:cs="Times New Roman"/>
                  </w:rPr>
                </w:pPr>
                <w:r>
                  <w:rPr>
                    <w:rFonts w:cs="Times New Roman"/>
                  </w:rPr>
                  <w:t>58,676.28</w:t>
                </w:r>
              </w:p>
            </w:tc>
            <w:tc>
              <w:tcPr>
                <w:tcW w:w="931" w:type="pct"/>
                <w:tcBorders>
                  <w:top w:val="single" w:color="auto" w:sz="4" w:space="0"/>
                  <w:left w:val="single" w:color="auto" w:sz="4" w:space="0"/>
                  <w:bottom w:val="single" w:color="auto" w:sz="4" w:space="0"/>
                  <w:right w:val="single" w:color="auto" w:sz="4" w:space="0"/>
                </w:tcBorders>
              </w:tcPr>
              <w:p w14:paraId="01111BDE">
                <w:pPr>
                  <w:jc w:val="right"/>
                  <w:rPr>
                    <w:rFonts w:cs="Times New Roman"/>
                  </w:rPr>
                </w:pPr>
              </w:p>
            </w:tc>
          </w:tr>
        </w:sdtContent>
      </w:sdt>
      <w:sdt>
        <w:sdtPr>
          <w:rPr>
            <w:rFonts w:cs="Times New Roman"/>
            <w:color w:val="000000" w:themeColor="text1"/>
            <w14:textFill>
              <w14:solidFill>
                <w14:schemeClr w14:val="tx1"/>
              </w14:solidFill>
            </w14:textFill>
          </w:rPr>
          <w:alias w:val="采购商品接受劳务情况明细"/>
          <w:tag w:val="_TUP_6a1f8fb777604032986c4beda62c76c1"/>
          <w:id w:val="758263469"/>
          <w:placeholder>
            <w:docPart w:val="{dac80138-80a9-4f66-bd31-592d454e5556}"/>
          </w:placeholder>
        </w:sdtPr>
        <w:sdtEndPr>
          <w:rPr>
            <w:rFonts w:cs="Times New Roman"/>
            <w:color w:val="000000" w:themeColor="text1"/>
            <w14:textFill>
              <w14:solidFill>
                <w14:schemeClr w14:val="tx1"/>
              </w14:solidFill>
            </w14:textFill>
          </w:rPr>
        </w:sdtEndPr>
        <w:sdtContent>
          <w:tr w14:paraId="2FB6BA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62" w:type="pct"/>
                <w:tcBorders>
                  <w:top w:val="single" w:color="auto" w:sz="4" w:space="0"/>
                  <w:left w:val="single" w:color="auto" w:sz="4" w:space="0"/>
                  <w:bottom w:val="single" w:color="auto" w:sz="4" w:space="0"/>
                  <w:right w:val="single" w:color="auto" w:sz="4" w:space="0"/>
                </w:tcBorders>
              </w:tcPr>
              <w:p w14:paraId="6E1BCE73">
                <w:pPr>
                  <w:rPr>
                    <w:rFonts w:cs="Times New Roman"/>
                  </w:rPr>
                </w:pPr>
                <w:r>
                  <w:rPr>
                    <w:rFonts w:cs="Times New Roman"/>
                  </w:rPr>
                  <w:t>安徽锦源复合材料环保科技有限公司</w:t>
                </w:r>
              </w:p>
            </w:tc>
            <w:tc>
              <w:tcPr>
                <w:tcW w:w="850" w:type="pct"/>
                <w:tcBorders>
                  <w:top w:val="single" w:color="auto" w:sz="4" w:space="0"/>
                  <w:left w:val="single" w:color="auto" w:sz="4" w:space="0"/>
                  <w:bottom w:val="single" w:color="auto" w:sz="4" w:space="0"/>
                  <w:right w:val="single" w:color="auto" w:sz="4" w:space="0"/>
                </w:tcBorders>
              </w:tcPr>
              <w:p w14:paraId="1CD6EDA2">
                <w:pPr>
                  <w:jc w:val="center"/>
                  <w:rPr>
                    <w:rFonts w:cs="Times New Roman"/>
                  </w:rPr>
                </w:pPr>
                <w:r>
                  <w:rPr>
                    <w:rFonts w:cs="Times New Roman"/>
                  </w:rPr>
                  <w:t>采购商品</w:t>
                </w:r>
              </w:p>
            </w:tc>
            <w:tc>
              <w:tcPr>
                <w:tcW w:w="855" w:type="pct"/>
                <w:tcBorders>
                  <w:top w:val="single" w:color="auto" w:sz="4" w:space="0"/>
                  <w:left w:val="single" w:color="auto" w:sz="4" w:space="0"/>
                  <w:bottom w:val="single" w:color="auto" w:sz="4" w:space="0"/>
                  <w:right w:val="single" w:color="auto" w:sz="4" w:space="0"/>
                </w:tcBorders>
              </w:tcPr>
              <w:p w14:paraId="5E0BEE14">
                <w:pPr>
                  <w:jc w:val="right"/>
                  <w:rPr>
                    <w:rFonts w:cs="Times New Roman"/>
                  </w:rPr>
                </w:pPr>
              </w:p>
            </w:tc>
            <w:tc>
              <w:tcPr>
                <w:tcW w:w="931" w:type="pct"/>
                <w:tcBorders>
                  <w:top w:val="single" w:color="auto" w:sz="4" w:space="0"/>
                  <w:left w:val="single" w:color="auto" w:sz="4" w:space="0"/>
                  <w:bottom w:val="single" w:color="auto" w:sz="4" w:space="0"/>
                  <w:right w:val="single" w:color="auto" w:sz="4" w:space="0"/>
                </w:tcBorders>
              </w:tcPr>
              <w:p w14:paraId="7771C9EB">
                <w:pPr>
                  <w:jc w:val="right"/>
                  <w:rPr>
                    <w:rFonts w:cs="Times New Roman"/>
                  </w:rPr>
                </w:pPr>
                <w:r>
                  <w:rPr>
                    <w:rFonts w:cs="Times New Roman"/>
                  </w:rPr>
                  <w:t>2,609,108.91</w:t>
                </w:r>
              </w:p>
            </w:tc>
          </w:tr>
        </w:sdtContent>
      </w:sdt>
      <w:sdt>
        <w:sdtPr>
          <w:rPr>
            <w:rFonts w:cs="Times New Roman"/>
            <w:color w:val="000000" w:themeColor="text1"/>
            <w14:textFill>
              <w14:solidFill>
                <w14:schemeClr w14:val="tx1"/>
              </w14:solidFill>
            </w14:textFill>
          </w:rPr>
          <w:alias w:val="采购商品接受劳务情况明细"/>
          <w:tag w:val="_TUP_6a1f8fb777604032986c4beda62c76c1"/>
          <w:id w:val="99162285"/>
          <w:placeholder>
            <w:docPart w:val="{dac80138-80a9-4f66-bd31-592d454e5556}"/>
          </w:placeholder>
        </w:sdtPr>
        <w:sdtEndPr>
          <w:rPr>
            <w:rFonts w:cs="Times New Roman"/>
            <w:color w:val="000000" w:themeColor="text1"/>
            <w14:textFill>
              <w14:solidFill>
                <w14:schemeClr w14:val="tx1"/>
              </w14:solidFill>
            </w14:textFill>
          </w:rPr>
        </w:sdtEndPr>
        <w:sdtContent>
          <w:tr w14:paraId="099449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62" w:type="pct"/>
                <w:tcBorders>
                  <w:top w:val="single" w:color="auto" w:sz="4" w:space="0"/>
                  <w:left w:val="single" w:color="auto" w:sz="4" w:space="0"/>
                  <w:bottom w:val="single" w:color="auto" w:sz="4" w:space="0"/>
                  <w:right w:val="single" w:color="auto" w:sz="4" w:space="0"/>
                </w:tcBorders>
              </w:tcPr>
              <w:p w14:paraId="44B0F98D">
                <w:pPr>
                  <w:rPr>
                    <w:rFonts w:cs="Times New Roman"/>
                  </w:rPr>
                </w:pPr>
                <w:r>
                  <w:rPr>
                    <w:rFonts w:cs="Times New Roman"/>
                  </w:rPr>
                  <w:t>汉川际华三五零九置业有限公司</w:t>
                </w:r>
              </w:p>
            </w:tc>
            <w:tc>
              <w:tcPr>
                <w:tcW w:w="850" w:type="pct"/>
                <w:tcBorders>
                  <w:top w:val="single" w:color="auto" w:sz="4" w:space="0"/>
                  <w:left w:val="single" w:color="auto" w:sz="4" w:space="0"/>
                  <w:bottom w:val="single" w:color="auto" w:sz="4" w:space="0"/>
                  <w:right w:val="single" w:color="auto" w:sz="4" w:space="0"/>
                </w:tcBorders>
              </w:tcPr>
              <w:p w14:paraId="79B12661">
                <w:pPr>
                  <w:jc w:val="center"/>
                  <w:rPr>
                    <w:rFonts w:cs="Times New Roman"/>
                  </w:rPr>
                </w:pPr>
                <w:r>
                  <w:rPr>
                    <w:rFonts w:cs="Times New Roman"/>
                  </w:rPr>
                  <w:t>采购商品</w:t>
                </w:r>
              </w:p>
            </w:tc>
            <w:tc>
              <w:tcPr>
                <w:tcW w:w="855" w:type="pct"/>
                <w:tcBorders>
                  <w:top w:val="single" w:color="auto" w:sz="4" w:space="0"/>
                  <w:left w:val="single" w:color="auto" w:sz="4" w:space="0"/>
                  <w:bottom w:val="single" w:color="auto" w:sz="4" w:space="0"/>
                  <w:right w:val="single" w:color="auto" w:sz="4" w:space="0"/>
                </w:tcBorders>
              </w:tcPr>
              <w:p w14:paraId="4CA3F7A3">
                <w:pPr>
                  <w:jc w:val="right"/>
                  <w:rPr>
                    <w:rFonts w:cs="Times New Roman"/>
                  </w:rPr>
                </w:pPr>
              </w:p>
            </w:tc>
            <w:tc>
              <w:tcPr>
                <w:tcW w:w="931" w:type="pct"/>
                <w:tcBorders>
                  <w:top w:val="single" w:color="auto" w:sz="4" w:space="0"/>
                  <w:left w:val="single" w:color="auto" w:sz="4" w:space="0"/>
                  <w:bottom w:val="single" w:color="auto" w:sz="4" w:space="0"/>
                  <w:right w:val="single" w:color="auto" w:sz="4" w:space="0"/>
                </w:tcBorders>
              </w:tcPr>
              <w:p w14:paraId="58A4D8DC">
                <w:pPr>
                  <w:jc w:val="right"/>
                  <w:rPr>
                    <w:rFonts w:cs="Times New Roman"/>
                  </w:rPr>
                </w:pPr>
                <w:r>
                  <w:rPr>
                    <w:rFonts w:cs="Times New Roman"/>
                  </w:rPr>
                  <w:t>336,297.69</w:t>
                </w:r>
              </w:p>
            </w:tc>
          </w:tr>
        </w:sdtContent>
      </w:sdt>
      <w:sdt>
        <w:sdtPr>
          <w:rPr>
            <w:rFonts w:cs="Times New Roman"/>
            <w:color w:val="000000" w:themeColor="text1"/>
            <w14:textFill>
              <w14:solidFill>
                <w14:schemeClr w14:val="tx1"/>
              </w14:solidFill>
            </w14:textFill>
          </w:rPr>
          <w:alias w:val="采购商品接受劳务情况明细"/>
          <w:tag w:val="_TUP_6a1f8fb777604032986c4beda62c76c1"/>
          <w:id w:val="-127320265"/>
          <w:placeholder>
            <w:docPart w:val="{dac80138-80a9-4f66-bd31-592d454e5556}"/>
          </w:placeholder>
        </w:sdtPr>
        <w:sdtEndPr>
          <w:rPr>
            <w:rFonts w:cs="Times New Roman"/>
            <w:color w:val="000000" w:themeColor="text1"/>
            <w14:textFill>
              <w14:solidFill>
                <w14:schemeClr w14:val="tx1"/>
              </w14:solidFill>
            </w14:textFill>
          </w:rPr>
        </w:sdtEndPr>
        <w:sdtContent>
          <w:tr w14:paraId="7A188E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62" w:type="pct"/>
                <w:tcBorders>
                  <w:top w:val="single" w:color="auto" w:sz="4" w:space="0"/>
                  <w:left w:val="single" w:color="auto" w:sz="4" w:space="0"/>
                  <w:bottom w:val="single" w:color="auto" w:sz="4" w:space="0"/>
                  <w:right w:val="single" w:color="auto" w:sz="4" w:space="0"/>
                </w:tcBorders>
              </w:tcPr>
              <w:p w14:paraId="3A63C5CD">
                <w:pPr>
                  <w:rPr>
                    <w:rFonts w:cs="Times New Roman"/>
                  </w:rPr>
                </w:pPr>
                <w:r>
                  <w:rPr>
                    <w:rFonts w:cs="Times New Roman"/>
                  </w:rPr>
                  <w:t>南京际华五三零二科技发展有限公司</w:t>
                </w:r>
              </w:p>
            </w:tc>
            <w:tc>
              <w:tcPr>
                <w:tcW w:w="850" w:type="pct"/>
                <w:tcBorders>
                  <w:top w:val="single" w:color="auto" w:sz="4" w:space="0"/>
                  <w:left w:val="single" w:color="auto" w:sz="4" w:space="0"/>
                  <w:bottom w:val="single" w:color="auto" w:sz="4" w:space="0"/>
                  <w:right w:val="single" w:color="auto" w:sz="4" w:space="0"/>
                </w:tcBorders>
              </w:tcPr>
              <w:p w14:paraId="7F3EDD9B">
                <w:pPr>
                  <w:jc w:val="center"/>
                  <w:rPr>
                    <w:rFonts w:cs="Times New Roman"/>
                  </w:rPr>
                </w:pPr>
                <w:r>
                  <w:rPr>
                    <w:rFonts w:cs="Times New Roman"/>
                  </w:rPr>
                  <w:t>采购商品</w:t>
                </w:r>
              </w:p>
            </w:tc>
            <w:tc>
              <w:tcPr>
                <w:tcW w:w="855" w:type="pct"/>
                <w:tcBorders>
                  <w:top w:val="single" w:color="auto" w:sz="4" w:space="0"/>
                  <w:left w:val="single" w:color="auto" w:sz="4" w:space="0"/>
                  <w:bottom w:val="single" w:color="auto" w:sz="4" w:space="0"/>
                  <w:right w:val="single" w:color="auto" w:sz="4" w:space="0"/>
                </w:tcBorders>
              </w:tcPr>
              <w:p w14:paraId="701CC41C">
                <w:pPr>
                  <w:jc w:val="right"/>
                  <w:rPr>
                    <w:rFonts w:cs="Times New Roman"/>
                  </w:rPr>
                </w:pPr>
              </w:p>
            </w:tc>
            <w:tc>
              <w:tcPr>
                <w:tcW w:w="931" w:type="pct"/>
                <w:tcBorders>
                  <w:top w:val="single" w:color="auto" w:sz="4" w:space="0"/>
                  <w:left w:val="single" w:color="auto" w:sz="4" w:space="0"/>
                  <w:bottom w:val="single" w:color="auto" w:sz="4" w:space="0"/>
                  <w:right w:val="single" w:color="auto" w:sz="4" w:space="0"/>
                </w:tcBorders>
              </w:tcPr>
              <w:p w14:paraId="55F53B12">
                <w:pPr>
                  <w:jc w:val="right"/>
                  <w:rPr>
                    <w:rFonts w:cs="Times New Roman"/>
                  </w:rPr>
                </w:pPr>
                <w:r>
                  <w:rPr>
                    <w:rFonts w:cs="Times New Roman"/>
                  </w:rPr>
                  <w:t>2,961.24</w:t>
                </w:r>
              </w:p>
            </w:tc>
          </w:tr>
        </w:sdtContent>
      </w:sdt>
      <w:tr w14:paraId="420C2F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Pr>
        <w:tc>
          <w:tcPr>
            <w:tcW w:w="2362" w:type="pct"/>
            <w:tcBorders>
              <w:top w:val="single" w:color="auto" w:sz="4" w:space="0"/>
              <w:left w:val="single" w:color="auto" w:sz="4" w:space="0"/>
              <w:bottom w:val="single" w:color="auto" w:sz="4" w:space="0"/>
              <w:right w:val="single" w:color="auto" w:sz="4" w:space="0"/>
            </w:tcBorders>
          </w:tcPr>
          <w:p w14:paraId="595EAAE4">
            <w:pPr>
              <w:rPr>
                <w:rFonts w:cs="Times New Roman"/>
              </w:rPr>
            </w:pPr>
            <w:r>
              <w:rPr>
                <w:rFonts w:cs="Times New Roman"/>
              </w:rPr>
              <w:t>新兴际华集团财务有限公司</w:t>
            </w:r>
          </w:p>
        </w:tc>
        <w:tc>
          <w:tcPr>
            <w:tcW w:w="850" w:type="pct"/>
            <w:tcBorders>
              <w:top w:val="single" w:color="auto" w:sz="4" w:space="0"/>
              <w:left w:val="single" w:color="auto" w:sz="4" w:space="0"/>
              <w:bottom w:val="single" w:color="auto" w:sz="4" w:space="0"/>
              <w:right w:val="single" w:color="auto" w:sz="4" w:space="0"/>
            </w:tcBorders>
          </w:tcPr>
          <w:p w14:paraId="04DC17E6">
            <w:pPr>
              <w:jc w:val="center"/>
              <w:rPr>
                <w:rFonts w:cs="Times New Roman"/>
              </w:rPr>
            </w:pPr>
            <w:r>
              <w:rPr>
                <w:rFonts w:cs="Times New Roman"/>
              </w:rPr>
              <w:t>接受劳务</w:t>
            </w:r>
          </w:p>
        </w:tc>
        <w:tc>
          <w:tcPr>
            <w:tcW w:w="1547" w:type="dxa"/>
            <w:tcBorders>
              <w:top w:val="single" w:color="auto" w:sz="4" w:space="0"/>
              <w:left w:val="single" w:color="auto" w:sz="4" w:space="0"/>
              <w:bottom w:val="single" w:color="auto" w:sz="4" w:space="0"/>
              <w:right w:val="single" w:color="auto" w:sz="4" w:space="0"/>
            </w:tcBorders>
            <w:vAlign w:val="center"/>
          </w:tcPr>
          <w:p w14:paraId="33BD5958">
            <w:pPr>
              <w:jc w:val="right"/>
              <w:textAlignment w:val="center"/>
              <w:rPr>
                <w:rFonts w:cs="Times New Roman"/>
              </w:rPr>
            </w:pPr>
            <w:r>
              <w:rPr>
                <w:rFonts w:eastAsia="Arial Narrow" w:cs="Times New Roman"/>
                <w:color w:val="000000"/>
                <w:lang w:bidi="ar"/>
              </w:rPr>
              <w:t>6,438,899.65</w:t>
            </w:r>
          </w:p>
        </w:tc>
        <w:tc>
          <w:tcPr>
            <w:tcW w:w="1685" w:type="dxa"/>
            <w:tcBorders>
              <w:top w:val="single" w:color="auto" w:sz="4" w:space="0"/>
              <w:left w:val="single" w:color="auto" w:sz="4" w:space="0"/>
              <w:bottom w:val="single" w:color="auto" w:sz="4" w:space="0"/>
              <w:right w:val="single" w:color="auto" w:sz="4" w:space="0"/>
            </w:tcBorders>
            <w:vAlign w:val="center"/>
          </w:tcPr>
          <w:p w14:paraId="03026D21">
            <w:pPr>
              <w:jc w:val="right"/>
              <w:textAlignment w:val="center"/>
              <w:rPr>
                <w:rFonts w:cs="Times New Roman"/>
              </w:rPr>
            </w:pPr>
            <w:r>
              <w:rPr>
                <w:rFonts w:eastAsia="Arial Narrow" w:cs="Times New Roman"/>
                <w:color w:val="000000"/>
                <w:lang w:bidi="ar"/>
              </w:rPr>
              <w:t>4,325,615.81</w:t>
            </w:r>
          </w:p>
        </w:tc>
      </w:tr>
      <w:sdt>
        <w:sdtPr>
          <w:rPr>
            <w:rFonts w:cs="Times New Roman"/>
            <w:color w:val="000000" w:themeColor="text1"/>
            <w14:textFill>
              <w14:solidFill>
                <w14:schemeClr w14:val="tx1"/>
              </w14:solidFill>
            </w14:textFill>
          </w:rPr>
          <w:alias w:val="采购商品接受劳务情况明细"/>
          <w:tag w:val="_TUP_6a1f8fb777604032986c4beda62c76c1"/>
          <w:id w:val="1825003752"/>
          <w:placeholder>
            <w:docPart w:val="{dac80138-80a9-4f66-bd31-592d454e5556}"/>
          </w:placeholder>
        </w:sdtPr>
        <w:sdtEndPr>
          <w:rPr>
            <w:rFonts w:cs="Times New Roman"/>
            <w:color w:val="000000" w:themeColor="text1"/>
            <w14:textFill>
              <w14:solidFill>
                <w14:schemeClr w14:val="tx1"/>
              </w14:solidFill>
            </w14:textFill>
          </w:rPr>
        </w:sdtEndPr>
        <w:sdtContent>
          <w:tr w14:paraId="521212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62" w:type="pct"/>
                <w:tcBorders>
                  <w:top w:val="single" w:color="auto" w:sz="4" w:space="0"/>
                  <w:left w:val="single" w:color="auto" w:sz="4" w:space="0"/>
                  <w:bottom w:val="single" w:color="auto" w:sz="4" w:space="0"/>
                  <w:right w:val="single" w:color="auto" w:sz="4" w:space="0"/>
                </w:tcBorders>
              </w:tcPr>
              <w:p w14:paraId="19AF7508">
                <w:pPr>
                  <w:rPr>
                    <w:rFonts w:cs="Times New Roman"/>
                  </w:rPr>
                </w:pPr>
                <w:r>
                  <w:rPr>
                    <w:rFonts w:cs="Times New Roman"/>
                  </w:rPr>
                  <w:t>荷原置地控股有限公司</w:t>
                </w:r>
              </w:p>
            </w:tc>
            <w:tc>
              <w:tcPr>
                <w:tcW w:w="850" w:type="pct"/>
                <w:tcBorders>
                  <w:top w:val="single" w:color="auto" w:sz="4" w:space="0"/>
                  <w:left w:val="single" w:color="auto" w:sz="4" w:space="0"/>
                  <w:bottom w:val="single" w:color="auto" w:sz="4" w:space="0"/>
                  <w:right w:val="single" w:color="auto" w:sz="4" w:space="0"/>
                </w:tcBorders>
              </w:tcPr>
              <w:p w14:paraId="49B6EC3F">
                <w:pPr>
                  <w:jc w:val="center"/>
                  <w:rPr>
                    <w:rFonts w:cs="Times New Roman"/>
                  </w:rPr>
                </w:pPr>
                <w:r>
                  <w:rPr>
                    <w:rFonts w:cs="Times New Roman"/>
                  </w:rPr>
                  <w:t>接受劳务</w:t>
                </w:r>
              </w:p>
            </w:tc>
            <w:tc>
              <w:tcPr>
                <w:tcW w:w="855" w:type="pct"/>
                <w:tcBorders>
                  <w:top w:val="single" w:color="auto" w:sz="4" w:space="0"/>
                  <w:left w:val="single" w:color="auto" w:sz="4" w:space="0"/>
                  <w:bottom w:val="single" w:color="auto" w:sz="4" w:space="0"/>
                  <w:right w:val="single" w:color="auto" w:sz="4" w:space="0"/>
                </w:tcBorders>
                <w:vAlign w:val="center"/>
              </w:tcPr>
              <w:p w14:paraId="1326C8E5">
                <w:pPr>
                  <w:jc w:val="right"/>
                  <w:rPr>
                    <w:rFonts w:cs="Times New Roman"/>
                  </w:rPr>
                </w:pPr>
                <w:r>
                  <w:rPr>
                    <w:rFonts w:cs="Times New Roman"/>
                  </w:rPr>
                  <w:t>4,763,246.94</w:t>
                </w:r>
              </w:p>
            </w:tc>
            <w:tc>
              <w:tcPr>
                <w:tcW w:w="931" w:type="pct"/>
                <w:tcBorders>
                  <w:top w:val="single" w:color="auto" w:sz="4" w:space="0"/>
                  <w:left w:val="single" w:color="auto" w:sz="4" w:space="0"/>
                  <w:bottom w:val="single" w:color="auto" w:sz="4" w:space="0"/>
                  <w:right w:val="single" w:color="auto" w:sz="4" w:space="0"/>
                </w:tcBorders>
                <w:vAlign w:val="center"/>
              </w:tcPr>
              <w:p w14:paraId="0B21875A">
                <w:pPr>
                  <w:jc w:val="right"/>
                  <w:rPr>
                    <w:rFonts w:cs="Times New Roman"/>
                  </w:rPr>
                </w:pPr>
                <w:r>
                  <w:rPr>
                    <w:rFonts w:cs="Times New Roman"/>
                  </w:rPr>
                  <w:t>2,072,233.33</w:t>
                </w:r>
              </w:p>
            </w:tc>
          </w:tr>
        </w:sdtContent>
      </w:sdt>
      <w:sdt>
        <w:sdtPr>
          <w:rPr>
            <w:rFonts w:cs="Times New Roman"/>
            <w:color w:val="000000" w:themeColor="text1"/>
            <w14:textFill>
              <w14:solidFill>
                <w14:schemeClr w14:val="tx1"/>
              </w14:solidFill>
            </w14:textFill>
          </w:rPr>
          <w:alias w:val="采购商品接受劳务情况明细"/>
          <w:tag w:val="_TUP_6a1f8fb777604032986c4beda62c76c1"/>
          <w:id w:val="173698941"/>
          <w:placeholder>
            <w:docPart w:val="{dac80138-80a9-4f66-bd31-592d454e5556}"/>
          </w:placeholder>
        </w:sdtPr>
        <w:sdtEndPr>
          <w:rPr>
            <w:rFonts w:cs="Times New Roman"/>
            <w:color w:val="000000" w:themeColor="text1"/>
            <w14:textFill>
              <w14:solidFill>
                <w14:schemeClr w14:val="tx1"/>
              </w14:solidFill>
            </w14:textFill>
          </w:rPr>
        </w:sdtEndPr>
        <w:sdtContent>
          <w:tr w14:paraId="246FFD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Pr>
            <w:tc>
              <w:tcPr>
                <w:tcW w:w="2362" w:type="pct"/>
                <w:tcBorders>
                  <w:top w:val="single" w:color="auto" w:sz="4" w:space="0"/>
                  <w:left w:val="single" w:color="auto" w:sz="4" w:space="0"/>
                  <w:bottom w:val="single" w:color="auto" w:sz="4" w:space="0"/>
                  <w:right w:val="single" w:color="auto" w:sz="4" w:space="0"/>
                </w:tcBorders>
              </w:tcPr>
              <w:p w14:paraId="7C81A135">
                <w:pPr>
                  <w:rPr>
                    <w:rFonts w:cs="Times New Roman"/>
                  </w:rPr>
                </w:pPr>
                <w:r>
                  <w:rPr>
                    <w:rFonts w:cs="Times New Roman"/>
                  </w:rPr>
                  <w:t>新兴际华集团有限公司</w:t>
                </w:r>
              </w:p>
            </w:tc>
            <w:tc>
              <w:tcPr>
                <w:tcW w:w="850" w:type="pct"/>
                <w:tcBorders>
                  <w:top w:val="single" w:color="auto" w:sz="4" w:space="0"/>
                  <w:left w:val="single" w:color="auto" w:sz="4" w:space="0"/>
                  <w:bottom w:val="single" w:color="auto" w:sz="4" w:space="0"/>
                  <w:right w:val="single" w:color="auto" w:sz="4" w:space="0"/>
                </w:tcBorders>
              </w:tcPr>
              <w:p w14:paraId="56877880">
                <w:pPr>
                  <w:jc w:val="center"/>
                  <w:rPr>
                    <w:rFonts w:cs="Times New Roman"/>
                  </w:rPr>
                </w:pPr>
                <w:r>
                  <w:rPr>
                    <w:rFonts w:cs="Times New Roman"/>
                  </w:rPr>
                  <w:t>接受劳务</w:t>
                </w:r>
              </w:p>
            </w:tc>
            <w:tc>
              <w:tcPr>
                <w:tcW w:w="855" w:type="pct"/>
                <w:tcBorders>
                  <w:top w:val="single" w:color="auto" w:sz="4" w:space="0"/>
                  <w:left w:val="single" w:color="auto" w:sz="4" w:space="0"/>
                  <w:bottom w:val="single" w:color="auto" w:sz="4" w:space="0"/>
                  <w:right w:val="single" w:color="auto" w:sz="4" w:space="0"/>
                </w:tcBorders>
                <w:vAlign w:val="center"/>
              </w:tcPr>
              <w:p w14:paraId="4DDC4018">
                <w:pPr>
                  <w:jc w:val="right"/>
                  <w:rPr>
                    <w:rFonts w:cs="Times New Roman"/>
                  </w:rPr>
                </w:pPr>
                <w:r>
                  <w:rPr>
                    <w:rFonts w:cs="Times New Roman"/>
                  </w:rPr>
                  <w:t>2,191,094.45</w:t>
                </w:r>
              </w:p>
            </w:tc>
            <w:tc>
              <w:tcPr>
                <w:tcW w:w="931" w:type="pct"/>
                <w:tcBorders>
                  <w:top w:val="single" w:color="auto" w:sz="4" w:space="0"/>
                  <w:left w:val="single" w:color="auto" w:sz="4" w:space="0"/>
                  <w:bottom w:val="single" w:color="auto" w:sz="4" w:space="0"/>
                  <w:right w:val="single" w:color="auto" w:sz="4" w:space="0"/>
                </w:tcBorders>
                <w:vAlign w:val="center"/>
              </w:tcPr>
              <w:p w14:paraId="78B1B82F">
                <w:pPr>
                  <w:jc w:val="right"/>
                  <w:rPr>
                    <w:rFonts w:cs="Times New Roman"/>
                  </w:rPr>
                </w:pPr>
                <w:r>
                  <w:rPr>
                    <w:rFonts w:cs="Times New Roman"/>
                  </w:rPr>
                  <w:t>513,566.67</w:t>
                </w:r>
              </w:p>
            </w:tc>
          </w:tr>
        </w:sdtContent>
      </w:sdt>
      <w:sdt>
        <w:sdtPr>
          <w:rPr>
            <w:rFonts w:cs="Times New Roman"/>
            <w:color w:val="000000" w:themeColor="text1"/>
            <w14:textFill>
              <w14:solidFill>
                <w14:schemeClr w14:val="tx1"/>
              </w14:solidFill>
            </w14:textFill>
          </w:rPr>
          <w:alias w:val="采购商品接受劳务情况明细"/>
          <w:tag w:val="_TUP_6a1f8fb777604032986c4beda62c76c1"/>
          <w:id w:val="1997370900"/>
          <w:placeholder>
            <w:docPart w:val="{dac80138-80a9-4f66-bd31-592d454e5556}"/>
          </w:placeholder>
        </w:sdtPr>
        <w:sdtEndPr>
          <w:rPr>
            <w:rFonts w:cs="Times New Roman"/>
            <w:color w:val="000000" w:themeColor="text1"/>
            <w14:textFill>
              <w14:solidFill>
                <w14:schemeClr w14:val="tx1"/>
              </w14:solidFill>
            </w14:textFill>
          </w:rPr>
        </w:sdtEndPr>
        <w:sdtContent>
          <w:tr w14:paraId="5ADE73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62" w:type="pct"/>
                <w:tcBorders>
                  <w:top w:val="single" w:color="auto" w:sz="4" w:space="0"/>
                  <w:left w:val="single" w:color="auto" w:sz="4" w:space="0"/>
                  <w:bottom w:val="single" w:color="auto" w:sz="4" w:space="0"/>
                  <w:right w:val="single" w:color="auto" w:sz="4" w:space="0"/>
                </w:tcBorders>
              </w:tcPr>
              <w:p w14:paraId="766E0725">
                <w:pPr>
                  <w:rPr>
                    <w:rFonts w:cs="Times New Roman"/>
                  </w:rPr>
                </w:pPr>
                <w:r>
                  <w:rPr>
                    <w:rFonts w:cs="Times New Roman"/>
                  </w:rPr>
                  <w:t>新兴际华物业服务（北京）有限公司</w:t>
                </w:r>
              </w:p>
            </w:tc>
            <w:tc>
              <w:tcPr>
                <w:tcW w:w="850" w:type="pct"/>
                <w:tcBorders>
                  <w:top w:val="single" w:color="auto" w:sz="4" w:space="0"/>
                  <w:left w:val="single" w:color="auto" w:sz="4" w:space="0"/>
                  <w:bottom w:val="single" w:color="auto" w:sz="4" w:space="0"/>
                  <w:right w:val="single" w:color="auto" w:sz="4" w:space="0"/>
                </w:tcBorders>
              </w:tcPr>
              <w:p w14:paraId="32DAD4B6">
                <w:pPr>
                  <w:jc w:val="center"/>
                  <w:rPr>
                    <w:rFonts w:cs="Times New Roman"/>
                  </w:rPr>
                </w:pPr>
                <w:r>
                  <w:rPr>
                    <w:rFonts w:cs="Times New Roman"/>
                  </w:rPr>
                  <w:t>接受劳务</w:t>
                </w:r>
              </w:p>
            </w:tc>
            <w:tc>
              <w:tcPr>
                <w:tcW w:w="855" w:type="pct"/>
                <w:tcBorders>
                  <w:top w:val="single" w:color="auto" w:sz="4" w:space="0"/>
                  <w:left w:val="single" w:color="auto" w:sz="4" w:space="0"/>
                  <w:bottom w:val="single" w:color="auto" w:sz="4" w:space="0"/>
                  <w:right w:val="single" w:color="auto" w:sz="4" w:space="0"/>
                </w:tcBorders>
                <w:vAlign w:val="center"/>
              </w:tcPr>
              <w:p w14:paraId="526B315D">
                <w:pPr>
                  <w:jc w:val="right"/>
                  <w:rPr>
                    <w:rFonts w:cs="Times New Roman"/>
                  </w:rPr>
                </w:pPr>
                <w:r>
                  <w:rPr>
                    <w:rFonts w:cs="Times New Roman"/>
                  </w:rPr>
                  <w:t>530,303.16</w:t>
                </w:r>
              </w:p>
            </w:tc>
            <w:tc>
              <w:tcPr>
                <w:tcW w:w="931" w:type="pct"/>
                <w:tcBorders>
                  <w:top w:val="single" w:color="auto" w:sz="4" w:space="0"/>
                  <w:left w:val="single" w:color="auto" w:sz="4" w:space="0"/>
                  <w:bottom w:val="single" w:color="auto" w:sz="4" w:space="0"/>
                  <w:right w:val="single" w:color="auto" w:sz="4" w:space="0"/>
                </w:tcBorders>
                <w:vAlign w:val="center"/>
              </w:tcPr>
              <w:p w14:paraId="28E08816">
                <w:pPr>
                  <w:jc w:val="right"/>
                  <w:rPr>
                    <w:rFonts w:cs="Times New Roman"/>
                  </w:rPr>
                </w:pPr>
                <w:r>
                  <w:rPr>
                    <w:rFonts w:cs="Times New Roman"/>
                  </w:rPr>
                  <w:t>908,634.86</w:t>
                </w:r>
              </w:p>
            </w:tc>
          </w:tr>
        </w:sdtContent>
      </w:sdt>
      <w:sdt>
        <w:sdtPr>
          <w:rPr>
            <w:rFonts w:cs="Times New Roman"/>
            <w:color w:val="000000" w:themeColor="text1"/>
            <w14:textFill>
              <w14:solidFill>
                <w14:schemeClr w14:val="tx1"/>
              </w14:solidFill>
            </w14:textFill>
          </w:rPr>
          <w:alias w:val="采购商品接受劳务情况明细"/>
          <w:tag w:val="_TUP_6a1f8fb777604032986c4beda62c76c1"/>
          <w:id w:val="953681904"/>
          <w:placeholder>
            <w:docPart w:val="{dac80138-80a9-4f66-bd31-592d454e5556}"/>
          </w:placeholder>
        </w:sdtPr>
        <w:sdtEndPr>
          <w:rPr>
            <w:rFonts w:cs="Times New Roman"/>
            <w:color w:val="000000" w:themeColor="text1"/>
            <w14:textFill>
              <w14:solidFill>
                <w14:schemeClr w14:val="tx1"/>
              </w14:solidFill>
            </w14:textFill>
          </w:rPr>
        </w:sdtEndPr>
        <w:sdtContent>
          <w:tr w14:paraId="64DE43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62" w:type="pct"/>
                <w:tcBorders>
                  <w:top w:val="single" w:color="auto" w:sz="4" w:space="0"/>
                  <w:left w:val="single" w:color="auto" w:sz="4" w:space="0"/>
                  <w:bottom w:val="single" w:color="auto" w:sz="4" w:space="0"/>
                  <w:right w:val="single" w:color="auto" w:sz="4" w:space="0"/>
                </w:tcBorders>
              </w:tcPr>
              <w:p w14:paraId="7C461FAF">
                <w:pPr>
                  <w:rPr>
                    <w:rFonts w:cs="Times New Roman"/>
                  </w:rPr>
                </w:pPr>
                <w:r>
                  <w:rPr>
                    <w:rFonts w:cs="Times New Roman"/>
                  </w:rPr>
                  <w:t>新兴际华检验检测（北京）有限公司</w:t>
                </w:r>
              </w:p>
            </w:tc>
            <w:tc>
              <w:tcPr>
                <w:tcW w:w="850" w:type="pct"/>
                <w:tcBorders>
                  <w:top w:val="single" w:color="auto" w:sz="4" w:space="0"/>
                  <w:left w:val="single" w:color="auto" w:sz="4" w:space="0"/>
                  <w:bottom w:val="single" w:color="auto" w:sz="4" w:space="0"/>
                  <w:right w:val="single" w:color="auto" w:sz="4" w:space="0"/>
                </w:tcBorders>
              </w:tcPr>
              <w:p w14:paraId="00F2408B">
                <w:pPr>
                  <w:jc w:val="center"/>
                  <w:rPr>
                    <w:rFonts w:cs="Times New Roman"/>
                  </w:rPr>
                </w:pPr>
                <w:r>
                  <w:rPr>
                    <w:rFonts w:cs="Times New Roman"/>
                  </w:rPr>
                  <w:t>接受劳务</w:t>
                </w:r>
              </w:p>
            </w:tc>
            <w:tc>
              <w:tcPr>
                <w:tcW w:w="855" w:type="pct"/>
                <w:tcBorders>
                  <w:top w:val="single" w:color="auto" w:sz="4" w:space="0"/>
                  <w:left w:val="single" w:color="auto" w:sz="4" w:space="0"/>
                  <w:bottom w:val="single" w:color="auto" w:sz="4" w:space="0"/>
                  <w:right w:val="single" w:color="auto" w:sz="4" w:space="0"/>
                </w:tcBorders>
                <w:vAlign w:val="center"/>
              </w:tcPr>
              <w:p w14:paraId="1A3AD0C5">
                <w:pPr>
                  <w:jc w:val="right"/>
                  <w:rPr>
                    <w:rFonts w:cs="Times New Roman"/>
                  </w:rPr>
                </w:pPr>
                <w:r>
                  <w:rPr>
                    <w:rFonts w:cs="Times New Roman"/>
                  </w:rPr>
                  <w:t>97,271.64</w:t>
                </w:r>
              </w:p>
            </w:tc>
            <w:tc>
              <w:tcPr>
                <w:tcW w:w="931" w:type="pct"/>
                <w:tcBorders>
                  <w:top w:val="single" w:color="auto" w:sz="4" w:space="0"/>
                  <w:left w:val="single" w:color="auto" w:sz="4" w:space="0"/>
                  <w:bottom w:val="single" w:color="auto" w:sz="4" w:space="0"/>
                  <w:right w:val="single" w:color="auto" w:sz="4" w:space="0"/>
                </w:tcBorders>
                <w:vAlign w:val="center"/>
              </w:tcPr>
              <w:p w14:paraId="1D36B043">
                <w:pPr>
                  <w:jc w:val="right"/>
                  <w:rPr>
                    <w:rFonts w:cs="Times New Roman"/>
                  </w:rPr>
                </w:pPr>
                <w:r>
                  <w:rPr>
                    <w:rFonts w:cs="Times New Roman"/>
                  </w:rPr>
                  <w:t>95,712.46</w:t>
                </w:r>
              </w:p>
            </w:tc>
          </w:tr>
        </w:sdtContent>
      </w:sdt>
      <w:sdt>
        <w:sdtPr>
          <w:rPr>
            <w:rFonts w:cs="Times New Roman"/>
            <w:color w:val="000000" w:themeColor="text1"/>
            <w14:textFill>
              <w14:solidFill>
                <w14:schemeClr w14:val="tx1"/>
              </w14:solidFill>
            </w14:textFill>
          </w:rPr>
          <w:alias w:val="采购商品接受劳务情况明细"/>
          <w:tag w:val="_TUP_6a1f8fb777604032986c4beda62c76c1"/>
          <w:id w:val="-691297248"/>
          <w:placeholder>
            <w:docPart w:val="{dac80138-80a9-4f66-bd31-592d454e5556}"/>
          </w:placeholder>
        </w:sdtPr>
        <w:sdtEndPr>
          <w:rPr>
            <w:rFonts w:cs="Times New Roman"/>
            <w:color w:val="000000" w:themeColor="text1"/>
            <w14:textFill>
              <w14:solidFill>
                <w14:schemeClr w14:val="tx1"/>
              </w14:solidFill>
            </w14:textFill>
          </w:rPr>
        </w:sdtEndPr>
        <w:sdtContent>
          <w:tr w14:paraId="270A72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62" w:type="pct"/>
                <w:tcBorders>
                  <w:top w:val="single" w:color="auto" w:sz="4" w:space="0"/>
                  <w:left w:val="single" w:color="auto" w:sz="4" w:space="0"/>
                  <w:bottom w:val="single" w:color="auto" w:sz="4" w:space="0"/>
                  <w:right w:val="single" w:color="auto" w:sz="4" w:space="0"/>
                </w:tcBorders>
              </w:tcPr>
              <w:p w14:paraId="600BE0F9">
                <w:pPr>
                  <w:rPr>
                    <w:rFonts w:cs="Times New Roman"/>
                  </w:rPr>
                </w:pPr>
                <w:r>
                  <w:rPr>
                    <w:rFonts w:cs="Times New Roman"/>
                  </w:rPr>
                  <w:t>咸阳际华投资发展有限公司</w:t>
                </w:r>
              </w:p>
            </w:tc>
            <w:tc>
              <w:tcPr>
                <w:tcW w:w="850" w:type="pct"/>
                <w:tcBorders>
                  <w:top w:val="single" w:color="auto" w:sz="4" w:space="0"/>
                  <w:left w:val="single" w:color="auto" w:sz="4" w:space="0"/>
                  <w:bottom w:val="single" w:color="auto" w:sz="4" w:space="0"/>
                  <w:right w:val="single" w:color="auto" w:sz="4" w:space="0"/>
                </w:tcBorders>
              </w:tcPr>
              <w:p w14:paraId="45AE4E52">
                <w:pPr>
                  <w:jc w:val="center"/>
                  <w:rPr>
                    <w:rFonts w:cs="Times New Roman"/>
                  </w:rPr>
                </w:pPr>
                <w:r>
                  <w:rPr>
                    <w:rFonts w:cs="Times New Roman"/>
                  </w:rPr>
                  <w:t>接受劳务</w:t>
                </w:r>
              </w:p>
            </w:tc>
            <w:tc>
              <w:tcPr>
                <w:tcW w:w="855" w:type="pct"/>
                <w:tcBorders>
                  <w:top w:val="single" w:color="auto" w:sz="4" w:space="0"/>
                  <w:left w:val="single" w:color="auto" w:sz="4" w:space="0"/>
                  <w:bottom w:val="single" w:color="auto" w:sz="4" w:space="0"/>
                  <w:right w:val="single" w:color="auto" w:sz="4" w:space="0"/>
                </w:tcBorders>
                <w:vAlign w:val="center"/>
              </w:tcPr>
              <w:p w14:paraId="6FD0DF5A">
                <w:pPr>
                  <w:jc w:val="right"/>
                  <w:rPr>
                    <w:rFonts w:cs="Times New Roman"/>
                  </w:rPr>
                </w:pPr>
                <w:r>
                  <w:rPr>
                    <w:rFonts w:cs="Times New Roman"/>
                  </w:rPr>
                  <w:t>79,530.00</w:t>
                </w:r>
              </w:p>
            </w:tc>
            <w:tc>
              <w:tcPr>
                <w:tcW w:w="931" w:type="pct"/>
                <w:tcBorders>
                  <w:top w:val="single" w:color="auto" w:sz="4" w:space="0"/>
                  <w:left w:val="single" w:color="auto" w:sz="4" w:space="0"/>
                  <w:bottom w:val="single" w:color="auto" w:sz="4" w:space="0"/>
                  <w:right w:val="single" w:color="auto" w:sz="4" w:space="0"/>
                </w:tcBorders>
                <w:vAlign w:val="center"/>
              </w:tcPr>
              <w:p w14:paraId="17E61A17">
                <w:pPr>
                  <w:jc w:val="right"/>
                  <w:rPr>
                    <w:rFonts w:cs="Times New Roman"/>
                  </w:rPr>
                </w:pPr>
                <w:r>
                  <w:rPr>
                    <w:rFonts w:cs="Times New Roman"/>
                  </w:rPr>
                  <w:t>124,558.91</w:t>
                </w:r>
              </w:p>
            </w:tc>
          </w:tr>
        </w:sdtContent>
      </w:sdt>
      <w:sdt>
        <w:sdtPr>
          <w:rPr>
            <w:rFonts w:cs="Times New Roman"/>
            <w:color w:val="000000" w:themeColor="text1"/>
            <w14:textFill>
              <w14:solidFill>
                <w14:schemeClr w14:val="tx1"/>
              </w14:solidFill>
            </w14:textFill>
          </w:rPr>
          <w:alias w:val="采购商品接受劳务情况明细"/>
          <w:tag w:val="_TUP_6a1f8fb777604032986c4beda62c76c1"/>
          <w:id w:val="-910078939"/>
          <w:placeholder>
            <w:docPart w:val="{dac80138-80a9-4f66-bd31-592d454e5556}"/>
          </w:placeholder>
        </w:sdtPr>
        <w:sdtEndPr>
          <w:rPr>
            <w:rFonts w:cs="Times New Roman"/>
            <w:color w:val="000000" w:themeColor="text1"/>
            <w14:textFill>
              <w14:solidFill>
                <w14:schemeClr w14:val="tx1"/>
              </w14:solidFill>
            </w14:textFill>
          </w:rPr>
        </w:sdtEndPr>
        <w:sdtContent>
          <w:tr w14:paraId="190CBE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62" w:type="pct"/>
                <w:tcBorders>
                  <w:top w:val="single" w:color="auto" w:sz="4" w:space="0"/>
                  <w:left w:val="single" w:color="auto" w:sz="4" w:space="0"/>
                  <w:bottom w:val="single" w:color="auto" w:sz="4" w:space="0"/>
                  <w:right w:val="single" w:color="auto" w:sz="4" w:space="0"/>
                </w:tcBorders>
              </w:tcPr>
              <w:p w14:paraId="000C58EA">
                <w:pPr>
                  <w:rPr>
                    <w:rFonts w:cs="Times New Roman"/>
                  </w:rPr>
                </w:pPr>
                <w:r>
                  <w:rPr>
                    <w:rFonts w:cs="Times New Roman"/>
                  </w:rPr>
                  <w:t>新兴际华（北京）材料技术研究院有限公司</w:t>
                </w:r>
              </w:p>
            </w:tc>
            <w:tc>
              <w:tcPr>
                <w:tcW w:w="850" w:type="pct"/>
                <w:tcBorders>
                  <w:top w:val="single" w:color="auto" w:sz="4" w:space="0"/>
                  <w:left w:val="single" w:color="auto" w:sz="4" w:space="0"/>
                  <w:bottom w:val="single" w:color="auto" w:sz="4" w:space="0"/>
                  <w:right w:val="single" w:color="auto" w:sz="4" w:space="0"/>
                </w:tcBorders>
              </w:tcPr>
              <w:p w14:paraId="0BBB0944">
                <w:pPr>
                  <w:jc w:val="center"/>
                  <w:rPr>
                    <w:rFonts w:cs="Times New Roman"/>
                  </w:rPr>
                </w:pPr>
                <w:r>
                  <w:rPr>
                    <w:rFonts w:cs="Times New Roman"/>
                  </w:rPr>
                  <w:t>接受劳务</w:t>
                </w:r>
              </w:p>
            </w:tc>
            <w:tc>
              <w:tcPr>
                <w:tcW w:w="855" w:type="pct"/>
                <w:tcBorders>
                  <w:top w:val="single" w:color="auto" w:sz="4" w:space="0"/>
                  <w:left w:val="single" w:color="auto" w:sz="4" w:space="0"/>
                  <w:bottom w:val="single" w:color="auto" w:sz="4" w:space="0"/>
                  <w:right w:val="single" w:color="auto" w:sz="4" w:space="0"/>
                </w:tcBorders>
                <w:vAlign w:val="center"/>
              </w:tcPr>
              <w:p w14:paraId="390B3315">
                <w:pPr>
                  <w:jc w:val="right"/>
                  <w:rPr>
                    <w:rFonts w:cs="Times New Roman"/>
                  </w:rPr>
                </w:pPr>
                <w:r>
                  <w:rPr>
                    <w:rFonts w:cs="Times New Roman"/>
                  </w:rPr>
                  <w:t>28,256.89</w:t>
                </w:r>
              </w:p>
            </w:tc>
            <w:tc>
              <w:tcPr>
                <w:tcW w:w="931" w:type="pct"/>
                <w:tcBorders>
                  <w:top w:val="single" w:color="auto" w:sz="4" w:space="0"/>
                  <w:left w:val="single" w:color="auto" w:sz="4" w:space="0"/>
                  <w:bottom w:val="single" w:color="auto" w:sz="4" w:space="0"/>
                  <w:right w:val="single" w:color="auto" w:sz="4" w:space="0"/>
                </w:tcBorders>
                <w:vAlign w:val="center"/>
              </w:tcPr>
              <w:p w14:paraId="1121B5E4">
                <w:pPr>
                  <w:jc w:val="right"/>
                  <w:rPr>
                    <w:rFonts w:cs="Times New Roman"/>
                  </w:rPr>
                </w:pPr>
              </w:p>
            </w:tc>
          </w:tr>
        </w:sdtContent>
      </w:sdt>
      <w:sdt>
        <w:sdtPr>
          <w:rPr>
            <w:rFonts w:cs="Times New Roman"/>
            <w:color w:val="000000" w:themeColor="text1"/>
            <w14:textFill>
              <w14:solidFill>
                <w14:schemeClr w14:val="tx1"/>
              </w14:solidFill>
            </w14:textFill>
          </w:rPr>
          <w:alias w:val="采购商品接受劳务情况明细"/>
          <w:tag w:val="_TUP_6a1f8fb777604032986c4beda62c76c1"/>
          <w:id w:val="-2061081496"/>
          <w:placeholder>
            <w:docPart w:val="{dac80138-80a9-4f66-bd31-592d454e5556}"/>
          </w:placeholder>
        </w:sdtPr>
        <w:sdtEndPr>
          <w:rPr>
            <w:rFonts w:cs="Times New Roman"/>
            <w:color w:val="000000" w:themeColor="text1"/>
            <w14:textFill>
              <w14:solidFill>
                <w14:schemeClr w14:val="tx1"/>
              </w14:solidFill>
            </w14:textFill>
          </w:rPr>
        </w:sdtEndPr>
        <w:sdtContent>
          <w:tr w14:paraId="39A14F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62" w:type="pct"/>
                <w:tcBorders>
                  <w:top w:val="single" w:color="auto" w:sz="4" w:space="0"/>
                  <w:left w:val="single" w:color="auto" w:sz="4" w:space="0"/>
                  <w:bottom w:val="single" w:color="auto" w:sz="4" w:space="0"/>
                  <w:right w:val="single" w:color="auto" w:sz="4" w:space="0"/>
                </w:tcBorders>
              </w:tcPr>
              <w:p w14:paraId="0A7B9FFA">
                <w:pPr>
                  <w:rPr>
                    <w:rFonts w:cs="Times New Roman"/>
                  </w:rPr>
                </w:pPr>
                <w:r>
                  <w:rPr>
                    <w:rFonts w:cs="Times New Roman"/>
                  </w:rPr>
                  <w:t>聚联智汇水务科技有限公司</w:t>
                </w:r>
              </w:p>
            </w:tc>
            <w:tc>
              <w:tcPr>
                <w:tcW w:w="850" w:type="pct"/>
                <w:tcBorders>
                  <w:top w:val="single" w:color="auto" w:sz="4" w:space="0"/>
                  <w:left w:val="single" w:color="auto" w:sz="4" w:space="0"/>
                  <w:bottom w:val="single" w:color="auto" w:sz="4" w:space="0"/>
                  <w:right w:val="single" w:color="auto" w:sz="4" w:space="0"/>
                </w:tcBorders>
              </w:tcPr>
              <w:p w14:paraId="1B588849">
                <w:pPr>
                  <w:jc w:val="center"/>
                  <w:rPr>
                    <w:rFonts w:cs="Times New Roman"/>
                  </w:rPr>
                </w:pPr>
                <w:r>
                  <w:rPr>
                    <w:rFonts w:cs="Times New Roman"/>
                  </w:rPr>
                  <w:t>接受劳务</w:t>
                </w:r>
              </w:p>
            </w:tc>
            <w:tc>
              <w:tcPr>
                <w:tcW w:w="855" w:type="pct"/>
                <w:tcBorders>
                  <w:top w:val="single" w:color="auto" w:sz="4" w:space="0"/>
                  <w:left w:val="single" w:color="auto" w:sz="4" w:space="0"/>
                  <w:bottom w:val="single" w:color="auto" w:sz="4" w:space="0"/>
                  <w:right w:val="single" w:color="auto" w:sz="4" w:space="0"/>
                </w:tcBorders>
                <w:vAlign w:val="center"/>
              </w:tcPr>
              <w:p w14:paraId="4D00D7C5">
                <w:pPr>
                  <w:jc w:val="right"/>
                  <w:rPr>
                    <w:rFonts w:cs="Times New Roman"/>
                  </w:rPr>
                </w:pPr>
                <w:r>
                  <w:rPr>
                    <w:rFonts w:cs="Times New Roman"/>
                  </w:rPr>
                  <w:t>4,068.93</w:t>
                </w:r>
              </w:p>
            </w:tc>
            <w:tc>
              <w:tcPr>
                <w:tcW w:w="931" w:type="pct"/>
                <w:tcBorders>
                  <w:top w:val="single" w:color="auto" w:sz="4" w:space="0"/>
                  <w:left w:val="single" w:color="auto" w:sz="4" w:space="0"/>
                  <w:bottom w:val="single" w:color="auto" w:sz="4" w:space="0"/>
                  <w:right w:val="single" w:color="auto" w:sz="4" w:space="0"/>
                </w:tcBorders>
                <w:vAlign w:val="center"/>
              </w:tcPr>
              <w:p w14:paraId="3C43AB6D">
                <w:pPr>
                  <w:jc w:val="right"/>
                  <w:rPr>
                    <w:rFonts w:cs="Times New Roman"/>
                  </w:rPr>
                </w:pPr>
              </w:p>
            </w:tc>
          </w:tr>
        </w:sdtContent>
      </w:sdt>
      <w:sdt>
        <w:sdtPr>
          <w:rPr>
            <w:rFonts w:cs="Times New Roman"/>
            <w:color w:val="000000" w:themeColor="text1"/>
            <w14:textFill>
              <w14:solidFill>
                <w14:schemeClr w14:val="tx1"/>
              </w14:solidFill>
            </w14:textFill>
          </w:rPr>
          <w:alias w:val="采购商品接受劳务情况明细"/>
          <w:tag w:val="_TUP_6a1f8fb777604032986c4beda62c76c1"/>
          <w:id w:val="1115480408"/>
          <w:placeholder>
            <w:docPart w:val="{dac80138-80a9-4f66-bd31-592d454e5556}"/>
          </w:placeholder>
        </w:sdtPr>
        <w:sdtEndPr>
          <w:rPr>
            <w:rFonts w:cs="Times New Roman"/>
            <w:color w:val="000000" w:themeColor="text1"/>
            <w14:textFill>
              <w14:solidFill>
                <w14:schemeClr w14:val="tx1"/>
              </w14:solidFill>
            </w14:textFill>
          </w:rPr>
        </w:sdtEndPr>
        <w:sdtContent>
          <w:tr w14:paraId="33EE45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62" w:type="pct"/>
                <w:tcBorders>
                  <w:top w:val="single" w:color="auto" w:sz="4" w:space="0"/>
                  <w:left w:val="single" w:color="auto" w:sz="4" w:space="0"/>
                  <w:bottom w:val="single" w:color="auto" w:sz="4" w:space="0"/>
                  <w:right w:val="single" w:color="auto" w:sz="4" w:space="0"/>
                </w:tcBorders>
              </w:tcPr>
              <w:p w14:paraId="13753E64">
                <w:pPr>
                  <w:rPr>
                    <w:rFonts w:cs="Times New Roman"/>
                  </w:rPr>
                </w:pPr>
                <w:r>
                  <w:rPr>
                    <w:rFonts w:cs="Times New Roman"/>
                  </w:rPr>
                  <w:t>石家庄际华资产管理有限公司</w:t>
                </w:r>
              </w:p>
            </w:tc>
            <w:tc>
              <w:tcPr>
                <w:tcW w:w="850" w:type="pct"/>
                <w:tcBorders>
                  <w:top w:val="single" w:color="auto" w:sz="4" w:space="0"/>
                  <w:left w:val="single" w:color="auto" w:sz="4" w:space="0"/>
                  <w:bottom w:val="single" w:color="auto" w:sz="4" w:space="0"/>
                  <w:right w:val="single" w:color="auto" w:sz="4" w:space="0"/>
                </w:tcBorders>
              </w:tcPr>
              <w:p w14:paraId="49FDE5E6">
                <w:pPr>
                  <w:jc w:val="center"/>
                  <w:rPr>
                    <w:rFonts w:cs="Times New Roman"/>
                  </w:rPr>
                </w:pPr>
                <w:r>
                  <w:rPr>
                    <w:rFonts w:cs="Times New Roman"/>
                  </w:rPr>
                  <w:t>接受劳务</w:t>
                </w:r>
              </w:p>
            </w:tc>
            <w:tc>
              <w:tcPr>
                <w:tcW w:w="855" w:type="pct"/>
                <w:tcBorders>
                  <w:top w:val="single" w:color="auto" w:sz="4" w:space="0"/>
                  <w:left w:val="single" w:color="auto" w:sz="4" w:space="0"/>
                  <w:bottom w:val="single" w:color="auto" w:sz="4" w:space="0"/>
                  <w:right w:val="single" w:color="auto" w:sz="4" w:space="0"/>
                </w:tcBorders>
                <w:vAlign w:val="center"/>
              </w:tcPr>
              <w:p w14:paraId="1CB80976">
                <w:pPr>
                  <w:jc w:val="right"/>
                  <w:rPr>
                    <w:rFonts w:cs="Times New Roman"/>
                  </w:rPr>
                </w:pPr>
              </w:p>
            </w:tc>
            <w:tc>
              <w:tcPr>
                <w:tcW w:w="931" w:type="pct"/>
                <w:tcBorders>
                  <w:top w:val="single" w:color="auto" w:sz="4" w:space="0"/>
                  <w:left w:val="single" w:color="auto" w:sz="4" w:space="0"/>
                  <w:bottom w:val="single" w:color="auto" w:sz="4" w:space="0"/>
                  <w:right w:val="single" w:color="auto" w:sz="4" w:space="0"/>
                </w:tcBorders>
                <w:vAlign w:val="center"/>
              </w:tcPr>
              <w:p w14:paraId="045E1627">
                <w:pPr>
                  <w:jc w:val="right"/>
                  <w:rPr>
                    <w:rFonts w:cs="Times New Roman"/>
                  </w:rPr>
                </w:pPr>
                <w:r>
                  <w:rPr>
                    <w:rFonts w:cs="Times New Roman"/>
                  </w:rPr>
                  <w:t>1,036,194.72</w:t>
                </w:r>
              </w:p>
            </w:tc>
          </w:tr>
        </w:sdtContent>
      </w:sdt>
      <w:sdt>
        <w:sdtPr>
          <w:rPr>
            <w:rFonts w:cs="Times New Roman"/>
            <w:color w:val="000000" w:themeColor="text1"/>
            <w14:textFill>
              <w14:solidFill>
                <w14:schemeClr w14:val="tx1"/>
              </w14:solidFill>
            </w14:textFill>
          </w:rPr>
          <w:alias w:val="采购商品接受劳务情况明细"/>
          <w:tag w:val="_TUP_6a1f8fb777604032986c4beda62c76c1"/>
          <w:id w:val="1290314794"/>
          <w:placeholder>
            <w:docPart w:val="{dac80138-80a9-4f66-bd31-592d454e5556}"/>
          </w:placeholder>
        </w:sdtPr>
        <w:sdtEndPr>
          <w:rPr>
            <w:rFonts w:cs="Times New Roman"/>
            <w:color w:val="000000" w:themeColor="text1"/>
            <w14:textFill>
              <w14:solidFill>
                <w14:schemeClr w14:val="tx1"/>
              </w14:solidFill>
            </w14:textFill>
          </w:rPr>
        </w:sdtEndPr>
        <w:sdtContent>
          <w:tr w14:paraId="095471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Pr>
            <w:tc>
              <w:tcPr>
                <w:tcW w:w="2362" w:type="pct"/>
                <w:tcBorders>
                  <w:top w:val="single" w:color="auto" w:sz="4" w:space="0"/>
                  <w:left w:val="single" w:color="auto" w:sz="4" w:space="0"/>
                  <w:bottom w:val="single" w:color="auto" w:sz="4" w:space="0"/>
                  <w:right w:val="single" w:color="auto" w:sz="4" w:space="0"/>
                </w:tcBorders>
              </w:tcPr>
              <w:p w14:paraId="70064860">
                <w:pPr>
                  <w:rPr>
                    <w:rFonts w:cs="Times New Roman"/>
                  </w:rPr>
                </w:pPr>
                <w:r>
                  <w:rPr>
                    <w:rFonts w:cs="Times New Roman"/>
                  </w:rPr>
                  <w:t>北京三五零一服装厂有限公司</w:t>
                </w:r>
              </w:p>
            </w:tc>
            <w:tc>
              <w:tcPr>
                <w:tcW w:w="850" w:type="pct"/>
                <w:tcBorders>
                  <w:top w:val="single" w:color="auto" w:sz="4" w:space="0"/>
                  <w:left w:val="single" w:color="auto" w:sz="4" w:space="0"/>
                  <w:bottom w:val="single" w:color="auto" w:sz="4" w:space="0"/>
                  <w:right w:val="single" w:color="auto" w:sz="4" w:space="0"/>
                </w:tcBorders>
              </w:tcPr>
              <w:p w14:paraId="034D193C">
                <w:pPr>
                  <w:jc w:val="center"/>
                  <w:rPr>
                    <w:rFonts w:cs="Times New Roman"/>
                  </w:rPr>
                </w:pPr>
                <w:r>
                  <w:rPr>
                    <w:rFonts w:cs="Times New Roman"/>
                  </w:rPr>
                  <w:t>接受劳务</w:t>
                </w:r>
              </w:p>
            </w:tc>
            <w:tc>
              <w:tcPr>
                <w:tcW w:w="855" w:type="pct"/>
                <w:tcBorders>
                  <w:top w:val="single" w:color="auto" w:sz="4" w:space="0"/>
                  <w:left w:val="single" w:color="auto" w:sz="4" w:space="0"/>
                  <w:bottom w:val="single" w:color="auto" w:sz="4" w:space="0"/>
                  <w:right w:val="single" w:color="auto" w:sz="4" w:space="0"/>
                </w:tcBorders>
                <w:vAlign w:val="center"/>
              </w:tcPr>
              <w:p w14:paraId="1C5B0E3C">
                <w:pPr>
                  <w:jc w:val="right"/>
                  <w:rPr>
                    <w:rFonts w:cs="Times New Roman"/>
                  </w:rPr>
                </w:pPr>
              </w:p>
            </w:tc>
            <w:tc>
              <w:tcPr>
                <w:tcW w:w="931" w:type="pct"/>
                <w:tcBorders>
                  <w:top w:val="single" w:color="auto" w:sz="4" w:space="0"/>
                  <w:left w:val="single" w:color="auto" w:sz="4" w:space="0"/>
                  <w:bottom w:val="single" w:color="auto" w:sz="4" w:space="0"/>
                  <w:right w:val="single" w:color="auto" w:sz="4" w:space="0"/>
                </w:tcBorders>
                <w:vAlign w:val="center"/>
              </w:tcPr>
              <w:p w14:paraId="05EB6507">
                <w:pPr>
                  <w:jc w:val="right"/>
                  <w:rPr>
                    <w:rFonts w:cs="Times New Roman"/>
                  </w:rPr>
                </w:pPr>
                <w:r>
                  <w:rPr>
                    <w:rFonts w:cs="Times New Roman"/>
                  </w:rPr>
                  <w:t>8,571.43</w:t>
                </w:r>
              </w:p>
            </w:tc>
          </w:tr>
        </w:sdtContent>
      </w:sdt>
      <w:sdt>
        <w:sdtPr>
          <w:rPr>
            <w:rFonts w:cs="Times New Roman"/>
            <w:color w:val="000000" w:themeColor="text1"/>
            <w14:textFill>
              <w14:solidFill>
                <w14:schemeClr w14:val="tx1"/>
              </w14:solidFill>
            </w14:textFill>
          </w:rPr>
          <w:alias w:val="采购商品接受劳务情况明细"/>
          <w:tag w:val="_TUP_6a1f8fb777604032986c4beda62c76c1"/>
          <w:id w:val="806586149"/>
          <w:placeholder>
            <w:docPart w:val="{dac80138-80a9-4f66-bd31-592d454e5556}"/>
          </w:placeholder>
        </w:sdtPr>
        <w:sdtEndPr>
          <w:rPr>
            <w:rFonts w:cs="Times New Roman"/>
            <w:color w:val="000000" w:themeColor="text1"/>
            <w14:textFill>
              <w14:solidFill>
                <w14:schemeClr w14:val="tx1"/>
              </w14:solidFill>
            </w14:textFill>
          </w:rPr>
        </w:sdtEndPr>
        <w:sdtContent>
          <w:tr w14:paraId="5BB414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62" w:type="pct"/>
                <w:tcBorders>
                  <w:top w:val="single" w:color="auto" w:sz="4" w:space="0"/>
                  <w:left w:val="single" w:color="auto" w:sz="4" w:space="0"/>
                  <w:bottom w:val="single" w:color="auto" w:sz="4" w:space="0"/>
                  <w:right w:val="single" w:color="auto" w:sz="4" w:space="0"/>
                </w:tcBorders>
              </w:tcPr>
              <w:p w14:paraId="575C2F7E">
                <w:pPr>
                  <w:rPr>
                    <w:rFonts w:cs="Times New Roman"/>
                  </w:rPr>
                </w:pPr>
                <w:r>
                  <w:rPr>
                    <w:rFonts w:cs="Times New Roman"/>
                  </w:rPr>
                  <w:t>中铸新兴企业管理有限公司</w:t>
                </w:r>
              </w:p>
            </w:tc>
            <w:tc>
              <w:tcPr>
                <w:tcW w:w="850" w:type="pct"/>
                <w:tcBorders>
                  <w:top w:val="single" w:color="auto" w:sz="4" w:space="0"/>
                  <w:left w:val="single" w:color="auto" w:sz="4" w:space="0"/>
                  <w:bottom w:val="single" w:color="auto" w:sz="4" w:space="0"/>
                  <w:right w:val="single" w:color="auto" w:sz="4" w:space="0"/>
                </w:tcBorders>
              </w:tcPr>
              <w:p w14:paraId="738ADC70">
                <w:pPr>
                  <w:jc w:val="center"/>
                  <w:rPr>
                    <w:rFonts w:cs="Times New Roman"/>
                  </w:rPr>
                </w:pPr>
                <w:r>
                  <w:rPr>
                    <w:rFonts w:cs="Times New Roman"/>
                  </w:rPr>
                  <w:t>接受劳务</w:t>
                </w:r>
              </w:p>
            </w:tc>
            <w:tc>
              <w:tcPr>
                <w:tcW w:w="855" w:type="pct"/>
                <w:tcBorders>
                  <w:top w:val="single" w:color="auto" w:sz="4" w:space="0"/>
                  <w:left w:val="single" w:color="auto" w:sz="4" w:space="0"/>
                  <w:bottom w:val="single" w:color="auto" w:sz="4" w:space="0"/>
                  <w:right w:val="single" w:color="auto" w:sz="4" w:space="0"/>
                </w:tcBorders>
                <w:vAlign w:val="center"/>
              </w:tcPr>
              <w:p w14:paraId="3D5A0FF1">
                <w:pPr>
                  <w:jc w:val="right"/>
                  <w:rPr>
                    <w:rFonts w:cs="Times New Roman"/>
                  </w:rPr>
                </w:pPr>
              </w:p>
            </w:tc>
            <w:tc>
              <w:tcPr>
                <w:tcW w:w="931" w:type="pct"/>
                <w:tcBorders>
                  <w:top w:val="single" w:color="auto" w:sz="4" w:space="0"/>
                  <w:left w:val="single" w:color="auto" w:sz="4" w:space="0"/>
                  <w:bottom w:val="single" w:color="auto" w:sz="4" w:space="0"/>
                  <w:right w:val="single" w:color="auto" w:sz="4" w:space="0"/>
                </w:tcBorders>
                <w:vAlign w:val="center"/>
              </w:tcPr>
              <w:p w14:paraId="3C9BAF6F">
                <w:pPr>
                  <w:jc w:val="right"/>
                  <w:rPr>
                    <w:rFonts w:cs="Times New Roman"/>
                  </w:rPr>
                </w:pPr>
                <w:r>
                  <w:rPr>
                    <w:rFonts w:cs="Times New Roman"/>
                  </w:rPr>
                  <w:t>5,100.00</w:t>
                </w:r>
              </w:p>
            </w:tc>
          </w:tr>
        </w:sdtContent>
      </w:sdt>
      <w:sdt>
        <w:sdtPr>
          <w:rPr>
            <w:rFonts w:cs="Times New Roman"/>
            <w:color w:val="000000" w:themeColor="text1"/>
            <w14:textFill>
              <w14:solidFill>
                <w14:schemeClr w14:val="tx1"/>
              </w14:solidFill>
            </w14:textFill>
          </w:rPr>
          <w:alias w:val="采购商品接受劳务情况明细"/>
          <w:tag w:val="_TUP_6a1f8fb777604032986c4beda62c76c1"/>
          <w:id w:val="119730447"/>
          <w:placeholder>
            <w:docPart w:val="{dac80138-80a9-4f66-bd31-592d454e5556}"/>
          </w:placeholder>
        </w:sdtPr>
        <w:sdtEndPr>
          <w:rPr>
            <w:rFonts w:cs="Times New Roman"/>
            <w:color w:val="000000" w:themeColor="text1"/>
            <w14:textFill>
              <w14:solidFill>
                <w14:schemeClr w14:val="tx1"/>
              </w14:solidFill>
            </w14:textFill>
          </w:rPr>
        </w:sdtEndPr>
        <w:sdtContent>
          <w:tr w14:paraId="23A3BF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362" w:type="pct"/>
                <w:tcBorders>
                  <w:top w:val="single" w:color="auto" w:sz="4" w:space="0"/>
                  <w:left w:val="single" w:color="auto" w:sz="4" w:space="0"/>
                  <w:bottom w:val="single" w:color="auto" w:sz="4" w:space="0"/>
                  <w:right w:val="single" w:color="auto" w:sz="4" w:space="0"/>
                </w:tcBorders>
              </w:tcPr>
              <w:p w14:paraId="36BF4C86">
                <w:pPr>
                  <w:rPr>
                    <w:rFonts w:cs="Times New Roman"/>
                  </w:rPr>
                </w:pPr>
                <w:r>
                  <w:rPr>
                    <w:rFonts w:cs="Times New Roman"/>
                  </w:rPr>
                  <w:t>新兴铸管集团资源投资发展有限公司</w:t>
                </w:r>
              </w:p>
            </w:tc>
            <w:tc>
              <w:tcPr>
                <w:tcW w:w="850" w:type="pct"/>
                <w:tcBorders>
                  <w:top w:val="single" w:color="auto" w:sz="4" w:space="0"/>
                  <w:left w:val="single" w:color="auto" w:sz="4" w:space="0"/>
                  <w:bottom w:val="single" w:color="auto" w:sz="4" w:space="0"/>
                  <w:right w:val="single" w:color="auto" w:sz="4" w:space="0"/>
                </w:tcBorders>
              </w:tcPr>
              <w:p w14:paraId="7E0EA4C6">
                <w:pPr>
                  <w:jc w:val="center"/>
                  <w:rPr>
                    <w:rFonts w:cs="Times New Roman"/>
                  </w:rPr>
                </w:pPr>
                <w:r>
                  <w:rPr>
                    <w:rFonts w:cs="Times New Roman"/>
                  </w:rPr>
                  <w:t>接受劳务</w:t>
                </w:r>
              </w:p>
            </w:tc>
            <w:tc>
              <w:tcPr>
                <w:tcW w:w="855" w:type="pct"/>
                <w:tcBorders>
                  <w:top w:val="single" w:color="auto" w:sz="4" w:space="0"/>
                  <w:left w:val="single" w:color="auto" w:sz="4" w:space="0"/>
                  <w:bottom w:val="single" w:color="auto" w:sz="4" w:space="0"/>
                  <w:right w:val="single" w:color="auto" w:sz="4" w:space="0"/>
                </w:tcBorders>
                <w:vAlign w:val="center"/>
              </w:tcPr>
              <w:p w14:paraId="1B6A3C90">
                <w:pPr>
                  <w:jc w:val="right"/>
                  <w:rPr>
                    <w:rFonts w:cs="Times New Roman"/>
                  </w:rPr>
                </w:pPr>
              </w:p>
            </w:tc>
            <w:tc>
              <w:tcPr>
                <w:tcW w:w="931" w:type="pct"/>
                <w:tcBorders>
                  <w:top w:val="single" w:color="auto" w:sz="4" w:space="0"/>
                  <w:left w:val="single" w:color="auto" w:sz="4" w:space="0"/>
                  <w:bottom w:val="single" w:color="auto" w:sz="4" w:space="0"/>
                  <w:right w:val="single" w:color="auto" w:sz="4" w:space="0"/>
                </w:tcBorders>
                <w:vAlign w:val="center"/>
              </w:tcPr>
              <w:p w14:paraId="5C3D6EDF">
                <w:pPr>
                  <w:jc w:val="right"/>
                  <w:rPr>
                    <w:rFonts w:cs="Times New Roman"/>
                  </w:rPr>
                </w:pPr>
                <w:r>
                  <w:rPr>
                    <w:rFonts w:cs="Times New Roman"/>
                  </w:rPr>
                  <w:t>3,600.00</w:t>
                </w:r>
              </w:p>
            </w:tc>
          </w:tr>
        </w:sdtContent>
      </w:sdt>
    </w:tbl>
    <w:p w14:paraId="59E668AC">
      <w:pPr>
        <w:rPr>
          <w:color w:val="000000" w:themeColor="text1"/>
          <w14:textFill>
            <w14:solidFill>
              <w14:schemeClr w14:val="tx1"/>
            </w14:solidFill>
          </w14:textFill>
        </w:rPr>
      </w:pPr>
    </w:p>
    <w:bookmarkEnd w:id="410"/>
    <w:p w14:paraId="5BB4C7E9"/>
    <w:p w14:paraId="581869C3">
      <w:pPr>
        <w:ind w:right="-775" w:rightChars="-369"/>
        <w:rPr>
          <w:color w:val="000000" w:themeColor="text1"/>
          <w14:textFill>
            <w14:solidFill>
              <w14:schemeClr w14:val="tx1"/>
            </w14:solidFill>
          </w14:textFill>
        </w:rPr>
      </w:pPr>
      <w:r>
        <w:rPr>
          <w:rFonts w:hint="eastAsia"/>
          <w:color w:val="000000" w:themeColor="text1"/>
          <w14:textFill>
            <w14:solidFill>
              <w14:schemeClr w14:val="tx1"/>
            </w14:solidFill>
          </w14:textFill>
        </w:rPr>
        <w:t>出售商品/提供劳务情况表</w:t>
      </w:r>
    </w:p>
    <w:sdt>
      <w:sdtPr>
        <w:rPr>
          <w:color w:val="000000" w:themeColor="text1"/>
          <w14:textFill>
            <w14:solidFill>
              <w14:schemeClr w14:val="tx1"/>
            </w14:solidFill>
          </w14:textFill>
        </w:rPr>
        <w:alias w:val="是否适用：出售商品或提供劳务情况表[双击切换]"/>
        <w:tag w:val="_GBC_18ae630e2f3641959d3a9fc1a3f3ccf3"/>
        <w:id w:val="821466279"/>
      </w:sdtPr>
      <w:sdtEndPr>
        <w:rPr>
          <w:color w:val="000000" w:themeColor="text1"/>
          <w14:textFill>
            <w14:solidFill>
              <w14:schemeClr w14:val="tx1"/>
            </w14:solidFill>
          </w14:textFill>
        </w:rPr>
      </w:sdtEndPr>
      <w:sdtContent>
        <w:p w14:paraId="5837BA1C">
          <w:pPr>
            <w:ind w:right="-775" w:rightChars="-369"/>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7649E9DE">
      <w:pPr>
        <w:tabs>
          <w:tab w:val="left" w:pos="3870"/>
        </w:tabs>
        <w:jc w:val="right"/>
        <w:rPr>
          <w:rFonts w:cs="Cambria"/>
          <w:color w:val="000000" w:themeColor="text1"/>
          <w14:textFill>
            <w14:solidFill>
              <w14:schemeClr w14:val="tx1"/>
            </w14:solidFill>
          </w14:textFill>
        </w:rPr>
      </w:pPr>
      <w:r>
        <w:rPr>
          <w:color w:val="000000" w:themeColor="text1"/>
          <w14:textFill>
            <w14:solidFill>
              <w14:schemeClr w14:val="tx1"/>
            </w14:solidFill>
          </w14:textFill>
        </w:rPr>
        <w:t>单位</w:t>
      </w:r>
      <w:r>
        <w:rPr>
          <w:rFonts w:hint="eastAsia"/>
          <w:color w:val="000000" w:themeColor="text1"/>
          <w14:textFill>
            <w14:solidFill>
              <w14:schemeClr w14:val="tx1"/>
            </w14:solidFill>
          </w14:textFill>
        </w:rPr>
        <w:t>：</w:t>
      </w:r>
      <w:sdt>
        <w:sdtPr>
          <w:rPr>
            <w:color w:val="000000" w:themeColor="text1"/>
            <w14:textFill>
              <w14:solidFill>
                <w14:schemeClr w14:val="tx1"/>
              </w14:solidFill>
            </w14:textFill>
          </w:rPr>
          <w:alias w:val="单位：出售商品提供劳务情况表"/>
          <w:tag w:val="_GBC_d53494f853ed4767a511f9c2c780c566"/>
          <w:id w:val="432710046"/>
          <w:comboBox>
            <w:listItem w:displayText="元" w:value="1"/>
            <w:listItem w:displayText="千元" w:value="1000"/>
            <w:listItem w:displayText="万元" w:value="10000"/>
            <w:listItem w:displayText="百万元" w:value="1000000"/>
            <w:listItem w:displayText="亿元" w:value="100000000"/>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color w:val="000000" w:themeColor="text1"/>
          <w14:textFill>
            <w14:solidFill>
              <w14:schemeClr w14:val="tx1"/>
            </w14:solidFill>
          </w14:textFill>
        </w:rPr>
        <w:t xml:space="preserve">  币种：</w:t>
      </w:r>
      <w:sdt>
        <w:sdtPr>
          <w:rPr>
            <w:color w:val="000000" w:themeColor="text1"/>
            <w14:textFill>
              <w14:solidFill>
                <w14:schemeClr w14:val="tx1"/>
              </w14:solidFill>
            </w14:textFill>
          </w:rPr>
          <w:alias w:val="币种：出售商品提供劳务情况表"/>
          <w:tag w:val="_GBC_d298f57687684d2eafef1d8c13d51722"/>
          <w:id w:val="207261657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4469"/>
        <w:gridCol w:w="1363"/>
        <w:gridCol w:w="1440"/>
        <w:gridCol w:w="1621"/>
      </w:tblGrid>
      <w:tr w14:paraId="1EB857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Height w:val="273" w:hRule="atLeast"/>
          <w:tblHeader/>
        </w:trPr>
        <w:sdt>
          <w:sdtPr>
            <w:rPr>
              <w:rFonts w:cs="Times New Roman"/>
            </w:rPr>
            <w:tag w:val="_PLD_70510986aab647e99b00ba57c32e64cd"/>
            <w:id w:val="-169180699"/>
          </w:sdtPr>
          <w:sdtEndPr>
            <w:rPr>
              <w:rFonts w:cs="Times New Roman"/>
            </w:rPr>
          </w:sdtEndPr>
          <w:sdtContent>
            <w:tc>
              <w:tcPr>
                <w:tcW w:w="2512" w:type="pct"/>
                <w:tcBorders>
                  <w:top w:val="single" w:color="auto" w:sz="4" w:space="0"/>
                  <w:left w:val="single" w:color="auto" w:sz="4" w:space="0"/>
                  <w:bottom w:val="single" w:color="auto" w:sz="4" w:space="0"/>
                  <w:right w:val="single" w:color="auto" w:sz="4" w:space="0"/>
                </w:tcBorders>
                <w:vAlign w:val="center"/>
              </w:tcPr>
              <w:p w14:paraId="602F622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关联方</w:t>
                </w:r>
              </w:p>
            </w:tc>
          </w:sdtContent>
        </w:sdt>
        <w:sdt>
          <w:sdtPr>
            <w:rPr>
              <w:rFonts w:cs="Times New Roman"/>
            </w:rPr>
            <w:tag w:val="_PLD_66da90262f3d401c8151235b4c6f5e93"/>
            <w:id w:val="-1943207508"/>
          </w:sdtPr>
          <w:sdtEndPr>
            <w:rPr>
              <w:rFonts w:cs="Times New Roman"/>
            </w:rPr>
          </w:sdtEndPr>
          <w:sdtContent>
            <w:tc>
              <w:tcPr>
                <w:tcW w:w="766" w:type="pct"/>
                <w:tcBorders>
                  <w:top w:val="single" w:color="auto" w:sz="4" w:space="0"/>
                  <w:left w:val="single" w:color="auto" w:sz="4" w:space="0"/>
                  <w:bottom w:val="single" w:color="auto" w:sz="4" w:space="0"/>
                  <w:right w:val="single" w:color="auto" w:sz="4" w:space="0"/>
                </w:tcBorders>
                <w:vAlign w:val="center"/>
              </w:tcPr>
              <w:p w14:paraId="4824623A">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关联交易内容</w:t>
                </w:r>
              </w:p>
            </w:tc>
          </w:sdtContent>
        </w:sdt>
        <w:sdt>
          <w:sdtPr>
            <w:rPr>
              <w:rFonts w:cs="Times New Roman"/>
            </w:rPr>
            <w:tag w:val="_PLD_09c424bd80324eb49dafea569ce1931b"/>
            <w:id w:val="1566753621"/>
          </w:sdtPr>
          <w:sdtEndPr>
            <w:rPr>
              <w:rFonts w:cs="Times New Roman"/>
            </w:rPr>
          </w:sdtEndPr>
          <w:sdtContent>
            <w:tc>
              <w:tcPr>
                <w:tcW w:w="809" w:type="pct"/>
                <w:tcBorders>
                  <w:top w:val="single" w:color="auto" w:sz="4" w:space="0"/>
                  <w:left w:val="single" w:color="auto" w:sz="4" w:space="0"/>
                  <w:right w:val="single" w:color="auto" w:sz="4" w:space="0"/>
                </w:tcBorders>
                <w:vAlign w:val="center"/>
              </w:tcPr>
              <w:p w14:paraId="3AA88AD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tc>
          </w:sdtContent>
        </w:sdt>
        <w:sdt>
          <w:sdtPr>
            <w:rPr>
              <w:rFonts w:cs="Times New Roman"/>
            </w:rPr>
            <w:tag w:val="_PLD_fd0f9e0691744db49d5ceaf95d42197c"/>
            <w:id w:val="142784232"/>
          </w:sdtPr>
          <w:sdtEndPr>
            <w:rPr>
              <w:rFonts w:cs="Times New Roman"/>
            </w:rPr>
          </w:sdtEndPr>
          <w:sdtContent>
            <w:tc>
              <w:tcPr>
                <w:tcW w:w="911" w:type="pct"/>
                <w:tcBorders>
                  <w:top w:val="single" w:color="auto" w:sz="4" w:space="0"/>
                  <w:left w:val="single" w:color="auto" w:sz="4" w:space="0"/>
                  <w:right w:val="single" w:color="auto" w:sz="4" w:space="0"/>
                </w:tcBorders>
                <w:vAlign w:val="center"/>
              </w:tcPr>
              <w:p w14:paraId="4FA3F9A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tc>
          </w:sdtContent>
        </w:sdt>
      </w:tr>
      <w:sdt>
        <w:sdtPr>
          <w:rPr>
            <w:rFonts w:cs="Times New Roman"/>
            <w:color w:val="000000" w:themeColor="text1"/>
            <w14:textFill>
              <w14:solidFill>
                <w14:schemeClr w14:val="tx1"/>
              </w14:solidFill>
            </w14:textFill>
          </w:rPr>
          <w:alias w:val="出售商品提供劳务情况明细"/>
          <w:tag w:val="_GBC_d6e24b6ca62645f180ecf5d4621afdc6"/>
          <w:id w:val="1061138428"/>
          <w:placeholder>
            <w:docPart w:val="{6c593e68-85c9-4f50-8d3d-b8d1bf426658}"/>
          </w:placeholder>
        </w:sdtPr>
        <w:sdtEndPr>
          <w:rPr>
            <w:rFonts w:cs="Times New Roman"/>
            <w:color w:val="000000" w:themeColor="text1"/>
            <w14:textFill>
              <w14:solidFill>
                <w14:schemeClr w14:val="tx1"/>
              </w14:solidFill>
            </w14:textFill>
          </w:rPr>
        </w:sdtEndPr>
        <w:sdtContent>
          <w:tr w14:paraId="162158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5CB7B34E">
                <w:pPr>
                  <w:rPr>
                    <w:rFonts w:cs="Times New Roman"/>
                  </w:rPr>
                </w:pPr>
                <w:r>
                  <w:rPr>
                    <w:rFonts w:cs="Times New Roman"/>
                  </w:rPr>
                  <w:t>新兴铸管股份有限公司</w:t>
                </w:r>
              </w:p>
            </w:tc>
            <w:tc>
              <w:tcPr>
                <w:tcW w:w="766" w:type="pct"/>
                <w:tcBorders>
                  <w:top w:val="single" w:color="auto" w:sz="4" w:space="0"/>
                  <w:left w:val="single" w:color="auto" w:sz="4" w:space="0"/>
                  <w:bottom w:val="single" w:color="auto" w:sz="4" w:space="0"/>
                  <w:right w:val="single" w:color="auto" w:sz="4" w:space="0"/>
                </w:tcBorders>
              </w:tcPr>
              <w:p w14:paraId="12E62A57">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06EA4C2E">
                <w:pPr>
                  <w:jc w:val="right"/>
                  <w:rPr>
                    <w:rFonts w:cs="Times New Roman"/>
                  </w:rPr>
                </w:pPr>
                <w:r>
                  <w:rPr>
                    <w:rFonts w:cs="Times New Roman"/>
                  </w:rPr>
                  <w:t>34,067,963.69</w:t>
                </w:r>
              </w:p>
            </w:tc>
            <w:tc>
              <w:tcPr>
                <w:tcW w:w="911" w:type="pct"/>
                <w:tcBorders>
                  <w:top w:val="single" w:color="auto" w:sz="4" w:space="0"/>
                  <w:left w:val="single" w:color="auto" w:sz="4" w:space="0"/>
                  <w:bottom w:val="single" w:color="auto" w:sz="4" w:space="0"/>
                  <w:right w:val="single" w:color="auto" w:sz="4" w:space="0"/>
                </w:tcBorders>
              </w:tcPr>
              <w:p w14:paraId="7F172FA2">
                <w:pPr>
                  <w:jc w:val="right"/>
                  <w:rPr>
                    <w:rFonts w:cs="Times New Roman"/>
                  </w:rPr>
                </w:pPr>
                <w:r>
                  <w:rPr>
                    <w:rFonts w:cs="Times New Roman"/>
                  </w:rPr>
                  <w:t>7,501,398.65</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912850573"/>
          <w:placeholder>
            <w:docPart w:val="{6c593e68-85c9-4f50-8d3d-b8d1bf426658}"/>
          </w:placeholder>
        </w:sdtPr>
        <w:sdtEndPr>
          <w:rPr>
            <w:rFonts w:cs="Times New Roman"/>
            <w:color w:val="000000" w:themeColor="text1"/>
            <w14:textFill>
              <w14:solidFill>
                <w14:schemeClr w14:val="tx1"/>
              </w14:solidFill>
            </w14:textFill>
          </w:rPr>
        </w:sdtEndPr>
        <w:sdtContent>
          <w:tr w14:paraId="2C8695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45406062">
                <w:pPr>
                  <w:rPr>
                    <w:rFonts w:cs="Times New Roman"/>
                  </w:rPr>
                </w:pPr>
                <w:r>
                  <w:rPr>
                    <w:rFonts w:cs="Times New Roman"/>
                  </w:rPr>
                  <w:t>新兴铸管（埃及）股份有限公司</w:t>
                </w:r>
              </w:p>
            </w:tc>
            <w:tc>
              <w:tcPr>
                <w:tcW w:w="766" w:type="pct"/>
                <w:tcBorders>
                  <w:top w:val="single" w:color="auto" w:sz="4" w:space="0"/>
                  <w:left w:val="single" w:color="auto" w:sz="4" w:space="0"/>
                  <w:bottom w:val="single" w:color="auto" w:sz="4" w:space="0"/>
                  <w:right w:val="single" w:color="auto" w:sz="4" w:space="0"/>
                </w:tcBorders>
              </w:tcPr>
              <w:p w14:paraId="145C51F7">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10919AF2">
                <w:pPr>
                  <w:jc w:val="right"/>
                  <w:rPr>
                    <w:rFonts w:cs="Times New Roman"/>
                  </w:rPr>
                </w:pPr>
                <w:r>
                  <w:rPr>
                    <w:rFonts w:cs="Times New Roman"/>
                  </w:rPr>
                  <w:t>3,594,596.00</w:t>
                </w:r>
              </w:p>
            </w:tc>
            <w:tc>
              <w:tcPr>
                <w:tcW w:w="911" w:type="pct"/>
                <w:tcBorders>
                  <w:top w:val="single" w:color="auto" w:sz="4" w:space="0"/>
                  <w:left w:val="single" w:color="auto" w:sz="4" w:space="0"/>
                  <w:bottom w:val="single" w:color="auto" w:sz="4" w:space="0"/>
                  <w:right w:val="single" w:color="auto" w:sz="4" w:space="0"/>
                </w:tcBorders>
              </w:tcPr>
              <w:p w14:paraId="7959FF92">
                <w:pPr>
                  <w:jc w:val="right"/>
                  <w:rPr>
                    <w:rFonts w:cs="Times New Roman"/>
                  </w:rPr>
                </w:pP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318345358"/>
          <w:placeholder>
            <w:docPart w:val="{6c593e68-85c9-4f50-8d3d-b8d1bf426658}"/>
          </w:placeholder>
        </w:sdtPr>
        <w:sdtEndPr>
          <w:rPr>
            <w:rFonts w:cs="Times New Roman"/>
            <w:color w:val="000000" w:themeColor="text1"/>
            <w14:textFill>
              <w14:solidFill>
                <w14:schemeClr w14:val="tx1"/>
              </w14:solidFill>
            </w14:textFill>
          </w:rPr>
        </w:sdtEndPr>
        <w:sdtContent>
          <w:tr w14:paraId="529F68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5E771291">
                <w:pPr>
                  <w:rPr>
                    <w:rFonts w:cs="Times New Roman"/>
                  </w:rPr>
                </w:pPr>
                <w:r>
                  <w:rPr>
                    <w:rFonts w:cs="Times New Roman"/>
                  </w:rPr>
                  <w:t>南京英斯瑞德高分子材料股份有限公司</w:t>
                </w:r>
              </w:p>
            </w:tc>
            <w:tc>
              <w:tcPr>
                <w:tcW w:w="766" w:type="pct"/>
                <w:tcBorders>
                  <w:top w:val="single" w:color="auto" w:sz="4" w:space="0"/>
                  <w:left w:val="single" w:color="auto" w:sz="4" w:space="0"/>
                  <w:bottom w:val="single" w:color="auto" w:sz="4" w:space="0"/>
                  <w:right w:val="single" w:color="auto" w:sz="4" w:space="0"/>
                </w:tcBorders>
              </w:tcPr>
              <w:p w14:paraId="3E79D504">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1034C1FD">
                <w:pPr>
                  <w:jc w:val="right"/>
                  <w:rPr>
                    <w:rFonts w:cs="Times New Roman"/>
                  </w:rPr>
                </w:pPr>
                <w:r>
                  <w:rPr>
                    <w:rFonts w:cs="Times New Roman"/>
                  </w:rPr>
                  <w:t>2,526,813.21</w:t>
                </w:r>
              </w:p>
            </w:tc>
            <w:tc>
              <w:tcPr>
                <w:tcW w:w="911" w:type="pct"/>
                <w:tcBorders>
                  <w:top w:val="single" w:color="auto" w:sz="4" w:space="0"/>
                  <w:left w:val="single" w:color="auto" w:sz="4" w:space="0"/>
                  <w:bottom w:val="single" w:color="auto" w:sz="4" w:space="0"/>
                  <w:right w:val="single" w:color="auto" w:sz="4" w:space="0"/>
                </w:tcBorders>
              </w:tcPr>
              <w:p w14:paraId="45B43CAE">
                <w:pPr>
                  <w:jc w:val="right"/>
                  <w:rPr>
                    <w:rFonts w:cs="Times New Roman"/>
                  </w:rPr>
                </w:pPr>
                <w:r>
                  <w:rPr>
                    <w:rFonts w:cs="Times New Roman"/>
                  </w:rPr>
                  <w:t>2,054,254.00</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925723785"/>
          <w:placeholder>
            <w:docPart w:val="{6c593e68-85c9-4f50-8d3d-b8d1bf426658}"/>
          </w:placeholder>
        </w:sdtPr>
        <w:sdtEndPr>
          <w:rPr>
            <w:rFonts w:cs="Times New Roman"/>
            <w:color w:val="000000" w:themeColor="text1"/>
            <w14:textFill>
              <w14:solidFill>
                <w14:schemeClr w14:val="tx1"/>
              </w14:solidFill>
            </w14:textFill>
          </w:rPr>
        </w:sdtEndPr>
        <w:sdtContent>
          <w:tr w14:paraId="6D0F16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49B24603">
                <w:pPr>
                  <w:rPr>
                    <w:rFonts w:cs="Times New Roman"/>
                  </w:rPr>
                </w:pPr>
                <w:r>
                  <w:rPr>
                    <w:rFonts w:cs="Times New Roman"/>
                  </w:rPr>
                  <w:t>新兴际华应急产业有限公司</w:t>
                </w:r>
              </w:p>
            </w:tc>
            <w:tc>
              <w:tcPr>
                <w:tcW w:w="766" w:type="pct"/>
                <w:tcBorders>
                  <w:top w:val="single" w:color="auto" w:sz="4" w:space="0"/>
                  <w:left w:val="single" w:color="auto" w:sz="4" w:space="0"/>
                  <w:bottom w:val="single" w:color="auto" w:sz="4" w:space="0"/>
                  <w:right w:val="single" w:color="auto" w:sz="4" w:space="0"/>
                </w:tcBorders>
              </w:tcPr>
              <w:p w14:paraId="3DBCA72A">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70546BEC">
                <w:pPr>
                  <w:jc w:val="right"/>
                  <w:rPr>
                    <w:rFonts w:cs="Times New Roman"/>
                  </w:rPr>
                </w:pPr>
                <w:r>
                  <w:rPr>
                    <w:rFonts w:cs="Times New Roman"/>
                  </w:rPr>
                  <w:t>2,431,161.82</w:t>
                </w:r>
              </w:p>
            </w:tc>
            <w:tc>
              <w:tcPr>
                <w:tcW w:w="911" w:type="pct"/>
                <w:tcBorders>
                  <w:top w:val="single" w:color="auto" w:sz="4" w:space="0"/>
                  <w:left w:val="single" w:color="auto" w:sz="4" w:space="0"/>
                  <w:bottom w:val="single" w:color="auto" w:sz="4" w:space="0"/>
                  <w:right w:val="single" w:color="auto" w:sz="4" w:space="0"/>
                </w:tcBorders>
              </w:tcPr>
              <w:p w14:paraId="257B10B9">
                <w:pPr>
                  <w:jc w:val="right"/>
                  <w:rPr>
                    <w:rFonts w:cs="Times New Roman"/>
                  </w:rPr>
                </w:pPr>
                <w:r>
                  <w:rPr>
                    <w:rFonts w:cs="Times New Roman"/>
                  </w:rPr>
                  <w:t>2,604,721.74</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766299254"/>
          <w:placeholder>
            <w:docPart w:val="{6c593e68-85c9-4f50-8d3d-b8d1bf426658}"/>
          </w:placeholder>
        </w:sdtPr>
        <w:sdtEndPr>
          <w:rPr>
            <w:rFonts w:cs="Times New Roman"/>
            <w:color w:val="000000" w:themeColor="text1"/>
            <w14:textFill>
              <w14:solidFill>
                <w14:schemeClr w14:val="tx1"/>
              </w14:solidFill>
            </w14:textFill>
          </w:rPr>
        </w:sdtEndPr>
        <w:sdtContent>
          <w:tr w14:paraId="78D887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1839BC7D">
                <w:pPr>
                  <w:rPr>
                    <w:rFonts w:cs="Times New Roman"/>
                  </w:rPr>
                </w:pPr>
                <w:r>
                  <w:rPr>
                    <w:rFonts w:cs="Times New Roman"/>
                  </w:rPr>
                  <w:t>新兴际华（北京）材料技术研究院有限公司</w:t>
                </w:r>
              </w:p>
            </w:tc>
            <w:tc>
              <w:tcPr>
                <w:tcW w:w="766" w:type="pct"/>
                <w:tcBorders>
                  <w:top w:val="single" w:color="auto" w:sz="4" w:space="0"/>
                  <w:left w:val="single" w:color="auto" w:sz="4" w:space="0"/>
                  <w:bottom w:val="single" w:color="auto" w:sz="4" w:space="0"/>
                  <w:right w:val="single" w:color="auto" w:sz="4" w:space="0"/>
                </w:tcBorders>
              </w:tcPr>
              <w:p w14:paraId="0AB25575">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798446EA">
                <w:pPr>
                  <w:jc w:val="right"/>
                  <w:rPr>
                    <w:rFonts w:cs="Times New Roman"/>
                  </w:rPr>
                </w:pPr>
                <w:r>
                  <w:rPr>
                    <w:rFonts w:cs="Times New Roman"/>
                  </w:rPr>
                  <w:t>138,167.89</w:t>
                </w:r>
              </w:p>
            </w:tc>
            <w:tc>
              <w:tcPr>
                <w:tcW w:w="911" w:type="pct"/>
                <w:tcBorders>
                  <w:top w:val="single" w:color="auto" w:sz="4" w:space="0"/>
                  <w:left w:val="single" w:color="auto" w:sz="4" w:space="0"/>
                  <w:bottom w:val="single" w:color="auto" w:sz="4" w:space="0"/>
                  <w:right w:val="single" w:color="auto" w:sz="4" w:space="0"/>
                </w:tcBorders>
              </w:tcPr>
              <w:p w14:paraId="076365B2">
                <w:pPr>
                  <w:jc w:val="right"/>
                  <w:rPr>
                    <w:rFonts w:cs="Times New Roman"/>
                  </w:rPr>
                </w:pPr>
                <w:r>
                  <w:rPr>
                    <w:rFonts w:cs="Times New Roman"/>
                  </w:rPr>
                  <w:t>392,840.53</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491459998"/>
          <w:placeholder>
            <w:docPart w:val="{6c593e68-85c9-4f50-8d3d-b8d1bf426658}"/>
          </w:placeholder>
        </w:sdtPr>
        <w:sdtEndPr>
          <w:rPr>
            <w:rFonts w:cs="Times New Roman"/>
            <w:color w:val="000000" w:themeColor="text1"/>
            <w14:textFill>
              <w14:solidFill>
                <w14:schemeClr w14:val="tx1"/>
              </w14:solidFill>
            </w14:textFill>
          </w:rPr>
        </w:sdtEndPr>
        <w:sdtContent>
          <w:tr w14:paraId="0E7472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78114DA0">
                <w:pPr>
                  <w:rPr>
                    <w:rFonts w:cs="Times New Roman"/>
                  </w:rPr>
                </w:pPr>
                <w:r>
                  <w:rPr>
                    <w:rFonts w:cs="Times New Roman"/>
                  </w:rPr>
                  <w:t>湖北新兴全力机械有限公司</w:t>
                </w:r>
              </w:p>
            </w:tc>
            <w:tc>
              <w:tcPr>
                <w:tcW w:w="766" w:type="pct"/>
                <w:tcBorders>
                  <w:top w:val="single" w:color="auto" w:sz="4" w:space="0"/>
                  <w:left w:val="single" w:color="auto" w:sz="4" w:space="0"/>
                  <w:bottom w:val="single" w:color="auto" w:sz="4" w:space="0"/>
                  <w:right w:val="single" w:color="auto" w:sz="4" w:space="0"/>
                </w:tcBorders>
              </w:tcPr>
              <w:p w14:paraId="55FC7746">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0005BE27">
                <w:pPr>
                  <w:jc w:val="right"/>
                  <w:rPr>
                    <w:rFonts w:cs="Times New Roman"/>
                  </w:rPr>
                </w:pPr>
                <w:r>
                  <w:rPr>
                    <w:rFonts w:cs="Times New Roman"/>
                  </w:rPr>
                  <w:t>101,849.57</w:t>
                </w:r>
              </w:p>
            </w:tc>
            <w:tc>
              <w:tcPr>
                <w:tcW w:w="911" w:type="pct"/>
                <w:tcBorders>
                  <w:top w:val="single" w:color="auto" w:sz="4" w:space="0"/>
                  <w:left w:val="single" w:color="auto" w:sz="4" w:space="0"/>
                  <w:bottom w:val="single" w:color="auto" w:sz="4" w:space="0"/>
                  <w:right w:val="single" w:color="auto" w:sz="4" w:space="0"/>
                </w:tcBorders>
              </w:tcPr>
              <w:p w14:paraId="22B7BB1D">
                <w:pPr>
                  <w:jc w:val="right"/>
                  <w:rPr>
                    <w:rFonts w:cs="Times New Roman"/>
                  </w:rPr>
                </w:pP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2005740666"/>
          <w:placeholder>
            <w:docPart w:val="{6c593e68-85c9-4f50-8d3d-b8d1bf426658}"/>
          </w:placeholder>
        </w:sdtPr>
        <w:sdtEndPr>
          <w:rPr>
            <w:rFonts w:cs="Times New Roman"/>
            <w:color w:val="000000" w:themeColor="text1"/>
            <w14:textFill>
              <w14:solidFill>
                <w14:schemeClr w14:val="tx1"/>
              </w14:solidFill>
            </w14:textFill>
          </w:rPr>
        </w:sdtEndPr>
        <w:sdtContent>
          <w:tr w14:paraId="1EEF13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25BAE2EB">
                <w:pPr>
                  <w:rPr>
                    <w:rFonts w:cs="Times New Roman"/>
                  </w:rPr>
                </w:pPr>
                <w:r>
                  <w:rPr>
                    <w:rFonts w:cs="Times New Roman"/>
                  </w:rPr>
                  <w:t>聚联智汇水务科技有限公司</w:t>
                </w:r>
              </w:p>
            </w:tc>
            <w:tc>
              <w:tcPr>
                <w:tcW w:w="766" w:type="pct"/>
                <w:tcBorders>
                  <w:top w:val="single" w:color="auto" w:sz="4" w:space="0"/>
                  <w:left w:val="single" w:color="auto" w:sz="4" w:space="0"/>
                  <w:bottom w:val="single" w:color="auto" w:sz="4" w:space="0"/>
                  <w:right w:val="single" w:color="auto" w:sz="4" w:space="0"/>
                </w:tcBorders>
              </w:tcPr>
              <w:p w14:paraId="4BF56246">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36274ED8">
                <w:pPr>
                  <w:jc w:val="right"/>
                  <w:rPr>
                    <w:rFonts w:cs="Times New Roman"/>
                  </w:rPr>
                </w:pPr>
                <w:r>
                  <w:rPr>
                    <w:rFonts w:cs="Times New Roman"/>
                  </w:rPr>
                  <w:t>100,103.15</w:t>
                </w:r>
              </w:p>
            </w:tc>
            <w:tc>
              <w:tcPr>
                <w:tcW w:w="911" w:type="pct"/>
                <w:tcBorders>
                  <w:top w:val="single" w:color="auto" w:sz="4" w:space="0"/>
                  <w:left w:val="single" w:color="auto" w:sz="4" w:space="0"/>
                  <w:bottom w:val="single" w:color="auto" w:sz="4" w:space="0"/>
                  <w:right w:val="single" w:color="auto" w:sz="4" w:space="0"/>
                </w:tcBorders>
              </w:tcPr>
              <w:p w14:paraId="6A4C3481">
                <w:pPr>
                  <w:jc w:val="right"/>
                  <w:rPr>
                    <w:rFonts w:cs="Times New Roman"/>
                  </w:rPr>
                </w:pPr>
                <w:r>
                  <w:rPr>
                    <w:rFonts w:cs="Times New Roman"/>
                  </w:rPr>
                  <w:t>28,375,511.00</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424544888"/>
          <w:placeholder>
            <w:docPart w:val="{6c593e68-85c9-4f50-8d3d-b8d1bf426658}"/>
          </w:placeholder>
        </w:sdtPr>
        <w:sdtEndPr>
          <w:rPr>
            <w:rFonts w:cs="Times New Roman"/>
            <w:color w:val="000000" w:themeColor="text1"/>
            <w14:textFill>
              <w14:solidFill>
                <w14:schemeClr w14:val="tx1"/>
              </w14:solidFill>
            </w14:textFill>
          </w:rPr>
        </w:sdtEndPr>
        <w:sdtContent>
          <w:tr w14:paraId="32DE16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7119840A">
                <w:pPr>
                  <w:rPr>
                    <w:rFonts w:cs="Times New Roman"/>
                  </w:rPr>
                </w:pPr>
                <w:r>
                  <w:rPr>
                    <w:rFonts w:cs="Times New Roman"/>
                  </w:rPr>
                  <w:t>广东际华园投资发展有限公司</w:t>
                </w:r>
              </w:p>
            </w:tc>
            <w:tc>
              <w:tcPr>
                <w:tcW w:w="766" w:type="pct"/>
                <w:tcBorders>
                  <w:top w:val="single" w:color="auto" w:sz="4" w:space="0"/>
                  <w:left w:val="single" w:color="auto" w:sz="4" w:space="0"/>
                  <w:bottom w:val="single" w:color="auto" w:sz="4" w:space="0"/>
                  <w:right w:val="single" w:color="auto" w:sz="4" w:space="0"/>
                </w:tcBorders>
              </w:tcPr>
              <w:p w14:paraId="4F81C07F">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66BF54B0">
                <w:pPr>
                  <w:jc w:val="right"/>
                  <w:rPr>
                    <w:rFonts w:cs="Times New Roman"/>
                  </w:rPr>
                </w:pPr>
                <w:r>
                  <w:rPr>
                    <w:rFonts w:cs="Times New Roman"/>
                  </w:rPr>
                  <w:t>51,398.22</w:t>
                </w:r>
              </w:p>
            </w:tc>
            <w:tc>
              <w:tcPr>
                <w:tcW w:w="911" w:type="pct"/>
                <w:tcBorders>
                  <w:top w:val="single" w:color="auto" w:sz="4" w:space="0"/>
                  <w:left w:val="single" w:color="auto" w:sz="4" w:space="0"/>
                  <w:bottom w:val="single" w:color="auto" w:sz="4" w:space="0"/>
                  <w:right w:val="single" w:color="auto" w:sz="4" w:space="0"/>
                </w:tcBorders>
              </w:tcPr>
              <w:p w14:paraId="01056B44">
                <w:pPr>
                  <w:jc w:val="right"/>
                  <w:rPr>
                    <w:rFonts w:cs="Times New Roman"/>
                  </w:rPr>
                </w:pPr>
                <w:r>
                  <w:rPr>
                    <w:rFonts w:cs="Times New Roman"/>
                  </w:rPr>
                  <w:t>115,451.34</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45593711"/>
          <w:placeholder>
            <w:docPart w:val="{6c593e68-85c9-4f50-8d3d-b8d1bf426658}"/>
          </w:placeholder>
        </w:sdtPr>
        <w:sdtEndPr>
          <w:rPr>
            <w:rFonts w:cs="Times New Roman"/>
            <w:color w:val="000000" w:themeColor="text1"/>
            <w14:textFill>
              <w14:solidFill>
                <w14:schemeClr w14:val="tx1"/>
              </w14:solidFill>
            </w14:textFill>
          </w:rPr>
        </w:sdtEndPr>
        <w:sdtContent>
          <w:tr w14:paraId="6B85A3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7270DB23">
                <w:pPr>
                  <w:rPr>
                    <w:rFonts w:cs="Times New Roman"/>
                  </w:rPr>
                </w:pPr>
                <w:r>
                  <w:rPr>
                    <w:rFonts w:cs="Times New Roman"/>
                  </w:rPr>
                  <w:t>桃江新兴管件有限责任公司</w:t>
                </w:r>
              </w:p>
            </w:tc>
            <w:tc>
              <w:tcPr>
                <w:tcW w:w="766" w:type="pct"/>
                <w:tcBorders>
                  <w:top w:val="single" w:color="auto" w:sz="4" w:space="0"/>
                  <w:left w:val="single" w:color="auto" w:sz="4" w:space="0"/>
                  <w:bottom w:val="single" w:color="auto" w:sz="4" w:space="0"/>
                  <w:right w:val="single" w:color="auto" w:sz="4" w:space="0"/>
                </w:tcBorders>
              </w:tcPr>
              <w:p w14:paraId="79DC997B">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080B92A2">
                <w:pPr>
                  <w:jc w:val="right"/>
                  <w:rPr>
                    <w:rFonts w:cs="Times New Roman"/>
                  </w:rPr>
                </w:pPr>
                <w:r>
                  <w:rPr>
                    <w:rFonts w:cs="Times New Roman"/>
                  </w:rPr>
                  <w:t>48,769.96</w:t>
                </w:r>
              </w:p>
            </w:tc>
            <w:tc>
              <w:tcPr>
                <w:tcW w:w="911" w:type="pct"/>
                <w:tcBorders>
                  <w:top w:val="single" w:color="auto" w:sz="4" w:space="0"/>
                  <w:left w:val="single" w:color="auto" w:sz="4" w:space="0"/>
                  <w:bottom w:val="single" w:color="auto" w:sz="4" w:space="0"/>
                  <w:right w:val="single" w:color="auto" w:sz="4" w:space="0"/>
                </w:tcBorders>
              </w:tcPr>
              <w:p w14:paraId="6441A426">
                <w:pPr>
                  <w:jc w:val="right"/>
                  <w:rPr>
                    <w:rFonts w:cs="Times New Roman"/>
                  </w:rPr>
                </w:pPr>
                <w:r>
                  <w:rPr>
                    <w:rFonts w:cs="Times New Roman"/>
                  </w:rPr>
                  <w:t>79,821.94</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2045353148"/>
          <w:placeholder>
            <w:docPart w:val="{6c593e68-85c9-4f50-8d3d-b8d1bf426658}"/>
          </w:placeholder>
        </w:sdtPr>
        <w:sdtEndPr>
          <w:rPr>
            <w:rFonts w:cs="Times New Roman"/>
            <w:color w:val="000000" w:themeColor="text1"/>
            <w14:textFill>
              <w14:solidFill>
                <w14:schemeClr w14:val="tx1"/>
              </w14:solidFill>
            </w14:textFill>
          </w:rPr>
        </w:sdtEndPr>
        <w:sdtContent>
          <w:tr w14:paraId="3505BF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44D70CBD">
                <w:pPr>
                  <w:rPr>
                    <w:rFonts w:cs="Times New Roman"/>
                  </w:rPr>
                </w:pPr>
                <w:r>
                  <w:rPr>
                    <w:rFonts w:cs="Times New Roman"/>
                  </w:rPr>
                  <w:t>天津移山工程机械有限公司</w:t>
                </w:r>
              </w:p>
            </w:tc>
            <w:tc>
              <w:tcPr>
                <w:tcW w:w="766" w:type="pct"/>
                <w:tcBorders>
                  <w:top w:val="single" w:color="auto" w:sz="4" w:space="0"/>
                  <w:left w:val="single" w:color="auto" w:sz="4" w:space="0"/>
                  <w:bottom w:val="single" w:color="auto" w:sz="4" w:space="0"/>
                  <w:right w:val="single" w:color="auto" w:sz="4" w:space="0"/>
                </w:tcBorders>
              </w:tcPr>
              <w:p w14:paraId="0B5743D1">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51C36B9C">
                <w:pPr>
                  <w:jc w:val="right"/>
                  <w:rPr>
                    <w:rFonts w:cs="Times New Roman"/>
                  </w:rPr>
                </w:pPr>
                <w:r>
                  <w:rPr>
                    <w:rFonts w:cs="Times New Roman"/>
                  </w:rPr>
                  <w:t>43,362.83</w:t>
                </w:r>
              </w:p>
            </w:tc>
            <w:tc>
              <w:tcPr>
                <w:tcW w:w="911" w:type="pct"/>
                <w:tcBorders>
                  <w:top w:val="single" w:color="auto" w:sz="4" w:space="0"/>
                  <w:left w:val="single" w:color="auto" w:sz="4" w:space="0"/>
                  <w:bottom w:val="single" w:color="auto" w:sz="4" w:space="0"/>
                  <w:right w:val="single" w:color="auto" w:sz="4" w:space="0"/>
                </w:tcBorders>
              </w:tcPr>
              <w:p w14:paraId="25332A92">
                <w:pPr>
                  <w:jc w:val="right"/>
                  <w:rPr>
                    <w:rFonts w:cs="Times New Roman"/>
                  </w:rPr>
                </w:pP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866138108"/>
          <w:placeholder>
            <w:docPart w:val="{6c593e68-85c9-4f50-8d3d-b8d1bf426658}"/>
          </w:placeholder>
        </w:sdtPr>
        <w:sdtEndPr>
          <w:rPr>
            <w:rFonts w:cs="Times New Roman"/>
            <w:color w:val="000000" w:themeColor="text1"/>
            <w14:textFill>
              <w14:solidFill>
                <w14:schemeClr w14:val="tx1"/>
              </w14:solidFill>
            </w14:textFill>
          </w:rPr>
        </w:sdtEndPr>
        <w:sdtContent>
          <w:tr w14:paraId="12D849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377D2B60">
                <w:pPr>
                  <w:rPr>
                    <w:rFonts w:cs="Times New Roman"/>
                  </w:rPr>
                </w:pPr>
                <w:r>
                  <w:rPr>
                    <w:rFonts w:cs="Times New Roman"/>
                  </w:rPr>
                  <w:t>北京三兴汽车有限公司</w:t>
                </w:r>
              </w:p>
            </w:tc>
            <w:tc>
              <w:tcPr>
                <w:tcW w:w="766" w:type="pct"/>
                <w:tcBorders>
                  <w:top w:val="single" w:color="auto" w:sz="4" w:space="0"/>
                  <w:left w:val="single" w:color="auto" w:sz="4" w:space="0"/>
                  <w:bottom w:val="single" w:color="auto" w:sz="4" w:space="0"/>
                  <w:right w:val="single" w:color="auto" w:sz="4" w:space="0"/>
                </w:tcBorders>
              </w:tcPr>
              <w:p w14:paraId="1BB1EAD6">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09B192A2">
                <w:pPr>
                  <w:jc w:val="right"/>
                  <w:rPr>
                    <w:rFonts w:cs="Times New Roman"/>
                  </w:rPr>
                </w:pPr>
                <w:r>
                  <w:rPr>
                    <w:rFonts w:cs="Times New Roman"/>
                  </w:rPr>
                  <w:t>34,809.60</w:t>
                </w:r>
              </w:p>
            </w:tc>
            <w:tc>
              <w:tcPr>
                <w:tcW w:w="911" w:type="pct"/>
                <w:tcBorders>
                  <w:top w:val="single" w:color="auto" w:sz="4" w:space="0"/>
                  <w:left w:val="single" w:color="auto" w:sz="4" w:space="0"/>
                  <w:bottom w:val="single" w:color="auto" w:sz="4" w:space="0"/>
                  <w:right w:val="single" w:color="auto" w:sz="4" w:space="0"/>
                </w:tcBorders>
              </w:tcPr>
              <w:p w14:paraId="42E05223">
                <w:pPr>
                  <w:jc w:val="right"/>
                  <w:rPr>
                    <w:rFonts w:cs="Times New Roman"/>
                  </w:rPr>
                </w:pPr>
                <w:r>
                  <w:rPr>
                    <w:rFonts w:cs="Times New Roman"/>
                  </w:rPr>
                  <w:t>2,123.89</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184716334"/>
          <w:placeholder>
            <w:docPart w:val="{6c593e68-85c9-4f50-8d3d-b8d1bf426658}"/>
          </w:placeholder>
        </w:sdtPr>
        <w:sdtEndPr>
          <w:rPr>
            <w:rFonts w:cs="Times New Roman"/>
            <w:color w:val="000000" w:themeColor="text1"/>
            <w14:textFill>
              <w14:solidFill>
                <w14:schemeClr w14:val="tx1"/>
              </w14:solidFill>
            </w14:textFill>
          </w:rPr>
        </w:sdtEndPr>
        <w:sdtContent>
          <w:tr w14:paraId="3853F6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72E71297">
                <w:pPr>
                  <w:rPr>
                    <w:rFonts w:cs="Times New Roman"/>
                  </w:rPr>
                </w:pPr>
                <w:r>
                  <w:rPr>
                    <w:rFonts w:cs="Times New Roman"/>
                  </w:rPr>
                  <w:t>石家庄际华资产管理有限公司</w:t>
                </w:r>
              </w:p>
            </w:tc>
            <w:tc>
              <w:tcPr>
                <w:tcW w:w="766" w:type="pct"/>
                <w:tcBorders>
                  <w:top w:val="single" w:color="auto" w:sz="4" w:space="0"/>
                  <w:left w:val="single" w:color="auto" w:sz="4" w:space="0"/>
                  <w:bottom w:val="single" w:color="auto" w:sz="4" w:space="0"/>
                  <w:right w:val="single" w:color="auto" w:sz="4" w:space="0"/>
                </w:tcBorders>
              </w:tcPr>
              <w:p w14:paraId="04243E1D">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0851FEB0">
                <w:pPr>
                  <w:jc w:val="right"/>
                  <w:rPr>
                    <w:rFonts w:cs="Times New Roman"/>
                  </w:rPr>
                </w:pPr>
                <w:r>
                  <w:rPr>
                    <w:rFonts w:cs="Times New Roman"/>
                  </w:rPr>
                  <w:t>32,745.80</w:t>
                </w:r>
              </w:p>
            </w:tc>
            <w:tc>
              <w:tcPr>
                <w:tcW w:w="911" w:type="pct"/>
                <w:tcBorders>
                  <w:top w:val="single" w:color="auto" w:sz="4" w:space="0"/>
                  <w:left w:val="single" w:color="auto" w:sz="4" w:space="0"/>
                  <w:bottom w:val="single" w:color="auto" w:sz="4" w:space="0"/>
                  <w:right w:val="single" w:color="auto" w:sz="4" w:space="0"/>
                </w:tcBorders>
              </w:tcPr>
              <w:p w14:paraId="7739316B">
                <w:pPr>
                  <w:jc w:val="right"/>
                  <w:rPr>
                    <w:rFonts w:cs="Times New Roman"/>
                  </w:rPr>
                </w:pPr>
                <w:r>
                  <w:rPr>
                    <w:rFonts w:cs="Times New Roman"/>
                  </w:rPr>
                  <w:t>571,824.55</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821223464"/>
          <w:placeholder>
            <w:docPart w:val="{6c593e68-85c9-4f50-8d3d-b8d1bf426658}"/>
          </w:placeholder>
        </w:sdtPr>
        <w:sdtEndPr>
          <w:rPr>
            <w:rFonts w:cs="Times New Roman"/>
            <w:color w:val="000000" w:themeColor="text1"/>
            <w14:textFill>
              <w14:solidFill>
                <w14:schemeClr w14:val="tx1"/>
              </w14:solidFill>
            </w14:textFill>
          </w:rPr>
        </w:sdtEndPr>
        <w:sdtContent>
          <w:tr w14:paraId="740477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5D8C19C2">
                <w:pPr>
                  <w:rPr>
                    <w:rFonts w:cs="Times New Roman"/>
                  </w:rPr>
                </w:pPr>
                <w:r>
                  <w:rPr>
                    <w:rFonts w:cs="Times New Roman"/>
                  </w:rPr>
                  <w:t>新兴重工集团有限公司</w:t>
                </w:r>
              </w:p>
            </w:tc>
            <w:tc>
              <w:tcPr>
                <w:tcW w:w="766" w:type="pct"/>
                <w:tcBorders>
                  <w:top w:val="single" w:color="auto" w:sz="4" w:space="0"/>
                  <w:left w:val="single" w:color="auto" w:sz="4" w:space="0"/>
                  <w:bottom w:val="single" w:color="auto" w:sz="4" w:space="0"/>
                  <w:right w:val="single" w:color="auto" w:sz="4" w:space="0"/>
                </w:tcBorders>
              </w:tcPr>
              <w:p w14:paraId="76A014D7">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494ED262">
                <w:pPr>
                  <w:jc w:val="right"/>
                  <w:rPr>
                    <w:rFonts w:cs="Times New Roman"/>
                  </w:rPr>
                </w:pPr>
                <w:r>
                  <w:rPr>
                    <w:rFonts w:cs="Times New Roman"/>
                  </w:rPr>
                  <w:t>24,424.78</w:t>
                </w:r>
              </w:p>
            </w:tc>
            <w:tc>
              <w:tcPr>
                <w:tcW w:w="911" w:type="pct"/>
                <w:tcBorders>
                  <w:top w:val="single" w:color="auto" w:sz="4" w:space="0"/>
                  <w:left w:val="single" w:color="auto" w:sz="4" w:space="0"/>
                  <w:bottom w:val="single" w:color="auto" w:sz="4" w:space="0"/>
                  <w:right w:val="single" w:color="auto" w:sz="4" w:space="0"/>
                </w:tcBorders>
              </w:tcPr>
              <w:p w14:paraId="55B1860A">
                <w:pPr>
                  <w:jc w:val="right"/>
                  <w:rPr>
                    <w:rFonts w:cs="Times New Roman"/>
                  </w:rPr>
                </w:pP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482662161"/>
          <w:placeholder>
            <w:docPart w:val="{6c593e68-85c9-4f50-8d3d-b8d1bf426658}"/>
          </w:placeholder>
        </w:sdtPr>
        <w:sdtEndPr>
          <w:rPr>
            <w:rFonts w:cs="Times New Roman"/>
            <w:color w:val="000000" w:themeColor="text1"/>
            <w14:textFill>
              <w14:solidFill>
                <w14:schemeClr w14:val="tx1"/>
              </w14:solidFill>
            </w14:textFill>
          </w:rPr>
        </w:sdtEndPr>
        <w:sdtContent>
          <w:tr w14:paraId="191852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09AD567A">
                <w:pPr>
                  <w:rPr>
                    <w:rFonts w:cs="Times New Roman"/>
                  </w:rPr>
                </w:pPr>
                <w:r>
                  <w:rPr>
                    <w:rFonts w:cs="Times New Roman"/>
                  </w:rPr>
                  <w:t>新兴际华集团有限公司</w:t>
                </w:r>
              </w:p>
            </w:tc>
            <w:tc>
              <w:tcPr>
                <w:tcW w:w="766" w:type="pct"/>
                <w:tcBorders>
                  <w:top w:val="single" w:color="auto" w:sz="4" w:space="0"/>
                  <w:left w:val="single" w:color="auto" w:sz="4" w:space="0"/>
                  <w:bottom w:val="single" w:color="auto" w:sz="4" w:space="0"/>
                  <w:right w:val="single" w:color="auto" w:sz="4" w:space="0"/>
                </w:tcBorders>
              </w:tcPr>
              <w:p w14:paraId="0A748CE2">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2B332356">
                <w:pPr>
                  <w:jc w:val="right"/>
                  <w:rPr>
                    <w:rFonts w:cs="Times New Roman"/>
                  </w:rPr>
                </w:pPr>
                <w:r>
                  <w:rPr>
                    <w:rFonts w:cs="Times New Roman"/>
                  </w:rPr>
                  <w:t>23,309.72</w:t>
                </w:r>
              </w:p>
            </w:tc>
            <w:tc>
              <w:tcPr>
                <w:tcW w:w="911" w:type="pct"/>
                <w:tcBorders>
                  <w:top w:val="single" w:color="auto" w:sz="4" w:space="0"/>
                  <w:left w:val="single" w:color="auto" w:sz="4" w:space="0"/>
                  <w:bottom w:val="single" w:color="auto" w:sz="4" w:space="0"/>
                  <w:right w:val="single" w:color="auto" w:sz="4" w:space="0"/>
                </w:tcBorders>
              </w:tcPr>
              <w:p w14:paraId="636AEAC1">
                <w:pPr>
                  <w:jc w:val="right"/>
                  <w:rPr>
                    <w:rFonts w:cs="Times New Roman"/>
                  </w:rPr>
                </w:pPr>
                <w:r>
                  <w:rPr>
                    <w:rFonts w:cs="Times New Roman"/>
                  </w:rPr>
                  <w:t>17,823.02</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595367714"/>
          <w:placeholder>
            <w:docPart w:val="{6c593e68-85c9-4f50-8d3d-b8d1bf426658}"/>
          </w:placeholder>
        </w:sdtPr>
        <w:sdtEndPr>
          <w:rPr>
            <w:rFonts w:cs="Times New Roman"/>
            <w:color w:val="000000" w:themeColor="text1"/>
            <w14:textFill>
              <w14:solidFill>
                <w14:schemeClr w14:val="tx1"/>
              </w14:solidFill>
            </w14:textFill>
          </w:rPr>
        </w:sdtEndPr>
        <w:sdtContent>
          <w:tr w14:paraId="5A077E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1BB659A6">
                <w:pPr>
                  <w:rPr>
                    <w:rFonts w:cs="Times New Roman"/>
                  </w:rPr>
                </w:pPr>
                <w:r>
                  <w:rPr>
                    <w:rFonts w:cs="Times New Roman"/>
                  </w:rPr>
                  <w:t>湖北三六一一应急装备有限公司</w:t>
                </w:r>
              </w:p>
            </w:tc>
            <w:tc>
              <w:tcPr>
                <w:tcW w:w="766" w:type="pct"/>
                <w:tcBorders>
                  <w:top w:val="single" w:color="auto" w:sz="4" w:space="0"/>
                  <w:left w:val="single" w:color="auto" w:sz="4" w:space="0"/>
                  <w:bottom w:val="single" w:color="auto" w:sz="4" w:space="0"/>
                  <w:right w:val="single" w:color="auto" w:sz="4" w:space="0"/>
                </w:tcBorders>
              </w:tcPr>
              <w:p w14:paraId="65EBAA6E">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0E9BCD8D">
                <w:pPr>
                  <w:jc w:val="right"/>
                  <w:rPr>
                    <w:rFonts w:cs="Times New Roman"/>
                  </w:rPr>
                </w:pPr>
                <w:r>
                  <w:rPr>
                    <w:rFonts w:cs="Times New Roman"/>
                  </w:rPr>
                  <w:t>20,176.99</w:t>
                </w:r>
              </w:p>
            </w:tc>
            <w:tc>
              <w:tcPr>
                <w:tcW w:w="911" w:type="pct"/>
                <w:tcBorders>
                  <w:top w:val="single" w:color="auto" w:sz="4" w:space="0"/>
                  <w:left w:val="single" w:color="auto" w:sz="4" w:space="0"/>
                  <w:bottom w:val="single" w:color="auto" w:sz="4" w:space="0"/>
                  <w:right w:val="single" w:color="auto" w:sz="4" w:space="0"/>
                </w:tcBorders>
              </w:tcPr>
              <w:p w14:paraId="4A0C6417">
                <w:pPr>
                  <w:jc w:val="right"/>
                  <w:rPr>
                    <w:rFonts w:cs="Times New Roman"/>
                  </w:rPr>
                </w:pP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479887002"/>
          <w:placeholder>
            <w:docPart w:val="{6c593e68-85c9-4f50-8d3d-b8d1bf426658}"/>
          </w:placeholder>
        </w:sdtPr>
        <w:sdtEndPr>
          <w:rPr>
            <w:rFonts w:cs="Times New Roman"/>
            <w:color w:val="000000" w:themeColor="text1"/>
            <w14:textFill>
              <w14:solidFill>
                <w14:schemeClr w14:val="tx1"/>
              </w14:solidFill>
            </w14:textFill>
          </w:rPr>
        </w:sdtEndPr>
        <w:sdtContent>
          <w:tr w14:paraId="31190E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1EC15DB9">
                <w:pPr>
                  <w:rPr>
                    <w:rFonts w:cs="Times New Roman"/>
                  </w:rPr>
                </w:pPr>
                <w:r>
                  <w:rPr>
                    <w:rFonts w:cs="Times New Roman"/>
                  </w:rPr>
                  <w:t>新兴际华科技（天津）有限公司</w:t>
                </w:r>
              </w:p>
            </w:tc>
            <w:tc>
              <w:tcPr>
                <w:tcW w:w="766" w:type="pct"/>
                <w:tcBorders>
                  <w:top w:val="single" w:color="auto" w:sz="4" w:space="0"/>
                  <w:left w:val="single" w:color="auto" w:sz="4" w:space="0"/>
                  <w:bottom w:val="single" w:color="auto" w:sz="4" w:space="0"/>
                  <w:right w:val="single" w:color="auto" w:sz="4" w:space="0"/>
                </w:tcBorders>
              </w:tcPr>
              <w:p w14:paraId="3FF50764">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4A3DB570">
                <w:pPr>
                  <w:jc w:val="right"/>
                  <w:rPr>
                    <w:rFonts w:cs="Times New Roman"/>
                  </w:rPr>
                </w:pPr>
                <w:r>
                  <w:rPr>
                    <w:rFonts w:cs="Times New Roman"/>
                  </w:rPr>
                  <w:t>16,752.21</w:t>
                </w:r>
              </w:p>
            </w:tc>
            <w:tc>
              <w:tcPr>
                <w:tcW w:w="911" w:type="pct"/>
                <w:tcBorders>
                  <w:top w:val="single" w:color="auto" w:sz="4" w:space="0"/>
                  <w:left w:val="single" w:color="auto" w:sz="4" w:space="0"/>
                  <w:bottom w:val="single" w:color="auto" w:sz="4" w:space="0"/>
                  <w:right w:val="single" w:color="auto" w:sz="4" w:space="0"/>
                </w:tcBorders>
              </w:tcPr>
              <w:p w14:paraId="2B8B41BD">
                <w:pPr>
                  <w:jc w:val="right"/>
                  <w:rPr>
                    <w:rFonts w:cs="Times New Roman"/>
                  </w:rPr>
                </w:pPr>
                <w:r>
                  <w:rPr>
                    <w:rFonts w:cs="Times New Roman"/>
                  </w:rPr>
                  <w:t>8,849.56</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620840030"/>
          <w:placeholder>
            <w:docPart w:val="{6c593e68-85c9-4f50-8d3d-b8d1bf426658}"/>
          </w:placeholder>
        </w:sdtPr>
        <w:sdtEndPr>
          <w:rPr>
            <w:rFonts w:cs="Times New Roman"/>
            <w:color w:val="000000" w:themeColor="text1"/>
            <w14:textFill>
              <w14:solidFill>
                <w14:schemeClr w14:val="tx1"/>
              </w14:solidFill>
            </w14:textFill>
          </w:rPr>
        </w:sdtEndPr>
        <w:sdtContent>
          <w:tr w14:paraId="283469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50A52C24">
                <w:pPr>
                  <w:rPr>
                    <w:rFonts w:cs="Times New Roman"/>
                  </w:rPr>
                </w:pPr>
                <w:r>
                  <w:rPr>
                    <w:rFonts w:cs="Times New Roman"/>
                  </w:rPr>
                  <w:t>新兴际华（北京）应急救援科技有限公司</w:t>
                </w:r>
              </w:p>
            </w:tc>
            <w:tc>
              <w:tcPr>
                <w:tcW w:w="766" w:type="pct"/>
                <w:tcBorders>
                  <w:top w:val="single" w:color="auto" w:sz="4" w:space="0"/>
                  <w:left w:val="single" w:color="auto" w:sz="4" w:space="0"/>
                  <w:bottom w:val="single" w:color="auto" w:sz="4" w:space="0"/>
                  <w:right w:val="single" w:color="auto" w:sz="4" w:space="0"/>
                </w:tcBorders>
              </w:tcPr>
              <w:p w14:paraId="4AAC153D">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59789F76">
                <w:pPr>
                  <w:jc w:val="right"/>
                  <w:rPr>
                    <w:rFonts w:cs="Times New Roman"/>
                  </w:rPr>
                </w:pPr>
                <w:r>
                  <w:rPr>
                    <w:rFonts w:cs="Times New Roman"/>
                  </w:rPr>
                  <w:t>9,106.19</w:t>
                </w:r>
              </w:p>
            </w:tc>
            <w:tc>
              <w:tcPr>
                <w:tcW w:w="911" w:type="pct"/>
                <w:tcBorders>
                  <w:top w:val="single" w:color="auto" w:sz="4" w:space="0"/>
                  <w:left w:val="single" w:color="auto" w:sz="4" w:space="0"/>
                  <w:bottom w:val="single" w:color="auto" w:sz="4" w:space="0"/>
                  <w:right w:val="single" w:color="auto" w:sz="4" w:space="0"/>
                </w:tcBorders>
              </w:tcPr>
              <w:p w14:paraId="38F3CDFB">
                <w:pPr>
                  <w:jc w:val="right"/>
                  <w:rPr>
                    <w:rFonts w:cs="Times New Roman"/>
                  </w:rPr>
                </w:pPr>
                <w:r>
                  <w:rPr>
                    <w:rFonts w:cs="Times New Roman"/>
                  </w:rPr>
                  <w:t>1,702,622.16</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320772598"/>
          <w:placeholder>
            <w:docPart w:val="{6c593e68-85c9-4f50-8d3d-b8d1bf426658}"/>
          </w:placeholder>
        </w:sdtPr>
        <w:sdtEndPr>
          <w:rPr>
            <w:rFonts w:cs="Times New Roman"/>
            <w:color w:val="000000" w:themeColor="text1"/>
            <w14:textFill>
              <w14:solidFill>
                <w14:schemeClr w14:val="tx1"/>
              </w14:solidFill>
            </w14:textFill>
          </w:rPr>
        </w:sdtEndPr>
        <w:sdtContent>
          <w:tr w14:paraId="5F9D55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28F3B86D">
                <w:pPr>
                  <w:rPr>
                    <w:rFonts w:cs="Times New Roman"/>
                  </w:rPr>
                </w:pPr>
                <w:r>
                  <w:rPr>
                    <w:rFonts w:cs="Times New Roman"/>
                  </w:rPr>
                  <w:t>宜昌际华仙女服饰有限公司</w:t>
                </w:r>
              </w:p>
            </w:tc>
            <w:tc>
              <w:tcPr>
                <w:tcW w:w="766" w:type="pct"/>
                <w:tcBorders>
                  <w:top w:val="single" w:color="auto" w:sz="4" w:space="0"/>
                  <w:left w:val="single" w:color="auto" w:sz="4" w:space="0"/>
                  <w:bottom w:val="single" w:color="auto" w:sz="4" w:space="0"/>
                  <w:right w:val="single" w:color="auto" w:sz="4" w:space="0"/>
                </w:tcBorders>
              </w:tcPr>
              <w:p w14:paraId="25144A53">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0F621F12">
                <w:pPr>
                  <w:jc w:val="right"/>
                  <w:rPr>
                    <w:rFonts w:cs="Times New Roman"/>
                  </w:rPr>
                </w:pPr>
                <w:r>
                  <w:rPr>
                    <w:rFonts w:cs="Times New Roman"/>
                  </w:rPr>
                  <w:t>9,105.35</w:t>
                </w:r>
              </w:p>
            </w:tc>
            <w:tc>
              <w:tcPr>
                <w:tcW w:w="911" w:type="pct"/>
                <w:tcBorders>
                  <w:top w:val="single" w:color="auto" w:sz="4" w:space="0"/>
                  <w:left w:val="single" w:color="auto" w:sz="4" w:space="0"/>
                  <w:bottom w:val="single" w:color="auto" w:sz="4" w:space="0"/>
                  <w:right w:val="single" w:color="auto" w:sz="4" w:space="0"/>
                </w:tcBorders>
              </w:tcPr>
              <w:p w14:paraId="02B523C9">
                <w:pPr>
                  <w:jc w:val="right"/>
                  <w:rPr>
                    <w:rFonts w:cs="Times New Roman"/>
                  </w:rPr>
                </w:pP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787168856"/>
          <w:placeholder>
            <w:docPart w:val="{6c593e68-85c9-4f50-8d3d-b8d1bf426658}"/>
          </w:placeholder>
        </w:sdtPr>
        <w:sdtEndPr>
          <w:rPr>
            <w:rFonts w:cs="Times New Roman"/>
            <w:color w:val="000000" w:themeColor="text1"/>
            <w14:textFill>
              <w14:solidFill>
                <w14:schemeClr w14:val="tx1"/>
              </w14:solidFill>
            </w14:textFill>
          </w:rPr>
        </w:sdtEndPr>
        <w:sdtContent>
          <w:tr w14:paraId="7A7FF4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77ACF84D">
                <w:pPr>
                  <w:rPr>
                    <w:rFonts w:cs="Times New Roman"/>
                  </w:rPr>
                </w:pPr>
                <w:r>
                  <w:rPr>
                    <w:rFonts w:cs="Times New Roman"/>
                  </w:rPr>
                  <w:t>中新联进出口有限公司</w:t>
                </w:r>
              </w:p>
            </w:tc>
            <w:tc>
              <w:tcPr>
                <w:tcW w:w="766" w:type="pct"/>
                <w:tcBorders>
                  <w:top w:val="single" w:color="auto" w:sz="4" w:space="0"/>
                  <w:left w:val="single" w:color="auto" w:sz="4" w:space="0"/>
                  <w:bottom w:val="single" w:color="auto" w:sz="4" w:space="0"/>
                  <w:right w:val="single" w:color="auto" w:sz="4" w:space="0"/>
                </w:tcBorders>
              </w:tcPr>
              <w:p w14:paraId="23C2A409">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252816D4">
                <w:pPr>
                  <w:jc w:val="right"/>
                  <w:rPr>
                    <w:rFonts w:cs="Times New Roman"/>
                  </w:rPr>
                </w:pPr>
                <w:r>
                  <w:rPr>
                    <w:rFonts w:cs="Times New Roman"/>
                  </w:rPr>
                  <w:t>8,495.58</w:t>
                </w:r>
              </w:p>
            </w:tc>
            <w:tc>
              <w:tcPr>
                <w:tcW w:w="911" w:type="pct"/>
                <w:tcBorders>
                  <w:top w:val="single" w:color="auto" w:sz="4" w:space="0"/>
                  <w:left w:val="single" w:color="auto" w:sz="4" w:space="0"/>
                  <w:bottom w:val="single" w:color="auto" w:sz="4" w:space="0"/>
                  <w:right w:val="single" w:color="auto" w:sz="4" w:space="0"/>
                </w:tcBorders>
              </w:tcPr>
              <w:p w14:paraId="5708E11B">
                <w:pPr>
                  <w:jc w:val="right"/>
                  <w:rPr>
                    <w:rFonts w:cs="Times New Roman"/>
                  </w:rPr>
                </w:pP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312069907"/>
          <w:placeholder>
            <w:docPart w:val="{6c593e68-85c9-4f50-8d3d-b8d1bf426658}"/>
          </w:placeholder>
        </w:sdtPr>
        <w:sdtEndPr>
          <w:rPr>
            <w:rFonts w:cs="Times New Roman"/>
            <w:color w:val="000000" w:themeColor="text1"/>
            <w14:textFill>
              <w14:solidFill>
                <w14:schemeClr w14:val="tx1"/>
              </w14:solidFill>
            </w14:textFill>
          </w:rPr>
        </w:sdtEndPr>
        <w:sdtContent>
          <w:tr w14:paraId="60F0D1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3880B2F5">
                <w:pPr>
                  <w:rPr>
                    <w:rFonts w:cs="Times New Roman"/>
                  </w:rPr>
                </w:pPr>
                <w:r>
                  <w:rPr>
                    <w:rFonts w:cs="Times New Roman"/>
                  </w:rPr>
                  <w:t>武汉汉江资产运营有限公司</w:t>
                </w:r>
              </w:p>
            </w:tc>
            <w:tc>
              <w:tcPr>
                <w:tcW w:w="766" w:type="pct"/>
                <w:tcBorders>
                  <w:top w:val="single" w:color="auto" w:sz="4" w:space="0"/>
                  <w:left w:val="single" w:color="auto" w:sz="4" w:space="0"/>
                  <w:bottom w:val="single" w:color="auto" w:sz="4" w:space="0"/>
                  <w:right w:val="single" w:color="auto" w:sz="4" w:space="0"/>
                </w:tcBorders>
              </w:tcPr>
              <w:p w14:paraId="085778AC">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56F07E1C">
                <w:pPr>
                  <w:jc w:val="right"/>
                  <w:rPr>
                    <w:rFonts w:cs="Times New Roman"/>
                  </w:rPr>
                </w:pPr>
                <w:r>
                  <w:rPr>
                    <w:rFonts w:cs="Times New Roman"/>
                  </w:rPr>
                  <w:t>8,404.42</w:t>
                </w:r>
              </w:p>
            </w:tc>
            <w:tc>
              <w:tcPr>
                <w:tcW w:w="911" w:type="pct"/>
                <w:tcBorders>
                  <w:top w:val="single" w:color="auto" w:sz="4" w:space="0"/>
                  <w:left w:val="single" w:color="auto" w:sz="4" w:space="0"/>
                  <w:bottom w:val="single" w:color="auto" w:sz="4" w:space="0"/>
                  <w:right w:val="single" w:color="auto" w:sz="4" w:space="0"/>
                </w:tcBorders>
              </w:tcPr>
              <w:p w14:paraId="19486D5E">
                <w:pPr>
                  <w:jc w:val="right"/>
                  <w:rPr>
                    <w:rFonts w:cs="Times New Roman"/>
                  </w:rPr>
                </w:pP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739123172"/>
          <w:placeholder>
            <w:docPart w:val="{6c593e68-85c9-4f50-8d3d-b8d1bf426658}"/>
          </w:placeholder>
        </w:sdtPr>
        <w:sdtEndPr>
          <w:rPr>
            <w:rFonts w:cs="Times New Roman"/>
            <w:color w:val="000000" w:themeColor="text1"/>
            <w14:textFill>
              <w14:solidFill>
                <w14:schemeClr w14:val="tx1"/>
              </w14:solidFill>
            </w14:textFill>
          </w:rPr>
        </w:sdtEndPr>
        <w:sdtContent>
          <w:tr w14:paraId="3B6870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69209F1D">
                <w:pPr>
                  <w:rPr>
                    <w:rFonts w:cs="Times New Roman"/>
                  </w:rPr>
                </w:pPr>
                <w:r>
                  <w:rPr>
                    <w:rFonts w:cs="Times New Roman"/>
                  </w:rPr>
                  <w:t>新兴际华投资有限公司</w:t>
                </w:r>
              </w:p>
            </w:tc>
            <w:tc>
              <w:tcPr>
                <w:tcW w:w="766" w:type="pct"/>
                <w:tcBorders>
                  <w:top w:val="single" w:color="auto" w:sz="4" w:space="0"/>
                  <w:left w:val="single" w:color="auto" w:sz="4" w:space="0"/>
                  <w:bottom w:val="single" w:color="auto" w:sz="4" w:space="0"/>
                  <w:right w:val="single" w:color="auto" w:sz="4" w:space="0"/>
                </w:tcBorders>
              </w:tcPr>
              <w:p w14:paraId="5842C9F4">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0B78DBDB">
                <w:pPr>
                  <w:jc w:val="right"/>
                  <w:rPr>
                    <w:rFonts w:cs="Times New Roman"/>
                  </w:rPr>
                </w:pPr>
                <w:r>
                  <w:rPr>
                    <w:rFonts w:cs="Times New Roman"/>
                  </w:rPr>
                  <w:t>7,557.54</w:t>
                </w:r>
              </w:p>
            </w:tc>
            <w:tc>
              <w:tcPr>
                <w:tcW w:w="911" w:type="pct"/>
                <w:tcBorders>
                  <w:top w:val="single" w:color="auto" w:sz="4" w:space="0"/>
                  <w:left w:val="single" w:color="auto" w:sz="4" w:space="0"/>
                  <w:bottom w:val="single" w:color="auto" w:sz="4" w:space="0"/>
                  <w:right w:val="single" w:color="auto" w:sz="4" w:space="0"/>
                </w:tcBorders>
              </w:tcPr>
              <w:p w14:paraId="21299E08">
                <w:pPr>
                  <w:jc w:val="right"/>
                  <w:rPr>
                    <w:rFonts w:cs="Times New Roman"/>
                  </w:rPr>
                </w:pPr>
                <w:r>
                  <w:rPr>
                    <w:rFonts w:cs="Times New Roman"/>
                  </w:rPr>
                  <w:t>255,734.55</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973412746"/>
          <w:placeholder>
            <w:docPart w:val="{6c593e68-85c9-4f50-8d3d-b8d1bf426658}"/>
          </w:placeholder>
        </w:sdtPr>
        <w:sdtEndPr>
          <w:rPr>
            <w:rFonts w:cs="Times New Roman"/>
            <w:color w:val="000000" w:themeColor="text1"/>
            <w14:textFill>
              <w14:solidFill>
                <w14:schemeClr w14:val="tx1"/>
              </w14:solidFill>
            </w14:textFill>
          </w:rPr>
        </w:sdtEndPr>
        <w:sdtContent>
          <w:tr w14:paraId="0AE403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635F5E6D">
                <w:pPr>
                  <w:rPr>
                    <w:rFonts w:cs="Times New Roman"/>
                  </w:rPr>
                </w:pPr>
                <w:r>
                  <w:rPr>
                    <w:rFonts w:cs="Times New Roman"/>
                  </w:rPr>
                  <w:t>广东新兴发展供应链管理有限公司</w:t>
                </w:r>
              </w:p>
            </w:tc>
            <w:tc>
              <w:tcPr>
                <w:tcW w:w="766" w:type="pct"/>
                <w:tcBorders>
                  <w:top w:val="single" w:color="auto" w:sz="4" w:space="0"/>
                  <w:left w:val="single" w:color="auto" w:sz="4" w:space="0"/>
                  <w:bottom w:val="single" w:color="auto" w:sz="4" w:space="0"/>
                  <w:right w:val="single" w:color="auto" w:sz="4" w:space="0"/>
                </w:tcBorders>
              </w:tcPr>
              <w:p w14:paraId="52E30ABE">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7263481E">
                <w:pPr>
                  <w:jc w:val="right"/>
                  <w:rPr>
                    <w:rFonts w:cs="Times New Roman"/>
                  </w:rPr>
                </w:pPr>
                <w:r>
                  <w:rPr>
                    <w:rFonts w:cs="Times New Roman"/>
                  </w:rPr>
                  <w:t>5,148.52</w:t>
                </w:r>
              </w:p>
            </w:tc>
            <w:tc>
              <w:tcPr>
                <w:tcW w:w="911" w:type="pct"/>
                <w:tcBorders>
                  <w:top w:val="single" w:color="auto" w:sz="4" w:space="0"/>
                  <w:left w:val="single" w:color="auto" w:sz="4" w:space="0"/>
                  <w:bottom w:val="single" w:color="auto" w:sz="4" w:space="0"/>
                  <w:right w:val="single" w:color="auto" w:sz="4" w:space="0"/>
                </w:tcBorders>
              </w:tcPr>
              <w:p w14:paraId="1ED88849">
                <w:pPr>
                  <w:jc w:val="right"/>
                  <w:rPr>
                    <w:rFonts w:cs="Times New Roman"/>
                  </w:rPr>
                </w:pP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552817296"/>
          <w:placeholder>
            <w:docPart w:val="{6c593e68-85c9-4f50-8d3d-b8d1bf426658}"/>
          </w:placeholder>
        </w:sdtPr>
        <w:sdtEndPr>
          <w:rPr>
            <w:rFonts w:cs="Times New Roman"/>
            <w:color w:val="000000" w:themeColor="text1"/>
            <w14:textFill>
              <w14:solidFill>
                <w14:schemeClr w14:val="tx1"/>
              </w14:solidFill>
            </w14:textFill>
          </w:rPr>
        </w:sdtEndPr>
        <w:sdtContent>
          <w:tr w14:paraId="05564D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357E33E5">
                <w:pPr>
                  <w:rPr>
                    <w:rFonts w:cs="Times New Roman"/>
                  </w:rPr>
                </w:pPr>
                <w:r>
                  <w:rPr>
                    <w:rFonts w:cs="Times New Roman"/>
                  </w:rPr>
                  <w:t>新兴际华集团财务有限公司</w:t>
                </w:r>
              </w:p>
            </w:tc>
            <w:tc>
              <w:tcPr>
                <w:tcW w:w="766" w:type="pct"/>
                <w:tcBorders>
                  <w:top w:val="single" w:color="auto" w:sz="4" w:space="0"/>
                  <w:left w:val="single" w:color="auto" w:sz="4" w:space="0"/>
                  <w:bottom w:val="single" w:color="auto" w:sz="4" w:space="0"/>
                  <w:right w:val="single" w:color="auto" w:sz="4" w:space="0"/>
                </w:tcBorders>
              </w:tcPr>
              <w:p w14:paraId="65556006">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367D8F15">
                <w:pPr>
                  <w:jc w:val="right"/>
                  <w:rPr>
                    <w:rFonts w:cs="Times New Roman"/>
                  </w:rPr>
                </w:pPr>
                <w:r>
                  <w:rPr>
                    <w:rFonts w:cs="Times New Roman"/>
                  </w:rPr>
                  <w:t>4,233.63</w:t>
                </w:r>
              </w:p>
            </w:tc>
            <w:tc>
              <w:tcPr>
                <w:tcW w:w="911" w:type="pct"/>
                <w:tcBorders>
                  <w:top w:val="single" w:color="auto" w:sz="4" w:space="0"/>
                  <w:left w:val="single" w:color="auto" w:sz="4" w:space="0"/>
                  <w:bottom w:val="single" w:color="auto" w:sz="4" w:space="0"/>
                  <w:right w:val="single" w:color="auto" w:sz="4" w:space="0"/>
                </w:tcBorders>
              </w:tcPr>
              <w:p w14:paraId="3499890B">
                <w:pPr>
                  <w:jc w:val="right"/>
                  <w:rPr>
                    <w:rFonts w:cs="Times New Roman"/>
                  </w:rPr>
                </w:pP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506894026"/>
          <w:placeholder>
            <w:docPart w:val="{6c593e68-85c9-4f50-8d3d-b8d1bf426658}"/>
          </w:placeholder>
        </w:sdtPr>
        <w:sdtEndPr>
          <w:rPr>
            <w:rFonts w:cs="Times New Roman"/>
            <w:color w:val="000000" w:themeColor="text1"/>
            <w14:textFill>
              <w14:solidFill>
                <w14:schemeClr w14:val="tx1"/>
              </w14:solidFill>
            </w14:textFill>
          </w:rPr>
        </w:sdtEndPr>
        <w:sdtContent>
          <w:tr w14:paraId="3F0245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68B29817">
                <w:pPr>
                  <w:rPr>
                    <w:rFonts w:cs="Times New Roman"/>
                  </w:rPr>
                </w:pPr>
                <w:r>
                  <w:rPr>
                    <w:rFonts w:cs="Times New Roman"/>
                  </w:rPr>
                  <w:t>新兴铸管（上海）金属资源有限公司</w:t>
                </w:r>
              </w:p>
            </w:tc>
            <w:tc>
              <w:tcPr>
                <w:tcW w:w="766" w:type="pct"/>
                <w:tcBorders>
                  <w:top w:val="single" w:color="auto" w:sz="4" w:space="0"/>
                  <w:left w:val="single" w:color="auto" w:sz="4" w:space="0"/>
                  <w:bottom w:val="single" w:color="auto" w:sz="4" w:space="0"/>
                  <w:right w:val="single" w:color="auto" w:sz="4" w:space="0"/>
                </w:tcBorders>
              </w:tcPr>
              <w:p w14:paraId="53FE283E">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11E0A6CD">
                <w:pPr>
                  <w:jc w:val="right"/>
                  <w:rPr>
                    <w:rFonts w:cs="Times New Roman"/>
                  </w:rPr>
                </w:pPr>
                <w:r>
                  <w:rPr>
                    <w:rFonts w:cs="Times New Roman"/>
                  </w:rPr>
                  <w:t>2,627.01</w:t>
                </w:r>
              </w:p>
            </w:tc>
            <w:tc>
              <w:tcPr>
                <w:tcW w:w="911" w:type="pct"/>
                <w:tcBorders>
                  <w:top w:val="single" w:color="auto" w:sz="4" w:space="0"/>
                  <w:left w:val="single" w:color="auto" w:sz="4" w:space="0"/>
                  <w:bottom w:val="single" w:color="auto" w:sz="4" w:space="0"/>
                  <w:right w:val="single" w:color="auto" w:sz="4" w:space="0"/>
                </w:tcBorders>
              </w:tcPr>
              <w:p w14:paraId="083D6DD7">
                <w:pPr>
                  <w:jc w:val="right"/>
                  <w:rPr>
                    <w:rFonts w:cs="Times New Roman"/>
                  </w:rPr>
                </w:pP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731976816"/>
          <w:placeholder>
            <w:docPart w:val="{6c593e68-85c9-4f50-8d3d-b8d1bf426658}"/>
          </w:placeholder>
        </w:sdtPr>
        <w:sdtEndPr>
          <w:rPr>
            <w:rFonts w:cs="Times New Roman"/>
            <w:color w:val="000000" w:themeColor="text1"/>
            <w14:textFill>
              <w14:solidFill>
                <w14:schemeClr w14:val="tx1"/>
              </w14:solidFill>
            </w14:textFill>
          </w:rPr>
        </w:sdtEndPr>
        <w:sdtContent>
          <w:tr w14:paraId="5E87EE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25200961">
                <w:pPr>
                  <w:rPr>
                    <w:rFonts w:cs="Times New Roman"/>
                  </w:rPr>
                </w:pPr>
                <w:r>
                  <w:rPr>
                    <w:rFonts w:cs="Times New Roman"/>
                  </w:rPr>
                  <w:t>上海际华物流有限公司</w:t>
                </w:r>
              </w:p>
            </w:tc>
            <w:tc>
              <w:tcPr>
                <w:tcW w:w="766" w:type="pct"/>
                <w:tcBorders>
                  <w:top w:val="single" w:color="auto" w:sz="4" w:space="0"/>
                  <w:left w:val="single" w:color="auto" w:sz="4" w:space="0"/>
                  <w:bottom w:val="single" w:color="auto" w:sz="4" w:space="0"/>
                  <w:right w:val="single" w:color="auto" w:sz="4" w:space="0"/>
                </w:tcBorders>
              </w:tcPr>
              <w:p w14:paraId="373C85F9">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7A4A76A4">
                <w:pPr>
                  <w:jc w:val="right"/>
                  <w:rPr>
                    <w:rFonts w:cs="Times New Roman"/>
                  </w:rPr>
                </w:pPr>
                <w:r>
                  <w:rPr>
                    <w:rFonts w:cs="Times New Roman"/>
                  </w:rPr>
                  <w:t>2,024.79</w:t>
                </w:r>
              </w:p>
            </w:tc>
            <w:tc>
              <w:tcPr>
                <w:tcW w:w="911" w:type="pct"/>
                <w:tcBorders>
                  <w:top w:val="single" w:color="auto" w:sz="4" w:space="0"/>
                  <w:left w:val="single" w:color="auto" w:sz="4" w:space="0"/>
                  <w:bottom w:val="single" w:color="auto" w:sz="4" w:space="0"/>
                  <w:right w:val="single" w:color="auto" w:sz="4" w:space="0"/>
                </w:tcBorders>
              </w:tcPr>
              <w:p w14:paraId="6FC252AA">
                <w:pPr>
                  <w:jc w:val="right"/>
                  <w:rPr>
                    <w:rFonts w:cs="Times New Roman"/>
                  </w:rPr>
                </w:pPr>
                <w:r>
                  <w:rPr>
                    <w:rFonts w:cs="Times New Roman"/>
                  </w:rPr>
                  <w:t>20,369.06</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574935764"/>
          <w:placeholder>
            <w:docPart w:val="{6c593e68-85c9-4f50-8d3d-b8d1bf426658}"/>
          </w:placeholder>
        </w:sdtPr>
        <w:sdtEndPr>
          <w:rPr>
            <w:rFonts w:cs="Times New Roman"/>
            <w:color w:val="000000" w:themeColor="text1"/>
            <w14:textFill>
              <w14:solidFill>
                <w14:schemeClr w14:val="tx1"/>
              </w14:solidFill>
            </w14:textFill>
          </w:rPr>
        </w:sdtEndPr>
        <w:sdtContent>
          <w:tr w14:paraId="686D2A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77103BB8">
                <w:pPr>
                  <w:rPr>
                    <w:rFonts w:cs="Times New Roman"/>
                  </w:rPr>
                </w:pPr>
                <w:r>
                  <w:rPr>
                    <w:rFonts w:cs="Times New Roman"/>
                  </w:rPr>
                  <w:t>新兴河北工程技术有限公司</w:t>
                </w:r>
              </w:p>
            </w:tc>
            <w:tc>
              <w:tcPr>
                <w:tcW w:w="766" w:type="pct"/>
                <w:tcBorders>
                  <w:top w:val="single" w:color="auto" w:sz="4" w:space="0"/>
                  <w:left w:val="single" w:color="auto" w:sz="4" w:space="0"/>
                  <w:bottom w:val="single" w:color="auto" w:sz="4" w:space="0"/>
                  <w:right w:val="single" w:color="auto" w:sz="4" w:space="0"/>
                </w:tcBorders>
              </w:tcPr>
              <w:p w14:paraId="1906FFBD">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274639BC">
                <w:pPr>
                  <w:jc w:val="right"/>
                  <w:rPr>
                    <w:rFonts w:cs="Times New Roman"/>
                  </w:rPr>
                </w:pPr>
                <w:r>
                  <w:rPr>
                    <w:rFonts w:cs="Times New Roman"/>
                  </w:rPr>
                  <w:t>984.96</w:t>
                </w:r>
              </w:p>
            </w:tc>
            <w:tc>
              <w:tcPr>
                <w:tcW w:w="911" w:type="pct"/>
                <w:tcBorders>
                  <w:top w:val="single" w:color="auto" w:sz="4" w:space="0"/>
                  <w:left w:val="single" w:color="auto" w:sz="4" w:space="0"/>
                  <w:bottom w:val="single" w:color="auto" w:sz="4" w:space="0"/>
                  <w:right w:val="single" w:color="auto" w:sz="4" w:space="0"/>
                </w:tcBorders>
              </w:tcPr>
              <w:p w14:paraId="5F27FCE1">
                <w:pPr>
                  <w:jc w:val="right"/>
                  <w:rPr>
                    <w:rFonts w:cs="Times New Roman"/>
                  </w:rPr>
                </w:pP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610586622"/>
          <w:placeholder>
            <w:docPart w:val="{6c593e68-85c9-4f50-8d3d-b8d1bf426658}"/>
          </w:placeholder>
        </w:sdtPr>
        <w:sdtEndPr>
          <w:rPr>
            <w:rFonts w:cs="Times New Roman"/>
            <w:color w:val="000000" w:themeColor="text1"/>
            <w14:textFill>
              <w14:solidFill>
                <w14:schemeClr w14:val="tx1"/>
              </w14:solidFill>
            </w14:textFill>
          </w:rPr>
        </w:sdtEndPr>
        <w:sdtContent>
          <w:tr w14:paraId="38174D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06D7E434">
                <w:pPr>
                  <w:rPr>
                    <w:rFonts w:cs="Times New Roman"/>
                  </w:rPr>
                </w:pPr>
                <w:r>
                  <w:rPr>
                    <w:rFonts w:cs="Times New Roman"/>
                  </w:rPr>
                  <w:t>新兴际华（上海）工程科技研究院有限公司</w:t>
                </w:r>
              </w:p>
            </w:tc>
            <w:tc>
              <w:tcPr>
                <w:tcW w:w="766" w:type="pct"/>
                <w:tcBorders>
                  <w:top w:val="single" w:color="auto" w:sz="4" w:space="0"/>
                  <w:left w:val="single" w:color="auto" w:sz="4" w:space="0"/>
                  <w:bottom w:val="single" w:color="auto" w:sz="4" w:space="0"/>
                  <w:right w:val="single" w:color="auto" w:sz="4" w:space="0"/>
                </w:tcBorders>
              </w:tcPr>
              <w:p w14:paraId="4BAD939B">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5BDBE151">
                <w:pPr>
                  <w:jc w:val="right"/>
                  <w:rPr>
                    <w:rFonts w:cs="Times New Roman"/>
                  </w:rPr>
                </w:pPr>
                <w:r>
                  <w:rPr>
                    <w:rFonts w:cs="Times New Roman"/>
                  </w:rPr>
                  <w:t>894.69</w:t>
                </w:r>
              </w:p>
            </w:tc>
            <w:tc>
              <w:tcPr>
                <w:tcW w:w="911" w:type="pct"/>
                <w:tcBorders>
                  <w:top w:val="single" w:color="auto" w:sz="4" w:space="0"/>
                  <w:left w:val="single" w:color="auto" w:sz="4" w:space="0"/>
                  <w:bottom w:val="single" w:color="auto" w:sz="4" w:space="0"/>
                  <w:right w:val="single" w:color="auto" w:sz="4" w:space="0"/>
                </w:tcBorders>
              </w:tcPr>
              <w:p w14:paraId="6EADB752">
                <w:pPr>
                  <w:jc w:val="right"/>
                  <w:rPr>
                    <w:rFonts w:cs="Times New Roman"/>
                  </w:rPr>
                </w:pPr>
                <w:r>
                  <w:rPr>
                    <w:rFonts w:cs="Times New Roman"/>
                  </w:rPr>
                  <w:t>3,539.82</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480589906"/>
          <w:placeholder>
            <w:docPart w:val="{6c593e68-85c9-4f50-8d3d-b8d1bf426658}"/>
          </w:placeholder>
        </w:sdtPr>
        <w:sdtEndPr>
          <w:rPr>
            <w:rFonts w:cs="Times New Roman"/>
            <w:color w:val="000000" w:themeColor="text1"/>
            <w14:textFill>
              <w14:solidFill>
                <w14:schemeClr w14:val="tx1"/>
              </w14:solidFill>
            </w14:textFill>
          </w:rPr>
        </w:sdtEndPr>
        <w:sdtContent>
          <w:tr w14:paraId="33AF01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2A9E506C">
                <w:pPr>
                  <w:rPr>
                    <w:rFonts w:cs="Times New Roman"/>
                  </w:rPr>
                </w:pPr>
                <w:r>
                  <w:rPr>
                    <w:rFonts w:cs="Times New Roman"/>
                  </w:rPr>
                  <w:t>北京呼家楼宾馆有限公司</w:t>
                </w:r>
              </w:p>
            </w:tc>
            <w:tc>
              <w:tcPr>
                <w:tcW w:w="766" w:type="pct"/>
                <w:tcBorders>
                  <w:top w:val="single" w:color="auto" w:sz="4" w:space="0"/>
                  <w:left w:val="single" w:color="auto" w:sz="4" w:space="0"/>
                  <w:bottom w:val="single" w:color="auto" w:sz="4" w:space="0"/>
                  <w:right w:val="single" w:color="auto" w:sz="4" w:space="0"/>
                </w:tcBorders>
              </w:tcPr>
              <w:p w14:paraId="723F3312">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4CB585D1">
                <w:pPr>
                  <w:jc w:val="right"/>
                  <w:rPr>
                    <w:rFonts w:cs="Times New Roman"/>
                  </w:rPr>
                </w:pPr>
                <w:r>
                  <w:rPr>
                    <w:rFonts w:cs="Times New Roman"/>
                  </w:rPr>
                  <w:t>530.97</w:t>
                </w:r>
              </w:p>
            </w:tc>
            <w:tc>
              <w:tcPr>
                <w:tcW w:w="911" w:type="pct"/>
                <w:tcBorders>
                  <w:top w:val="single" w:color="auto" w:sz="4" w:space="0"/>
                  <w:left w:val="single" w:color="auto" w:sz="4" w:space="0"/>
                  <w:bottom w:val="single" w:color="auto" w:sz="4" w:space="0"/>
                  <w:right w:val="single" w:color="auto" w:sz="4" w:space="0"/>
                </w:tcBorders>
              </w:tcPr>
              <w:p w14:paraId="4F53F31D">
                <w:pPr>
                  <w:jc w:val="right"/>
                  <w:rPr>
                    <w:rFonts w:cs="Times New Roman"/>
                  </w:rPr>
                </w:pP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239413809"/>
          <w:placeholder>
            <w:docPart w:val="{6c593e68-85c9-4f50-8d3d-b8d1bf426658}"/>
          </w:placeholder>
        </w:sdtPr>
        <w:sdtEndPr>
          <w:rPr>
            <w:rFonts w:cs="Times New Roman"/>
            <w:color w:val="000000" w:themeColor="text1"/>
            <w14:textFill>
              <w14:solidFill>
                <w14:schemeClr w14:val="tx1"/>
              </w14:solidFill>
            </w14:textFill>
          </w:rPr>
        </w:sdtEndPr>
        <w:sdtContent>
          <w:tr w14:paraId="0D7E02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1836078B">
                <w:pPr>
                  <w:rPr>
                    <w:rFonts w:cs="Times New Roman"/>
                  </w:rPr>
                </w:pPr>
                <w:r>
                  <w:rPr>
                    <w:rFonts w:cs="Times New Roman"/>
                  </w:rPr>
                  <w:t>芜湖新兴铸管有限责任公司</w:t>
                </w:r>
              </w:p>
            </w:tc>
            <w:tc>
              <w:tcPr>
                <w:tcW w:w="766" w:type="pct"/>
                <w:tcBorders>
                  <w:top w:val="single" w:color="auto" w:sz="4" w:space="0"/>
                  <w:left w:val="single" w:color="auto" w:sz="4" w:space="0"/>
                  <w:bottom w:val="single" w:color="auto" w:sz="4" w:space="0"/>
                  <w:right w:val="single" w:color="auto" w:sz="4" w:space="0"/>
                </w:tcBorders>
              </w:tcPr>
              <w:p w14:paraId="3D7D36EC">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668CF068">
                <w:pPr>
                  <w:jc w:val="right"/>
                  <w:rPr>
                    <w:rFonts w:cs="Times New Roman"/>
                  </w:rPr>
                </w:pPr>
              </w:p>
            </w:tc>
            <w:tc>
              <w:tcPr>
                <w:tcW w:w="911" w:type="pct"/>
                <w:tcBorders>
                  <w:top w:val="single" w:color="auto" w:sz="4" w:space="0"/>
                  <w:left w:val="single" w:color="auto" w:sz="4" w:space="0"/>
                  <w:bottom w:val="single" w:color="auto" w:sz="4" w:space="0"/>
                  <w:right w:val="single" w:color="auto" w:sz="4" w:space="0"/>
                </w:tcBorders>
              </w:tcPr>
              <w:p w14:paraId="51980172">
                <w:pPr>
                  <w:jc w:val="right"/>
                  <w:rPr>
                    <w:rFonts w:cs="Times New Roman"/>
                  </w:rPr>
                </w:pPr>
                <w:r>
                  <w:rPr>
                    <w:rFonts w:cs="Times New Roman"/>
                  </w:rPr>
                  <w:t>361,035.40</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905605580"/>
          <w:placeholder>
            <w:docPart w:val="{6c593e68-85c9-4f50-8d3d-b8d1bf426658}"/>
          </w:placeholder>
        </w:sdtPr>
        <w:sdtEndPr>
          <w:rPr>
            <w:rFonts w:cs="Times New Roman"/>
            <w:color w:val="000000" w:themeColor="text1"/>
            <w14:textFill>
              <w14:solidFill>
                <w14:schemeClr w14:val="tx1"/>
              </w14:solidFill>
            </w14:textFill>
          </w:rPr>
        </w:sdtEndPr>
        <w:sdtContent>
          <w:tr w14:paraId="570442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571A4AD7">
                <w:pPr>
                  <w:rPr>
                    <w:rFonts w:cs="Times New Roman"/>
                  </w:rPr>
                </w:pPr>
                <w:r>
                  <w:rPr>
                    <w:rFonts w:cs="Times New Roman"/>
                  </w:rPr>
                  <w:t>际华五三零三服装有限公司</w:t>
                </w:r>
              </w:p>
            </w:tc>
            <w:tc>
              <w:tcPr>
                <w:tcW w:w="766" w:type="pct"/>
                <w:tcBorders>
                  <w:top w:val="single" w:color="auto" w:sz="4" w:space="0"/>
                  <w:left w:val="single" w:color="auto" w:sz="4" w:space="0"/>
                  <w:bottom w:val="single" w:color="auto" w:sz="4" w:space="0"/>
                  <w:right w:val="single" w:color="auto" w:sz="4" w:space="0"/>
                </w:tcBorders>
              </w:tcPr>
              <w:p w14:paraId="69E684DD">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02518DBF">
                <w:pPr>
                  <w:jc w:val="right"/>
                  <w:rPr>
                    <w:rFonts w:cs="Times New Roman"/>
                  </w:rPr>
                </w:pPr>
              </w:p>
            </w:tc>
            <w:tc>
              <w:tcPr>
                <w:tcW w:w="911" w:type="pct"/>
                <w:tcBorders>
                  <w:top w:val="single" w:color="auto" w:sz="4" w:space="0"/>
                  <w:left w:val="single" w:color="auto" w:sz="4" w:space="0"/>
                  <w:bottom w:val="single" w:color="auto" w:sz="4" w:space="0"/>
                  <w:right w:val="single" w:color="auto" w:sz="4" w:space="0"/>
                </w:tcBorders>
              </w:tcPr>
              <w:p w14:paraId="55926C57">
                <w:pPr>
                  <w:jc w:val="right"/>
                  <w:rPr>
                    <w:rFonts w:cs="Times New Roman"/>
                  </w:rPr>
                </w:pPr>
                <w:r>
                  <w:rPr>
                    <w:rFonts w:cs="Times New Roman"/>
                  </w:rPr>
                  <w:t>238,745.12</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288889814"/>
          <w:placeholder>
            <w:docPart w:val="{6c593e68-85c9-4f50-8d3d-b8d1bf426658}"/>
          </w:placeholder>
        </w:sdtPr>
        <w:sdtEndPr>
          <w:rPr>
            <w:rFonts w:cs="Times New Roman"/>
            <w:color w:val="000000" w:themeColor="text1"/>
            <w14:textFill>
              <w14:solidFill>
                <w14:schemeClr w14:val="tx1"/>
              </w14:solidFill>
            </w14:textFill>
          </w:rPr>
        </w:sdtEndPr>
        <w:sdtContent>
          <w:tr w14:paraId="369088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7C8CAF0C">
                <w:pPr>
                  <w:rPr>
                    <w:rFonts w:cs="Times New Roman"/>
                  </w:rPr>
                </w:pPr>
                <w:r>
                  <w:rPr>
                    <w:rFonts w:cs="Times New Roman"/>
                  </w:rPr>
                  <w:t>黄石新兴管业有限公司</w:t>
                </w:r>
              </w:p>
            </w:tc>
            <w:tc>
              <w:tcPr>
                <w:tcW w:w="766" w:type="pct"/>
                <w:tcBorders>
                  <w:top w:val="single" w:color="auto" w:sz="4" w:space="0"/>
                  <w:left w:val="single" w:color="auto" w:sz="4" w:space="0"/>
                  <w:bottom w:val="single" w:color="auto" w:sz="4" w:space="0"/>
                  <w:right w:val="single" w:color="auto" w:sz="4" w:space="0"/>
                </w:tcBorders>
              </w:tcPr>
              <w:p w14:paraId="0F044CDD">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3F659789">
                <w:pPr>
                  <w:jc w:val="right"/>
                  <w:rPr>
                    <w:rFonts w:cs="Times New Roman"/>
                  </w:rPr>
                </w:pPr>
              </w:p>
            </w:tc>
            <w:tc>
              <w:tcPr>
                <w:tcW w:w="911" w:type="pct"/>
                <w:tcBorders>
                  <w:top w:val="single" w:color="auto" w:sz="4" w:space="0"/>
                  <w:left w:val="single" w:color="auto" w:sz="4" w:space="0"/>
                  <w:bottom w:val="single" w:color="auto" w:sz="4" w:space="0"/>
                  <w:right w:val="single" w:color="auto" w:sz="4" w:space="0"/>
                </w:tcBorders>
              </w:tcPr>
              <w:p w14:paraId="3B74EDB3">
                <w:pPr>
                  <w:jc w:val="right"/>
                  <w:rPr>
                    <w:rFonts w:cs="Times New Roman"/>
                  </w:rPr>
                </w:pPr>
                <w:r>
                  <w:rPr>
                    <w:rFonts w:cs="Times New Roman"/>
                  </w:rPr>
                  <w:t>74,622.13</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455686819"/>
          <w:placeholder>
            <w:docPart w:val="{6c593e68-85c9-4f50-8d3d-b8d1bf426658}"/>
          </w:placeholder>
        </w:sdtPr>
        <w:sdtEndPr>
          <w:rPr>
            <w:rFonts w:cs="Times New Roman"/>
            <w:color w:val="000000" w:themeColor="text1"/>
            <w14:textFill>
              <w14:solidFill>
                <w14:schemeClr w14:val="tx1"/>
              </w14:solidFill>
            </w14:textFill>
          </w:rPr>
        </w:sdtEndPr>
        <w:sdtContent>
          <w:tr w14:paraId="53C4F7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01AFFDDF">
                <w:pPr>
                  <w:rPr>
                    <w:rFonts w:cs="Times New Roman"/>
                  </w:rPr>
                </w:pPr>
                <w:r>
                  <w:rPr>
                    <w:rFonts w:cs="Times New Roman"/>
                  </w:rPr>
                  <w:t>新兴铸管阜康能源有限公司</w:t>
                </w:r>
              </w:p>
            </w:tc>
            <w:tc>
              <w:tcPr>
                <w:tcW w:w="766" w:type="pct"/>
                <w:tcBorders>
                  <w:top w:val="single" w:color="auto" w:sz="4" w:space="0"/>
                  <w:left w:val="single" w:color="auto" w:sz="4" w:space="0"/>
                  <w:bottom w:val="single" w:color="auto" w:sz="4" w:space="0"/>
                  <w:right w:val="single" w:color="auto" w:sz="4" w:space="0"/>
                </w:tcBorders>
              </w:tcPr>
              <w:p w14:paraId="1B835E92">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38E62A6E">
                <w:pPr>
                  <w:jc w:val="right"/>
                  <w:rPr>
                    <w:rFonts w:cs="Times New Roman"/>
                  </w:rPr>
                </w:pPr>
              </w:p>
            </w:tc>
            <w:tc>
              <w:tcPr>
                <w:tcW w:w="911" w:type="pct"/>
                <w:tcBorders>
                  <w:top w:val="single" w:color="auto" w:sz="4" w:space="0"/>
                  <w:left w:val="single" w:color="auto" w:sz="4" w:space="0"/>
                  <w:bottom w:val="single" w:color="auto" w:sz="4" w:space="0"/>
                  <w:right w:val="single" w:color="auto" w:sz="4" w:space="0"/>
                </w:tcBorders>
              </w:tcPr>
              <w:p w14:paraId="535BEFD3">
                <w:pPr>
                  <w:jc w:val="right"/>
                  <w:rPr>
                    <w:rFonts w:cs="Times New Roman"/>
                  </w:rPr>
                </w:pPr>
                <w:r>
                  <w:rPr>
                    <w:rFonts w:cs="Times New Roman"/>
                  </w:rPr>
                  <w:t>51,769.91</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570418280"/>
          <w:placeholder>
            <w:docPart w:val="{6c593e68-85c9-4f50-8d3d-b8d1bf426658}"/>
          </w:placeholder>
        </w:sdtPr>
        <w:sdtEndPr>
          <w:rPr>
            <w:rFonts w:cs="Times New Roman"/>
            <w:color w:val="000000" w:themeColor="text1"/>
            <w14:textFill>
              <w14:solidFill>
                <w14:schemeClr w14:val="tx1"/>
              </w14:solidFill>
            </w14:textFill>
          </w:rPr>
        </w:sdtEndPr>
        <w:sdtContent>
          <w:tr w14:paraId="5534E1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5532F986">
                <w:pPr>
                  <w:rPr>
                    <w:rFonts w:cs="Times New Roman"/>
                  </w:rPr>
                </w:pPr>
                <w:r>
                  <w:rPr>
                    <w:rFonts w:cs="Times New Roman"/>
                  </w:rPr>
                  <w:t>河北新兴铸管有限公司</w:t>
                </w:r>
              </w:p>
            </w:tc>
            <w:tc>
              <w:tcPr>
                <w:tcW w:w="766" w:type="pct"/>
                <w:tcBorders>
                  <w:top w:val="single" w:color="auto" w:sz="4" w:space="0"/>
                  <w:left w:val="single" w:color="auto" w:sz="4" w:space="0"/>
                  <w:bottom w:val="single" w:color="auto" w:sz="4" w:space="0"/>
                  <w:right w:val="single" w:color="auto" w:sz="4" w:space="0"/>
                </w:tcBorders>
              </w:tcPr>
              <w:p w14:paraId="5C45945E">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78C2C1A5">
                <w:pPr>
                  <w:jc w:val="right"/>
                  <w:rPr>
                    <w:rFonts w:cs="Times New Roman"/>
                  </w:rPr>
                </w:pPr>
              </w:p>
            </w:tc>
            <w:tc>
              <w:tcPr>
                <w:tcW w:w="911" w:type="pct"/>
                <w:tcBorders>
                  <w:top w:val="single" w:color="auto" w:sz="4" w:space="0"/>
                  <w:left w:val="single" w:color="auto" w:sz="4" w:space="0"/>
                  <w:bottom w:val="single" w:color="auto" w:sz="4" w:space="0"/>
                  <w:right w:val="single" w:color="auto" w:sz="4" w:space="0"/>
                </w:tcBorders>
              </w:tcPr>
              <w:p w14:paraId="37998BDC">
                <w:pPr>
                  <w:jc w:val="right"/>
                  <w:rPr>
                    <w:rFonts w:cs="Times New Roman"/>
                  </w:rPr>
                </w:pPr>
                <w:r>
                  <w:rPr>
                    <w:rFonts w:cs="Times New Roman"/>
                  </w:rPr>
                  <w:t>44,336.27</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623847770"/>
          <w:placeholder>
            <w:docPart w:val="{6c593e68-85c9-4f50-8d3d-b8d1bf426658}"/>
          </w:placeholder>
        </w:sdtPr>
        <w:sdtEndPr>
          <w:rPr>
            <w:rFonts w:cs="Times New Roman"/>
            <w:color w:val="000000" w:themeColor="text1"/>
            <w14:textFill>
              <w14:solidFill>
                <w14:schemeClr w14:val="tx1"/>
              </w14:solidFill>
            </w14:textFill>
          </w:rPr>
        </w:sdtEndPr>
        <w:sdtContent>
          <w:tr w14:paraId="1E8FC1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2210100A">
                <w:pPr>
                  <w:rPr>
                    <w:rFonts w:cs="Times New Roman"/>
                  </w:rPr>
                </w:pPr>
                <w:r>
                  <w:rPr>
                    <w:rFonts w:cs="Times New Roman"/>
                  </w:rPr>
                  <w:t>新兴铸管集团邯郸新材料有限公司</w:t>
                </w:r>
              </w:p>
            </w:tc>
            <w:tc>
              <w:tcPr>
                <w:tcW w:w="766" w:type="pct"/>
                <w:tcBorders>
                  <w:top w:val="single" w:color="auto" w:sz="4" w:space="0"/>
                  <w:left w:val="single" w:color="auto" w:sz="4" w:space="0"/>
                  <w:bottom w:val="single" w:color="auto" w:sz="4" w:space="0"/>
                  <w:right w:val="single" w:color="auto" w:sz="4" w:space="0"/>
                </w:tcBorders>
              </w:tcPr>
              <w:p w14:paraId="01979BF2">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65D0CB03">
                <w:pPr>
                  <w:jc w:val="right"/>
                  <w:rPr>
                    <w:rFonts w:cs="Times New Roman"/>
                  </w:rPr>
                </w:pPr>
              </w:p>
            </w:tc>
            <w:tc>
              <w:tcPr>
                <w:tcW w:w="911" w:type="pct"/>
                <w:tcBorders>
                  <w:top w:val="single" w:color="auto" w:sz="4" w:space="0"/>
                  <w:left w:val="single" w:color="auto" w:sz="4" w:space="0"/>
                  <w:bottom w:val="single" w:color="auto" w:sz="4" w:space="0"/>
                  <w:right w:val="single" w:color="auto" w:sz="4" w:space="0"/>
                </w:tcBorders>
              </w:tcPr>
              <w:p w14:paraId="6A175444">
                <w:pPr>
                  <w:jc w:val="right"/>
                  <w:rPr>
                    <w:rFonts w:cs="Times New Roman"/>
                  </w:rPr>
                </w:pPr>
                <w:r>
                  <w:rPr>
                    <w:rFonts w:cs="Times New Roman"/>
                  </w:rPr>
                  <w:t>42,500.00</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85579313"/>
          <w:placeholder>
            <w:docPart w:val="{6c593e68-85c9-4f50-8d3d-b8d1bf426658}"/>
          </w:placeholder>
        </w:sdtPr>
        <w:sdtEndPr>
          <w:rPr>
            <w:rFonts w:cs="Times New Roman"/>
            <w:color w:val="000000" w:themeColor="text1"/>
            <w14:textFill>
              <w14:solidFill>
                <w14:schemeClr w14:val="tx1"/>
              </w14:solidFill>
            </w14:textFill>
          </w:rPr>
        </w:sdtEndPr>
        <w:sdtContent>
          <w:tr w14:paraId="7AD2E1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0D2E8D22">
                <w:pPr>
                  <w:rPr>
                    <w:rFonts w:cs="Times New Roman"/>
                  </w:rPr>
                </w:pPr>
                <w:r>
                  <w:rPr>
                    <w:rFonts w:cs="Times New Roman"/>
                  </w:rPr>
                  <w:t>陕西际华园开发建设有限公司</w:t>
                </w:r>
              </w:p>
            </w:tc>
            <w:tc>
              <w:tcPr>
                <w:tcW w:w="766" w:type="pct"/>
                <w:tcBorders>
                  <w:top w:val="single" w:color="auto" w:sz="4" w:space="0"/>
                  <w:left w:val="single" w:color="auto" w:sz="4" w:space="0"/>
                  <w:bottom w:val="single" w:color="auto" w:sz="4" w:space="0"/>
                  <w:right w:val="single" w:color="auto" w:sz="4" w:space="0"/>
                </w:tcBorders>
              </w:tcPr>
              <w:p w14:paraId="7CB20BD3">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6D0B1D39">
                <w:pPr>
                  <w:jc w:val="right"/>
                  <w:rPr>
                    <w:rFonts w:cs="Times New Roman"/>
                  </w:rPr>
                </w:pPr>
              </w:p>
            </w:tc>
            <w:tc>
              <w:tcPr>
                <w:tcW w:w="911" w:type="pct"/>
                <w:tcBorders>
                  <w:top w:val="single" w:color="auto" w:sz="4" w:space="0"/>
                  <w:left w:val="single" w:color="auto" w:sz="4" w:space="0"/>
                  <w:bottom w:val="single" w:color="auto" w:sz="4" w:space="0"/>
                  <w:right w:val="single" w:color="auto" w:sz="4" w:space="0"/>
                </w:tcBorders>
              </w:tcPr>
              <w:p w14:paraId="3A924637">
                <w:pPr>
                  <w:jc w:val="right"/>
                  <w:rPr>
                    <w:rFonts w:cs="Times New Roman"/>
                  </w:rPr>
                </w:pPr>
                <w:r>
                  <w:rPr>
                    <w:rFonts w:cs="Times New Roman"/>
                  </w:rPr>
                  <w:t>26,548.69</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900485935"/>
          <w:placeholder>
            <w:docPart w:val="{6c593e68-85c9-4f50-8d3d-b8d1bf426658}"/>
          </w:placeholder>
        </w:sdtPr>
        <w:sdtEndPr>
          <w:rPr>
            <w:rFonts w:cs="Times New Roman"/>
            <w:color w:val="000000" w:themeColor="text1"/>
            <w14:textFill>
              <w14:solidFill>
                <w14:schemeClr w14:val="tx1"/>
              </w14:solidFill>
            </w14:textFill>
          </w:rPr>
        </w:sdtEndPr>
        <w:sdtContent>
          <w:tr w14:paraId="6FF549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258B4754">
                <w:pPr>
                  <w:rPr>
                    <w:rFonts w:cs="Times New Roman"/>
                  </w:rPr>
                </w:pPr>
                <w:r>
                  <w:rPr>
                    <w:rFonts w:cs="Times New Roman"/>
                  </w:rPr>
                  <w:t>新兴发展（北京）国际贸易有限公司</w:t>
                </w:r>
              </w:p>
            </w:tc>
            <w:tc>
              <w:tcPr>
                <w:tcW w:w="766" w:type="pct"/>
                <w:tcBorders>
                  <w:top w:val="single" w:color="auto" w:sz="4" w:space="0"/>
                  <w:left w:val="single" w:color="auto" w:sz="4" w:space="0"/>
                  <w:bottom w:val="single" w:color="auto" w:sz="4" w:space="0"/>
                  <w:right w:val="single" w:color="auto" w:sz="4" w:space="0"/>
                </w:tcBorders>
              </w:tcPr>
              <w:p w14:paraId="39F47CA1">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04865F74">
                <w:pPr>
                  <w:jc w:val="right"/>
                  <w:rPr>
                    <w:rFonts w:cs="Times New Roman"/>
                  </w:rPr>
                </w:pPr>
              </w:p>
            </w:tc>
            <w:tc>
              <w:tcPr>
                <w:tcW w:w="911" w:type="pct"/>
                <w:tcBorders>
                  <w:top w:val="single" w:color="auto" w:sz="4" w:space="0"/>
                  <w:left w:val="single" w:color="auto" w:sz="4" w:space="0"/>
                  <w:bottom w:val="single" w:color="auto" w:sz="4" w:space="0"/>
                  <w:right w:val="single" w:color="auto" w:sz="4" w:space="0"/>
                </w:tcBorders>
              </w:tcPr>
              <w:p w14:paraId="53446077">
                <w:pPr>
                  <w:jc w:val="right"/>
                  <w:rPr>
                    <w:rFonts w:cs="Times New Roman"/>
                  </w:rPr>
                </w:pPr>
                <w:r>
                  <w:rPr>
                    <w:rFonts w:cs="Times New Roman"/>
                  </w:rPr>
                  <w:t>21,659.29</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330066851"/>
          <w:placeholder>
            <w:docPart w:val="{6c593e68-85c9-4f50-8d3d-b8d1bf426658}"/>
          </w:placeholder>
        </w:sdtPr>
        <w:sdtEndPr>
          <w:rPr>
            <w:rFonts w:cs="Times New Roman"/>
            <w:color w:val="000000" w:themeColor="text1"/>
            <w14:textFill>
              <w14:solidFill>
                <w14:schemeClr w14:val="tx1"/>
              </w14:solidFill>
            </w14:textFill>
          </w:rPr>
        </w:sdtEndPr>
        <w:sdtContent>
          <w:tr w14:paraId="7D7A95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272252EB">
                <w:pPr>
                  <w:rPr>
                    <w:rFonts w:cs="Times New Roman"/>
                  </w:rPr>
                </w:pPr>
                <w:r>
                  <w:rPr>
                    <w:rFonts w:cs="Times New Roman"/>
                  </w:rPr>
                  <w:t>新兴际华检验检测（北京）有限公司</w:t>
                </w:r>
              </w:p>
            </w:tc>
            <w:tc>
              <w:tcPr>
                <w:tcW w:w="766" w:type="pct"/>
                <w:tcBorders>
                  <w:top w:val="single" w:color="auto" w:sz="4" w:space="0"/>
                  <w:left w:val="single" w:color="auto" w:sz="4" w:space="0"/>
                  <w:bottom w:val="single" w:color="auto" w:sz="4" w:space="0"/>
                  <w:right w:val="single" w:color="auto" w:sz="4" w:space="0"/>
                </w:tcBorders>
              </w:tcPr>
              <w:p w14:paraId="03F60210">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3115BD4A">
                <w:pPr>
                  <w:jc w:val="right"/>
                  <w:rPr>
                    <w:rFonts w:cs="Times New Roman"/>
                  </w:rPr>
                </w:pPr>
              </w:p>
            </w:tc>
            <w:tc>
              <w:tcPr>
                <w:tcW w:w="911" w:type="pct"/>
                <w:tcBorders>
                  <w:top w:val="single" w:color="auto" w:sz="4" w:space="0"/>
                  <w:left w:val="single" w:color="auto" w:sz="4" w:space="0"/>
                  <w:bottom w:val="single" w:color="auto" w:sz="4" w:space="0"/>
                  <w:right w:val="single" w:color="auto" w:sz="4" w:space="0"/>
                </w:tcBorders>
              </w:tcPr>
              <w:p w14:paraId="3C53B5BB">
                <w:pPr>
                  <w:jc w:val="right"/>
                  <w:rPr>
                    <w:rFonts w:cs="Times New Roman"/>
                  </w:rPr>
                </w:pPr>
                <w:r>
                  <w:rPr>
                    <w:rFonts w:cs="Times New Roman"/>
                  </w:rPr>
                  <w:t>16,377.36</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317768508"/>
          <w:placeholder>
            <w:docPart w:val="{6c593e68-85c9-4f50-8d3d-b8d1bf426658}"/>
          </w:placeholder>
        </w:sdtPr>
        <w:sdtEndPr>
          <w:rPr>
            <w:rFonts w:cs="Times New Roman"/>
            <w:color w:val="000000" w:themeColor="text1"/>
            <w14:textFill>
              <w14:solidFill>
                <w14:schemeClr w14:val="tx1"/>
              </w14:solidFill>
            </w14:textFill>
          </w:rPr>
        </w:sdtEndPr>
        <w:sdtContent>
          <w:tr w14:paraId="2FA265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2D432C95">
                <w:pPr>
                  <w:rPr>
                    <w:rFonts w:cs="Times New Roman"/>
                  </w:rPr>
                </w:pPr>
                <w:r>
                  <w:rPr>
                    <w:rFonts w:cs="Times New Roman"/>
                  </w:rPr>
                  <w:t>北京三五零一服装厂有限公司</w:t>
                </w:r>
              </w:p>
            </w:tc>
            <w:tc>
              <w:tcPr>
                <w:tcW w:w="766" w:type="pct"/>
                <w:tcBorders>
                  <w:top w:val="single" w:color="auto" w:sz="4" w:space="0"/>
                  <w:left w:val="single" w:color="auto" w:sz="4" w:space="0"/>
                  <w:bottom w:val="single" w:color="auto" w:sz="4" w:space="0"/>
                  <w:right w:val="single" w:color="auto" w:sz="4" w:space="0"/>
                </w:tcBorders>
              </w:tcPr>
              <w:p w14:paraId="277D0A56">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581BA162">
                <w:pPr>
                  <w:jc w:val="right"/>
                  <w:rPr>
                    <w:rFonts w:cs="Times New Roman"/>
                  </w:rPr>
                </w:pPr>
              </w:p>
            </w:tc>
            <w:tc>
              <w:tcPr>
                <w:tcW w:w="911" w:type="pct"/>
                <w:tcBorders>
                  <w:top w:val="single" w:color="auto" w:sz="4" w:space="0"/>
                  <w:left w:val="single" w:color="auto" w:sz="4" w:space="0"/>
                  <w:bottom w:val="single" w:color="auto" w:sz="4" w:space="0"/>
                  <w:right w:val="single" w:color="auto" w:sz="4" w:space="0"/>
                </w:tcBorders>
              </w:tcPr>
              <w:p w14:paraId="52BEE83C">
                <w:pPr>
                  <w:jc w:val="right"/>
                  <w:rPr>
                    <w:rFonts w:cs="Times New Roman"/>
                  </w:rPr>
                </w:pPr>
                <w:r>
                  <w:rPr>
                    <w:rFonts w:cs="Times New Roman"/>
                  </w:rPr>
                  <w:t>15,223.01</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957373598"/>
          <w:placeholder>
            <w:docPart w:val="{6c593e68-85c9-4f50-8d3d-b8d1bf426658}"/>
          </w:placeholder>
        </w:sdtPr>
        <w:sdtEndPr>
          <w:rPr>
            <w:rFonts w:cs="Times New Roman"/>
            <w:color w:val="000000" w:themeColor="text1"/>
            <w14:textFill>
              <w14:solidFill>
                <w14:schemeClr w14:val="tx1"/>
              </w14:solidFill>
            </w14:textFill>
          </w:rPr>
        </w:sdtEndPr>
        <w:sdtContent>
          <w:tr w14:paraId="5D1F60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2276FB54">
                <w:pPr>
                  <w:rPr>
                    <w:rFonts w:cs="Times New Roman"/>
                  </w:rPr>
                </w:pPr>
                <w:r>
                  <w:rPr>
                    <w:rFonts w:cs="Times New Roman"/>
                  </w:rPr>
                  <w:t>新兴际华资产经营管理有限公司</w:t>
                </w:r>
              </w:p>
            </w:tc>
            <w:tc>
              <w:tcPr>
                <w:tcW w:w="766" w:type="pct"/>
                <w:tcBorders>
                  <w:top w:val="single" w:color="auto" w:sz="4" w:space="0"/>
                  <w:left w:val="single" w:color="auto" w:sz="4" w:space="0"/>
                  <w:bottom w:val="single" w:color="auto" w:sz="4" w:space="0"/>
                  <w:right w:val="single" w:color="auto" w:sz="4" w:space="0"/>
                </w:tcBorders>
              </w:tcPr>
              <w:p w14:paraId="78DD7291">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4A7AEA95">
                <w:pPr>
                  <w:jc w:val="right"/>
                  <w:rPr>
                    <w:rFonts w:cs="Times New Roman"/>
                  </w:rPr>
                </w:pPr>
              </w:p>
            </w:tc>
            <w:tc>
              <w:tcPr>
                <w:tcW w:w="911" w:type="pct"/>
                <w:tcBorders>
                  <w:top w:val="single" w:color="auto" w:sz="4" w:space="0"/>
                  <w:left w:val="single" w:color="auto" w:sz="4" w:space="0"/>
                  <w:bottom w:val="single" w:color="auto" w:sz="4" w:space="0"/>
                  <w:right w:val="single" w:color="auto" w:sz="4" w:space="0"/>
                </w:tcBorders>
              </w:tcPr>
              <w:p w14:paraId="62F8535A">
                <w:pPr>
                  <w:jc w:val="right"/>
                  <w:rPr>
                    <w:rFonts w:cs="Times New Roman"/>
                  </w:rPr>
                </w:pPr>
                <w:r>
                  <w:rPr>
                    <w:rFonts w:cs="Times New Roman"/>
                  </w:rPr>
                  <w:t>10,513.28</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582562126"/>
          <w:placeholder>
            <w:docPart w:val="{6c593e68-85c9-4f50-8d3d-b8d1bf426658}"/>
          </w:placeholder>
        </w:sdtPr>
        <w:sdtEndPr>
          <w:rPr>
            <w:rFonts w:cs="Times New Roman"/>
            <w:color w:val="000000" w:themeColor="text1"/>
            <w14:textFill>
              <w14:solidFill>
                <w14:schemeClr w14:val="tx1"/>
              </w14:solidFill>
            </w14:textFill>
          </w:rPr>
        </w:sdtEndPr>
        <w:sdtContent>
          <w:tr w14:paraId="6374D5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217D2067">
                <w:pPr>
                  <w:rPr>
                    <w:rFonts w:cs="Times New Roman"/>
                  </w:rPr>
                </w:pPr>
                <w:r>
                  <w:rPr>
                    <w:rFonts w:cs="Times New Roman"/>
                  </w:rPr>
                  <w:t>际华军研（北京）特种装备科技有限公司</w:t>
                </w:r>
              </w:p>
            </w:tc>
            <w:tc>
              <w:tcPr>
                <w:tcW w:w="766" w:type="pct"/>
                <w:tcBorders>
                  <w:top w:val="single" w:color="auto" w:sz="4" w:space="0"/>
                  <w:left w:val="single" w:color="auto" w:sz="4" w:space="0"/>
                  <w:bottom w:val="single" w:color="auto" w:sz="4" w:space="0"/>
                  <w:right w:val="single" w:color="auto" w:sz="4" w:space="0"/>
                </w:tcBorders>
              </w:tcPr>
              <w:p w14:paraId="47F4FD44">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2405A32D">
                <w:pPr>
                  <w:jc w:val="right"/>
                  <w:rPr>
                    <w:rFonts w:cs="Times New Roman"/>
                  </w:rPr>
                </w:pPr>
              </w:p>
            </w:tc>
            <w:tc>
              <w:tcPr>
                <w:tcW w:w="911" w:type="pct"/>
                <w:tcBorders>
                  <w:top w:val="single" w:color="auto" w:sz="4" w:space="0"/>
                  <w:left w:val="single" w:color="auto" w:sz="4" w:space="0"/>
                  <w:bottom w:val="single" w:color="auto" w:sz="4" w:space="0"/>
                  <w:right w:val="single" w:color="auto" w:sz="4" w:space="0"/>
                </w:tcBorders>
              </w:tcPr>
              <w:p w14:paraId="502B9766">
                <w:pPr>
                  <w:jc w:val="right"/>
                  <w:rPr>
                    <w:rFonts w:cs="Times New Roman"/>
                  </w:rPr>
                </w:pPr>
                <w:r>
                  <w:rPr>
                    <w:rFonts w:cs="Times New Roman"/>
                  </w:rPr>
                  <w:t>5,391.15</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618863138"/>
          <w:placeholder>
            <w:docPart w:val="{6c593e68-85c9-4f50-8d3d-b8d1bf426658}"/>
          </w:placeholder>
        </w:sdtPr>
        <w:sdtEndPr>
          <w:rPr>
            <w:rFonts w:cs="Times New Roman"/>
            <w:color w:val="000000" w:themeColor="text1"/>
            <w14:textFill>
              <w14:solidFill>
                <w14:schemeClr w14:val="tx1"/>
              </w14:solidFill>
            </w14:textFill>
          </w:rPr>
        </w:sdtEndPr>
        <w:sdtContent>
          <w:tr w14:paraId="13E4E4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2B4273A0">
                <w:pPr>
                  <w:rPr>
                    <w:rFonts w:cs="Times New Roman"/>
                  </w:rPr>
                </w:pPr>
                <w:r>
                  <w:rPr>
                    <w:rFonts w:cs="Times New Roman"/>
                  </w:rPr>
                  <w:t>天津双鹿大厦有限公司</w:t>
                </w:r>
              </w:p>
            </w:tc>
            <w:tc>
              <w:tcPr>
                <w:tcW w:w="766" w:type="pct"/>
                <w:tcBorders>
                  <w:top w:val="single" w:color="auto" w:sz="4" w:space="0"/>
                  <w:left w:val="single" w:color="auto" w:sz="4" w:space="0"/>
                  <w:bottom w:val="single" w:color="auto" w:sz="4" w:space="0"/>
                  <w:right w:val="single" w:color="auto" w:sz="4" w:space="0"/>
                </w:tcBorders>
              </w:tcPr>
              <w:p w14:paraId="1CD624B0">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7E01E8DC">
                <w:pPr>
                  <w:jc w:val="right"/>
                  <w:rPr>
                    <w:rFonts w:cs="Times New Roman"/>
                  </w:rPr>
                </w:pPr>
              </w:p>
            </w:tc>
            <w:tc>
              <w:tcPr>
                <w:tcW w:w="911" w:type="pct"/>
                <w:tcBorders>
                  <w:top w:val="single" w:color="auto" w:sz="4" w:space="0"/>
                  <w:left w:val="single" w:color="auto" w:sz="4" w:space="0"/>
                  <w:bottom w:val="single" w:color="auto" w:sz="4" w:space="0"/>
                  <w:right w:val="single" w:color="auto" w:sz="4" w:space="0"/>
                </w:tcBorders>
              </w:tcPr>
              <w:p w14:paraId="53500F39">
                <w:pPr>
                  <w:jc w:val="right"/>
                  <w:rPr>
                    <w:rFonts w:cs="Times New Roman"/>
                  </w:rPr>
                </w:pPr>
                <w:r>
                  <w:rPr>
                    <w:rFonts w:cs="Times New Roman"/>
                  </w:rPr>
                  <w:t>2,300.88</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440717017"/>
          <w:placeholder>
            <w:docPart w:val="{6c593e68-85c9-4f50-8d3d-b8d1bf426658}"/>
          </w:placeholder>
        </w:sdtPr>
        <w:sdtEndPr>
          <w:rPr>
            <w:rFonts w:cs="Times New Roman"/>
            <w:color w:val="000000" w:themeColor="text1"/>
            <w14:textFill>
              <w14:solidFill>
                <w14:schemeClr w14:val="tx1"/>
              </w14:solidFill>
            </w14:textFill>
          </w:rPr>
        </w:sdtEndPr>
        <w:sdtContent>
          <w:tr w14:paraId="7530BF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1F7F38D7">
                <w:pPr>
                  <w:rPr>
                    <w:rFonts w:cs="Times New Roman"/>
                  </w:rPr>
                </w:pPr>
                <w:r>
                  <w:rPr>
                    <w:rFonts w:cs="Times New Roman"/>
                  </w:rPr>
                  <w:t>贵港新兴城投有限责任公司</w:t>
                </w:r>
              </w:p>
            </w:tc>
            <w:tc>
              <w:tcPr>
                <w:tcW w:w="766" w:type="pct"/>
                <w:tcBorders>
                  <w:top w:val="single" w:color="auto" w:sz="4" w:space="0"/>
                  <w:left w:val="single" w:color="auto" w:sz="4" w:space="0"/>
                  <w:bottom w:val="single" w:color="auto" w:sz="4" w:space="0"/>
                  <w:right w:val="single" w:color="auto" w:sz="4" w:space="0"/>
                </w:tcBorders>
              </w:tcPr>
              <w:p w14:paraId="6DBEA8F2">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55079F0E">
                <w:pPr>
                  <w:jc w:val="right"/>
                  <w:rPr>
                    <w:rFonts w:cs="Times New Roman"/>
                  </w:rPr>
                </w:pPr>
              </w:p>
            </w:tc>
            <w:tc>
              <w:tcPr>
                <w:tcW w:w="911" w:type="pct"/>
                <w:tcBorders>
                  <w:top w:val="single" w:color="auto" w:sz="4" w:space="0"/>
                  <w:left w:val="single" w:color="auto" w:sz="4" w:space="0"/>
                  <w:bottom w:val="single" w:color="auto" w:sz="4" w:space="0"/>
                  <w:right w:val="single" w:color="auto" w:sz="4" w:space="0"/>
                </w:tcBorders>
              </w:tcPr>
              <w:p w14:paraId="6C99EEBE">
                <w:pPr>
                  <w:jc w:val="right"/>
                  <w:rPr>
                    <w:rFonts w:cs="Times New Roman"/>
                  </w:rPr>
                </w:pPr>
                <w:r>
                  <w:rPr>
                    <w:rFonts w:cs="Times New Roman"/>
                  </w:rPr>
                  <w:t>1,433.63</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216173968"/>
          <w:placeholder>
            <w:docPart w:val="{6c593e68-85c9-4f50-8d3d-b8d1bf426658}"/>
          </w:placeholder>
        </w:sdtPr>
        <w:sdtEndPr>
          <w:rPr>
            <w:rFonts w:cs="Times New Roman"/>
            <w:color w:val="000000" w:themeColor="text1"/>
            <w14:textFill>
              <w14:solidFill>
                <w14:schemeClr w14:val="tx1"/>
              </w14:solidFill>
            </w14:textFill>
          </w:rPr>
        </w:sdtEndPr>
        <w:sdtContent>
          <w:tr w14:paraId="773770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1F6D3D47">
                <w:pPr>
                  <w:rPr>
                    <w:rFonts w:cs="Times New Roman"/>
                  </w:rPr>
                </w:pPr>
                <w:r>
                  <w:rPr>
                    <w:rFonts w:cs="Times New Roman"/>
                  </w:rPr>
                  <w:t>南京三五〇三投资发展有限公司</w:t>
                </w:r>
              </w:p>
            </w:tc>
            <w:tc>
              <w:tcPr>
                <w:tcW w:w="766" w:type="pct"/>
                <w:tcBorders>
                  <w:top w:val="single" w:color="auto" w:sz="4" w:space="0"/>
                  <w:left w:val="single" w:color="auto" w:sz="4" w:space="0"/>
                  <w:bottom w:val="single" w:color="auto" w:sz="4" w:space="0"/>
                  <w:right w:val="single" w:color="auto" w:sz="4" w:space="0"/>
                </w:tcBorders>
              </w:tcPr>
              <w:p w14:paraId="7040FDAE">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74445814">
                <w:pPr>
                  <w:jc w:val="right"/>
                  <w:rPr>
                    <w:rFonts w:cs="Times New Roman"/>
                  </w:rPr>
                </w:pPr>
              </w:p>
            </w:tc>
            <w:tc>
              <w:tcPr>
                <w:tcW w:w="911" w:type="pct"/>
                <w:tcBorders>
                  <w:top w:val="single" w:color="auto" w:sz="4" w:space="0"/>
                  <w:left w:val="single" w:color="auto" w:sz="4" w:space="0"/>
                  <w:bottom w:val="single" w:color="auto" w:sz="4" w:space="0"/>
                  <w:right w:val="single" w:color="auto" w:sz="4" w:space="0"/>
                </w:tcBorders>
              </w:tcPr>
              <w:p w14:paraId="2245EFAB">
                <w:pPr>
                  <w:jc w:val="right"/>
                  <w:rPr>
                    <w:rFonts w:cs="Times New Roman"/>
                  </w:rPr>
                </w:pPr>
                <w:r>
                  <w:rPr>
                    <w:rFonts w:cs="Times New Roman"/>
                  </w:rPr>
                  <w:t>1,338.06</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937569609"/>
          <w:placeholder>
            <w:docPart w:val="{6c593e68-85c9-4f50-8d3d-b8d1bf426658}"/>
          </w:placeholder>
        </w:sdtPr>
        <w:sdtEndPr>
          <w:rPr>
            <w:rFonts w:cs="Times New Roman"/>
            <w:color w:val="000000" w:themeColor="text1"/>
            <w14:textFill>
              <w14:solidFill>
                <w14:schemeClr w14:val="tx1"/>
              </w14:solidFill>
            </w14:textFill>
          </w:rPr>
        </w:sdtEndPr>
        <w:sdtContent>
          <w:tr w14:paraId="4FDE18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442CCEBA">
                <w:pPr>
                  <w:rPr>
                    <w:rFonts w:cs="Times New Roman"/>
                  </w:rPr>
                </w:pPr>
                <w:r>
                  <w:rPr>
                    <w:rFonts w:cs="Times New Roman"/>
                  </w:rPr>
                  <w:t>新兴际华（岳阳）投资发展有限公司</w:t>
                </w:r>
              </w:p>
            </w:tc>
            <w:tc>
              <w:tcPr>
                <w:tcW w:w="766" w:type="pct"/>
                <w:tcBorders>
                  <w:top w:val="single" w:color="auto" w:sz="4" w:space="0"/>
                  <w:left w:val="single" w:color="auto" w:sz="4" w:space="0"/>
                  <w:bottom w:val="single" w:color="auto" w:sz="4" w:space="0"/>
                  <w:right w:val="single" w:color="auto" w:sz="4" w:space="0"/>
                </w:tcBorders>
              </w:tcPr>
              <w:p w14:paraId="205B3B58">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4BAB9046">
                <w:pPr>
                  <w:jc w:val="right"/>
                  <w:rPr>
                    <w:rFonts w:cs="Times New Roman"/>
                  </w:rPr>
                </w:pPr>
              </w:p>
            </w:tc>
            <w:tc>
              <w:tcPr>
                <w:tcW w:w="911" w:type="pct"/>
                <w:tcBorders>
                  <w:top w:val="single" w:color="auto" w:sz="4" w:space="0"/>
                  <w:left w:val="single" w:color="auto" w:sz="4" w:space="0"/>
                  <w:bottom w:val="single" w:color="auto" w:sz="4" w:space="0"/>
                  <w:right w:val="single" w:color="auto" w:sz="4" w:space="0"/>
                </w:tcBorders>
              </w:tcPr>
              <w:p w14:paraId="331D6EA7">
                <w:pPr>
                  <w:jc w:val="right"/>
                  <w:rPr>
                    <w:rFonts w:cs="Times New Roman"/>
                  </w:rPr>
                </w:pPr>
                <w:r>
                  <w:rPr>
                    <w:rFonts w:cs="Times New Roman"/>
                  </w:rPr>
                  <w:t>1,203.54</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476128308"/>
          <w:placeholder>
            <w:docPart w:val="{6c593e68-85c9-4f50-8d3d-b8d1bf426658}"/>
          </w:placeholder>
        </w:sdtPr>
        <w:sdtEndPr>
          <w:rPr>
            <w:rFonts w:cs="Times New Roman"/>
            <w:color w:val="000000" w:themeColor="text1"/>
            <w14:textFill>
              <w14:solidFill>
                <w14:schemeClr w14:val="tx1"/>
              </w14:solidFill>
            </w14:textFill>
          </w:rPr>
        </w:sdtEndPr>
        <w:sdtContent>
          <w:tr w14:paraId="3CB4D7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25894019">
                <w:pPr>
                  <w:rPr>
                    <w:rFonts w:cs="Times New Roman"/>
                  </w:rPr>
                </w:pPr>
                <w:r>
                  <w:rPr>
                    <w:rFonts w:cs="Times New Roman"/>
                  </w:rPr>
                  <w:t>四川省川建管道有限公司</w:t>
                </w:r>
              </w:p>
            </w:tc>
            <w:tc>
              <w:tcPr>
                <w:tcW w:w="766" w:type="pct"/>
                <w:tcBorders>
                  <w:top w:val="single" w:color="auto" w:sz="4" w:space="0"/>
                  <w:left w:val="single" w:color="auto" w:sz="4" w:space="0"/>
                  <w:bottom w:val="single" w:color="auto" w:sz="4" w:space="0"/>
                  <w:right w:val="single" w:color="auto" w:sz="4" w:space="0"/>
                </w:tcBorders>
              </w:tcPr>
              <w:p w14:paraId="414848A1">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tcPr>
              <w:p w14:paraId="717703D6">
                <w:pPr>
                  <w:jc w:val="right"/>
                  <w:rPr>
                    <w:rFonts w:cs="Times New Roman"/>
                  </w:rPr>
                </w:pPr>
              </w:p>
            </w:tc>
            <w:tc>
              <w:tcPr>
                <w:tcW w:w="911" w:type="pct"/>
                <w:tcBorders>
                  <w:top w:val="single" w:color="auto" w:sz="4" w:space="0"/>
                  <w:left w:val="single" w:color="auto" w:sz="4" w:space="0"/>
                  <w:bottom w:val="single" w:color="auto" w:sz="4" w:space="0"/>
                  <w:right w:val="single" w:color="auto" w:sz="4" w:space="0"/>
                </w:tcBorders>
              </w:tcPr>
              <w:p w14:paraId="4F2D0183">
                <w:pPr>
                  <w:jc w:val="right"/>
                  <w:rPr>
                    <w:rFonts w:cs="Times New Roman"/>
                  </w:rPr>
                </w:pPr>
                <w:r>
                  <w:rPr>
                    <w:rFonts w:cs="Times New Roman"/>
                  </w:rPr>
                  <w:t>752.21</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36402923"/>
          <w:placeholder>
            <w:docPart w:val="{6c593e68-85c9-4f50-8d3d-b8d1bf426658}"/>
          </w:placeholder>
        </w:sdtPr>
        <w:sdtEndPr>
          <w:rPr>
            <w:rFonts w:cs="Times New Roman"/>
            <w:color w:val="000000" w:themeColor="text1"/>
            <w14:textFill>
              <w14:solidFill>
                <w14:schemeClr w14:val="tx1"/>
              </w14:solidFill>
            </w14:textFill>
          </w:rPr>
        </w:sdtEndPr>
        <w:sdtContent>
          <w:tr w14:paraId="39C1A8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7A964323">
                <w:pPr>
                  <w:rPr>
                    <w:rFonts w:cs="Times New Roman"/>
                  </w:rPr>
                </w:pPr>
                <w:r>
                  <w:rPr>
                    <w:rFonts w:cs="Times New Roman"/>
                  </w:rPr>
                  <w:t>新兴际华应急装备技术有限公司</w:t>
                </w:r>
              </w:p>
            </w:tc>
            <w:tc>
              <w:tcPr>
                <w:tcW w:w="766" w:type="pct"/>
                <w:tcBorders>
                  <w:top w:val="single" w:color="auto" w:sz="4" w:space="0"/>
                  <w:left w:val="single" w:color="auto" w:sz="4" w:space="0"/>
                  <w:bottom w:val="single" w:color="auto" w:sz="4" w:space="0"/>
                  <w:right w:val="single" w:color="auto" w:sz="4" w:space="0"/>
                </w:tcBorders>
              </w:tcPr>
              <w:p w14:paraId="157C6A26">
                <w:pPr>
                  <w:jc w:val="center"/>
                  <w:rPr>
                    <w:rFonts w:cs="Times New Roman"/>
                  </w:rPr>
                </w:pPr>
                <w:r>
                  <w:rPr>
                    <w:rFonts w:cs="Times New Roman"/>
                  </w:rPr>
                  <w:t>销售商品</w:t>
                </w:r>
              </w:p>
            </w:tc>
            <w:tc>
              <w:tcPr>
                <w:tcW w:w="809" w:type="pct"/>
                <w:tcBorders>
                  <w:top w:val="single" w:color="auto" w:sz="4" w:space="0"/>
                  <w:left w:val="single" w:color="auto" w:sz="4" w:space="0"/>
                  <w:bottom w:val="single" w:color="auto" w:sz="4" w:space="0"/>
                  <w:right w:val="single" w:color="auto" w:sz="4" w:space="0"/>
                </w:tcBorders>
                <w:vAlign w:val="center"/>
              </w:tcPr>
              <w:p w14:paraId="685EC765">
                <w:pPr>
                  <w:jc w:val="right"/>
                  <w:rPr>
                    <w:rFonts w:cs="Times New Roman"/>
                  </w:rPr>
                </w:pPr>
                <w:r>
                  <w:rPr>
                    <w:rFonts w:cs="Times New Roman"/>
                  </w:rPr>
                  <w:t>1,125.64</w:t>
                </w:r>
              </w:p>
            </w:tc>
            <w:tc>
              <w:tcPr>
                <w:tcW w:w="911" w:type="pct"/>
                <w:tcBorders>
                  <w:top w:val="single" w:color="auto" w:sz="4" w:space="0"/>
                  <w:left w:val="single" w:color="auto" w:sz="4" w:space="0"/>
                  <w:bottom w:val="single" w:color="auto" w:sz="4" w:space="0"/>
                  <w:right w:val="single" w:color="auto" w:sz="4" w:space="0"/>
                </w:tcBorders>
                <w:vAlign w:val="center"/>
              </w:tcPr>
              <w:p w14:paraId="311665E9">
                <w:pPr>
                  <w:jc w:val="right"/>
                  <w:rPr>
                    <w:rFonts w:cs="Times New Roman"/>
                  </w:rPr>
                </w:pPr>
                <w:r>
                  <w:rPr>
                    <w:rFonts w:cs="Times New Roman"/>
                  </w:rPr>
                  <w:t>51,146.00</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842652311"/>
          <w:placeholder>
            <w:docPart w:val="{6c593e68-85c9-4f50-8d3d-b8d1bf426658}"/>
          </w:placeholder>
        </w:sdtPr>
        <w:sdtEndPr>
          <w:rPr>
            <w:rFonts w:cs="Times New Roman"/>
            <w:color w:val="000000" w:themeColor="text1"/>
            <w14:textFill>
              <w14:solidFill>
                <w14:schemeClr w14:val="tx1"/>
              </w14:solidFill>
            </w14:textFill>
          </w:rPr>
        </w:sdtEndPr>
        <w:sdtContent>
          <w:tr w14:paraId="423729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1D263838">
                <w:pPr>
                  <w:rPr>
                    <w:rFonts w:cs="Times New Roman"/>
                  </w:rPr>
                </w:pPr>
                <w:r>
                  <w:rPr>
                    <w:rFonts w:cs="Times New Roman"/>
                  </w:rPr>
                  <w:t>新兴际华集团财务有限公司</w:t>
                </w:r>
              </w:p>
            </w:tc>
            <w:tc>
              <w:tcPr>
                <w:tcW w:w="766" w:type="pct"/>
                <w:tcBorders>
                  <w:top w:val="single" w:color="auto" w:sz="4" w:space="0"/>
                  <w:left w:val="single" w:color="auto" w:sz="4" w:space="0"/>
                  <w:bottom w:val="single" w:color="auto" w:sz="4" w:space="0"/>
                  <w:right w:val="single" w:color="auto" w:sz="4" w:space="0"/>
                </w:tcBorders>
              </w:tcPr>
              <w:p w14:paraId="0B096FB9">
                <w:pPr>
                  <w:jc w:val="center"/>
                  <w:rPr>
                    <w:rFonts w:cs="Times New Roman"/>
                  </w:rPr>
                </w:pPr>
                <w:r>
                  <w:rPr>
                    <w:rFonts w:cs="Times New Roman"/>
                  </w:rPr>
                  <w:t>提供劳务</w:t>
                </w:r>
              </w:p>
            </w:tc>
            <w:tc>
              <w:tcPr>
                <w:tcW w:w="809" w:type="pct"/>
                <w:tcBorders>
                  <w:top w:val="single" w:color="auto" w:sz="4" w:space="0"/>
                  <w:left w:val="single" w:color="auto" w:sz="4" w:space="0"/>
                  <w:bottom w:val="single" w:color="auto" w:sz="4" w:space="0"/>
                  <w:right w:val="single" w:color="auto" w:sz="4" w:space="0"/>
                </w:tcBorders>
                <w:vAlign w:val="center"/>
              </w:tcPr>
              <w:p w14:paraId="11908ADC">
                <w:pPr>
                  <w:jc w:val="right"/>
                  <w:rPr>
                    <w:rFonts w:cs="Times New Roman"/>
                  </w:rPr>
                </w:pPr>
                <w:r>
                  <w:rPr>
                    <w:rFonts w:cs="Times New Roman"/>
                  </w:rPr>
                  <w:t>32,117,360.53</w:t>
                </w:r>
              </w:p>
            </w:tc>
            <w:tc>
              <w:tcPr>
                <w:tcW w:w="911" w:type="pct"/>
                <w:tcBorders>
                  <w:top w:val="single" w:color="auto" w:sz="4" w:space="0"/>
                  <w:left w:val="single" w:color="auto" w:sz="4" w:space="0"/>
                  <w:bottom w:val="single" w:color="auto" w:sz="4" w:space="0"/>
                  <w:right w:val="single" w:color="auto" w:sz="4" w:space="0"/>
                </w:tcBorders>
                <w:vAlign w:val="center"/>
              </w:tcPr>
              <w:p w14:paraId="28906802">
                <w:pPr>
                  <w:jc w:val="right"/>
                  <w:rPr>
                    <w:rFonts w:cs="Times New Roman"/>
                  </w:rPr>
                </w:pPr>
                <w:r>
                  <w:rPr>
                    <w:rFonts w:cs="Times New Roman"/>
                  </w:rPr>
                  <w:t>17,599,308.22</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2052995971"/>
          <w:placeholder>
            <w:docPart w:val="{6c593e68-85c9-4f50-8d3d-b8d1bf426658}"/>
          </w:placeholder>
        </w:sdtPr>
        <w:sdtEndPr>
          <w:rPr>
            <w:rFonts w:cs="Times New Roman"/>
            <w:color w:val="000000" w:themeColor="text1"/>
            <w14:textFill>
              <w14:solidFill>
                <w14:schemeClr w14:val="tx1"/>
              </w14:solidFill>
            </w14:textFill>
          </w:rPr>
        </w:sdtEndPr>
        <w:sdtContent>
          <w:tr w14:paraId="354F7F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3C52A4C6">
                <w:pPr>
                  <w:rPr>
                    <w:rFonts w:cs="Times New Roman"/>
                  </w:rPr>
                </w:pPr>
                <w:r>
                  <w:rPr>
                    <w:rFonts w:cs="Times New Roman"/>
                  </w:rPr>
                  <w:t>武汉汉江资产运营有限公司</w:t>
                </w:r>
              </w:p>
            </w:tc>
            <w:tc>
              <w:tcPr>
                <w:tcW w:w="766" w:type="pct"/>
                <w:tcBorders>
                  <w:top w:val="single" w:color="auto" w:sz="4" w:space="0"/>
                  <w:left w:val="single" w:color="auto" w:sz="4" w:space="0"/>
                  <w:bottom w:val="single" w:color="auto" w:sz="4" w:space="0"/>
                  <w:right w:val="single" w:color="auto" w:sz="4" w:space="0"/>
                </w:tcBorders>
              </w:tcPr>
              <w:p w14:paraId="22AB45BA">
                <w:pPr>
                  <w:jc w:val="center"/>
                  <w:rPr>
                    <w:rFonts w:cs="Times New Roman"/>
                  </w:rPr>
                </w:pPr>
                <w:r>
                  <w:rPr>
                    <w:rFonts w:cs="Times New Roman"/>
                  </w:rPr>
                  <w:t>提供劳务</w:t>
                </w:r>
              </w:p>
            </w:tc>
            <w:tc>
              <w:tcPr>
                <w:tcW w:w="809" w:type="pct"/>
                <w:tcBorders>
                  <w:top w:val="single" w:color="auto" w:sz="4" w:space="0"/>
                  <w:left w:val="single" w:color="auto" w:sz="4" w:space="0"/>
                  <w:bottom w:val="single" w:color="auto" w:sz="4" w:space="0"/>
                  <w:right w:val="single" w:color="auto" w:sz="4" w:space="0"/>
                </w:tcBorders>
                <w:vAlign w:val="center"/>
              </w:tcPr>
              <w:p w14:paraId="51DD8DAE">
                <w:pPr>
                  <w:jc w:val="right"/>
                  <w:rPr>
                    <w:rFonts w:cs="Times New Roman"/>
                  </w:rPr>
                </w:pPr>
                <w:r>
                  <w:rPr>
                    <w:rFonts w:cs="Times New Roman"/>
                  </w:rPr>
                  <w:t>1,509,433.96</w:t>
                </w:r>
              </w:p>
            </w:tc>
            <w:tc>
              <w:tcPr>
                <w:tcW w:w="911" w:type="pct"/>
                <w:tcBorders>
                  <w:top w:val="single" w:color="auto" w:sz="4" w:space="0"/>
                  <w:left w:val="single" w:color="auto" w:sz="4" w:space="0"/>
                  <w:bottom w:val="single" w:color="auto" w:sz="4" w:space="0"/>
                  <w:right w:val="single" w:color="auto" w:sz="4" w:space="0"/>
                </w:tcBorders>
                <w:vAlign w:val="center"/>
              </w:tcPr>
              <w:p w14:paraId="57C01B35">
                <w:pPr>
                  <w:jc w:val="right"/>
                  <w:rPr>
                    <w:rFonts w:cs="Times New Roman"/>
                  </w:rPr>
                </w:pP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484965577"/>
          <w:placeholder>
            <w:docPart w:val="{6c593e68-85c9-4f50-8d3d-b8d1bf426658}"/>
          </w:placeholder>
        </w:sdtPr>
        <w:sdtEndPr>
          <w:rPr>
            <w:rFonts w:cs="Times New Roman"/>
            <w:color w:val="000000" w:themeColor="text1"/>
            <w14:textFill>
              <w14:solidFill>
                <w14:schemeClr w14:val="tx1"/>
              </w14:solidFill>
            </w14:textFill>
          </w:rPr>
        </w:sdtEndPr>
        <w:sdtContent>
          <w:tr w14:paraId="671A9B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5BE105E2">
                <w:pPr>
                  <w:rPr>
                    <w:rFonts w:cs="Times New Roman"/>
                  </w:rPr>
                </w:pPr>
                <w:r>
                  <w:rPr>
                    <w:rFonts w:cs="Times New Roman"/>
                  </w:rPr>
                  <w:t>新兴际华（北京）智能装备技术研究院有限公司</w:t>
                </w:r>
              </w:p>
            </w:tc>
            <w:tc>
              <w:tcPr>
                <w:tcW w:w="766" w:type="pct"/>
                <w:tcBorders>
                  <w:top w:val="single" w:color="auto" w:sz="4" w:space="0"/>
                  <w:left w:val="single" w:color="auto" w:sz="4" w:space="0"/>
                  <w:bottom w:val="single" w:color="auto" w:sz="4" w:space="0"/>
                  <w:right w:val="single" w:color="auto" w:sz="4" w:space="0"/>
                </w:tcBorders>
              </w:tcPr>
              <w:p w14:paraId="639CA930">
                <w:pPr>
                  <w:jc w:val="center"/>
                  <w:rPr>
                    <w:rFonts w:cs="Times New Roman"/>
                  </w:rPr>
                </w:pPr>
                <w:r>
                  <w:rPr>
                    <w:rFonts w:cs="Times New Roman"/>
                  </w:rPr>
                  <w:t>提供劳务</w:t>
                </w:r>
              </w:p>
            </w:tc>
            <w:tc>
              <w:tcPr>
                <w:tcW w:w="809" w:type="pct"/>
                <w:tcBorders>
                  <w:top w:val="single" w:color="auto" w:sz="4" w:space="0"/>
                  <w:left w:val="single" w:color="auto" w:sz="4" w:space="0"/>
                  <w:bottom w:val="single" w:color="auto" w:sz="4" w:space="0"/>
                  <w:right w:val="single" w:color="auto" w:sz="4" w:space="0"/>
                </w:tcBorders>
                <w:vAlign w:val="center"/>
              </w:tcPr>
              <w:p w14:paraId="4C9EF1FD">
                <w:pPr>
                  <w:jc w:val="right"/>
                  <w:rPr>
                    <w:rFonts w:cs="Times New Roman"/>
                  </w:rPr>
                </w:pPr>
                <w:r>
                  <w:rPr>
                    <w:rFonts w:cs="Times New Roman"/>
                  </w:rPr>
                  <w:t>199,497.35</w:t>
                </w:r>
              </w:p>
            </w:tc>
            <w:tc>
              <w:tcPr>
                <w:tcW w:w="911" w:type="pct"/>
                <w:tcBorders>
                  <w:top w:val="single" w:color="auto" w:sz="4" w:space="0"/>
                  <w:left w:val="single" w:color="auto" w:sz="4" w:space="0"/>
                  <w:bottom w:val="single" w:color="auto" w:sz="4" w:space="0"/>
                  <w:right w:val="single" w:color="auto" w:sz="4" w:space="0"/>
                </w:tcBorders>
                <w:vAlign w:val="center"/>
              </w:tcPr>
              <w:p w14:paraId="6E181719">
                <w:pPr>
                  <w:jc w:val="right"/>
                  <w:rPr>
                    <w:rFonts w:cs="Times New Roman"/>
                  </w:rPr>
                </w:pPr>
                <w:r>
                  <w:rPr>
                    <w:rFonts w:cs="Times New Roman"/>
                  </w:rPr>
                  <w:t>74,402.60</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789934861"/>
          <w:placeholder>
            <w:docPart w:val="{6c593e68-85c9-4f50-8d3d-b8d1bf426658}"/>
          </w:placeholder>
        </w:sdtPr>
        <w:sdtEndPr>
          <w:rPr>
            <w:rFonts w:cs="Times New Roman"/>
            <w:color w:val="000000" w:themeColor="text1"/>
            <w14:textFill>
              <w14:solidFill>
                <w14:schemeClr w14:val="tx1"/>
              </w14:solidFill>
            </w14:textFill>
          </w:rPr>
        </w:sdtEndPr>
        <w:sdtContent>
          <w:tr w14:paraId="733A29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6178323F">
                <w:pPr>
                  <w:rPr>
                    <w:rFonts w:cs="Times New Roman"/>
                  </w:rPr>
                </w:pPr>
                <w:r>
                  <w:rPr>
                    <w:rFonts w:cs="Times New Roman"/>
                  </w:rPr>
                  <w:t>湖北三六一一特种装备有限责任公司</w:t>
                </w:r>
              </w:p>
            </w:tc>
            <w:tc>
              <w:tcPr>
                <w:tcW w:w="766" w:type="pct"/>
                <w:tcBorders>
                  <w:top w:val="single" w:color="auto" w:sz="4" w:space="0"/>
                  <w:left w:val="single" w:color="auto" w:sz="4" w:space="0"/>
                  <w:bottom w:val="single" w:color="auto" w:sz="4" w:space="0"/>
                  <w:right w:val="single" w:color="auto" w:sz="4" w:space="0"/>
                </w:tcBorders>
              </w:tcPr>
              <w:p w14:paraId="071716EC">
                <w:pPr>
                  <w:jc w:val="center"/>
                  <w:rPr>
                    <w:rFonts w:cs="Times New Roman"/>
                  </w:rPr>
                </w:pPr>
                <w:r>
                  <w:rPr>
                    <w:rFonts w:cs="Times New Roman"/>
                  </w:rPr>
                  <w:t>提供劳务</w:t>
                </w:r>
              </w:p>
            </w:tc>
            <w:tc>
              <w:tcPr>
                <w:tcW w:w="809" w:type="pct"/>
                <w:tcBorders>
                  <w:top w:val="single" w:color="auto" w:sz="4" w:space="0"/>
                  <w:left w:val="single" w:color="auto" w:sz="4" w:space="0"/>
                  <w:bottom w:val="single" w:color="auto" w:sz="4" w:space="0"/>
                  <w:right w:val="single" w:color="auto" w:sz="4" w:space="0"/>
                </w:tcBorders>
                <w:vAlign w:val="center"/>
              </w:tcPr>
              <w:p w14:paraId="06DBA1C0">
                <w:pPr>
                  <w:jc w:val="right"/>
                  <w:rPr>
                    <w:rFonts w:cs="Times New Roman"/>
                  </w:rPr>
                </w:pPr>
                <w:r>
                  <w:rPr>
                    <w:rFonts w:cs="Times New Roman"/>
                  </w:rPr>
                  <w:t>194,716.98</w:t>
                </w:r>
              </w:p>
            </w:tc>
            <w:tc>
              <w:tcPr>
                <w:tcW w:w="911" w:type="pct"/>
                <w:tcBorders>
                  <w:top w:val="single" w:color="auto" w:sz="4" w:space="0"/>
                  <w:left w:val="single" w:color="auto" w:sz="4" w:space="0"/>
                  <w:bottom w:val="single" w:color="auto" w:sz="4" w:space="0"/>
                  <w:right w:val="single" w:color="auto" w:sz="4" w:space="0"/>
                </w:tcBorders>
                <w:vAlign w:val="center"/>
              </w:tcPr>
              <w:p w14:paraId="34F2AC83">
                <w:pPr>
                  <w:jc w:val="right"/>
                  <w:rPr>
                    <w:rFonts w:cs="Times New Roman"/>
                  </w:rPr>
                </w:pP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664901143"/>
          <w:placeholder>
            <w:docPart w:val="{6c593e68-85c9-4f50-8d3d-b8d1bf426658}"/>
          </w:placeholder>
        </w:sdtPr>
        <w:sdtEndPr>
          <w:rPr>
            <w:rFonts w:cs="Times New Roman"/>
            <w:color w:val="000000" w:themeColor="text1"/>
            <w14:textFill>
              <w14:solidFill>
                <w14:schemeClr w14:val="tx1"/>
              </w14:solidFill>
            </w14:textFill>
          </w:rPr>
        </w:sdtEndPr>
        <w:sdtContent>
          <w:tr w14:paraId="320BF5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611A8225">
                <w:pPr>
                  <w:rPr>
                    <w:rFonts w:cs="Times New Roman"/>
                  </w:rPr>
                </w:pPr>
                <w:r>
                  <w:rPr>
                    <w:rFonts w:cs="Times New Roman"/>
                  </w:rPr>
                  <w:t>新兴际华科技（天津）有限公司</w:t>
                </w:r>
              </w:p>
            </w:tc>
            <w:tc>
              <w:tcPr>
                <w:tcW w:w="766" w:type="pct"/>
                <w:tcBorders>
                  <w:top w:val="single" w:color="auto" w:sz="4" w:space="0"/>
                  <w:left w:val="single" w:color="auto" w:sz="4" w:space="0"/>
                  <w:bottom w:val="single" w:color="auto" w:sz="4" w:space="0"/>
                  <w:right w:val="single" w:color="auto" w:sz="4" w:space="0"/>
                </w:tcBorders>
              </w:tcPr>
              <w:p w14:paraId="010075FA">
                <w:pPr>
                  <w:jc w:val="center"/>
                  <w:rPr>
                    <w:rFonts w:cs="Times New Roman"/>
                  </w:rPr>
                </w:pPr>
                <w:r>
                  <w:rPr>
                    <w:rFonts w:cs="Times New Roman"/>
                  </w:rPr>
                  <w:t>提供劳务</w:t>
                </w:r>
              </w:p>
            </w:tc>
            <w:tc>
              <w:tcPr>
                <w:tcW w:w="809" w:type="pct"/>
                <w:tcBorders>
                  <w:top w:val="single" w:color="auto" w:sz="4" w:space="0"/>
                  <w:left w:val="single" w:color="auto" w:sz="4" w:space="0"/>
                  <w:bottom w:val="single" w:color="auto" w:sz="4" w:space="0"/>
                  <w:right w:val="single" w:color="auto" w:sz="4" w:space="0"/>
                </w:tcBorders>
                <w:vAlign w:val="center"/>
              </w:tcPr>
              <w:p w14:paraId="2C8376BF">
                <w:pPr>
                  <w:jc w:val="right"/>
                  <w:rPr>
                    <w:rFonts w:cs="Times New Roman"/>
                  </w:rPr>
                </w:pPr>
                <w:r>
                  <w:rPr>
                    <w:rFonts w:cs="Times New Roman"/>
                  </w:rPr>
                  <w:t>166,851.26</w:t>
                </w:r>
              </w:p>
            </w:tc>
            <w:tc>
              <w:tcPr>
                <w:tcW w:w="911" w:type="pct"/>
                <w:tcBorders>
                  <w:top w:val="single" w:color="auto" w:sz="4" w:space="0"/>
                  <w:left w:val="single" w:color="auto" w:sz="4" w:space="0"/>
                  <w:bottom w:val="single" w:color="auto" w:sz="4" w:space="0"/>
                  <w:right w:val="single" w:color="auto" w:sz="4" w:space="0"/>
                </w:tcBorders>
                <w:vAlign w:val="center"/>
              </w:tcPr>
              <w:p w14:paraId="55B71F56">
                <w:pPr>
                  <w:jc w:val="right"/>
                  <w:rPr>
                    <w:rFonts w:cs="Times New Roman"/>
                  </w:rPr>
                </w:pP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316034715"/>
          <w:placeholder>
            <w:docPart w:val="{6c593e68-85c9-4f50-8d3d-b8d1bf426658}"/>
          </w:placeholder>
        </w:sdtPr>
        <w:sdtEndPr>
          <w:rPr>
            <w:rFonts w:cs="Times New Roman"/>
            <w:color w:val="000000" w:themeColor="text1"/>
            <w14:textFill>
              <w14:solidFill>
                <w14:schemeClr w14:val="tx1"/>
              </w14:solidFill>
            </w14:textFill>
          </w:rPr>
        </w:sdtEndPr>
        <w:sdtContent>
          <w:tr w14:paraId="4A1F96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5AE4923A">
                <w:pPr>
                  <w:rPr>
                    <w:rFonts w:cs="Times New Roman"/>
                  </w:rPr>
                </w:pPr>
                <w:r>
                  <w:rPr>
                    <w:rFonts w:cs="Times New Roman"/>
                  </w:rPr>
                  <w:t>新兴际华（上海）工程科技研究院有限公司</w:t>
                </w:r>
              </w:p>
            </w:tc>
            <w:tc>
              <w:tcPr>
                <w:tcW w:w="766" w:type="pct"/>
                <w:tcBorders>
                  <w:top w:val="single" w:color="auto" w:sz="4" w:space="0"/>
                  <w:left w:val="single" w:color="auto" w:sz="4" w:space="0"/>
                  <w:bottom w:val="single" w:color="auto" w:sz="4" w:space="0"/>
                  <w:right w:val="single" w:color="auto" w:sz="4" w:space="0"/>
                </w:tcBorders>
              </w:tcPr>
              <w:p w14:paraId="08D9D568">
                <w:pPr>
                  <w:jc w:val="center"/>
                  <w:rPr>
                    <w:rFonts w:cs="Times New Roman"/>
                  </w:rPr>
                </w:pPr>
                <w:r>
                  <w:rPr>
                    <w:rFonts w:cs="Times New Roman"/>
                  </w:rPr>
                  <w:t>提供劳务</w:t>
                </w:r>
              </w:p>
            </w:tc>
            <w:tc>
              <w:tcPr>
                <w:tcW w:w="809" w:type="pct"/>
                <w:tcBorders>
                  <w:top w:val="single" w:color="auto" w:sz="4" w:space="0"/>
                  <w:left w:val="single" w:color="auto" w:sz="4" w:space="0"/>
                  <w:bottom w:val="single" w:color="auto" w:sz="4" w:space="0"/>
                  <w:right w:val="single" w:color="auto" w:sz="4" w:space="0"/>
                </w:tcBorders>
                <w:vAlign w:val="center"/>
              </w:tcPr>
              <w:p w14:paraId="393C4381">
                <w:pPr>
                  <w:jc w:val="right"/>
                  <w:rPr>
                    <w:rFonts w:cs="Times New Roman"/>
                  </w:rPr>
                </w:pPr>
                <w:r>
                  <w:rPr>
                    <w:rFonts w:hint="eastAsia" w:cs="Times New Roman"/>
                  </w:rPr>
                  <w:t>107,541.55</w:t>
                </w:r>
              </w:p>
            </w:tc>
            <w:tc>
              <w:tcPr>
                <w:tcW w:w="911" w:type="pct"/>
                <w:tcBorders>
                  <w:top w:val="single" w:color="auto" w:sz="4" w:space="0"/>
                  <w:left w:val="single" w:color="auto" w:sz="4" w:space="0"/>
                  <w:bottom w:val="single" w:color="auto" w:sz="4" w:space="0"/>
                  <w:right w:val="single" w:color="auto" w:sz="4" w:space="0"/>
                </w:tcBorders>
                <w:vAlign w:val="center"/>
              </w:tcPr>
              <w:p w14:paraId="26D09520">
                <w:pPr>
                  <w:jc w:val="right"/>
                  <w:rPr>
                    <w:rFonts w:cs="Times New Roman"/>
                  </w:rPr>
                </w:pP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933767751"/>
          <w:placeholder>
            <w:docPart w:val="{6c593e68-85c9-4f50-8d3d-b8d1bf426658}"/>
          </w:placeholder>
        </w:sdtPr>
        <w:sdtEndPr>
          <w:rPr>
            <w:rFonts w:cs="Times New Roman"/>
            <w:color w:val="000000" w:themeColor="text1"/>
            <w14:textFill>
              <w14:solidFill>
                <w14:schemeClr w14:val="tx1"/>
              </w14:solidFill>
            </w14:textFill>
          </w:rPr>
        </w:sdtEndPr>
        <w:sdtContent>
          <w:tr w14:paraId="7A8C17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367A6CBE">
                <w:pPr>
                  <w:rPr>
                    <w:rFonts w:cs="Times New Roman"/>
                  </w:rPr>
                </w:pPr>
                <w:r>
                  <w:rPr>
                    <w:rFonts w:cs="Times New Roman"/>
                  </w:rPr>
                  <w:t>石家庄际华资产管理有限公司</w:t>
                </w:r>
              </w:p>
            </w:tc>
            <w:tc>
              <w:tcPr>
                <w:tcW w:w="766" w:type="pct"/>
                <w:tcBorders>
                  <w:top w:val="single" w:color="auto" w:sz="4" w:space="0"/>
                  <w:left w:val="single" w:color="auto" w:sz="4" w:space="0"/>
                  <w:bottom w:val="single" w:color="auto" w:sz="4" w:space="0"/>
                  <w:right w:val="single" w:color="auto" w:sz="4" w:space="0"/>
                </w:tcBorders>
              </w:tcPr>
              <w:p w14:paraId="2977D956">
                <w:pPr>
                  <w:jc w:val="center"/>
                  <w:rPr>
                    <w:rFonts w:cs="Times New Roman"/>
                  </w:rPr>
                </w:pPr>
                <w:r>
                  <w:rPr>
                    <w:rFonts w:cs="Times New Roman"/>
                  </w:rPr>
                  <w:t>提供劳务</w:t>
                </w:r>
              </w:p>
            </w:tc>
            <w:tc>
              <w:tcPr>
                <w:tcW w:w="809" w:type="pct"/>
                <w:tcBorders>
                  <w:top w:val="single" w:color="auto" w:sz="4" w:space="0"/>
                  <w:left w:val="single" w:color="auto" w:sz="4" w:space="0"/>
                  <w:bottom w:val="single" w:color="auto" w:sz="4" w:space="0"/>
                  <w:right w:val="single" w:color="auto" w:sz="4" w:space="0"/>
                </w:tcBorders>
                <w:vAlign w:val="center"/>
              </w:tcPr>
              <w:p w14:paraId="7CE26151">
                <w:pPr>
                  <w:jc w:val="right"/>
                  <w:rPr>
                    <w:rFonts w:cs="Times New Roman"/>
                  </w:rPr>
                </w:pPr>
                <w:r>
                  <w:rPr>
                    <w:rFonts w:cs="Times New Roman"/>
                  </w:rPr>
                  <w:t>4,716.98</w:t>
                </w:r>
              </w:p>
            </w:tc>
            <w:tc>
              <w:tcPr>
                <w:tcW w:w="911" w:type="pct"/>
                <w:tcBorders>
                  <w:top w:val="single" w:color="auto" w:sz="4" w:space="0"/>
                  <w:left w:val="single" w:color="auto" w:sz="4" w:space="0"/>
                  <w:bottom w:val="single" w:color="auto" w:sz="4" w:space="0"/>
                  <w:right w:val="single" w:color="auto" w:sz="4" w:space="0"/>
                </w:tcBorders>
                <w:vAlign w:val="center"/>
              </w:tcPr>
              <w:p w14:paraId="20CF8635">
                <w:pPr>
                  <w:jc w:val="right"/>
                  <w:rPr>
                    <w:rFonts w:cs="Times New Roman"/>
                  </w:rPr>
                </w:pPr>
                <w:r>
                  <w:rPr>
                    <w:rFonts w:cs="Times New Roman"/>
                  </w:rPr>
                  <w:t>1,016,849.62</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028715824"/>
          <w:placeholder>
            <w:docPart w:val="{6c593e68-85c9-4f50-8d3d-b8d1bf426658}"/>
          </w:placeholder>
        </w:sdtPr>
        <w:sdtEndPr>
          <w:rPr>
            <w:rFonts w:cs="Times New Roman"/>
            <w:color w:val="000000" w:themeColor="text1"/>
            <w14:textFill>
              <w14:solidFill>
                <w14:schemeClr w14:val="tx1"/>
              </w14:solidFill>
            </w14:textFill>
          </w:rPr>
        </w:sdtEndPr>
        <w:sdtContent>
          <w:tr w14:paraId="0AC19C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41F97CD7">
                <w:pPr>
                  <w:rPr>
                    <w:rFonts w:cs="Times New Roman"/>
                  </w:rPr>
                </w:pPr>
                <w:r>
                  <w:rPr>
                    <w:rFonts w:cs="Times New Roman"/>
                  </w:rPr>
                  <w:t>新兴际华（北京）材料技术研究院有限公司</w:t>
                </w:r>
              </w:p>
            </w:tc>
            <w:tc>
              <w:tcPr>
                <w:tcW w:w="766" w:type="pct"/>
                <w:tcBorders>
                  <w:top w:val="single" w:color="auto" w:sz="4" w:space="0"/>
                  <w:left w:val="single" w:color="auto" w:sz="4" w:space="0"/>
                  <w:bottom w:val="single" w:color="auto" w:sz="4" w:space="0"/>
                  <w:right w:val="single" w:color="auto" w:sz="4" w:space="0"/>
                </w:tcBorders>
              </w:tcPr>
              <w:p w14:paraId="643B0B2B">
                <w:pPr>
                  <w:jc w:val="center"/>
                  <w:rPr>
                    <w:rFonts w:cs="Times New Roman"/>
                  </w:rPr>
                </w:pPr>
                <w:r>
                  <w:rPr>
                    <w:rFonts w:cs="Times New Roman"/>
                  </w:rPr>
                  <w:t>提供劳务</w:t>
                </w:r>
              </w:p>
            </w:tc>
            <w:tc>
              <w:tcPr>
                <w:tcW w:w="809" w:type="pct"/>
                <w:tcBorders>
                  <w:top w:val="single" w:color="auto" w:sz="4" w:space="0"/>
                  <w:left w:val="single" w:color="auto" w:sz="4" w:space="0"/>
                  <w:bottom w:val="single" w:color="auto" w:sz="4" w:space="0"/>
                  <w:right w:val="single" w:color="auto" w:sz="4" w:space="0"/>
                </w:tcBorders>
                <w:vAlign w:val="center"/>
              </w:tcPr>
              <w:p w14:paraId="17F0004F">
                <w:pPr>
                  <w:jc w:val="right"/>
                  <w:rPr>
                    <w:rFonts w:cs="Times New Roman"/>
                  </w:rPr>
                </w:pPr>
              </w:p>
            </w:tc>
            <w:tc>
              <w:tcPr>
                <w:tcW w:w="911" w:type="pct"/>
                <w:tcBorders>
                  <w:top w:val="single" w:color="auto" w:sz="4" w:space="0"/>
                  <w:left w:val="single" w:color="auto" w:sz="4" w:space="0"/>
                  <w:bottom w:val="single" w:color="auto" w:sz="4" w:space="0"/>
                  <w:right w:val="single" w:color="auto" w:sz="4" w:space="0"/>
                </w:tcBorders>
                <w:vAlign w:val="center"/>
              </w:tcPr>
              <w:p w14:paraId="54A02A69">
                <w:pPr>
                  <w:jc w:val="right"/>
                  <w:rPr>
                    <w:rFonts w:cs="Times New Roman"/>
                  </w:rPr>
                </w:pPr>
                <w:r>
                  <w:rPr>
                    <w:rFonts w:cs="Times New Roman"/>
                  </w:rPr>
                  <w:t>34,105.20</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95737690"/>
          <w:placeholder>
            <w:docPart w:val="{6c593e68-85c9-4f50-8d3d-b8d1bf426658}"/>
          </w:placeholder>
        </w:sdtPr>
        <w:sdtEndPr>
          <w:rPr>
            <w:rFonts w:cs="Times New Roman"/>
            <w:color w:val="000000" w:themeColor="text1"/>
            <w14:textFill>
              <w14:solidFill>
                <w14:schemeClr w14:val="tx1"/>
              </w14:solidFill>
            </w14:textFill>
          </w:rPr>
        </w:sdtEndPr>
        <w:sdtContent>
          <w:tr w14:paraId="7FAB9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205CAFF8">
                <w:pPr>
                  <w:rPr>
                    <w:rFonts w:cs="Times New Roman"/>
                  </w:rPr>
                </w:pPr>
                <w:r>
                  <w:rPr>
                    <w:rFonts w:cs="Times New Roman"/>
                  </w:rPr>
                  <w:t>南京英斯瑞德高分子材料股份有限公司</w:t>
                </w:r>
              </w:p>
            </w:tc>
            <w:tc>
              <w:tcPr>
                <w:tcW w:w="766" w:type="pct"/>
                <w:tcBorders>
                  <w:top w:val="single" w:color="auto" w:sz="4" w:space="0"/>
                  <w:left w:val="single" w:color="auto" w:sz="4" w:space="0"/>
                  <w:bottom w:val="single" w:color="auto" w:sz="4" w:space="0"/>
                  <w:right w:val="single" w:color="auto" w:sz="4" w:space="0"/>
                </w:tcBorders>
              </w:tcPr>
              <w:p w14:paraId="1D8FC0B3">
                <w:pPr>
                  <w:jc w:val="center"/>
                  <w:rPr>
                    <w:rFonts w:cs="Times New Roman"/>
                  </w:rPr>
                </w:pPr>
                <w:r>
                  <w:rPr>
                    <w:rFonts w:cs="Times New Roman"/>
                  </w:rPr>
                  <w:t>提供劳务</w:t>
                </w:r>
              </w:p>
            </w:tc>
            <w:tc>
              <w:tcPr>
                <w:tcW w:w="809" w:type="pct"/>
                <w:tcBorders>
                  <w:top w:val="single" w:color="auto" w:sz="4" w:space="0"/>
                  <w:left w:val="single" w:color="auto" w:sz="4" w:space="0"/>
                  <w:bottom w:val="single" w:color="auto" w:sz="4" w:space="0"/>
                  <w:right w:val="single" w:color="auto" w:sz="4" w:space="0"/>
                </w:tcBorders>
                <w:vAlign w:val="center"/>
              </w:tcPr>
              <w:p w14:paraId="51E710CF">
                <w:pPr>
                  <w:jc w:val="right"/>
                  <w:rPr>
                    <w:rFonts w:cs="Times New Roman"/>
                  </w:rPr>
                </w:pPr>
              </w:p>
            </w:tc>
            <w:tc>
              <w:tcPr>
                <w:tcW w:w="911" w:type="pct"/>
                <w:tcBorders>
                  <w:top w:val="single" w:color="auto" w:sz="4" w:space="0"/>
                  <w:left w:val="single" w:color="auto" w:sz="4" w:space="0"/>
                  <w:bottom w:val="single" w:color="auto" w:sz="4" w:space="0"/>
                  <w:right w:val="single" w:color="auto" w:sz="4" w:space="0"/>
                </w:tcBorders>
                <w:vAlign w:val="center"/>
              </w:tcPr>
              <w:p w14:paraId="3B11B7A2">
                <w:pPr>
                  <w:jc w:val="right"/>
                  <w:rPr>
                    <w:rFonts w:cs="Times New Roman"/>
                  </w:rPr>
                </w:pPr>
                <w:r>
                  <w:rPr>
                    <w:rFonts w:cs="Times New Roman"/>
                  </w:rPr>
                  <w:t>9,433.96</w:t>
                </w: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1187520150"/>
          <w:placeholder>
            <w:docPart w:val="{6c593e68-85c9-4f50-8d3d-b8d1bf426658}"/>
          </w:placeholder>
        </w:sdtPr>
        <w:sdtEndPr>
          <w:rPr>
            <w:rFonts w:cs="Times New Roman"/>
            <w:color w:val="000000" w:themeColor="text1"/>
            <w14:textFill>
              <w14:solidFill>
                <w14:schemeClr w14:val="tx1"/>
              </w14:solidFill>
            </w14:textFill>
          </w:rPr>
        </w:sdtEndPr>
        <w:sdtContent>
          <w:tr w14:paraId="009E75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117D4822">
                <w:pPr>
                  <w:rPr>
                    <w:rFonts w:cs="Times New Roman"/>
                  </w:rPr>
                </w:pPr>
                <w:r>
                  <w:rPr>
                    <w:rFonts w:cs="Times New Roman"/>
                  </w:rPr>
                  <w:t>新兴际华投资有限公司</w:t>
                </w:r>
              </w:p>
            </w:tc>
            <w:tc>
              <w:tcPr>
                <w:tcW w:w="766" w:type="pct"/>
                <w:tcBorders>
                  <w:top w:val="single" w:color="auto" w:sz="4" w:space="0"/>
                  <w:left w:val="single" w:color="auto" w:sz="4" w:space="0"/>
                  <w:bottom w:val="single" w:color="auto" w:sz="4" w:space="0"/>
                  <w:right w:val="single" w:color="auto" w:sz="4" w:space="0"/>
                </w:tcBorders>
              </w:tcPr>
              <w:p w14:paraId="692237E0">
                <w:pPr>
                  <w:jc w:val="center"/>
                  <w:rPr>
                    <w:rFonts w:cs="Times New Roman"/>
                  </w:rPr>
                </w:pPr>
                <w:r>
                  <w:rPr>
                    <w:rFonts w:cs="Times New Roman"/>
                  </w:rPr>
                  <w:t>提供劳务</w:t>
                </w:r>
              </w:p>
            </w:tc>
            <w:tc>
              <w:tcPr>
                <w:tcW w:w="809" w:type="pct"/>
                <w:tcBorders>
                  <w:top w:val="single" w:color="auto" w:sz="4" w:space="0"/>
                  <w:left w:val="single" w:color="auto" w:sz="4" w:space="0"/>
                  <w:bottom w:val="single" w:color="auto" w:sz="4" w:space="0"/>
                  <w:right w:val="single" w:color="auto" w:sz="4" w:space="0"/>
                </w:tcBorders>
                <w:vAlign w:val="center"/>
              </w:tcPr>
              <w:p w14:paraId="3451D150">
                <w:pPr>
                  <w:jc w:val="right"/>
                  <w:rPr>
                    <w:rFonts w:cs="Times New Roman"/>
                  </w:rPr>
                </w:pPr>
              </w:p>
            </w:tc>
            <w:tc>
              <w:tcPr>
                <w:tcW w:w="911" w:type="pct"/>
                <w:tcBorders>
                  <w:top w:val="single" w:color="auto" w:sz="4" w:space="0"/>
                  <w:left w:val="single" w:color="auto" w:sz="4" w:space="0"/>
                  <w:bottom w:val="single" w:color="auto" w:sz="4" w:space="0"/>
                  <w:right w:val="single" w:color="auto" w:sz="4" w:space="0"/>
                </w:tcBorders>
                <w:vAlign w:val="center"/>
              </w:tcPr>
              <w:p w14:paraId="17A44126">
                <w:pPr>
                  <w:jc w:val="right"/>
                  <w:rPr>
                    <w:rFonts w:cs="Times New Roman"/>
                  </w:rPr>
                </w:pPr>
              </w:p>
            </w:tc>
          </w:tr>
        </w:sdtContent>
      </w:sdt>
      <w:sdt>
        <w:sdtPr>
          <w:rPr>
            <w:rFonts w:cs="Times New Roman"/>
            <w:color w:val="000000" w:themeColor="text1"/>
            <w14:textFill>
              <w14:solidFill>
                <w14:schemeClr w14:val="tx1"/>
              </w14:solidFill>
            </w14:textFill>
          </w:rPr>
          <w:alias w:val="出售商品提供劳务情况明细"/>
          <w:tag w:val="_GBC_d6e24b6ca62645f180ecf5d4621afdc6"/>
          <w:id w:val="214857530"/>
          <w:placeholder>
            <w:docPart w:val="{6c593e68-85c9-4f50-8d3d-b8d1bf426658}"/>
          </w:placeholder>
        </w:sdtPr>
        <w:sdtEndPr>
          <w:rPr>
            <w:rFonts w:cs="Times New Roman"/>
            <w:color w:val="000000" w:themeColor="text1"/>
            <w14:textFill>
              <w14:solidFill>
                <w14:schemeClr w14:val="tx1"/>
              </w14:solidFill>
            </w14:textFill>
          </w:rPr>
        </w:sdtEndPr>
        <w:sdtContent>
          <w:tr w14:paraId="50C9A1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2512" w:type="pct"/>
                <w:tcBorders>
                  <w:top w:val="single" w:color="auto" w:sz="4" w:space="0"/>
                  <w:left w:val="single" w:color="auto" w:sz="4" w:space="0"/>
                  <w:bottom w:val="single" w:color="auto" w:sz="4" w:space="0"/>
                  <w:right w:val="single" w:color="auto" w:sz="4" w:space="0"/>
                </w:tcBorders>
              </w:tcPr>
              <w:p w14:paraId="70CF60D4">
                <w:pPr>
                  <w:rPr>
                    <w:rFonts w:cs="Times New Roman"/>
                  </w:rPr>
                </w:pPr>
                <w:r>
                  <w:rPr>
                    <w:rFonts w:cs="Times New Roman"/>
                  </w:rPr>
                  <w:t>南京新际资产运营有限公司</w:t>
                </w:r>
              </w:p>
            </w:tc>
            <w:tc>
              <w:tcPr>
                <w:tcW w:w="766" w:type="pct"/>
                <w:tcBorders>
                  <w:top w:val="single" w:color="auto" w:sz="4" w:space="0"/>
                  <w:left w:val="single" w:color="auto" w:sz="4" w:space="0"/>
                  <w:bottom w:val="single" w:color="auto" w:sz="4" w:space="0"/>
                  <w:right w:val="single" w:color="auto" w:sz="4" w:space="0"/>
                </w:tcBorders>
              </w:tcPr>
              <w:p w14:paraId="30208EAF">
                <w:pPr>
                  <w:jc w:val="center"/>
                  <w:rPr>
                    <w:rFonts w:cs="Times New Roman"/>
                  </w:rPr>
                </w:pPr>
                <w:r>
                  <w:rPr>
                    <w:rFonts w:cs="Times New Roman"/>
                  </w:rPr>
                  <w:t>提供劳务</w:t>
                </w:r>
              </w:p>
            </w:tc>
            <w:tc>
              <w:tcPr>
                <w:tcW w:w="809" w:type="pct"/>
                <w:tcBorders>
                  <w:top w:val="single" w:color="auto" w:sz="4" w:space="0"/>
                  <w:left w:val="single" w:color="auto" w:sz="4" w:space="0"/>
                  <w:bottom w:val="single" w:color="auto" w:sz="4" w:space="0"/>
                  <w:right w:val="single" w:color="auto" w:sz="4" w:space="0"/>
                </w:tcBorders>
                <w:vAlign w:val="center"/>
              </w:tcPr>
              <w:p w14:paraId="220A69E5">
                <w:pPr>
                  <w:jc w:val="right"/>
                  <w:rPr>
                    <w:rFonts w:cs="Times New Roman"/>
                  </w:rPr>
                </w:pPr>
              </w:p>
            </w:tc>
            <w:tc>
              <w:tcPr>
                <w:tcW w:w="911" w:type="pct"/>
                <w:tcBorders>
                  <w:top w:val="single" w:color="auto" w:sz="4" w:space="0"/>
                  <w:left w:val="single" w:color="auto" w:sz="4" w:space="0"/>
                  <w:bottom w:val="single" w:color="auto" w:sz="4" w:space="0"/>
                  <w:right w:val="single" w:color="auto" w:sz="4" w:space="0"/>
                </w:tcBorders>
                <w:vAlign w:val="center"/>
              </w:tcPr>
              <w:p w14:paraId="3F910867">
                <w:pPr>
                  <w:jc w:val="right"/>
                  <w:rPr>
                    <w:rFonts w:cs="Times New Roman"/>
                  </w:rPr>
                </w:pPr>
                <w:r>
                  <w:rPr>
                    <w:rFonts w:cs="Times New Roman"/>
                  </w:rPr>
                  <w:t>143,045.67</w:t>
                </w:r>
              </w:p>
            </w:tc>
          </w:tr>
        </w:sdtContent>
      </w:sdt>
    </w:tbl>
    <w:p w14:paraId="562A0E57">
      <w:pPr>
        <w:rPr>
          <w:color w:val="000000" w:themeColor="text1"/>
          <w14:textFill>
            <w14:solidFill>
              <w14:schemeClr w14:val="tx1"/>
            </w14:solidFill>
          </w14:textFill>
        </w:rPr>
      </w:pPr>
    </w:p>
    <w:p w14:paraId="749B6CA8">
      <w:pP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购销商品、提供和接受劳务的关联交易说明</w:t>
      </w:r>
    </w:p>
    <w:sdt>
      <w:sdtPr>
        <w:rPr>
          <w:rFonts w:cs="Cambria"/>
          <w:color w:val="000000" w:themeColor="text1"/>
          <w14:textFill>
            <w14:solidFill>
              <w14:schemeClr w14:val="tx1"/>
            </w14:solidFill>
          </w14:textFill>
        </w:rPr>
        <w:alias w:val="是否适用：购销商品、提供和接受劳务的关联交易说明[双击切换]"/>
        <w:tag w:val="_GBC_9ec9e1b38e7f48d89bb7f6441bed1bd1"/>
        <w:id w:val="1139693654"/>
      </w:sdtPr>
      <w:sdtEndPr>
        <w:rPr>
          <w:rFonts w:cs="Cambria"/>
          <w:color w:val="000000" w:themeColor="text1"/>
          <w14:textFill>
            <w14:solidFill>
              <w14:schemeClr w14:val="tx1"/>
            </w14:solidFill>
          </w14:textFill>
        </w:rPr>
      </w:sdtEndPr>
      <w:sdtContent>
        <w:p w14:paraId="2EFE6C45">
          <w:pPr>
            <w:rPr>
              <w:rFonts w:cs="Cambria"/>
              <w:color w:val="000000" w:themeColor="text1"/>
              <w14:textFill>
                <w14:solidFill>
                  <w14:schemeClr w14:val="tx1"/>
                </w14:solidFill>
              </w14:textFill>
            </w:rPr>
          </w:pPr>
          <w:r>
            <w:rPr>
              <w:rFonts w:ascii="宋体" w:hAnsi="宋体" w:cs="Cambria"/>
              <w:color w:val="000000" w:themeColor="text1"/>
              <w14:textFill>
                <w14:solidFill>
                  <w14:schemeClr w14:val="tx1"/>
                </w14:solidFill>
              </w14:textFill>
            </w:rPr>
            <w:fldChar w:fldCharType="begin"/>
          </w:r>
          <w:r>
            <w:rPr>
              <w:rFonts w:hint="eastAsia" w:ascii="宋体" w:hAnsi="宋体" w:cs="Cambria"/>
              <w:color w:val="000000" w:themeColor="text1"/>
              <w14:textFill>
                <w14:solidFill>
                  <w14:schemeClr w14:val="tx1"/>
                </w14:solidFill>
              </w14:textFill>
            </w:rPr>
            <w:instrText xml:space="preserve"> MACROBUTTON SnrToggleCheckbox □适用 </w:instrText>
          </w:r>
          <w:r>
            <w:rPr>
              <w:rFonts w:ascii="宋体" w:hAnsi="宋体" w:cs="Cambria"/>
              <w:color w:val="000000" w:themeColor="text1"/>
              <w14:textFill>
                <w14:solidFill>
                  <w14:schemeClr w14:val="tx1"/>
                </w14:solidFill>
              </w14:textFill>
            </w:rPr>
            <w:fldChar w:fldCharType="end"/>
          </w:r>
          <w:r>
            <w:rPr>
              <w:rFonts w:ascii="宋体" w:hAnsi="宋体" w:cs="Cambria"/>
              <w:color w:val="000000" w:themeColor="text1"/>
              <w14:textFill>
                <w14:solidFill>
                  <w14:schemeClr w14:val="tx1"/>
                </w14:solidFill>
              </w14:textFill>
            </w:rPr>
            <w:fldChar w:fldCharType="begin"/>
          </w:r>
          <w:r>
            <w:rPr>
              <w:rFonts w:hint="eastAsia" w:ascii="宋体" w:hAnsi="宋体" w:cs="Cambria"/>
              <w:color w:val="000000" w:themeColor="text1"/>
              <w14:textFill>
                <w14:solidFill>
                  <w14:schemeClr w14:val="tx1"/>
                </w14:solidFill>
              </w14:textFill>
            </w:rPr>
            <w:instrText xml:space="preserve">MACROBUTTON  SnrToggleCheckbox √不适用 </w:instrText>
          </w:r>
          <w:r>
            <w:rPr>
              <w:rFonts w:ascii="宋体" w:hAnsi="宋体" w:cs="Cambria"/>
              <w:color w:val="000000" w:themeColor="text1"/>
              <w14:textFill>
                <w14:solidFill>
                  <w14:schemeClr w14:val="tx1"/>
                </w14:solidFill>
              </w14:textFill>
            </w:rPr>
            <w:fldChar w:fldCharType="end"/>
          </w:r>
        </w:p>
      </w:sdtContent>
    </w:sdt>
    <w:p w14:paraId="0B850A04">
      <w:pPr>
        <w:rPr>
          <w:rFonts w:cs="Cambria"/>
          <w:color w:val="000000" w:themeColor="text1"/>
          <w14:textFill>
            <w14:solidFill>
              <w14:schemeClr w14:val="tx1"/>
            </w14:solidFill>
          </w14:textFill>
        </w:rPr>
      </w:pPr>
    </w:p>
    <w:p w14:paraId="0908C99B">
      <w:pPr>
        <w:pStyle w:val="58"/>
        <w:numPr>
          <w:ilvl w:val="0"/>
          <w:numId w:val="105"/>
        </w:numPr>
        <w:tabs>
          <w:tab w:val="left" w:pos="616"/>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关联受托管理/承包及委托管理/出包情况</w:t>
      </w:r>
    </w:p>
    <w:p w14:paraId="286B5D7E">
      <w:pPr>
        <w:rPr>
          <w:color w:val="000000" w:themeColor="text1"/>
          <w14:textFill>
            <w14:solidFill>
              <w14:schemeClr w14:val="tx1"/>
            </w14:solidFill>
          </w14:textFill>
        </w:rPr>
      </w:pPr>
      <w:r>
        <w:rPr>
          <w:rFonts w:hint="eastAsia"/>
          <w:color w:val="000000" w:themeColor="text1"/>
          <w14:textFill>
            <w14:solidFill>
              <w14:schemeClr w14:val="tx1"/>
            </w14:solidFill>
          </w14:textFill>
        </w:rPr>
        <w:t>本公司受托管理/承包情况表：</w:t>
      </w:r>
    </w:p>
    <w:sdt>
      <w:sdtPr>
        <w:rPr>
          <w:rFonts w:cs="Cambria"/>
          <w:color w:val="000000" w:themeColor="text1"/>
          <w14:textFill>
            <w14:solidFill>
              <w14:schemeClr w14:val="tx1"/>
            </w14:solidFill>
          </w14:textFill>
        </w:rPr>
        <w:alias w:val="是否适用：本公司受托管理或承包情况表[双击切换]"/>
        <w:tag w:val="_GBC_3810b3cad54c4b2f9754e7d6be3e9480"/>
        <w:id w:val="147466748"/>
        <w:placeholder>
          <w:docPart w:val="GBC22222222222222222222222222222"/>
        </w:placeholder>
      </w:sdtPr>
      <w:sdtEndPr>
        <w:rPr>
          <w:rFonts w:cs="Cambria"/>
          <w:color w:val="000000" w:themeColor="text1"/>
          <w14:textFill>
            <w14:solidFill>
              <w14:schemeClr w14:val="tx1"/>
            </w14:solidFill>
          </w14:textFill>
        </w:rPr>
      </w:sdtEndPr>
      <w:sdtContent>
        <w:p w14:paraId="5630F299">
          <w:pPr>
            <w:rPr>
              <w:rFonts w:cs="Cambria"/>
              <w:color w:val="000000" w:themeColor="text1"/>
              <w14:textFill>
                <w14:solidFill>
                  <w14:schemeClr w14:val="tx1"/>
                </w14:solidFill>
              </w14:textFill>
            </w:rPr>
          </w:pPr>
          <w:r>
            <w:rPr>
              <w:rFonts w:ascii="宋体" w:hAnsi="宋体" w:cs="Cambria"/>
              <w:color w:val="000000" w:themeColor="text1"/>
              <w14:textFill>
                <w14:solidFill>
                  <w14:schemeClr w14:val="tx1"/>
                </w14:solidFill>
              </w14:textFill>
            </w:rPr>
            <w:fldChar w:fldCharType="begin"/>
          </w:r>
          <w:r>
            <w:rPr>
              <w:rFonts w:hint="eastAsia" w:ascii="宋体" w:hAnsi="宋体" w:cs="Cambria"/>
              <w:color w:val="000000" w:themeColor="text1"/>
              <w14:textFill>
                <w14:solidFill>
                  <w14:schemeClr w14:val="tx1"/>
                </w14:solidFill>
              </w14:textFill>
            </w:rPr>
            <w:instrText xml:space="preserve"> MACROBUTTON  SnrToggleCheckbox □适用 </w:instrText>
          </w:r>
          <w:r>
            <w:rPr>
              <w:rFonts w:ascii="宋体" w:hAnsi="宋体" w:cs="Cambria"/>
              <w:color w:val="000000" w:themeColor="text1"/>
              <w14:textFill>
                <w14:solidFill>
                  <w14:schemeClr w14:val="tx1"/>
                </w14:solidFill>
              </w14:textFill>
            </w:rPr>
            <w:fldChar w:fldCharType="end"/>
          </w:r>
          <w:r>
            <w:rPr>
              <w:rFonts w:ascii="宋体" w:hAnsi="宋体" w:cs="Cambria"/>
              <w:color w:val="000000" w:themeColor="text1"/>
              <w14:textFill>
                <w14:solidFill>
                  <w14:schemeClr w14:val="tx1"/>
                </w14:solidFill>
              </w14:textFill>
            </w:rPr>
            <w:fldChar w:fldCharType="begin"/>
          </w:r>
          <w:r>
            <w:rPr>
              <w:rFonts w:hint="eastAsia" w:ascii="宋体" w:hAnsi="宋体" w:cs="Cambria"/>
              <w:color w:val="000000" w:themeColor="text1"/>
              <w14:textFill>
                <w14:solidFill>
                  <w14:schemeClr w14:val="tx1"/>
                </w14:solidFill>
              </w14:textFill>
            </w:rPr>
            <w:instrText xml:space="preserve"> MACROBUTTON  SnrToggleCheckbox √不适用 </w:instrText>
          </w:r>
          <w:r>
            <w:rPr>
              <w:rFonts w:ascii="宋体" w:hAnsi="宋体" w:cs="Cambria"/>
              <w:color w:val="000000" w:themeColor="text1"/>
              <w14:textFill>
                <w14:solidFill>
                  <w14:schemeClr w14:val="tx1"/>
                </w14:solidFill>
              </w14:textFill>
            </w:rPr>
            <w:fldChar w:fldCharType="end"/>
          </w:r>
        </w:p>
      </w:sdtContent>
    </w:sdt>
    <w:p w14:paraId="5DB59A21">
      <w:pPr>
        <w:rPr>
          <w:rFonts w:cs="Cambria"/>
          <w:color w:val="000000" w:themeColor="text1"/>
          <w14:textFill>
            <w14:solidFill>
              <w14:schemeClr w14:val="tx1"/>
            </w14:solidFill>
          </w14:textFill>
        </w:rPr>
      </w:pPr>
    </w:p>
    <w:p w14:paraId="1C98C2F0">
      <w:pP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关联托管/承包情况说明</w:t>
      </w:r>
    </w:p>
    <w:sdt>
      <w:sdtPr>
        <w:rPr>
          <w:rFonts w:cs="Cambria"/>
          <w:color w:val="000000" w:themeColor="text1"/>
          <w14:textFill>
            <w14:solidFill>
              <w14:schemeClr w14:val="tx1"/>
            </w14:solidFill>
          </w14:textFill>
        </w:rPr>
        <w:alias w:val="是否适用：关联托管或承包情况说明[双击切换]"/>
        <w:tag w:val="_GBC_42ec6e3170b04610899c528ce7bda003"/>
        <w:id w:val="147465823"/>
        <w:placeholder>
          <w:docPart w:val="GBC22222222222222222222222222222"/>
        </w:placeholder>
      </w:sdtPr>
      <w:sdtEndPr>
        <w:rPr>
          <w:rFonts w:cs="Cambria"/>
          <w:color w:val="000000" w:themeColor="text1"/>
          <w14:textFill>
            <w14:solidFill>
              <w14:schemeClr w14:val="tx1"/>
            </w14:solidFill>
          </w14:textFill>
        </w:rPr>
      </w:sdtEndPr>
      <w:sdtContent>
        <w:p w14:paraId="63C46533">
          <w:pPr>
            <w:rPr>
              <w:rFonts w:cs="Cambria"/>
              <w:color w:val="000000" w:themeColor="text1"/>
              <w14:textFill>
                <w14:solidFill>
                  <w14:schemeClr w14:val="tx1"/>
                </w14:solidFill>
              </w14:textFill>
            </w:rPr>
          </w:pPr>
          <w:r>
            <w:rPr>
              <w:rFonts w:ascii="宋体" w:hAnsi="宋体" w:cs="Cambria"/>
              <w:color w:val="000000" w:themeColor="text1"/>
              <w14:textFill>
                <w14:solidFill>
                  <w14:schemeClr w14:val="tx1"/>
                </w14:solidFill>
              </w14:textFill>
            </w:rPr>
            <w:fldChar w:fldCharType="begin"/>
          </w:r>
          <w:r>
            <w:rPr>
              <w:rFonts w:hint="eastAsia" w:ascii="宋体" w:hAnsi="宋体" w:cs="Cambria"/>
              <w:color w:val="000000" w:themeColor="text1"/>
              <w14:textFill>
                <w14:solidFill>
                  <w14:schemeClr w14:val="tx1"/>
                </w14:solidFill>
              </w14:textFill>
            </w:rPr>
            <w:instrText xml:space="preserve"> MACROBUTTON  SnrToggleCheckbox □适用 </w:instrText>
          </w:r>
          <w:r>
            <w:rPr>
              <w:rFonts w:ascii="宋体" w:hAnsi="宋体" w:cs="Cambria"/>
              <w:color w:val="000000" w:themeColor="text1"/>
              <w14:textFill>
                <w14:solidFill>
                  <w14:schemeClr w14:val="tx1"/>
                </w14:solidFill>
              </w14:textFill>
            </w:rPr>
            <w:fldChar w:fldCharType="end"/>
          </w:r>
          <w:r>
            <w:rPr>
              <w:rFonts w:ascii="宋体" w:hAnsi="宋体" w:cs="Cambria"/>
              <w:color w:val="000000" w:themeColor="text1"/>
              <w14:textFill>
                <w14:solidFill>
                  <w14:schemeClr w14:val="tx1"/>
                </w14:solidFill>
              </w14:textFill>
            </w:rPr>
            <w:fldChar w:fldCharType="begin"/>
          </w:r>
          <w:r>
            <w:rPr>
              <w:rFonts w:hint="eastAsia" w:ascii="宋体" w:hAnsi="宋体" w:cs="Cambria"/>
              <w:color w:val="000000" w:themeColor="text1"/>
              <w14:textFill>
                <w14:solidFill>
                  <w14:schemeClr w14:val="tx1"/>
                </w14:solidFill>
              </w14:textFill>
            </w:rPr>
            <w:instrText xml:space="preserve"> MACROBUTTON  SnrToggleCheckbox √不适用 </w:instrText>
          </w:r>
          <w:r>
            <w:rPr>
              <w:rFonts w:ascii="宋体" w:hAnsi="宋体" w:cs="Cambria"/>
              <w:color w:val="000000" w:themeColor="text1"/>
              <w14:textFill>
                <w14:solidFill>
                  <w14:schemeClr w14:val="tx1"/>
                </w14:solidFill>
              </w14:textFill>
            </w:rPr>
            <w:fldChar w:fldCharType="end"/>
          </w:r>
        </w:p>
      </w:sdtContent>
    </w:sdt>
    <w:p w14:paraId="572E7EE7">
      <w:pPr>
        <w:rPr>
          <w:rFonts w:cs="Cambria"/>
          <w:color w:val="000000" w:themeColor="text1"/>
          <w14:textFill>
            <w14:solidFill>
              <w14:schemeClr w14:val="tx1"/>
            </w14:solidFill>
          </w14:textFill>
        </w:rPr>
      </w:pPr>
    </w:p>
    <w:p w14:paraId="15144052">
      <w:pPr>
        <w:rPr>
          <w:rFonts w:cs="Cambria"/>
          <w:bCs w:val="0"/>
          <w:color w:val="000000" w:themeColor="text1"/>
          <w14:textFill>
            <w14:solidFill>
              <w14:schemeClr w14:val="tx1"/>
            </w14:solidFill>
          </w14:textFill>
        </w:rPr>
      </w:pPr>
      <w:r>
        <w:rPr>
          <w:rFonts w:hint="eastAsia"/>
          <w:color w:val="000000" w:themeColor="text1"/>
          <w14:textFill>
            <w14:solidFill>
              <w14:schemeClr w14:val="tx1"/>
            </w14:solidFill>
          </w14:textFill>
        </w:rPr>
        <w:t>本公司委托管理/出包情况表：</w:t>
      </w:r>
    </w:p>
    <w:sdt>
      <w:sdtPr>
        <w:rPr>
          <w:rFonts w:cs="Cambria"/>
          <w:bCs w:val="0"/>
          <w:color w:val="000000" w:themeColor="text1"/>
          <w14:textFill>
            <w14:solidFill>
              <w14:schemeClr w14:val="tx1"/>
            </w14:solidFill>
          </w14:textFill>
        </w:rPr>
        <w:alias w:val="是否适用：本公司委托管理或出包情况表[双击切换]"/>
        <w:tag w:val="_GBC_37bf111a27194665b76f71bb5418d53c"/>
        <w:id w:val="147459124"/>
        <w:placeholder>
          <w:docPart w:val="GBC22222222222222222222222222222"/>
        </w:placeholder>
      </w:sdtPr>
      <w:sdtEndPr>
        <w:rPr>
          <w:rFonts w:cs="Cambria"/>
          <w:bCs w:val="0"/>
          <w:color w:val="000000" w:themeColor="text1"/>
          <w14:textFill>
            <w14:solidFill>
              <w14:schemeClr w14:val="tx1"/>
            </w14:solidFill>
          </w14:textFill>
        </w:rPr>
      </w:sdtEndPr>
      <w:sdtContent>
        <w:p w14:paraId="09F2DE51">
          <w:pPr>
            <w:rPr>
              <w:rFonts w:cs="Cambria"/>
              <w:bCs w:val="0"/>
              <w:color w:val="000000" w:themeColor="text1"/>
              <w14:textFill>
                <w14:solidFill>
                  <w14:schemeClr w14:val="tx1"/>
                </w14:solidFill>
              </w14:textFill>
            </w:rPr>
          </w:pPr>
          <w:r>
            <w:rPr>
              <w:rFonts w:ascii="宋体" w:hAnsi="宋体" w:cs="Cambria"/>
              <w:bCs w:val="0"/>
              <w:color w:val="000000" w:themeColor="text1"/>
              <w14:textFill>
                <w14:solidFill>
                  <w14:schemeClr w14:val="tx1"/>
                </w14:solidFill>
              </w14:textFill>
            </w:rPr>
            <w:fldChar w:fldCharType="begin"/>
          </w:r>
          <w:r>
            <w:rPr>
              <w:rFonts w:ascii="宋体" w:hAnsi="宋体" w:cs="Cambria"/>
              <w:color w:val="000000" w:themeColor="text1"/>
              <w14:textFill>
                <w14:solidFill>
                  <w14:schemeClr w14:val="tx1"/>
                </w14:solidFill>
              </w14:textFill>
            </w:rPr>
            <w:instrText xml:space="preserve"> MACROBUTTON  SnrToggleCheckbox √适用 </w:instrText>
          </w:r>
          <w:r>
            <w:rPr>
              <w:rFonts w:ascii="宋体" w:hAnsi="宋体" w:cs="Cambria"/>
              <w:bCs w:val="0"/>
              <w:color w:val="000000" w:themeColor="text1"/>
              <w14:textFill>
                <w14:solidFill>
                  <w14:schemeClr w14:val="tx1"/>
                </w14:solidFill>
              </w14:textFill>
            </w:rPr>
            <w:fldChar w:fldCharType="end"/>
          </w:r>
          <w:r>
            <w:rPr>
              <w:rFonts w:ascii="宋体" w:hAnsi="宋体" w:cs="Cambria"/>
              <w:bCs w:val="0"/>
              <w:color w:val="000000" w:themeColor="text1"/>
              <w14:textFill>
                <w14:solidFill>
                  <w14:schemeClr w14:val="tx1"/>
                </w14:solidFill>
              </w14:textFill>
            </w:rPr>
            <w:fldChar w:fldCharType="begin"/>
          </w:r>
          <w:r>
            <w:rPr>
              <w:rFonts w:ascii="宋体" w:hAnsi="宋体" w:cs="Cambria"/>
              <w:color w:val="000000" w:themeColor="text1"/>
              <w14:textFill>
                <w14:solidFill>
                  <w14:schemeClr w14:val="tx1"/>
                </w14:solidFill>
              </w14:textFill>
            </w:rPr>
            <w:instrText xml:space="preserve"> MACROBUTTON  SnrToggleCheckbox □不适用 </w:instrText>
          </w:r>
          <w:r>
            <w:rPr>
              <w:rFonts w:ascii="宋体" w:hAnsi="宋体" w:cs="Cambria"/>
              <w:bCs w:val="0"/>
              <w:color w:val="000000" w:themeColor="text1"/>
              <w14:textFill>
                <w14:solidFill>
                  <w14:schemeClr w14:val="tx1"/>
                </w14:solidFill>
              </w14:textFill>
            </w:rPr>
            <w:fldChar w:fldCharType="end"/>
          </w:r>
        </w:p>
      </w:sdtContent>
    </w:sdt>
    <w:p w14:paraId="5FE1D25A">
      <w:pPr>
        <w:jc w:val="right"/>
        <w:rPr>
          <w:rFonts w:cs="Cambria"/>
          <w:bCs w:val="0"/>
          <w:color w:val="000000" w:themeColor="text1"/>
          <w14:textFill>
            <w14:solidFill>
              <w14:schemeClr w14:val="tx1"/>
            </w14:solidFill>
          </w14:textFill>
        </w:rPr>
      </w:pPr>
      <w:r>
        <w:rPr>
          <w:rFonts w:hint="eastAsia" w:cs="Cambria"/>
          <w:color w:val="000000" w:themeColor="text1"/>
          <w14:textFill>
            <w14:solidFill>
              <w14:schemeClr w14:val="tx1"/>
            </w14:solidFill>
          </w14:textFill>
        </w:rPr>
        <w:t>单位：</w:t>
      </w:r>
      <w:sdt>
        <w:sdtPr>
          <w:rPr>
            <w:rFonts w:hint="eastAsia" w:cs="Cambria"/>
            <w:bCs w:val="0"/>
            <w:color w:val="000000" w:themeColor="text1"/>
            <w14:textFill>
              <w14:solidFill>
                <w14:schemeClr w14:val="tx1"/>
              </w14:solidFill>
            </w14:textFill>
          </w:rPr>
          <w:alias w:val="单位：公司委托管理出包情况表"/>
          <w:tag w:val="_GBC_294c32e4090845cfb901300e8d47c254"/>
          <w:id w:val="1474688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s="Cambria"/>
            <w:bCs w:val="0"/>
            <w:color w:val="000000" w:themeColor="text1"/>
            <w14:textFill>
              <w14:solidFill>
                <w14:schemeClr w14:val="tx1"/>
              </w14:solidFill>
            </w14:textFill>
          </w:rPr>
        </w:sdtEndPr>
        <w:sdtContent>
          <w:r>
            <w:rPr>
              <w:rFonts w:hint="eastAsia" w:cs="Cambria"/>
              <w:bCs w:val="0"/>
              <w:color w:val="000000" w:themeColor="text1"/>
              <w14:textFill>
                <w14:solidFill>
                  <w14:schemeClr w14:val="tx1"/>
                </w14:solidFill>
              </w14:textFill>
            </w:rPr>
            <w:t>元</w:t>
          </w:r>
        </w:sdtContent>
      </w:sdt>
      <w:r>
        <w:rPr>
          <w:rFonts w:hint="eastAsia" w:cs="Cambria"/>
          <w:color w:val="000000" w:themeColor="text1"/>
          <w14:textFill>
            <w14:solidFill>
              <w14:schemeClr w14:val="tx1"/>
            </w14:solidFill>
          </w14:textFill>
        </w:rPr>
        <w:t xml:space="preserve">  币种：</w:t>
      </w:r>
      <w:sdt>
        <w:sdtPr>
          <w:rPr>
            <w:rFonts w:hint="eastAsia" w:cs="Cambria"/>
            <w:bCs w:val="0"/>
            <w:color w:val="000000" w:themeColor="text1"/>
            <w14:textFill>
              <w14:solidFill>
                <w14:schemeClr w14:val="tx1"/>
              </w14:solidFill>
            </w14:textFill>
          </w:rPr>
          <w:alias w:val="币种：公司委托管理出包情况表"/>
          <w:tag w:val="_GBC_35d9f92c0b6b4bbba28a4a5d319eab84"/>
          <w:id w:val="1474727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s="Cambria"/>
            <w:bCs w:val="0"/>
            <w:color w:val="000000" w:themeColor="text1"/>
            <w14:textFill>
              <w14:solidFill>
                <w14:schemeClr w14:val="tx1"/>
              </w14:solidFill>
            </w14:textFill>
          </w:rPr>
        </w:sdtEndPr>
        <w:sdtContent>
          <w:r>
            <w:rPr>
              <w:rFonts w:hint="eastAsia" w:cs="Cambria"/>
              <w:bCs w:val="0"/>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295"/>
        <w:gridCol w:w="1286"/>
        <w:gridCol w:w="1234"/>
        <w:gridCol w:w="1074"/>
        <w:gridCol w:w="1211"/>
        <w:gridCol w:w="1362"/>
        <w:gridCol w:w="1431"/>
      </w:tblGrid>
      <w:tr w14:paraId="3EA20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563" w:hRule="atLeast"/>
        </w:trPr>
        <w:sdt>
          <w:sdtPr>
            <w:rPr>
              <w:rFonts w:cs="Times New Roman"/>
            </w:rPr>
            <w:tag w:val="_PLD_e65c4e8224f34db790c7925224eb27af"/>
            <w:id w:val="147471014"/>
          </w:sdtPr>
          <w:sdtEndPr>
            <w:rPr>
              <w:rFonts w:cs="Times New Roman"/>
            </w:rPr>
          </w:sdtEndPr>
          <w:sdtContent>
            <w:tc>
              <w:tcPr>
                <w:tcW w:w="728" w:type="pct"/>
                <w:tcBorders>
                  <w:top w:val="single" w:color="auto" w:sz="4" w:space="0"/>
                  <w:left w:val="single" w:color="auto" w:sz="4" w:space="0"/>
                  <w:right w:val="single" w:color="auto" w:sz="4" w:space="0"/>
                </w:tcBorders>
                <w:vAlign w:val="center"/>
              </w:tcPr>
              <w:p w14:paraId="4E5F0A8E">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委托方/出包方名称</w:t>
                </w:r>
              </w:p>
            </w:tc>
          </w:sdtContent>
        </w:sdt>
        <w:sdt>
          <w:sdtPr>
            <w:rPr>
              <w:rFonts w:cs="Times New Roman"/>
            </w:rPr>
            <w:tag w:val="_PLD_cbdbd84171cf4f15a566c32d941a4c6d"/>
            <w:id w:val="147462142"/>
          </w:sdtPr>
          <w:sdtEndPr>
            <w:rPr>
              <w:rFonts w:cs="Times New Roman"/>
            </w:rPr>
          </w:sdtEndPr>
          <w:sdtContent>
            <w:tc>
              <w:tcPr>
                <w:tcW w:w="723" w:type="pct"/>
                <w:tcBorders>
                  <w:top w:val="single" w:color="auto" w:sz="4" w:space="0"/>
                  <w:left w:val="single" w:color="auto" w:sz="4" w:space="0"/>
                  <w:right w:val="single" w:color="auto" w:sz="4" w:space="0"/>
                </w:tcBorders>
                <w:vAlign w:val="center"/>
              </w:tcPr>
              <w:p w14:paraId="1764251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受托方/出包方名称</w:t>
                </w:r>
              </w:p>
            </w:tc>
          </w:sdtContent>
        </w:sdt>
        <w:sdt>
          <w:sdtPr>
            <w:rPr>
              <w:rFonts w:cs="Times New Roman"/>
            </w:rPr>
            <w:tag w:val="_PLD_b8a79b7919884b15bb7d139e78348af0"/>
            <w:id w:val="147466133"/>
          </w:sdtPr>
          <w:sdtEndPr>
            <w:rPr>
              <w:rFonts w:cs="Times New Roman"/>
            </w:rPr>
          </w:sdtEndPr>
          <w:sdtContent>
            <w:tc>
              <w:tcPr>
                <w:tcW w:w="694" w:type="pct"/>
                <w:tcBorders>
                  <w:top w:val="single" w:color="auto" w:sz="4" w:space="0"/>
                  <w:left w:val="single" w:color="auto" w:sz="4" w:space="0"/>
                  <w:right w:val="single" w:color="auto" w:sz="4" w:space="0"/>
                </w:tcBorders>
                <w:vAlign w:val="center"/>
              </w:tcPr>
              <w:p w14:paraId="2A1E8EA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委托/出包资产类型</w:t>
                </w:r>
              </w:p>
            </w:tc>
          </w:sdtContent>
        </w:sdt>
        <w:sdt>
          <w:sdtPr>
            <w:rPr>
              <w:rFonts w:cs="Times New Roman"/>
            </w:rPr>
            <w:tag w:val="_PLD_0411f27b92fe4b4da5e12c3bdb52d543"/>
            <w:id w:val="147471872"/>
          </w:sdtPr>
          <w:sdtEndPr>
            <w:rPr>
              <w:rFonts w:cs="Times New Roman"/>
            </w:rPr>
          </w:sdtEndPr>
          <w:sdtContent>
            <w:tc>
              <w:tcPr>
                <w:tcW w:w="604" w:type="pct"/>
                <w:tcBorders>
                  <w:top w:val="single" w:color="auto" w:sz="4" w:space="0"/>
                  <w:left w:val="single" w:color="auto" w:sz="4" w:space="0"/>
                  <w:right w:val="single" w:color="auto" w:sz="4" w:space="0"/>
                </w:tcBorders>
                <w:vAlign w:val="center"/>
              </w:tcPr>
              <w:p w14:paraId="64241F82">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委托/出包起始日</w:t>
                </w:r>
              </w:p>
            </w:tc>
          </w:sdtContent>
        </w:sdt>
        <w:sdt>
          <w:sdtPr>
            <w:rPr>
              <w:rFonts w:cs="Times New Roman"/>
            </w:rPr>
            <w:tag w:val="_PLD_4827ac1c3ebd4e3cbd6a323a001c059c"/>
            <w:id w:val="147470076"/>
          </w:sdtPr>
          <w:sdtEndPr>
            <w:rPr>
              <w:rFonts w:cs="Times New Roman"/>
            </w:rPr>
          </w:sdtEndPr>
          <w:sdtContent>
            <w:tc>
              <w:tcPr>
                <w:tcW w:w="681" w:type="pct"/>
                <w:tcBorders>
                  <w:top w:val="single" w:color="auto" w:sz="4" w:space="0"/>
                  <w:left w:val="single" w:color="auto" w:sz="4" w:space="0"/>
                  <w:right w:val="single" w:color="auto" w:sz="4" w:space="0"/>
                </w:tcBorders>
                <w:vAlign w:val="center"/>
              </w:tcPr>
              <w:p w14:paraId="0814D09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委托/出包终止日</w:t>
                </w:r>
              </w:p>
            </w:tc>
          </w:sdtContent>
        </w:sdt>
        <w:sdt>
          <w:sdtPr>
            <w:rPr>
              <w:rFonts w:cs="Times New Roman"/>
            </w:rPr>
            <w:tag w:val="_PLD_56632aaeb1f1487a8a8d63ae455f474a"/>
            <w:id w:val="147469280"/>
          </w:sdtPr>
          <w:sdtEndPr>
            <w:rPr>
              <w:rFonts w:cs="Times New Roman"/>
            </w:rPr>
          </w:sdtEndPr>
          <w:sdtContent>
            <w:tc>
              <w:tcPr>
                <w:tcW w:w="766" w:type="pct"/>
                <w:tcBorders>
                  <w:top w:val="single" w:color="auto" w:sz="4" w:space="0"/>
                  <w:left w:val="single" w:color="auto" w:sz="4" w:space="0"/>
                  <w:right w:val="single" w:color="auto" w:sz="4" w:space="0"/>
                </w:tcBorders>
                <w:vAlign w:val="center"/>
              </w:tcPr>
              <w:p w14:paraId="06AC871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托管费/出包费定价依据</w:t>
                </w:r>
              </w:p>
            </w:tc>
          </w:sdtContent>
        </w:sdt>
        <w:sdt>
          <w:sdtPr>
            <w:rPr>
              <w:rFonts w:cs="Times New Roman"/>
            </w:rPr>
            <w:tag w:val="_PLD_29768752e7cc4718b3ef316ad16af520"/>
            <w:id w:val="147451903"/>
          </w:sdtPr>
          <w:sdtEndPr>
            <w:rPr>
              <w:rFonts w:cs="Times New Roman"/>
            </w:rPr>
          </w:sdtEndPr>
          <w:sdtContent>
            <w:tc>
              <w:tcPr>
                <w:tcW w:w="805" w:type="pct"/>
                <w:tcBorders>
                  <w:top w:val="single" w:color="auto" w:sz="4" w:space="0"/>
                  <w:left w:val="single" w:color="auto" w:sz="4" w:space="0"/>
                  <w:right w:val="single" w:color="auto" w:sz="4" w:space="0"/>
                </w:tcBorders>
                <w:vAlign w:val="center"/>
              </w:tcPr>
              <w:p w14:paraId="43A97C7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本期确认的托管费/出包费</w:t>
                </w:r>
              </w:p>
            </w:tc>
          </w:sdtContent>
        </w:sdt>
      </w:tr>
      <w:tr w14:paraId="50553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295" w:type="dxa"/>
            <w:tcBorders>
              <w:top w:val="single" w:color="auto" w:sz="4" w:space="0"/>
              <w:left w:val="single" w:color="auto" w:sz="4" w:space="0"/>
              <w:bottom w:val="single" w:color="auto" w:sz="4" w:space="0"/>
              <w:right w:val="single" w:color="auto" w:sz="4" w:space="0"/>
            </w:tcBorders>
            <w:vAlign w:val="center"/>
          </w:tcPr>
          <w:p w14:paraId="7D7A40BB">
            <w:pPr>
              <w:jc w:val="center"/>
              <w:textAlignment w:val="bottom"/>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际华集团股份有限公司</w:t>
            </w:r>
          </w:p>
        </w:tc>
        <w:tc>
          <w:tcPr>
            <w:tcW w:w="1286" w:type="dxa"/>
            <w:tcBorders>
              <w:top w:val="single" w:color="auto" w:sz="4" w:space="0"/>
              <w:left w:val="single" w:color="auto" w:sz="4" w:space="0"/>
              <w:bottom w:val="single" w:color="auto" w:sz="4" w:space="0"/>
              <w:right w:val="single" w:color="auto" w:sz="4" w:space="0"/>
            </w:tcBorders>
            <w:vAlign w:val="center"/>
          </w:tcPr>
          <w:p w14:paraId="0C4D2B06">
            <w:pPr>
              <w:jc w:val="center"/>
              <w:textAlignment w:val="bottom"/>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新兴际华资产经营管理有限公司</w:t>
            </w:r>
          </w:p>
        </w:tc>
        <w:tc>
          <w:tcPr>
            <w:tcW w:w="1234" w:type="dxa"/>
            <w:tcBorders>
              <w:top w:val="single" w:color="auto" w:sz="4" w:space="0"/>
              <w:left w:val="single" w:color="auto" w:sz="4" w:space="0"/>
              <w:bottom w:val="single" w:color="auto" w:sz="4" w:space="0"/>
              <w:right w:val="single" w:color="auto" w:sz="4" w:space="0"/>
            </w:tcBorders>
            <w:vAlign w:val="center"/>
          </w:tcPr>
          <w:p w14:paraId="1393FD68">
            <w:pPr>
              <w:jc w:val="center"/>
              <w:textAlignment w:val="bottom"/>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股权托管</w:t>
            </w:r>
          </w:p>
        </w:tc>
        <w:tc>
          <w:tcPr>
            <w:tcW w:w="1074" w:type="dxa"/>
            <w:tcBorders>
              <w:top w:val="single" w:color="auto" w:sz="4" w:space="0"/>
              <w:left w:val="single" w:color="auto" w:sz="4" w:space="0"/>
              <w:bottom w:val="single" w:color="auto" w:sz="4" w:space="0"/>
              <w:right w:val="single" w:color="auto" w:sz="4" w:space="0"/>
            </w:tcBorders>
            <w:vAlign w:val="center"/>
          </w:tcPr>
          <w:p w14:paraId="345E40AC">
            <w:pPr>
              <w:jc w:val="center"/>
              <w:textAlignment w:val="bottom"/>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2022年10月1日</w:t>
            </w:r>
          </w:p>
        </w:tc>
        <w:tc>
          <w:tcPr>
            <w:tcW w:w="1211" w:type="dxa"/>
            <w:tcBorders>
              <w:top w:val="single" w:color="auto" w:sz="4" w:space="0"/>
              <w:left w:val="single" w:color="auto" w:sz="4" w:space="0"/>
              <w:bottom w:val="single" w:color="auto" w:sz="4" w:space="0"/>
              <w:right w:val="single" w:color="auto" w:sz="4" w:space="0"/>
            </w:tcBorders>
            <w:vAlign w:val="center"/>
          </w:tcPr>
          <w:p w14:paraId="2481E930">
            <w:pPr>
              <w:jc w:val="center"/>
              <w:textAlignment w:val="bottom"/>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2025年12月31日</w:t>
            </w:r>
          </w:p>
        </w:tc>
        <w:tc>
          <w:tcPr>
            <w:tcW w:w="1362" w:type="dxa"/>
            <w:tcBorders>
              <w:top w:val="single" w:color="auto" w:sz="4" w:space="0"/>
              <w:left w:val="single" w:color="auto" w:sz="4" w:space="0"/>
              <w:bottom w:val="single" w:color="auto" w:sz="4" w:space="0"/>
              <w:right w:val="single" w:color="auto" w:sz="4" w:space="0"/>
            </w:tcBorders>
            <w:vAlign w:val="center"/>
          </w:tcPr>
          <w:p w14:paraId="61CCE46F">
            <w:pPr>
              <w:jc w:val="center"/>
              <w:textAlignment w:val="bottom"/>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《际华园委托经营管理协议》</w:t>
            </w:r>
          </w:p>
        </w:tc>
        <w:tc>
          <w:tcPr>
            <w:tcW w:w="805" w:type="pct"/>
            <w:tcBorders>
              <w:top w:val="single" w:color="auto" w:sz="4" w:space="0"/>
              <w:left w:val="single" w:color="auto" w:sz="4" w:space="0"/>
              <w:bottom w:val="single" w:color="auto" w:sz="4" w:space="0"/>
              <w:right w:val="single" w:color="auto" w:sz="4" w:space="0"/>
            </w:tcBorders>
            <w:vAlign w:val="center"/>
          </w:tcPr>
          <w:p w14:paraId="2204A944">
            <w:pPr>
              <w:jc w:val="center"/>
              <w:rPr>
                <w:rFonts w:cs="Times New Roman" w:eastAsiaTheme="minorEastAsia"/>
              </w:rPr>
            </w:pPr>
            <w:r>
              <w:rPr>
                <w:rFonts w:cs="Times New Roman" w:eastAsiaTheme="minorEastAsia"/>
              </w:rPr>
              <w:t>0</w:t>
            </w:r>
          </w:p>
        </w:tc>
      </w:tr>
      <w:tr w14:paraId="4DB4D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295" w:type="dxa"/>
            <w:tcBorders>
              <w:top w:val="single" w:color="auto" w:sz="4" w:space="0"/>
              <w:left w:val="single" w:color="auto" w:sz="4" w:space="0"/>
              <w:bottom w:val="single" w:color="auto" w:sz="4" w:space="0"/>
              <w:right w:val="single" w:color="auto" w:sz="4" w:space="0"/>
            </w:tcBorders>
            <w:vAlign w:val="center"/>
          </w:tcPr>
          <w:p w14:paraId="78300930">
            <w:pPr>
              <w:jc w:val="center"/>
              <w:textAlignment w:val="bottom"/>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际华三五三六实业有限公司</w:t>
            </w:r>
          </w:p>
        </w:tc>
        <w:tc>
          <w:tcPr>
            <w:tcW w:w="1286" w:type="dxa"/>
            <w:tcBorders>
              <w:top w:val="single" w:color="auto" w:sz="4" w:space="0"/>
              <w:left w:val="single" w:color="auto" w:sz="4" w:space="0"/>
              <w:bottom w:val="single" w:color="auto" w:sz="4" w:space="0"/>
              <w:right w:val="single" w:color="auto" w:sz="4" w:space="0"/>
            </w:tcBorders>
            <w:vAlign w:val="center"/>
          </w:tcPr>
          <w:p w14:paraId="110CB70A">
            <w:pPr>
              <w:jc w:val="center"/>
              <w:textAlignment w:val="bottom"/>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荷原置地控股有限公司</w:t>
            </w:r>
          </w:p>
        </w:tc>
        <w:tc>
          <w:tcPr>
            <w:tcW w:w="1234" w:type="dxa"/>
            <w:tcBorders>
              <w:top w:val="single" w:color="auto" w:sz="4" w:space="0"/>
              <w:left w:val="single" w:color="auto" w:sz="4" w:space="0"/>
              <w:bottom w:val="single" w:color="auto" w:sz="4" w:space="0"/>
              <w:right w:val="single" w:color="auto" w:sz="4" w:space="0"/>
            </w:tcBorders>
            <w:vAlign w:val="center"/>
          </w:tcPr>
          <w:p w14:paraId="6B4B7C15">
            <w:pPr>
              <w:jc w:val="center"/>
              <w:textAlignment w:val="bottom"/>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其他资产托管</w:t>
            </w:r>
          </w:p>
        </w:tc>
        <w:tc>
          <w:tcPr>
            <w:tcW w:w="1074" w:type="dxa"/>
            <w:tcBorders>
              <w:top w:val="single" w:color="auto" w:sz="4" w:space="0"/>
              <w:left w:val="single" w:color="auto" w:sz="4" w:space="0"/>
              <w:bottom w:val="single" w:color="auto" w:sz="4" w:space="0"/>
              <w:right w:val="single" w:color="auto" w:sz="4" w:space="0"/>
            </w:tcBorders>
            <w:vAlign w:val="center"/>
          </w:tcPr>
          <w:p w14:paraId="173812B6">
            <w:pPr>
              <w:jc w:val="center"/>
              <w:textAlignment w:val="bottom"/>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2022年9月30日</w:t>
            </w:r>
          </w:p>
        </w:tc>
        <w:tc>
          <w:tcPr>
            <w:tcW w:w="1211" w:type="dxa"/>
            <w:tcBorders>
              <w:top w:val="single" w:color="auto" w:sz="4" w:space="0"/>
              <w:left w:val="single" w:color="auto" w:sz="4" w:space="0"/>
              <w:bottom w:val="single" w:color="auto" w:sz="4" w:space="0"/>
              <w:right w:val="single" w:color="auto" w:sz="4" w:space="0"/>
            </w:tcBorders>
            <w:vAlign w:val="center"/>
          </w:tcPr>
          <w:p w14:paraId="59A034D7">
            <w:pPr>
              <w:jc w:val="center"/>
              <w:textAlignment w:val="bottom"/>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项目最后一期销售物业交付满1个月为止</w:t>
            </w:r>
          </w:p>
        </w:tc>
        <w:tc>
          <w:tcPr>
            <w:tcW w:w="1362" w:type="dxa"/>
            <w:tcBorders>
              <w:top w:val="single" w:color="auto" w:sz="4" w:space="0"/>
              <w:left w:val="single" w:color="auto" w:sz="4" w:space="0"/>
              <w:bottom w:val="single" w:color="auto" w:sz="4" w:space="0"/>
              <w:right w:val="single" w:color="auto" w:sz="4" w:space="0"/>
            </w:tcBorders>
            <w:vAlign w:val="center"/>
          </w:tcPr>
          <w:p w14:paraId="5D3AB7D6">
            <w:pPr>
              <w:jc w:val="center"/>
              <w:textAlignment w:val="bottom"/>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《3536公司与新兴建新公司之带资代建协议》</w:t>
            </w:r>
          </w:p>
        </w:tc>
        <w:tc>
          <w:tcPr>
            <w:tcW w:w="805" w:type="pct"/>
            <w:tcBorders>
              <w:top w:val="single" w:color="auto" w:sz="4" w:space="0"/>
              <w:left w:val="single" w:color="auto" w:sz="4" w:space="0"/>
              <w:bottom w:val="single" w:color="auto" w:sz="4" w:space="0"/>
              <w:right w:val="single" w:color="auto" w:sz="4" w:space="0"/>
            </w:tcBorders>
            <w:vAlign w:val="center"/>
          </w:tcPr>
          <w:p w14:paraId="2B204FF2">
            <w:pPr>
              <w:jc w:val="center"/>
              <w:rPr>
                <w:rFonts w:cs="Times New Roman" w:eastAsiaTheme="minorEastAsia"/>
              </w:rPr>
            </w:pPr>
            <w:r>
              <w:rPr>
                <w:rFonts w:cs="Times New Roman" w:eastAsiaTheme="minorEastAsia"/>
              </w:rPr>
              <w:t>0</w:t>
            </w:r>
          </w:p>
        </w:tc>
      </w:tr>
      <w:tr w14:paraId="78E9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295" w:type="dxa"/>
            <w:tcBorders>
              <w:top w:val="single" w:color="auto" w:sz="4" w:space="0"/>
              <w:left w:val="single" w:color="auto" w:sz="4" w:space="0"/>
              <w:bottom w:val="single" w:color="auto" w:sz="4" w:space="0"/>
              <w:right w:val="single" w:color="auto" w:sz="4" w:space="0"/>
            </w:tcBorders>
            <w:vAlign w:val="center"/>
          </w:tcPr>
          <w:p w14:paraId="5F93BADE">
            <w:pPr>
              <w:jc w:val="center"/>
              <w:textAlignment w:val="bottom"/>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际华集团股份有限公司</w:t>
            </w:r>
          </w:p>
        </w:tc>
        <w:tc>
          <w:tcPr>
            <w:tcW w:w="1286" w:type="dxa"/>
            <w:tcBorders>
              <w:top w:val="single" w:color="auto" w:sz="4" w:space="0"/>
              <w:left w:val="single" w:color="auto" w:sz="4" w:space="0"/>
              <w:bottom w:val="single" w:color="auto" w:sz="4" w:space="0"/>
              <w:right w:val="single" w:color="auto" w:sz="4" w:space="0"/>
            </w:tcBorders>
            <w:vAlign w:val="center"/>
          </w:tcPr>
          <w:p w14:paraId="1A298B45">
            <w:pPr>
              <w:jc w:val="center"/>
              <w:textAlignment w:val="bottom"/>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新兴重工集团有限公司</w:t>
            </w:r>
          </w:p>
        </w:tc>
        <w:tc>
          <w:tcPr>
            <w:tcW w:w="1234" w:type="dxa"/>
            <w:tcBorders>
              <w:top w:val="single" w:color="auto" w:sz="4" w:space="0"/>
              <w:left w:val="single" w:color="auto" w:sz="4" w:space="0"/>
              <w:bottom w:val="single" w:color="auto" w:sz="4" w:space="0"/>
              <w:right w:val="single" w:color="auto" w:sz="4" w:space="0"/>
            </w:tcBorders>
            <w:vAlign w:val="center"/>
          </w:tcPr>
          <w:p w14:paraId="53F58B45">
            <w:pPr>
              <w:jc w:val="center"/>
              <w:textAlignment w:val="bottom"/>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lang w:bidi="ar"/>
              </w:rPr>
              <w:t>股权托管</w:t>
            </w:r>
          </w:p>
        </w:tc>
        <w:tc>
          <w:tcPr>
            <w:tcW w:w="1074" w:type="dxa"/>
            <w:tcBorders>
              <w:top w:val="single" w:color="auto" w:sz="4" w:space="0"/>
              <w:left w:val="single" w:color="auto" w:sz="4" w:space="0"/>
              <w:bottom w:val="single" w:color="auto" w:sz="4" w:space="0"/>
              <w:right w:val="single" w:color="auto" w:sz="4" w:space="0"/>
            </w:tcBorders>
            <w:vAlign w:val="center"/>
          </w:tcPr>
          <w:p w14:paraId="34970AA7">
            <w:pPr>
              <w:jc w:val="center"/>
              <w:textAlignment w:val="bottom"/>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2024年12月12日</w:t>
            </w:r>
          </w:p>
        </w:tc>
        <w:tc>
          <w:tcPr>
            <w:tcW w:w="1211" w:type="dxa"/>
            <w:tcBorders>
              <w:top w:val="single" w:color="auto" w:sz="4" w:space="0"/>
              <w:left w:val="single" w:color="auto" w:sz="4" w:space="0"/>
              <w:bottom w:val="single" w:color="auto" w:sz="4" w:space="0"/>
              <w:right w:val="single" w:color="auto" w:sz="4" w:space="0"/>
            </w:tcBorders>
            <w:vAlign w:val="center"/>
          </w:tcPr>
          <w:p w14:paraId="6042D8EC">
            <w:pPr>
              <w:jc w:val="center"/>
              <w:textAlignment w:val="bottom"/>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2027年12月31日</w:t>
            </w:r>
          </w:p>
        </w:tc>
        <w:tc>
          <w:tcPr>
            <w:tcW w:w="1362" w:type="dxa"/>
            <w:tcBorders>
              <w:top w:val="single" w:color="auto" w:sz="4" w:space="0"/>
              <w:left w:val="single" w:color="auto" w:sz="4" w:space="0"/>
              <w:bottom w:val="single" w:color="auto" w:sz="4" w:space="0"/>
              <w:right w:val="single" w:color="auto" w:sz="4" w:space="0"/>
            </w:tcBorders>
            <w:vAlign w:val="center"/>
          </w:tcPr>
          <w:p w14:paraId="6F6908F5">
            <w:pPr>
              <w:jc w:val="center"/>
              <w:textAlignment w:val="bottom"/>
              <w:rPr>
                <w:rFonts w:asciiTheme="minorEastAsia" w:hAnsiTheme="minorEastAsia" w:eastAsiaTheme="minorEastAsia" w:cstheme="minorEastAsia"/>
              </w:rPr>
            </w:pPr>
            <w:r>
              <w:rPr>
                <w:rFonts w:hint="eastAsia" w:asciiTheme="minorEastAsia" w:hAnsiTheme="minorEastAsia" w:eastAsiaTheme="minorEastAsia" w:cstheme="minorEastAsia"/>
                <w:color w:val="000000"/>
                <w:lang w:bidi="ar"/>
              </w:rPr>
              <w:t>《际华（邢台）投资有限公司委托管理协议》</w:t>
            </w:r>
          </w:p>
        </w:tc>
        <w:tc>
          <w:tcPr>
            <w:tcW w:w="805" w:type="pct"/>
            <w:tcBorders>
              <w:top w:val="single" w:color="auto" w:sz="4" w:space="0"/>
              <w:left w:val="single" w:color="auto" w:sz="4" w:space="0"/>
              <w:bottom w:val="single" w:color="auto" w:sz="4" w:space="0"/>
              <w:right w:val="single" w:color="auto" w:sz="4" w:space="0"/>
            </w:tcBorders>
            <w:vAlign w:val="center"/>
          </w:tcPr>
          <w:p w14:paraId="680E33FA">
            <w:pPr>
              <w:jc w:val="center"/>
              <w:rPr>
                <w:rFonts w:cs="Times New Roman" w:eastAsiaTheme="minorEastAsia"/>
              </w:rPr>
            </w:pPr>
            <w:r>
              <w:rPr>
                <w:rFonts w:cs="Times New Roman" w:eastAsiaTheme="minorEastAsia"/>
              </w:rPr>
              <w:t>0</w:t>
            </w:r>
          </w:p>
        </w:tc>
      </w:tr>
    </w:tbl>
    <w:p w14:paraId="2A520529">
      <w:pPr>
        <w:rPr>
          <w:rFonts w:cs="Cambria"/>
          <w:bCs w:val="0"/>
          <w:color w:val="000000" w:themeColor="text1"/>
          <w14:textFill>
            <w14:solidFill>
              <w14:schemeClr w14:val="tx1"/>
            </w14:solidFill>
          </w14:textFill>
        </w:rPr>
      </w:pPr>
    </w:p>
    <w:p w14:paraId="7DDD6AE3">
      <w:pPr>
        <w:rPr>
          <w:rFonts w:cs="Cambria"/>
          <w:bCs w:val="0"/>
          <w:color w:val="000000" w:themeColor="text1"/>
          <w14:textFill>
            <w14:solidFill>
              <w14:schemeClr w14:val="tx1"/>
            </w14:solidFill>
          </w14:textFill>
        </w:rPr>
      </w:pPr>
      <w:r>
        <w:rPr>
          <w:rFonts w:hint="eastAsia" w:cs="Cambria"/>
          <w:color w:val="000000" w:themeColor="text1"/>
          <w14:textFill>
            <w14:solidFill>
              <w14:schemeClr w14:val="tx1"/>
            </w14:solidFill>
          </w14:textFill>
        </w:rPr>
        <w:t>关联管理/出包情况说明</w:t>
      </w:r>
    </w:p>
    <w:sdt>
      <w:sdtPr>
        <w:rPr>
          <w:rFonts w:cs="Cambria"/>
          <w:bCs w:val="0"/>
          <w:color w:val="000000" w:themeColor="text1"/>
          <w14:textFill>
            <w14:solidFill>
              <w14:schemeClr w14:val="tx1"/>
            </w14:solidFill>
          </w14:textFill>
        </w:rPr>
        <w:alias w:val="是否适用：关联管理或出包情况说明[双击切换]"/>
        <w:tag w:val="_GBC_0b0339c118c542eb8a6e3a68fab8e375"/>
        <w:id w:val="147465291"/>
        <w:placeholder>
          <w:docPart w:val="GBC22222222222222222222222222222"/>
        </w:placeholder>
      </w:sdtPr>
      <w:sdtEndPr>
        <w:rPr>
          <w:rFonts w:cs="Cambria"/>
          <w:bCs w:val="0"/>
          <w:color w:val="000000" w:themeColor="text1"/>
          <w14:textFill>
            <w14:solidFill>
              <w14:schemeClr w14:val="tx1"/>
            </w14:solidFill>
          </w14:textFill>
        </w:rPr>
      </w:sdtEndPr>
      <w:sdtContent>
        <w:p w14:paraId="66EE72DD">
          <w:pPr>
            <w:rPr>
              <w:rFonts w:cs="Cambria"/>
              <w:bCs w:val="0"/>
              <w:color w:val="000000" w:themeColor="text1"/>
              <w14:textFill>
                <w14:solidFill>
                  <w14:schemeClr w14:val="tx1"/>
                </w14:solidFill>
              </w14:textFill>
            </w:rPr>
          </w:pPr>
          <w:r>
            <w:rPr>
              <w:rFonts w:ascii="宋体" w:hAnsi="宋体" w:cs="Cambria"/>
              <w:bCs w:val="0"/>
              <w:color w:val="000000" w:themeColor="text1"/>
              <w14:textFill>
                <w14:solidFill>
                  <w14:schemeClr w14:val="tx1"/>
                </w14:solidFill>
              </w14:textFill>
            </w:rPr>
            <w:fldChar w:fldCharType="begin"/>
          </w:r>
          <w:r>
            <w:rPr>
              <w:rFonts w:ascii="宋体" w:hAnsi="宋体" w:cs="Cambria"/>
              <w:color w:val="000000" w:themeColor="text1"/>
              <w14:textFill>
                <w14:solidFill>
                  <w14:schemeClr w14:val="tx1"/>
                </w14:solidFill>
              </w14:textFill>
            </w:rPr>
            <w:instrText xml:space="preserve"> MACROBUTTON  SnrToggleCheckbox √适用 </w:instrText>
          </w:r>
          <w:r>
            <w:rPr>
              <w:rFonts w:ascii="宋体" w:hAnsi="宋体" w:cs="Cambria"/>
              <w:bCs w:val="0"/>
              <w:color w:val="000000" w:themeColor="text1"/>
              <w14:textFill>
                <w14:solidFill>
                  <w14:schemeClr w14:val="tx1"/>
                </w14:solidFill>
              </w14:textFill>
            </w:rPr>
            <w:fldChar w:fldCharType="end"/>
          </w:r>
          <w:r>
            <w:rPr>
              <w:rFonts w:ascii="宋体" w:hAnsi="宋体" w:cs="Cambria"/>
              <w:bCs w:val="0"/>
              <w:color w:val="000000" w:themeColor="text1"/>
              <w14:textFill>
                <w14:solidFill>
                  <w14:schemeClr w14:val="tx1"/>
                </w14:solidFill>
              </w14:textFill>
            </w:rPr>
            <w:fldChar w:fldCharType="begin"/>
          </w:r>
          <w:r>
            <w:rPr>
              <w:rFonts w:ascii="宋体" w:hAnsi="宋体" w:cs="Cambria"/>
              <w:color w:val="000000" w:themeColor="text1"/>
              <w14:textFill>
                <w14:solidFill>
                  <w14:schemeClr w14:val="tx1"/>
                </w14:solidFill>
              </w14:textFill>
            </w:rPr>
            <w:instrText xml:space="preserve"> MACROBUTTON  SnrToggleCheckbox □不适用 </w:instrText>
          </w:r>
          <w:r>
            <w:rPr>
              <w:rFonts w:ascii="宋体" w:hAnsi="宋体" w:cs="Cambria"/>
              <w:bCs w:val="0"/>
              <w:color w:val="000000" w:themeColor="text1"/>
              <w14:textFill>
                <w14:solidFill>
                  <w14:schemeClr w14:val="tx1"/>
                </w14:solidFill>
              </w14:textFill>
            </w:rPr>
            <w:fldChar w:fldCharType="end"/>
          </w:r>
        </w:p>
      </w:sdtContent>
    </w:sdt>
    <w:sdt>
      <w:sdtPr>
        <w:rPr>
          <w:rFonts w:cs="Cambria"/>
          <w:bCs w:val="0"/>
          <w:color w:val="000000" w:themeColor="text1"/>
          <w14:textFill>
            <w14:solidFill>
              <w14:schemeClr w14:val="tx1"/>
            </w14:solidFill>
          </w14:textFill>
        </w:rPr>
        <w:alias w:val="关联管理或出包情况说明"/>
        <w:tag w:val="_GBC_3090c8d6dded401e8965b68c3246021b"/>
        <w:id w:val="147458621"/>
        <w:placeholder>
          <w:docPart w:val="GBC22222222222222222222222222222"/>
        </w:placeholder>
      </w:sdtPr>
      <w:sdtEndPr>
        <w:rPr>
          <w:rFonts w:cs="Cambria"/>
          <w:bCs w:val="0"/>
          <w:color w:val="000000" w:themeColor="text1"/>
          <w14:textFill>
            <w14:solidFill>
              <w14:schemeClr w14:val="tx1"/>
            </w14:solidFill>
          </w14:textFill>
        </w:rPr>
      </w:sdtEndPr>
      <w:sdtContent>
        <w:p w14:paraId="3D2EE969">
          <w:pPr>
            <w:jc w:val="both"/>
            <w:rPr>
              <w:rFonts w:cs="Cambria"/>
              <w:bCs w:val="0"/>
              <w:color w:val="000000" w:themeColor="text1"/>
              <w14:textFill>
                <w14:solidFill>
                  <w14:schemeClr w14:val="tx1"/>
                </w14:solidFill>
              </w14:textFill>
            </w:rPr>
          </w:pPr>
          <w:r>
            <w:rPr>
              <w:rFonts w:hint="eastAsia" w:cs="Cambria"/>
              <w:bCs w:val="0"/>
              <w:color w:val="000000" w:themeColor="text1"/>
              <w14:textFill>
                <w14:solidFill>
                  <w14:schemeClr w14:val="tx1"/>
                </w14:solidFill>
              </w14:textFill>
            </w:rPr>
            <w:t xml:space="preserve">    公司与新兴际华资产经营管理有限公司于2022年9月30日在北京签署了《际华园委托经营管理协议》。根据协议约定，公司委托新兴际华资产经营管理有限公司对公司下属全资子公司陕西际华园开发建设有限公司、重庆际华目的地中心实业有限公司、长春际华投资建设有限公司进行经营管理，委托管理期限至2025年12月31日。</w:t>
          </w:r>
        </w:p>
        <w:p w14:paraId="4D08C565">
          <w:pPr>
            <w:ind w:firstLine="420" w:firstLineChars="200"/>
            <w:jc w:val="both"/>
            <w:rPr>
              <w:rFonts w:cs="Cambria"/>
              <w:bCs w:val="0"/>
              <w:color w:val="000000" w:themeColor="text1"/>
              <w14:textFill>
                <w14:solidFill>
                  <w14:schemeClr w14:val="tx1"/>
                </w14:solidFill>
              </w14:textFill>
            </w:rPr>
          </w:pPr>
          <w:r>
            <w:rPr>
              <w:rFonts w:hint="eastAsia" w:cs="Cambria"/>
              <w:bCs w:val="0"/>
              <w:color w:val="000000" w:themeColor="text1"/>
              <w14:textFill>
                <w14:solidFill>
                  <w14:schemeClr w14:val="tx1"/>
                </w14:solidFill>
              </w14:textFill>
            </w:rPr>
            <w:t>公司之子公司际华三五三六实业有限公司与新兴建新（深圳）开发控股有限公司于2022年9月30日在北京签署了《3536公司与新兴建新公司之带资代建协议》，委托新兴建新（深圳）开发控股有限公司对3536公司所持有的位于绵阳市绵兴路东段62号地块进行开发建设管理，由新兴建新公司负责项目融资、开发建设管理、销售管理等相关经营管理事宜，并收取融资利息以及代建服务费等相关费用。委托管理期限至项目最后一期销售物业交付满1个月为止。</w:t>
          </w:r>
        </w:p>
        <w:p w14:paraId="1E80155A">
          <w:pPr>
            <w:ind w:firstLine="420" w:firstLineChars="200"/>
            <w:jc w:val="both"/>
            <w:rPr>
              <w:rFonts w:cs="Cambria"/>
              <w:bCs w:val="0"/>
              <w:color w:val="000000" w:themeColor="text1"/>
              <w14:textFill>
                <w14:solidFill>
                  <w14:schemeClr w14:val="tx1"/>
                </w14:solidFill>
              </w14:textFill>
            </w:rPr>
          </w:pPr>
          <w:r>
            <w:rPr>
              <w:rFonts w:hint="eastAsia" w:cs="Cambria"/>
              <w:bCs w:val="0"/>
              <w:color w:val="000000" w:themeColor="text1"/>
              <w14:textFill>
                <w14:solidFill>
                  <w14:schemeClr w14:val="tx1"/>
                </w14:solidFill>
              </w14:textFill>
            </w:rPr>
            <w:t>公司与新兴重工集团有限公司于2024年12月12日在北京签署了《际华（邢台）投资有限公司委托管理协议》。根据协议约定，公司委托新兴重工集团有限公司对公司下属全资子公司际华（邢台）投资有限公司进行经营管理，委托管理期限至2027年12月31日。</w:t>
          </w:r>
        </w:p>
      </w:sdtContent>
    </w:sdt>
    <w:p w14:paraId="7D2D43E6">
      <w:pPr>
        <w:jc w:val="both"/>
        <w:rPr>
          <w:rFonts w:cs="Cambria"/>
          <w:color w:val="000000" w:themeColor="text1"/>
          <w14:textFill>
            <w14:solidFill>
              <w14:schemeClr w14:val="tx1"/>
            </w14:solidFill>
          </w14:textFill>
        </w:rPr>
      </w:pPr>
    </w:p>
    <w:p w14:paraId="6E1AE4E0">
      <w:pPr>
        <w:jc w:val="both"/>
        <w:rPr>
          <w:rFonts w:cs="Cambria"/>
          <w:color w:val="000000" w:themeColor="text1"/>
          <w14:textFill>
            <w14:solidFill>
              <w14:schemeClr w14:val="tx1"/>
            </w14:solidFill>
          </w14:textFill>
        </w:rPr>
        <w:sectPr>
          <w:pgSz w:w="11906" w:h="16838"/>
          <w:pgMar w:top="1525" w:right="1276" w:bottom="1440" w:left="1797" w:header="856" w:footer="992" w:gutter="0"/>
          <w:cols w:space="425" w:num="1"/>
          <w:docGrid w:linePitch="312" w:charSpace="0"/>
        </w:sectPr>
      </w:pPr>
    </w:p>
    <w:p w14:paraId="4AA8394B">
      <w:pPr>
        <w:pStyle w:val="58"/>
        <w:numPr>
          <w:ilvl w:val="0"/>
          <w:numId w:val="105"/>
        </w:numPr>
        <w:tabs>
          <w:tab w:val="left" w:pos="616"/>
        </w:tabs>
        <w:rPr>
          <w:rFonts w:ascii="宋体" w:hAnsi="宋体"/>
          <w:color w:val="000000" w:themeColor="text1"/>
          <w14:textFill>
            <w14:solidFill>
              <w14:schemeClr w14:val="tx1"/>
            </w14:solidFill>
          </w14:textFill>
        </w:rPr>
      </w:pPr>
      <w:bookmarkStart w:id="411" w:name="_Hlk105747475"/>
      <w:r>
        <w:rPr>
          <w:rFonts w:hint="eastAsia" w:ascii="宋体" w:hAnsi="宋体"/>
          <w:color w:val="000000" w:themeColor="text1"/>
          <w14:textFill>
            <w14:solidFill>
              <w14:schemeClr w14:val="tx1"/>
            </w14:solidFill>
          </w14:textFill>
        </w:rPr>
        <w:t>关联租赁情况</w:t>
      </w:r>
    </w:p>
    <w:p w14:paraId="07E596E0">
      <w:pPr>
        <w:rPr>
          <w:color w:val="000000" w:themeColor="text1"/>
          <w14:textFill>
            <w14:solidFill>
              <w14:schemeClr w14:val="tx1"/>
            </w14:solidFill>
          </w14:textFill>
        </w:rPr>
      </w:pPr>
      <w:r>
        <w:rPr>
          <w:rFonts w:hint="eastAsia"/>
          <w:color w:val="000000" w:themeColor="text1"/>
          <w14:textFill>
            <w14:solidFill>
              <w14:schemeClr w14:val="tx1"/>
            </w14:solidFill>
          </w14:textFill>
        </w:rPr>
        <w:t>本公司作为出租方：</w:t>
      </w:r>
    </w:p>
    <w:sdt>
      <w:sdtPr>
        <w:rPr>
          <w:color w:val="000000" w:themeColor="text1"/>
          <w14:textFill>
            <w14:solidFill>
              <w14:schemeClr w14:val="tx1"/>
            </w14:solidFill>
          </w14:textFill>
        </w:rPr>
        <w:alias w:val="是否适用：本公司作为出租方的租赁情况表[双击切换]"/>
        <w:tag w:val="_GBC_f12cb8266cbd482b93c6a4bba1b05fb7"/>
        <w:id w:val="902111871"/>
      </w:sdtPr>
      <w:sdtEndPr>
        <w:rPr>
          <w:color w:val="000000" w:themeColor="text1"/>
          <w14:textFill>
            <w14:solidFill>
              <w14:schemeClr w14:val="tx1"/>
            </w14:solidFill>
          </w14:textFill>
        </w:rPr>
      </w:sdtEndPr>
      <w:sdtContent>
        <w:p w14:paraId="6A4980D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4795F19C">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关联租赁情况"/>
          <w:tag w:val="_GBC_b6ac4f0274e84bf2bac59898fb55e11d"/>
          <w:id w:val="-1504351906"/>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关联租赁情况"/>
          <w:tag w:val="_GBC_268dafb121cf40fdbb2bbe55df2badf0"/>
          <w:id w:val="-157927417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4561"/>
        <w:gridCol w:w="2347"/>
        <w:gridCol w:w="2838"/>
        <w:gridCol w:w="4187"/>
      </w:tblGrid>
      <w:tr w14:paraId="0C7E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38" w:hRule="atLeast"/>
        </w:trPr>
        <w:sdt>
          <w:sdtPr>
            <w:rPr>
              <w:rFonts w:cs="Times New Roman"/>
            </w:rPr>
            <w:tag w:val="_PLD_d0bc662d818f4cea8a5953be241f0994"/>
            <w:id w:val="190198378"/>
          </w:sdtPr>
          <w:sdtEndPr>
            <w:rPr>
              <w:rFonts w:cs="Times New Roman"/>
            </w:rPr>
          </w:sdtEndPr>
          <w:sdtContent>
            <w:tc>
              <w:tcPr>
                <w:tcW w:w="1636" w:type="pct"/>
                <w:tcBorders>
                  <w:top w:val="single" w:color="auto" w:sz="4" w:space="0"/>
                  <w:left w:val="single" w:color="auto" w:sz="4" w:space="0"/>
                  <w:right w:val="single" w:color="auto" w:sz="4" w:space="0"/>
                </w:tcBorders>
                <w:vAlign w:val="center"/>
              </w:tcPr>
              <w:p w14:paraId="385B0240">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承租方名称</w:t>
                </w:r>
              </w:p>
            </w:tc>
          </w:sdtContent>
        </w:sdt>
        <w:sdt>
          <w:sdtPr>
            <w:rPr>
              <w:rFonts w:cs="Times New Roman"/>
            </w:rPr>
            <w:tag w:val="_PLD_b201e1ba80ff4620b34885e088e03080"/>
            <w:id w:val="1726867161"/>
          </w:sdtPr>
          <w:sdtEndPr>
            <w:rPr>
              <w:rFonts w:cs="Times New Roman"/>
            </w:rPr>
          </w:sdtEndPr>
          <w:sdtContent>
            <w:tc>
              <w:tcPr>
                <w:tcW w:w="842" w:type="pct"/>
                <w:tcBorders>
                  <w:top w:val="single" w:color="auto" w:sz="4" w:space="0"/>
                  <w:left w:val="single" w:color="auto" w:sz="4" w:space="0"/>
                  <w:right w:val="single" w:color="auto" w:sz="4" w:space="0"/>
                </w:tcBorders>
                <w:vAlign w:val="center"/>
              </w:tcPr>
              <w:p w14:paraId="0A06C114">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租赁资产种类</w:t>
                </w:r>
              </w:p>
            </w:tc>
          </w:sdtContent>
        </w:sdt>
        <w:sdt>
          <w:sdtPr>
            <w:rPr>
              <w:rFonts w:cs="Times New Roman"/>
            </w:rPr>
            <w:tag w:val="_PLD_2247dbd372c64f6bb229457f3849c03a"/>
            <w:id w:val="1878969239"/>
          </w:sdtPr>
          <w:sdtEndPr>
            <w:rPr>
              <w:rFonts w:cs="Times New Roman"/>
            </w:rPr>
          </w:sdtEndPr>
          <w:sdtContent>
            <w:tc>
              <w:tcPr>
                <w:tcW w:w="1018" w:type="pct"/>
                <w:tcBorders>
                  <w:top w:val="single" w:color="auto" w:sz="4" w:space="0"/>
                  <w:left w:val="single" w:color="auto" w:sz="4" w:space="0"/>
                  <w:right w:val="single" w:color="auto" w:sz="4" w:space="0"/>
                </w:tcBorders>
                <w:vAlign w:val="center"/>
              </w:tcPr>
              <w:p w14:paraId="77A6F57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本期确认的租赁收入</w:t>
                </w:r>
              </w:p>
            </w:tc>
          </w:sdtContent>
        </w:sdt>
        <w:sdt>
          <w:sdtPr>
            <w:rPr>
              <w:rFonts w:cs="Times New Roman"/>
            </w:rPr>
            <w:tag w:val="_PLD_94eb47eaf858403e8c39eab08f54efb9"/>
            <w:id w:val="-1141657638"/>
          </w:sdtPr>
          <w:sdtEndPr>
            <w:rPr>
              <w:rFonts w:cs="Times New Roman"/>
            </w:rPr>
          </w:sdtEndPr>
          <w:sdtContent>
            <w:tc>
              <w:tcPr>
                <w:tcW w:w="1502" w:type="pct"/>
                <w:tcBorders>
                  <w:top w:val="single" w:color="auto" w:sz="4" w:space="0"/>
                  <w:left w:val="single" w:color="auto" w:sz="4" w:space="0"/>
                  <w:right w:val="single" w:color="auto" w:sz="4" w:space="0"/>
                </w:tcBorders>
                <w:vAlign w:val="center"/>
              </w:tcPr>
              <w:p w14:paraId="607DD7F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上期确认的租赁收入</w:t>
                </w:r>
              </w:p>
            </w:tc>
          </w:sdtContent>
        </w:sdt>
      </w:tr>
      <w:sdt>
        <w:sdtPr>
          <w:rPr>
            <w:rFonts w:cs="Times New Roman"/>
            <w:color w:val="000000" w:themeColor="text1"/>
            <w14:textFill>
              <w14:solidFill>
                <w14:schemeClr w14:val="tx1"/>
              </w14:solidFill>
            </w14:textFill>
          </w:rPr>
          <w:alias w:val="关联租赁情况"/>
          <w:tag w:val="_GBC_b0112b4dc9284dc5a94109344af1edea"/>
          <w:id w:val="-1710409066"/>
          <w:placeholder>
            <w:docPart w:val="{b3f4be12-da9a-4108-a3cb-af77807cbc1c}"/>
          </w:placeholder>
        </w:sdtPr>
        <w:sdtEndPr>
          <w:rPr>
            <w:rFonts w:cs="Times New Roman"/>
            <w:color w:val="000000" w:themeColor="text1"/>
            <w14:textFill>
              <w14:solidFill>
                <w14:schemeClr w14:val="tx1"/>
              </w14:solidFill>
            </w14:textFill>
          </w:rPr>
        </w:sdtEndPr>
        <w:sdtContent>
          <w:tr w14:paraId="5491B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73" w:hRule="atLeast"/>
            </w:trPr>
            <w:tc>
              <w:tcPr>
                <w:tcW w:w="1636" w:type="pct"/>
                <w:tcBorders>
                  <w:top w:val="single" w:color="auto" w:sz="4" w:space="0"/>
                  <w:left w:val="single" w:color="auto" w:sz="4" w:space="0"/>
                  <w:bottom w:val="single" w:color="auto" w:sz="4" w:space="0"/>
                  <w:right w:val="single" w:color="auto" w:sz="4" w:space="0"/>
                </w:tcBorders>
              </w:tcPr>
              <w:p w14:paraId="1C10BFB8">
                <w:pPr>
                  <w:rPr>
                    <w:rFonts w:cs="Times New Roman"/>
                  </w:rPr>
                </w:pPr>
                <w:r>
                  <w:rPr>
                    <w:rFonts w:cs="Times New Roman"/>
                  </w:rPr>
                  <w:t>天津双鹿大厦有限公司</w:t>
                </w:r>
              </w:p>
            </w:tc>
            <w:tc>
              <w:tcPr>
                <w:tcW w:w="842" w:type="pct"/>
                <w:tcBorders>
                  <w:top w:val="single" w:color="auto" w:sz="4" w:space="0"/>
                  <w:left w:val="single" w:color="auto" w:sz="4" w:space="0"/>
                  <w:bottom w:val="single" w:color="auto" w:sz="4" w:space="0"/>
                  <w:right w:val="single" w:color="auto" w:sz="4" w:space="0"/>
                </w:tcBorders>
              </w:tcPr>
              <w:p w14:paraId="3A00CDBE">
                <w:pPr>
                  <w:jc w:val="center"/>
                  <w:rPr>
                    <w:rFonts w:cs="Times New Roman"/>
                  </w:rPr>
                </w:pPr>
                <w:r>
                  <w:rPr>
                    <w:rFonts w:cs="Times New Roman"/>
                  </w:rPr>
                  <w:t>房屋</w:t>
                </w:r>
              </w:p>
            </w:tc>
            <w:tc>
              <w:tcPr>
                <w:tcW w:w="1018" w:type="pct"/>
                <w:tcBorders>
                  <w:top w:val="single" w:color="auto" w:sz="4" w:space="0"/>
                  <w:left w:val="single" w:color="auto" w:sz="4" w:space="0"/>
                  <w:bottom w:val="single" w:color="auto" w:sz="4" w:space="0"/>
                  <w:right w:val="single" w:color="auto" w:sz="4" w:space="0"/>
                </w:tcBorders>
              </w:tcPr>
              <w:p w14:paraId="70C3F45B">
                <w:pPr>
                  <w:jc w:val="right"/>
                  <w:rPr>
                    <w:rFonts w:cs="Times New Roman"/>
                  </w:rPr>
                </w:pPr>
                <w:r>
                  <w:rPr>
                    <w:rFonts w:cs="Times New Roman"/>
                  </w:rPr>
                  <w:t>999,999.99</w:t>
                </w:r>
              </w:p>
            </w:tc>
            <w:tc>
              <w:tcPr>
                <w:tcW w:w="1502" w:type="pct"/>
                <w:tcBorders>
                  <w:top w:val="single" w:color="auto" w:sz="4" w:space="0"/>
                  <w:left w:val="single" w:color="auto" w:sz="4" w:space="0"/>
                  <w:bottom w:val="single" w:color="auto" w:sz="4" w:space="0"/>
                  <w:right w:val="single" w:color="auto" w:sz="4" w:space="0"/>
                </w:tcBorders>
              </w:tcPr>
              <w:p w14:paraId="3EE622F4">
                <w:pPr>
                  <w:jc w:val="right"/>
                  <w:rPr>
                    <w:rFonts w:cs="Times New Roman"/>
                  </w:rPr>
                </w:pPr>
                <w:r>
                  <w:rPr>
                    <w:rFonts w:cs="Times New Roman"/>
                  </w:rPr>
                  <w:t>952,380.94</w:t>
                </w:r>
              </w:p>
            </w:tc>
          </w:tr>
        </w:sdtContent>
      </w:sdt>
      <w:sdt>
        <w:sdtPr>
          <w:rPr>
            <w:rFonts w:cs="Times New Roman"/>
            <w:color w:val="000000" w:themeColor="text1"/>
            <w14:textFill>
              <w14:solidFill>
                <w14:schemeClr w14:val="tx1"/>
              </w14:solidFill>
            </w14:textFill>
          </w:rPr>
          <w:alias w:val="关联租赁情况"/>
          <w:tag w:val="_GBC_b0112b4dc9284dc5a94109344af1edea"/>
          <w:id w:val="-514149417"/>
          <w:placeholder>
            <w:docPart w:val="{b3f4be12-da9a-4108-a3cb-af77807cbc1c}"/>
          </w:placeholder>
        </w:sdtPr>
        <w:sdtEndPr>
          <w:rPr>
            <w:rFonts w:cs="Times New Roman"/>
            <w:color w:val="000000" w:themeColor="text1"/>
            <w14:textFill>
              <w14:solidFill>
                <w14:schemeClr w14:val="tx1"/>
              </w14:solidFill>
            </w14:textFill>
          </w:rPr>
        </w:sdtEndPr>
        <w:sdtContent>
          <w:tr w14:paraId="13632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36" w:type="pct"/>
                <w:tcBorders>
                  <w:top w:val="single" w:color="auto" w:sz="4" w:space="0"/>
                  <w:left w:val="single" w:color="auto" w:sz="4" w:space="0"/>
                  <w:bottom w:val="single" w:color="auto" w:sz="4" w:space="0"/>
                  <w:right w:val="single" w:color="auto" w:sz="4" w:space="0"/>
                </w:tcBorders>
              </w:tcPr>
              <w:p w14:paraId="19DC51D8">
                <w:pPr>
                  <w:rPr>
                    <w:rFonts w:cs="Times New Roman"/>
                  </w:rPr>
                </w:pPr>
                <w:r>
                  <w:rPr>
                    <w:rFonts w:cs="Times New Roman"/>
                  </w:rPr>
                  <w:t>陕西际华园开发建设有限公司</w:t>
                </w:r>
              </w:p>
            </w:tc>
            <w:tc>
              <w:tcPr>
                <w:tcW w:w="842" w:type="pct"/>
                <w:tcBorders>
                  <w:top w:val="single" w:color="auto" w:sz="4" w:space="0"/>
                  <w:left w:val="single" w:color="auto" w:sz="4" w:space="0"/>
                  <w:bottom w:val="single" w:color="auto" w:sz="4" w:space="0"/>
                  <w:right w:val="single" w:color="auto" w:sz="4" w:space="0"/>
                </w:tcBorders>
              </w:tcPr>
              <w:p w14:paraId="75036901">
                <w:pPr>
                  <w:jc w:val="center"/>
                  <w:rPr>
                    <w:rFonts w:cs="Times New Roman"/>
                  </w:rPr>
                </w:pPr>
                <w:r>
                  <w:rPr>
                    <w:rFonts w:cs="Times New Roman"/>
                  </w:rPr>
                  <w:t>房屋</w:t>
                </w:r>
              </w:p>
            </w:tc>
            <w:tc>
              <w:tcPr>
                <w:tcW w:w="1018" w:type="pct"/>
                <w:tcBorders>
                  <w:top w:val="single" w:color="auto" w:sz="4" w:space="0"/>
                  <w:left w:val="single" w:color="auto" w:sz="4" w:space="0"/>
                  <w:bottom w:val="single" w:color="auto" w:sz="4" w:space="0"/>
                  <w:right w:val="single" w:color="auto" w:sz="4" w:space="0"/>
                </w:tcBorders>
              </w:tcPr>
              <w:p w14:paraId="4EB909FB">
                <w:pPr>
                  <w:jc w:val="right"/>
                  <w:rPr>
                    <w:rFonts w:cs="Times New Roman"/>
                  </w:rPr>
                </w:pPr>
                <w:r>
                  <w:rPr>
                    <w:rFonts w:cs="Times New Roman"/>
                  </w:rPr>
                  <w:t>149,333.33</w:t>
                </w:r>
              </w:p>
            </w:tc>
            <w:tc>
              <w:tcPr>
                <w:tcW w:w="1502" w:type="pct"/>
                <w:tcBorders>
                  <w:top w:val="single" w:color="auto" w:sz="4" w:space="0"/>
                  <w:left w:val="single" w:color="auto" w:sz="4" w:space="0"/>
                  <w:bottom w:val="single" w:color="auto" w:sz="4" w:space="0"/>
                  <w:right w:val="single" w:color="auto" w:sz="4" w:space="0"/>
                </w:tcBorders>
              </w:tcPr>
              <w:p w14:paraId="32A4D090">
                <w:pPr>
                  <w:jc w:val="right"/>
                  <w:rPr>
                    <w:rFonts w:cs="Times New Roman"/>
                  </w:rPr>
                </w:pPr>
                <w:r>
                  <w:rPr>
                    <w:rFonts w:cs="Times New Roman"/>
                  </w:rPr>
                  <w:t>418,666.66</w:t>
                </w:r>
              </w:p>
            </w:tc>
          </w:tr>
        </w:sdtContent>
      </w:sdt>
      <w:sdt>
        <w:sdtPr>
          <w:rPr>
            <w:rFonts w:cs="Times New Roman"/>
            <w:color w:val="000000" w:themeColor="text1"/>
            <w14:textFill>
              <w14:solidFill>
                <w14:schemeClr w14:val="tx1"/>
              </w14:solidFill>
            </w14:textFill>
          </w:rPr>
          <w:alias w:val="关联租赁情况"/>
          <w:tag w:val="_GBC_b0112b4dc9284dc5a94109344af1edea"/>
          <w:id w:val="-1731837718"/>
          <w:placeholder>
            <w:docPart w:val="{b3f4be12-da9a-4108-a3cb-af77807cbc1c}"/>
          </w:placeholder>
        </w:sdtPr>
        <w:sdtEndPr>
          <w:rPr>
            <w:rFonts w:cs="Times New Roman"/>
            <w:color w:val="000000" w:themeColor="text1"/>
            <w14:textFill>
              <w14:solidFill>
                <w14:schemeClr w14:val="tx1"/>
              </w14:solidFill>
            </w14:textFill>
          </w:rPr>
        </w:sdtEndPr>
        <w:sdtContent>
          <w:tr w14:paraId="6A7FF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36" w:type="pct"/>
                <w:tcBorders>
                  <w:top w:val="single" w:color="auto" w:sz="4" w:space="0"/>
                  <w:left w:val="single" w:color="auto" w:sz="4" w:space="0"/>
                  <w:bottom w:val="single" w:color="auto" w:sz="4" w:space="0"/>
                  <w:right w:val="single" w:color="auto" w:sz="4" w:space="0"/>
                </w:tcBorders>
              </w:tcPr>
              <w:p w14:paraId="79512D03">
                <w:pPr>
                  <w:rPr>
                    <w:rFonts w:cs="Times New Roman"/>
                  </w:rPr>
                </w:pPr>
                <w:r>
                  <w:rPr>
                    <w:rFonts w:cs="Times New Roman"/>
                  </w:rPr>
                  <w:t>新兴际华（上海）工程科技研究院有限公司</w:t>
                </w:r>
              </w:p>
            </w:tc>
            <w:tc>
              <w:tcPr>
                <w:tcW w:w="842" w:type="pct"/>
                <w:tcBorders>
                  <w:top w:val="single" w:color="auto" w:sz="4" w:space="0"/>
                  <w:left w:val="single" w:color="auto" w:sz="4" w:space="0"/>
                  <w:bottom w:val="single" w:color="auto" w:sz="4" w:space="0"/>
                  <w:right w:val="single" w:color="auto" w:sz="4" w:space="0"/>
                </w:tcBorders>
              </w:tcPr>
              <w:p w14:paraId="62A5C0A4">
                <w:pPr>
                  <w:jc w:val="center"/>
                  <w:rPr>
                    <w:rFonts w:cs="Times New Roman"/>
                  </w:rPr>
                </w:pPr>
                <w:r>
                  <w:rPr>
                    <w:rFonts w:cs="Times New Roman"/>
                  </w:rPr>
                  <w:t>房屋</w:t>
                </w:r>
              </w:p>
            </w:tc>
            <w:tc>
              <w:tcPr>
                <w:tcW w:w="1018" w:type="pct"/>
                <w:tcBorders>
                  <w:top w:val="single" w:color="auto" w:sz="4" w:space="0"/>
                  <w:left w:val="single" w:color="auto" w:sz="4" w:space="0"/>
                  <w:bottom w:val="single" w:color="auto" w:sz="4" w:space="0"/>
                  <w:right w:val="single" w:color="auto" w:sz="4" w:space="0"/>
                </w:tcBorders>
              </w:tcPr>
              <w:p w14:paraId="50A35DCA">
                <w:pPr>
                  <w:jc w:val="right"/>
                  <w:rPr>
                    <w:rFonts w:cs="Times New Roman"/>
                  </w:rPr>
                </w:pPr>
              </w:p>
            </w:tc>
            <w:tc>
              <w:tcPr>
                <w:tcW w:w="1502" w:type="pct"/>
                <w:tcBorders>
                  <w:top w:val="single" w:color="auto" w:sz="4" w:space="0"/>
                  <w:left w:val="single" w:color="auto" w:sz="4" w:space="0"/>
                  <w:bottom w:val="single" w:color="auto" w:sz="4" w:space="0"/>
                  <w:right w:val="single" w:color="auto" w:sz="4" w:space="0"/>
                </w:tcBorders>
              </w:tcPr>
              <w:p w14:paraId="76823EB1">
                <w:pPr>
                  <w:jc w:val="right"/>
                  <w:rPr>
                    <w:rFonts w:cs="Times New Roman"/>
                  </w:rPr>
                </w:pPr>
                <w:r>
                  <w:rPr>
                    <w:rFonts w:cs="Times New Roman"/>
                  </w:rPr>
                  <w:t>450,990.18</w:t>
                </w:r>
              </w:p>
            </w:tc>
          </w:tr>
        </w:sdtContent>
      </w:sdt>
      <w:sdt>
        <w:sdtPr>
          <w:rPr>
            <w:rFonts w:cs="Times New Roman"/>
            <w:color w:val="000000" w:themeColor="text1"/>
            <w14:textFill>
              <w14:solidFill>
                <w14:schemeClr w14:val="tx1"/>
              </w14:solidFill>
            </w14:textFill>
          </w:rPr>
          <w:alias w:val="关联租赁情况"/>
          <w:tag w:val="_GBC_b0112b4dc9284dc5a94109344af1edea"/>
          <w:id w:val="-264311263"/>
          <w:placeholder>
            <w:docPart w:val="{b3f4be12-da9a-4108-a3cb-af77807cbc1c}"/>
          </w:placeholder>
        </w:sdtPr>
        <w:sdtEndPr>
          <w:rPr>
            <w:rFonts w:cs="Times New Roman"/>
            <w:color w:val="000000" w:themeColor="text1"/>
            <w14:textFill>
              <w14:solidFill>
                <w14:schemeClr w14:val="tx1"/>
              </w14:solidFill>
            </w14:textFill>
          </w:rPr>
        </w:sdtEndPr>
        <w:sdtContent>
          <w:tr w14:paraId="0E970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36" w:type="pct"/>
                <w:tcBorders>
                  <w:top w:val="single" w:color="auto" w:sz="4" w:space="0"/>
                  <w:left w:val="single" w:color="auto" w:sz="4" w:space="0"/>
                  <w:bottom w:val="single" w:color="auto" w:sz="4" w:space="0"/>
                  <w:right w:val="single" w:color="auto" w:sz="4" w:space="0"/>
                </w:tcBorders>
              </w:tcPr>
              <w:p w14:paraId="26216181">
                <w:pPr>
                  <w:rPr>
                    <w:rFonts w:cs="Times New Roman"/>
                  </w:rPr>
                </w:pPr>
                <w:r>
                  <w:rPr>
                    <w:rFonts w:cs="Times New Roman"/>
                  </w:rPr>
                  <w:t>湖南中晟高分子新材料有限公司</w:t>
                </w:r>
              </w:p>
            </w:tc>
            <w:tc>
              <w:tcPr>
                <w:tcW w:w="842" w:type="pct"/>
                <w:tcBorders>
                  <w:top w:val="single" w:color="auto" w:sz="4" w:space="0"/>
                  <w:left w:val="single" w:color="auto" w:sz="4" w:space="0"/>
                  <w:bottom w:val="single" w:color="auto" w:sz="4" w:space="0"/>
                  <w:right w:val="single" w:color="auto" w:sz="4" w:space="0"/>
                </w:tcBorders>
              </w:tcPr>
              <w:p w14:paraId="4B1537F9">
                <w:pPr>
                  <w:jc w:val="center"/>
                  <w:rPr>
                    <w:rFonts w:cs="Times New Roman"/>
                  </w:rPr>
                </w:pPr>
                <w:r>
                  <w:rPr>
                    <w:rFonts w:cs="Times New Roman"/>
                  </w:rPr>
                  <w:t>房屋</w:t>
                </w:r>
              </w:p>
            </w:tc>
            <w:tc>
              <w:tcPr>
                <w:tcW w:w="1018" w:type="pct"/>
                <w:tcBorders>
                  <w:top w:val="single" w:color="auto" w:sz="4" w:space="0"/>
                  <w:left w:val="single" w:color="auto" w:sz="4" w:space="0"/>
                  <w:bottom w:val="single" w:color="auto" w:sz="4" w:space="0"/>
                  <w:right w:val="single" w:color="auto" w:sz="4" w:space="0"/>
                </w:tcBorders>
              </w:tcPr>
              <w:p w14:paraId="12C5FED0">
                <w:pPr>
                  <w:jc w:val="right"/>
                  <w:rPr>
                    <w:rFonts w:cs="Times New Roman"/>
                  </w:rPr>
                </w:pPr>
                <w:r>
                  <w:rPr>
                    <w:rFonts w:cs="Times New Roman"/>
                  </w:rPr>
                  <w:t>2,110,091.76</w:t>
                </w:r>
              </w:p>
            </w:tc>
            <w:tc>
              <w:tcPr>
                <w:tcW w:w="1502" w:type="pct"/>
                <w:tcBorders>
                  <w:top w:val="single" w:color="auto" w:sz="4" w:space="0"/>
                  <w:left w:val="single" w:color="auto" w:sz="4" w:space="0"/>
                  <w:bottom w:val="single" w:color="auto" w:sz="4" w:space="0"/>
                  <w:right w:val="single" w:color="auto" w:sz="4" w:space="0"/>
                </w:tcBorders>
              </w:tcPr>
              <w:p w14:paraId="2F0169E4">
                <w:pPr>
                  <w:jc w:val="right"/>
                  <w:rPr>
                    <w:rFonts w:cs="Times New Roman"/>
                  </w:rPr>
                </w:pPr>
                <w:r>
                  <w:rPr>
                    <w:rFonts w:cs="Times New Roman"/>
                  </w:rPr>
                  <w:t>2,110,091.76</w:t>
                </w:r>
              </w:p>
            </w:tc>
          </w:tr>
        </w:sdtContent>
      </w:sdt>
      <w:sdt>
        <w:sdtPr>
          <w:rPr>
            <w:rFonts w:cs="Times New Roman"/>
            <w:color w:val="000000" w:themeColor="text1"/>
            <w14:textFill>
              <w14:solidFill>
                <w14:schemeClr w14:val="tx1"/>
              </w14:solidFill>
            </w14:textFill>
          </w:rPr>
          <w:alias w:val="关联租赁情况"/>
          <w:tag w:val="_GBC_b0112b4dc9284dc5a94109344af1edea"/>
          <w:id w:val="-536740289"/>
          <w:placeholder>
            <w:docPart w:val="{b3f4be12-da9a-4108-a3cb-af77807cbc1c}"/>
          </w:placeholder>
        </w:sdtPr>
        <w:sdtEndPr>
          <w:rPr>
            <w:rFonts w:cs="Times New Roman"/>
            <w:color w:val="000000" w:themeColor="text1"/>
            <w14:textFill>
              <w14:solidFill>
                <w14:schemeClr w14:val="tx1"/>
              </w14:solidFill>
            </w14:textFill>
          </w:rPr>
        </w:sdtEndPr>
        <w:sdtContent>
          <w:tr w14:paraId="47348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36" w:type="pct"/>
                <w:tcBorders>
                  <w:top w:val="single" w:color="auto" w:sz="4" w:space="0"/>
                  <w:left w:val="single" w:color="auto" w:sz="4" w:space="0"/>
                  <w:bottom w:val="single" w:color="auto" w:sz="4" w:space="0"/>
                  <w:right w:val="single" w:color="auto" w:sz="4" w:space="0"/>
                </w:tcBorders>
              </w:tcPr>
              <w:p w14:paraId="73B9EE92">
                <w:pPr>
                  <w:rPr>
                    <w:rFonts w:cs="Times New Roman"/>
                  </w:rPr>
                </w:pPr>
                <w:r>
                  <w:rPr>
                    <w:rFonts w:cs="Times New Roman"/>
                  </w:rPr>
                  <w:t>南京英斯瑞德高分子材料股份有限公司</w:t>
                </w:r>
              </w:p>
            </w:tc>
            <w:tc>
              <w:tcPr>
                <w:tcW w:w="842" w:type="pct"/>
                <w:tcBorders>
                  <w:top w:val="single" w:color="auto" w:sz="4" w:space="0"/>
                  <w:left w:val="single" w:color="auto" w:sz="4" w:space="0"/>
                  <w:bottom w:val="single" w:color="auto" w:sz="4" w:space="0"/>
                  <w:right w:val="single" w:color="auto" w:sz="4" w:space="0"/>
                </w:tcBorders>
              </w:tcPr>
              <w:p w14:paraId="51D2A1F1">
                <w:pPr>
                  <w:jc w:val="center"/>
                  <w:rPr>
                    <w:rFonts w:cs="Times New Roman"/>
                  </w:rPr>
                </w:pPr>
                <w:r>
                  <w:rPr>
                    <w:rFonts w:cs="Times New Roman"/>
                  </w:rPr>
                  <w:t>房屋、机器设备</w:t>
                </w:r>
              </w:p>
            </w:tc>
            <w:tc>
              <w:tcPr>
                <w:tcW w:w="1018" w:type="pct"/>
                <w:tcBorders>
                  <w:top w:val="single" w:color="auto" w:sz="4" w:space="0"/>
                  <w:left w:val="single" w:color="auto" w:sz="4" w:space="0"/>
                  <w:bottom w:val="single" w:color="auto" w:sz="4" w:space="0"/>
                  <w:right w:val="single" w:color="auto" w:sz="4" w:space="0"/>
                </w:tcBorders>
              </w:tcPr>
              <w:p w14:paraId="77053417">
                <w:pPr>
                  <w:jc w:val="right"/>
                  <w:rPr>
                    <w:rFonts w:cs="Times New Roman"/>
                  </w:rPr>
                </w:pPr>
                <w:r>
                  <w:rPr>
                    <w:rFonts w:cs="Times New Roman"/>
                  </w:rPr>
                  <w:t>663,520.00</w:t>
                </w:r>
              </w:p>
            </w:tc>
            <w:tc>
              <w:tcPr>
                <w:tcW w:w="1502" w:type="pct"/>
                <w:tcBorders>
                  <w:top w:val="single" w:color="auto" w:sz="4" w:space="0"/>
                  <w:left w:val="single" w:color="auto" w:sz="4" w:space="0"/>
                  <w:bottom w:val="single" w:color="auto" w:sz="4" w:space="0"/>
                  <w:right w:val="single" w:color="auto" w:sz="4" w:space="0"/>
                </w:tcBorders>
              </w:tcPr>
              <w:p w14:paraId="56CC47D1">
                <w:pPr>
                  <w:jc w:val="right"/>
                  <w:rPr>
                    <w:rFonts w:cs="Times New Roman"/>
                  </w:rPr>
                </w:pPr>
                <w:r>
                  <w:rPr>
                    <w:rFonts w:cs="Times New Roman"/>
                  </w:rPr>
                  <w:t>666,788.58</w:t>
                </w:r>
              </w:p>
            </w:tc>
          </w:tr>
        </w:sdtContent>
      </w:sdt>
      <w:sdt>
        <w:sdtPr>
          <w:rPr>
            <w:rFonts w:cs="Times New Roman"/>
            <w:color w:val="000000" w:themeColor="text1"/>
            <w14:textFill>
              <w14:solidFill>
                <w14:schemeClr w14:val="tx1"/>
              </w14:solidFill>
            </w14:textFill>
          </w:rPr>
          <w:alias w:val="关联租赁情况"/>
          <w:tag w:val="_GBC_b0112b4dc9284dc5a94109344af1edea"/>
          <w:id w:val="853455122"/>
          <w:placeholder>
            <w:docPart w:val="{b3f4be12-da9a-4108-a3cb-af77807cbc1c}"/>
          </w:placeholder>
        </w:sdtPr>
        <w:sdtEndPr>
          <w:rPr>
            <w:rFonts w:cs="Times New Roman"/>
            <w:color w:val="000000" w:themeColor="text1"/>
            <w14:textFill>
              <w14:solidFill>
                <w14:schemeClr w14:val="tx1"/>
              </w14:solidFill>
            </w14:textFill>
          </w:rPr>
        </w:sdtEndPr>
        <w:sdtContent>
          <w:tr w14:paraId="1A0D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36" w:type="pct"/>
                <w:tcBorders>
                  <w:top w:val="single" w:color="auto" w:sz="4" w:space="0"/>
                  <w:left w:val="single" w:color="auto" w:sz="4" w:space="0"/>
                  <w:bottom w:val="single" w:color="auto" w:sz="4" w:space="0"/>
                  <w:right w:val="single" w:color="auto" w:sz="4" w:space="0"/>
                </w:tcBorders>
              </w:tcPr>
              <w:p w14:paraId="38CE619E">
                <w:pPr>
                  <w:jc w:val="center"/>
                  <w:rPr>
                    <w:rFonts w:cs="Times New Roman"/>
                  </w:rPr>
                </w:pPr>
                <w:r>
                  <w:rPr>
                    <w:rFonts w:cs="Times New Roman"/>
                  </w:rPr>
                  <w:t>合计</w:t>
                </w:r>
              </w:p>
            </w:tc>
            <w:tc>
              <w:tcPr>
                <w:tcW w:w="842" w:type="pct"/>
                <w:tcBorders>
                  <w:top w:val="single" w:color="auto" w:sz="4" w:space="0"/>
                  <w:left w:val="single" w:color="auto" w:sz="4" w:space="0"/>
                  <w:bottom w:val="single" w:color="auto" w:sz="4" w:space="0"/>
                  <w:right w:val="single" w:color="auto" w:sz="4" w:space="0"/>
                </w:tcBorders>
              </w:tcPr>
              <w:p w14:paraId="470ED378">
                <w:pPr>
                  <w:rPr>
                    <w:rFonts w:cs="Times New Roman"/>
                  </w:rPr>
                </w:pPr>
              </w:p>
            </w:tc>
            <w:tc>
              <w:tcPr>
                <w:tcW w:w="1018" w:type="pct"/>
                <w:tcBorders>
                  <w:top w:val="single" w:color="auto" w:sz="4" w:space="0"/>
                  <w:left w:val="single" w:color="auto" w:sz="4" w:space="0"/>
                  <w:bottom w:val="single" w:color="auto" w:sz="4" w:space="0"/>
                  <w:right w:val="single" w:color="auto" w:sz="4" w:space="0"/>
                </w:tcBorders>
              </w:tcPr>
              <w:p w14:paraId="4C131DEE">
                <w:pPr>
                  <w:jc w:val="right"/>
                  <w:rPr>
                    <w:rFonts w:cs="Times New Roman"/>
                  </w:rPr>
                </w:pPr>
                <w:r>
                  <w:rPr>
                    <w:rFonts w:cs="Times New Roman"/>
                  </w:rPr>
                  <w:t>3,922,945.08</w:t>
                </w:r>
              </w:p>
            </w:tc>
            <w:tc>
              <w:tcPr>
                <w:tcW w:w="1502" w:type="pct"/>
                <w:tcBorders>
                  <w:top w:val="single" w:color="auto" w:sz="4" w:space="0"/>
                  <w:left w:val="single" w:color="auto" w:sz="4" w:space="0"/>
                  <w:bottom w:val="single" w:color="auto" w:sz="4" w:space="0"/>
                  <w:right w:val="single" w:color="auto" w:sz="4" w:space="0"/>
                </w:tcBorders>
              </w:tcPr>
              <w:p w14:paraId="058F3E07">
                <w:pPr>
                  <w:jc w:val="right"/>
                  <w:rPr>
                    <w:rFonts w:cs="Times New Roman"/>
                  </w:rPr>
                </w:pPr>
                <w:r>
                  <w:rPr>
                    <w:rFonts w:cs="Times New Roman"/>
                  </w:rPr>
                  <w:t>4,598,918.12</w:t>
                </w:r>
              </w:p>
            </w:tc>
          </w:tr>
        </w:sdtContent>
      </w:sdt>
    </w:tbl>
    <w:p w14:paraId="06BEDE73">
      <w:pPr>
        <w:rPr>
          <w:color w:val="000000" w:themeColor="text1"/>
          <w14:textFill>
            <w14:solidFill>
              <w14:schemeClr w14:val="tx1"/>
            </w14:solidFill>
          </w14:textFill>
        </w:rPr>
      </w:pPr>
    </w:p>
    <w:p w14:paraId="6BD974E9">
      <w:pPr>
        <w:rPr>
          <w:color w:val="000000" w:themeColor="text1"/>
          <w14:textFill>
            <w14:solidFill>
              <w14:schemeClr w14:val="tx1"/>
            </w14:solidFill>
          </w14:textFill>
        </w:rPr>
      </w:pPr>
      <w:r>
        <w:rPr>
          <w:rFonts w:hint="eastAsia"/>
          <w:color w:val="000000" w:themeColor="text1"/>
          <w14:textFill>
            <w14:solidFill>
              <w14:schemeClr w14:val="tx1"/>
            </w14:solidFill>
          </w14:textFill>
        </w:rPr>
        <w:t>本公司作为承租方：</w:t>
      </w:r>
    </w:p>
    <w:sdt>
      <w:sdtPr>
        <w:rPr>
          <w:color w:val="000000" w:themeColor="text1"/>
          <w14:textFill>
            <w14:solidFill>
              <w14:schemeClr w14:val="tx1"/>
            </w14:solidFill>
          </w14:textFill>
        </w:rPr>
        <w:alias w:val="是否适用：本公司作为承租方的租赁情况表[双击切换]"/>
        <w:tag w:val="_GBC_e3319fb4cbb04bb0ab5516046d7e77a4"/>
        <w:id w:val="1763414504"/>
      </w:sdtPr>
      <w:sdtEndPr>
        <w:rPr>
          <w:color w:val="000000" w:themeColor="text1"/>
          <w14:textFill>
            <w14:solidFill>
              <w14:schemeClr w14:val="tx1"/>
            </w14:solidFill>
          </w14:textFill>
        </w:rPr>
      </w:sdtEndPr>
      <w:sdtContent>
        <w:p w14:paraId="7CCEFF9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6A3362F4">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公司承租情况表"/>
          <w:tag w:val="_GBC_c4f9d2e7743f429a85c30d009abea834"/>
          <w:id w:val="-487333550"/>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公司承租情况表"/>
          <w:tag w:val="_GBC_bad2c4d4779f4dc2bace6d7ca19d4585"/>
          <w:id w:val="200046058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9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154"/>
        <w:gridCol w:w="1297"/>
        <w:gridCol w:w="1185"/>
        <w:gridCol w:w="1177"/>
        <w:gridCol w:w="1006"/>
        <w:gridCol w:w="807"/>
        <w:gridCol w:w="1319"/>
        <w:gridCol w:w="1255"/>
        <w:gridCol w:w="1339"/>
        <w:gridCol w:w="1177"/>
        <w:gridCol w:w="1003"/>
      </w:tblGrid>
      <w:tr w14:paraId="3747E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rFonts w:cs="Times New Roman"/>
            </w:rPr>
            <w:tag w:val="_PLD_373cb020ea834537bd7d32c38e2f2dbb"/>
            <w:id w:val="-304623394"/>
          </w:sdtPr>
          <w:sdtEndPr>
            <w:rPr>
              <w:rFonts w:cs="Times New Roman"/>
            </w:rPr>
          </w:sdtEndPr>
          <w:sdtContent>
            <w:tc>
              <w:tcPr>
                <w:tcW w:w="458" w:type="pct"/>
                <w:vMerge w:val="restart"/>
                <w:vAlign w:val="center"/>
              </w:tcPr>
              <w:p w14:paraId="6CEB12D3">
                <w:pPr>
                  <w:jc w:val="center"/>
                  <w:rPr>
                    <w:rFonts w:cs="Times New Roman"/>
                  </w:rPr>
                </w:pPr>
                <w:r>
                  <w:rPr>
                    <w:rFonts w:cs="Times New Roman"/>
                  </w:rPr>
                  <w:t>出租方名称</w:t>
                </w:r>
              </w:p>
            </w:tc>
          </w:sdtContent>
        </w:sdt>
        <w:sdt>
          <w:sdtPr>
            <w:rPr>
              <w:rFonts w:cs="Times New Roman"/>
            </w:rPr>
            <w:tag w:val="_PLD_5c5cde6f65e14786b3649ac7e04282d7"/>
            <w:id w:val="872193656"/>
          </w:sdtPr>
          <w:sdtEndPr>
            <w:rPr>
              <w:rFonts w:cs="Times New Roman"/>
            </w:rPr>
          </w:sdtEndPr>
          <w:sdtContent>
            <w:tc>
              <w:tcPr>
                <w:tcW w:w="413" w:type="pct"/>
                <w:vMerge w:val="restart"/>
                <w:vAlign w:val="center"/>
              </w:tcPr>
              <w:p w14:paraId="1218D35B">
                <w:pPr>
                  <w:jc w:val="center"/>
                  <w:rPr>
                    <w:rFonts w:cs="Times New Roman"/>
                  </w:rPr>
                </w:pPr>
                <w:r>
                  <w:rPr>
                    <w:rFonts w:cs="Times New Roman"/>
                  </w:rPr>
                  <w:t>租赁资产种类</w:t>
                </w:r>
              </w:p>
            </w:tc>
          </w:sdtContent>
        </w:sdt>
        <w:sdt>
          <w:sdtPr>
            <w:rPr>
              <w:rFonts w:cs="Times New Roman"/>
            </w:rPr>
            <w:tag w:val="_PLD_3f4d501d18db41e7a31aafcb3633af3b"/>
            <w:id w:val="-1249577931"/>
          </w:sdtPr>
          <w:sdtEndPr>
            <w:rPr>
              <w:rFonts w:cs="Times New Roman"/>
            </w:rPr>
          </w:sdtEndPr>
          <w:sdtContent>
            <w:tc>
              <w:tcPr>
                <w:tcW w:w="1958" w:type="pct"/>
                <w:gridSpan w:val="5"/>
                <w:vAlign w:val="center"/>
              </w:tcPr>
              <w:p w14:paraId="58EAC8D9">
                <w:pPr>
                  <w:jc w:val="center"/>
                  <w:rPr>
                    <w:rFonts w:cs="Times New Roman"/>
                    <w:color w:val="000000"/>
                  </w:rPr>
                </w:pPr>
                <w:r>
                  <w:rPr>
                    <w:rFonts w:cs="Times New Roman"/>
                    <w:color w:val="000000"/>
                  </w:rPr>
                  <w:t>本期发生额</w:t>
                </w:r>
              </w:p>
            </w:tc>
          </w:sdtContent>
        </w:sdt>
        <w:sdt>
          <w:sdtPr>
            <w:rPr>
              <w:rFonts w:cs="Times New Roman"/>
            </w:rPr>
            <w:tag w:val="_PLD_2f457073e63c4a8bac5d81d3caefbe3a"/>
            <w:id w:val="137535712"/>
          </w:sdtPr>
          <w:sdtEndPr>
            <w:rPr>
              <w:rFonts w:cs="Times New Roman"/>
            </w:rPr>
          </w:sdtEndPr>
          <w:sdtContent>
            <w:tc>
              <w:tcPr>
                <w:tcW w:w="2172" w:type="pct"/>
                <w:gridSpan w:val="5"/>
                <w:vAlign w:val="center"/>
              </w:tcPr>
              <w:p w14:paraId="05509E32">
                <w:pPr>
                  <w:jc w:val="center"/>
                  <w:rPr>
                    <w:rFonts w:cs="Times New Roman"/>
                    <w:color w:val="000000"/>
                  </w:rPr>
                </w:pPr>
                <w:r>
                  <w:rPr>
                    <w:rFonts w:cs="Times New Roman"/>
                    <w:color w:val="000000"/>
                  </w:rPr>
                  <w:t>上期发生额</w:t>
                </w:r>
              </w:p>
            </w:tc>
          </w:sdtContent>
        </w:sdt>
      </w:tr>
      <w:tr w14:paraId="3231A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58" w:type="pct"/>
            <w:vMerge w:val="continue"/>
            <w:tcBorders>
              <w:bottom w:val="single" w:color="auto" w:sz="4" w:space="0"/>
            </w:tcBorders>
            <w:vAlign w:val="center"/>
          </w:tcPr>
          <w:p w14:paraId="03FD8362">
            <w:pPr>
              <w:jc w:val="center"/>
              <w:rPr>
                <w:rFonts w:cs="Times New Roman"/>
                <w:color w:val="000000"/>
              </w:rPr>
            </w:pPr>
          </w:p>
        </w:tc>
        <w:tc>
          <w:tcPr>
            <w:tcW w:w="413" w:type="pct"/>
            <w:vMerge w:val="continue"/>
            <w:tcBorders>
              <w:bottom w:val="single" w:color="auto" w:sz="4" w:space="0"/>
            </w:tcBorders>
            <w:vAlign w:val="center"/>
          </w:tcPr>
          <w:p w14:paraId="11B4E9CD">
            <w:pPr>
              <w:jc w:val="center"/>
              <w:rPr>
                <w:rFonts w:cs="Times New Roman"/>
                <w:color w:val="000000"/>
              </w:rPr>
            </w:pPr>
          </w:p>
        </w:tc>
        <w:sdt>
          <w:sdtPr>
            <w:rPr>
              <w:rFonts w:cs="Times New Roman"/>
            </w:rPr>
            <w:tag w:val="_PLD_2cca083aef1e4708bd43f9dbbfbeafef"/>
            <w:id w:val="323470332"/>
          </w:sdtPr>
          <w:sdtEndPr>
            <w:rPr>
              <w:rFonts w:cs="Times New Roman"/>
            </w:rPr>
          </w:sdtEndPr>
          <w:sdtContent>
            <w:tc>
              <w:tcPr>
                <w:tcW w:w="464" w:type="pct"/>
                <w:tcBorders>
                  <w:top w:val="single" w:color="auto" w:sz="4" w:space="0"/>
                  <w:bottom w:val="single" w:color="auto" w:sz="4" w:space="0"/>
                  <w:right w:val="single" w:color="auto" w:sz="4" w:space="0"/>
                </w:tcBorders>
                <w:vAlign w:val="center"/>
              </w:tcPr>
              <w:p w14:paraId="62535AC2">
                <w:pPr>
                  <w:jc w:val="center"/>
                  <w:rPr>
                    <w:rFonts w:cs="Times New Roman"/>
                  </w:rPr>
                </w:pPr>
                <w:r>
                  <w:rPr>
                    <w:rFonts w:cs="Times New Roman"/>
                  </w:rPr>
                  <w:t>简化处理的短期租赁和低价值资产租赁的租金费用（如适用）</w:t>
                </w:r>
              </w:p>
            </w:tc>
          </w:sdtContent>
        </w:sdt>
        <w:sdt>
          <w:sdtPr>
            <w:rPr>
              <w:rFonts w:cs="Times New Roman"/>
            </w:rPr>
            <w:tag w:val="_PLD_4624d4edd2f64322a60efca48b0061ad"/>
            <w:id w:val="10807430"/>
          </w:sdtPr>
          <w:sdtEndPr>
            <w:rPr>
              <w:rFonts w:cs="Times New Roman"/>
            </w:rPr>
          </w:sdtEndPr>
          <w:sdtContent>
            <w:tc>
              <w:tcPr>
                <w:tcW w:w="424" w:type="pct"/>
                <w:tcBorders>
                  <w:top w:val="single" w:color="auto" w:sz="4" w:space="0"/>
                  <w:left w:val="single" w:color="auto" w:sz="4" w:space="0"/>
                  <w:bottom w:val="single" w:color="auto" w:sz="4" w:space="0"/>
                  <w:right w:val="single" w:color="auto" w:sz="4" w:space="0"/>
                </w:tcBorders>
                <w:vAlign w:val="center"/>
              </w:tcPr>
              <w:p w14:paraId="02F8A86E">
                <w:pPr>
                  <w:jc w:val="center"/>
                  <w:rPr>
                    <w:rFonts w:cs="Times New Roman"/>
                  </w:rPr>
                </w:pPr>
                <w:r>
                  <w:rPr>
                    <w:rFonts w:cs="Times New Roman"/>
                  </w:rPr>
                  <w:t>未纳入租赁负债计量的可变租赁付款额（如适用）</w:t>
                </w:r>
              </w:p>
            </w:tc>
          </w:sdtContent>
        </w:sdt>
        <w:sdt>
          <w:sdtPr>
            <w:rPr>
              <w:rFonts w:cs="Times New Roman"/>
            </w:rPr>
            <w:tag w:val="_PLD_e3452f719b72499489e3cbcb97b93412"/>
            <w:id w:val="-860969715"/>
          </w:sdtPr>
          <w:sdtEndPr>
            <w:rPr>
              <w:rFonts w:cs="Times New Roman"/>
            </w:rPr>
          </w:sdtEndPr>
          <w:sdtContent>
            <w:tc>
              <w:tcPr>
                <w:tcW w:w="421" w:type="pct"/>
                <w:tcBorders>
                  <w:top w:val="single" w:color="auto" w:sz="4" w:space="0"/>
                  <w:left w:val="single" w:color="auto" w:sz="4" w:space="0"/>
                  <w:bottom w:val="single" w:color="auto" w:sz="4" w:space="0"/>
                  <w:right w:val="single" w:color="auto" w:sz="4" w:space="0"/>
                </w:tcBorders>
                <w:vAlign w:val="center"/>
              </w:tcPr>
              <w:p w14:paraId="73166DCB">
                <w:pPr>
                  <w:jc w:val="center"/>
                  <w:rPr>
                    <w:rFonts w:cs="Times New Roman"/>
                  </w:rPr>
                </w:pPr>
                <w:r>
                  <w:rPr>
                    <w:rFonts w:cs="Times New Roman"/>
                  </w:rPr>
                  <w:t>支付的租金</w:t>
                </w:r>
              </w:p>
            </w:tc>
          </w:sdtContent>
        </w:sdt>
        <w:sdt>
          <w:sdtPr>
            <w:rPr>
              <w:rFonts w:cs="Times New Roman"/>
            </w:rPr>
            <w:tag w:val="_PLD_5cbd4f1b976f4ed69d0189b277196f5c"/>
            <w:id w:val="1410112306"/>
          </w:sdtPr>
          <w:sdtEndPr>
            <w:rPr>
              <w:rFonts w:cs="Times New Roman"/>
            </w:rPr>
          </w:sdtEndPr>
          <w:sdtContent>
            <w:tc>
              <w:tcPr>
                <w:tcW w:w="360" w:type="pct"/>
                <w:tcBorders>
                  <w:top w:val="single" w:color="auto" w:sz="4" w:space="0"/>
                  <w:left w:val="single" w:color="auto" w:sz="4" w:space="0"/>
                  <w:bottom w:val="single" w:color="auto" w:sz="4" w:space="0"/>
                  <w:right w:val="single" w:color="auto" w:sz="4" w:space="0"/>
                </w:tcBorders>
                <w:vAlign w:val="center"/>
              </w:tcPr>
              <w:p w14:paraId="34D09408">
                <w:pPr>
                  <w:jc w:val="center"/>
                  <w:rPr>
                    <w:rFonts w:cs="Times New Roman"/>
                  </w:rPr>
                </w:pPr>
                <w:r>
                  <w:rPr>
                    <w:rFonts w:cs="Times New Roman"/>
                  </w:rPr>
                  <w:t>承担的租赁负债利息支出</w:t>
                </w:r>
              </w:p>
            </w:tc>
          </w:sdtContent>
        </w:sdt>
        <w:sdt>
          <w:sdtPr>
            <w:rPr>
              <w:rFonts w:cs="Times New Roman"/>
            </w:rPr>
            <w:tag w:val="_PLD_d499b1b56a11497b8f0f2bb857579485"/>
            <w:id w:val="1073314134"/>
          </w:sdtPr>
          <w:sdtEndPr>
            <w:rPr>
              <w:rFonts w:cs="Times New Roman"/>
            </w:rPr>
          </w:sdtEndPr>
          <w:sdtContent>
            <w:tc>
              <w:tcPr>
                <w:tcW w:w="289" w:type="pct"/>
                <w:tcBorders>
                  <w:top w:val="single" w:color="auto" w:sz="4" w:space="0"/>
                  <w:left w:val="single" w:color="auto" w:sz="4" w:space="0"/>
                  <w:bottom w:val="single" w:color="auto" w:sz="4" w:space="0"/>
                  <w:right w:val="single" w:color="auto" w:sz="4" w:space="0"/>
                </w:tcBorders>
                <w:vAlign w:val="center"/>
              </w:tcPr>
              <w:p w14:paraId="48C5E985">
                <w:pPr>
                  <w:jc w:val="center"/>
                  <w:rPr>
                    <w:rFonts w:cs="Times New Roman"/>
                  </w:rPr>
                </w:pPr>
                <w:r>
                  <w:rPr>
                    <w:rFonts w:cs="Times New Roman"/>
                  </w:rPr>
                  <w:t>增加的使用权资产</w:t>
                </w:r>
              </w:p>
            </w:tc>
          </w:sdtContent>
        </w:sdt>
        <w:sdt>
          <w:sdtPr>
            <w:rPr>
              <w:rFonts w:cs="Times New Roman"/>
            </w:rPr>
            <w:tag w:val="_PLD_c1f9a77e90694673a4096dbd51ac191f"/>
            <w:id w:val="609174771"/>
          </w:sdtPr>
          <w:sdtEndPr>
            <w:rPr>
              <w:rFonts w:cs="Times New Roman"/>
            </w:rPr>
          </w:sdtEndPr>
          <w:sdtContent>
            <w:tc>
              <w:tcPr>
                <w:tcW w:w="463" w:type="pct"/>
                <w:tcBorders>
                  <w:top w:val="single" w:color="auto" w:sz="4" w:space="0"/>
                  <w:left w:val="single" w:color="auto" w:sz="4" w:space="0"/>
                  <w:bottom w:val="single" w:color="auto" w:sz="4" w:space="0"/>
                  <w:right w:val="single" w:color="auto" w:sz="4" w:space="0"/>
                </w:tcBorders>
                <w:vAlign w:val="center"/>
              </w:tcPr>
              <w:p w14:paraId="0D7561ED">
                <w:pPr>
                  <w:jc w:val="center"/>
                  <w:rPr>
                    <w:rFonts w:cs="Times New Roman"/>
                  </w:rPr>
                </w:pPr>
                <w:r>
                  <w:rPr>
                    <w:rFonts w:cs="Times New Roman"/>
                  </w:rPr>
                  <w:t>简化处理的短期租赁和低价值资产租赁的租金费用（如适用）</w:t>
                </w:r>
              </w:p>
            </w:tc>
          </w:sdtContent>
        </w:sdt>
        <w:sdt>
          <w:sdtPr>
            <w:rPr>
              <w:rFonts w:cs="Times New Roman"/>
            </w:rPr>
            <w:tag w:val="_PLD_702bedacc77d48f4a48c06bbc6be7246"/>
            <w:id w:val="1787393114"/>
          </w:sdtPr>
          <w:sdtEndPr>
            <w:rPr>
              <w:rFonts w:cs="Times New Roman"/>
            </w:rPr>
          </w:sdtEndPr>
          <w:sdtContent>
            <w:tc>
              <w:tcPr>
                <w:tcW w:w="449" w:type="pct"/>
                <w:tcBorders>
                  <w:top w:val="single" w:color="auto" w:sz="4" w:space="0"/>
                  <w:left w:val="single" w:color="auto" w:sz="4" w:space="0"/>
                  <w:bottom w:val="single" w:color="auto" w:sz="4" w:space="0"/>
                  <w:right w:val="single" w:color="auto" w:sz="4" w:space="0"/>
                </w:tcBorders>
                <w:vAlign w:val="center"/>
              </w:tcPr>
              <w:p w14:paraId="79289E2E">
                <w:pPr>
                  <w:jc w:val="center"/>
                  <w:rPr>
                    <w:rFonts w:cs="Times New Roman"/>
                  </w:rPr>
                </w:pPr>
                <w:r>
                  <w:rPr>
                    <w:rFonts w:cs="Times New Roman"/>
                  </w:rPr>
                  <w:t>未纳入租赁负债计量的可变租赁付款额（如适用）</w:t>
                </w:r>
              </w:p>
            </w:tc>
          </w:sdtContent>
        </w:sdt>
        <w:sdt>
          <w:sdtPr>
            <w:rPr>
              <w:rFonts w:cs="Times New Roman"/>
            </w:rPr>
            <w:tag w:val="_PLD_c8e149cad8104501947599e30b0601d2"/>
            <w:id w:val="-196318752"/>
          </w:sdtPr>
          <w:sdtEndPr>
            <w:rPr>
              <w:rFonts w:cs="Times New Roman"/>
            </w:rPr>
          </w:sdtEndPr>
          <w:sdtContent>
            <w:tc>
              <w:tcPr>
                <w:tcW w:w="479" w:type="pct"/>
                <w:tcBorders>
                  <w:top w:val="single" w:color="auto" w:sz="4" w:space="0"/>
                  <w:left w:val="single" w:color="auto" w:sz="4" w:space="0"/>
                  <w:bottom w:val="single" w:color="auto" w:sz="4" w:space="0"/>
                  <w:right w:val="single" w:color="auto" w:sz="4" w:space="0"/>
                </w:tcBorders>
                <w:vAlign w:val="center"/>
              </w:tcPr>
              <w:p w14:paraId="6967F6B9">
                <w:pPr>
                  <w:jc w:val="center"/>
                  <w:rPr>
                    <w:rFonts w:cs="Times New Roman"/>
                  </w:rPr>
                </w:pPr>
                <w:r>
                  <w:rPr>
                    <w:rFonts w:cs="Times New Roman"/>
                  </w:rPr>
                  <w:t>支付的租金</w:t>
                </w:r>
              </w:p>
            </w:tc>
          </w:sdtContent>
        </w:sdt>
        <w:sdt>
          <w:sdtPr>
            <w:rPr>
              <w:rFonts w:cs="Times New Roman"/>
            </w:rPr>
            <w:tag w:val="_PLD_942451a6865e45aea3d0224d7814a4ce"/>
            <w:id w:val="169376761"/>
          </w:sdtPr>
          <w:sdtEndPr>
            <w:rPr>
              <w:rFonts w:cs="Times New Roman"/>
            </w:rPr>
          </w:sdtEndPr>
          <w:sdtContent>
            <w:tc>
              <w:tcPr>
                <w:tcW w:w="421" w:type="pct"/>
                <w:tcBorders>
                  <w:top w:val="single" w:color="auto" w:sz="4" w:space="0"/>
                  <w:left w:val="single" w:color="auto" w:sz="4" w:space="0"/>
                  <w:bottom w:val="single" w:color="auto" w:sz="4" w:space="0"/>
                  <w:right w:val="single" w:color="auto" w:sz="4" w:space="0"/>
                </w:tcBorders>
                <w:vAlign w:val="center"/>
              </w:tcPr>
              <w:p w14:paraId="4CC25A20">
                <w:pPr>
                  <w:jc w:val="center"/>
                  <w:rPr>
                    <w:rFonts w:cs="Times New Roman"/>
                  </w:rPr>
                </w:pPr>
                <w:r>
                  <w:rPr>
                    <w:rFonts w:cs="Times New Roman"/>
                  </w:rPr>
                  <w:t>承担的租赁负债利息支出</w:t>
                </w:r>
              </w:p>
            </w:tc>
          </w:sdtContent>
        </w:sdt>
        <w:sdt>
          <w:sdtPr>
            <w:rPr>
              <w:rFonts w:cs="Times New Roman"/>
            </w:rPr>
            <w:tag w:val="_PLD_d568cde7ab1f4fd8a2045af8fb20a3cd"/>
            <w:id w:val="1366718584"/>
          </w:sdtPr>
          <w:sdtEndPr>
            <w:rPr>
              <w:rFonts w:cs="Times New Roman"/>
            </w:rPr>
          </w:sdtEndPr>
          <w:sdtContent>
            <w:tc>
              <w:tcPr>
                <w:tcW w:w="359" w:type="pct"/>
                <w:tcBorders>
                  <w:top w:val="single" w:color="auto" w:sz="4" w:space="0"/>
                  <w:left w:val="single" w:color="auto" w:sz="4" w:space="0"/>
                  <w:bottom w:val="single" w:color="auto" w:sz="4" w:space="0"/>
                  <w:right w:val="single" w:color="auto" w:sz="4" w:space="0"/>
                </w:tcBorders>
                <w:vAlign w:val="center"/>
              </w:tcPr>
              <w:p w14:paraId="6DC4E228">
                <w:pPr>
                  <w:jc w:val="center"/>
                  <w:rPr>
                    <w:rFonts w:cs="Times New Roman"/>
                  </w:rPr>
                </w:pPr>
                <w:r>
                  <w:rPr>
                    <w:rFonts w:cs="Times New Roman"/>
                  </w:rPr>
                  <w:t>增加的使用权资产</w:t>
                </w:r>
              </w:p>
            </w:tc>
          </w:sdtContent>
        </w:sdt>
      </w:tr>
      <w:sdt>
        <w:sdtPr>
          <w:rPr>
            <w:rFonts w:cs="Times New Roman"/>
            <w:color w:val="000000"/>
          </w:rPr>
          <w:alias w:val="公司承租情况明细"/>
          <w:tag w:val="_TUP_ebb1ad055b8649d7ad8719d21bc811c6"/>
          <w:id w:val="-454863555"/>
          <w:placeholder>
            <w:docPart w:val="{b3f4be12-da9a-4108-a3cb-af77807cbc1c}"/>
          </w:placeholder>
        </w:sdtPr>
        <w:sdtEndPr>
          <w:rPr>
            <w:rFonts w:cs="Times New Roman"/>
            <w:color w:val="000000"/>
          </w:rPr>
        </w:sdtEndPr>
        <w:sdtContent>
          <w:tr w14:paraId="4982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Borders>
                  <w:top w:val="single" w:color="auto" w:sz="4" w:space="0"/>
                  <w:left w:val="single" w:color="auto" w:sz="4" w:space="0"/>
                  <w:bottom w:val="single" w:color="auto" w:sz="4" w:space="0"/>
                  <w:right w:val="single" w:color="auto" w:sz="4" w:space="0"/>
                </w:tcBorders>
                <w:vAlign w:val="center"/>
              </w:tcPr>
              <w:p w14:paraId="42E2C725">
                <w:pPr>
                  <w:rPr>
                    <w:rFonts w:cs="Times New Roman"/>
                  </w:rPr>
                </w:pPr>
                <w:r>
                  <w:rPr>
                    <w:rFonts w:cs="Times New Roman"/>
                  </w:rPr>
                  <w:t>咸阳际华投资发展有限公司</w:t>
                </w:r>
              </w:p>
            </w:tc>
            <w:tc>
              <w:tcPr>
                <w:tcW w:w="413" w:type="pct"/>
                <w:tcBorders>
                  <w:top w:val="single" w:color="auto" w:sz="4" w:space="0"/>
                  <w:left w:val="single" w:color="auto" w:sz="4" w:space="0"/>
                  <w:bottom w:val="single" w:color="auto" w:sz="4" w:space="0"/>
                  <w:right w:val="single" w:color="auto" w:sz="4" w:space="0"/>
                </w:tcBorders>
                <w:vAlign w:val="center"/>
              </w:tcPr>
              <w:p w14:paraId="1CC0589E">
                <w:pPr>
                  <w:jc w:val="center"/>
                  <w:rPr>
                    <w:rFonts w:cs="Times New Roman"/>
                  </w:rPr>
                </w:pPr>
                <w:r>
                  <w:rPr>
                    <w:rFonts w:cs="Times New Roman"/>
                  </w:rPr>
                  <w:t>房屋、土地</w:t>
                </w:r>
              </w:p>
            </w:tc>
            <w:tc>
              <w:tcPr>
                <w:tcW w:w="464" w:type="pct"/>
                <w:tcBorders>
                  <w:top w:val="single" w:color="auto" w:sz="4" w:space="0"/>
                  <w:left w:val="single" w:color="auto" w:sz="4" w:space="0"/>
                  <w:bottom w:val="single" w:color="auto" w:sz="4" w:space="0"/>
                  <w:right w:val="single" w:color="auto" w:sz="4" w:space="0"/>
                </w:tcBorders>
                <w:vAlign w:val="center"/>
              </w:tcPr>
              <w:p w14:paraId="22DC7A31">
                <w:pPr>
                  <w:jc w:val="right"/>
                  <w:rPr>
                    <w:rFonts w:cs="Times New Roman"/>
                  </w:rPr>
                </w:pPr>
                <w:r>
                  <w:rPr>
                    <w:rFonts w:cs="Times New Roman"/>
                  </w:rPr>
                  <w:t>261,031.01</w:t>
                </w:r>
              </w:p>
            </w:tc>
            <w:tc>
              <w:tcPr>
                <w:tcW w:w="424" w:type="pct"/>
                <w:tcBorders>
                  <w:top w:val="single" w:color="auto" w:sz="4" w:space="0"/>
                  <w:left w:val="single" w:color="auto" w:sz="4" w:space="0"/>
                  <w:bottom w:val="single" w:color="auto" w:sz="4" w:space="0"/>
                  <w:right w:val="single" w:color="auto" w:sz="4" w:space="0"/>
                </w:tcBorders>
                <w:vAlign w:val="center"/>
              </w:tcPr>
              <w:p w14:paraId="6C44162B">
                <w:pPr>
                  <w:jc w:val="right"/>
                  <w:rPr>
                    <w:rFonts w:cs="Times New Roman"/>
                  </w:rPr>
                </w:pPr>
              </w:p>
            </w:tc>
            <w:tc>
              <w:tcPr>
                <w:tcW w:w="421" w:type="pct"/>
                <w:tcBorders>
                  <w:top w:val="single" w:color="auto" w:sz="4" w:space="0"/>
                  <w:left w:val="single" w:color="auto" w:sz="4" w:space="0"/>
                  <w:bottom w:val="single" w:color="auto" w:sz="4" w:space="0"/>
                  <w:right w:val="single" w:color="auto" w:sz="4" w:space="0"/>
                </w:tcBorders>
                <w:vAlign w:val="center"/>
              </w:tcPr>
              <w:p w14:paraId="7EC001C5">
                <w:pPr>
                  <w:jc w:val="right"/>
                  <w:rPr>
                    <w:rFonts w:cs="Times New Roman"/>
                  </w:rPr>
                </w:pPr>
              </w:p>
            </w:tc>
            <w:tc>
              <w:tcPr>
                <w:tcW w:w="360" w:type="pct"/>
                <w:tcBorders>
                  <w:top w:val="single" w:color="auto" w:sz="4" w:space="0"/>
                  <w:left w:val="single" w:color="auto" w:sz="4" w:space="0"/>
                  <w:bottom w:val="single" w:color="auto" w:sz="4" w:space="0"/>
                  <w:right w:val="single" w:color="auto" w:sz="4" w:space="0"/>
                </w:tcBorders>
                <w:vAlign w:val="center"/>
              </w:tcPr>
              <w:p w14:paraId="7ED82F51">
                <w:pPr>
                  <w:jc w:val="right"/>
                  <w:rPr>
                    <w:rFonts w:cs="Times New Roman"/>
                  </w:rPr>
                </w:pPr>
              </w:p>
            </w:tc>
            <w:tc>
              <w:tcPr>
                <w:tcW w:w="289" w:type="pct"/>
                <w:tcBorders>
                  <w:top w:val="single" w:color="auto" w:sz="4" w:space="0"/>
                  <w:left w:val="single" w:color="auto" w:sz="4" w:space="0"/>
                  <w:bottom w:val="single" w:color="auto" w:sz="4" w:space="0"/>
                  <w:right w:val="single" w:color="auto" w:sz="4" w:space="0"/>
                </w:tcBorders>
                <w:vAlign w:val="center"/>
              </w:tcPr>
              <w:p w14:paraId="02005CB8">
                <w:pPr>
                  <w:jc w:val="right"/>
                  <w:rPr>
                    <w:rFonts w:cs="Times New Roman"/>
                  </w:rPr>
                </w:pPr>
              </w:p>
            </w:tc>
            <w:tc>
              <w:tcPr>
                <w:tcW w:w="463" w:type="pct"/>
                <w:tcBorders>
                  <w:top w:val="single" w:color="auto" w:sz="4" w:space="0"/>
                  <w:left w:val="single" w:color="auto" w:sz="4" w:space="0"/>
                  <w:bottom w:val="single" w:color="auto" w:sz="4" w:space="0"/>
                  <w:right w:val="single" w:color="auto" w:sz="4" w:space="0"/>
                </w:tcBorders>
                <w:vAlign w:val="center"/>
              </w:tcPr>
              <w:p w14:paraId="1CC8268F">
                <w:pPr>
                  <w:jc w:val="right"/>
                  <w:rPr>
                    <w:rFonts w:cs="Times New Roman"/>
                  </w:rPr>
                </w:pPr>
                <w:r>
                  <w:rPr>
                    <w:rFonts w:cs="Times New Roman"/>
                  </w:rPr>
                  <w:t>283,966.80</w:t>
                </w:r>
              </w:p>
            </w:tc>
            <w:tc>
              <w:tcPr>
                <w:tcW w:w="449" w:type="pct"/>
                <w:tcBorders>
                  <w:top w:val="single" w:color="auto" w:sz="4" w:space="0"/>
                  <w:left w:val="single" w:color="auto" w:sz="4" w:space="0"/>
                  <w:bottom w:val="single" w:color="auto" w:sz="4" w:space="0"/>
                  <w:right w:val="single" w:color="auto" w:sz="4" w:space="0"/>
                </w:tcBorders>
                <w:vAlign w:val="center"/>
              </w:tcPr>
              <w:p w14:paraId="63E0849F">
                <w:pPr>
                  <w:jc w:val="right"/>
                  <w:rPr>
                    <w:rFonts w:cs="Times New Roman"/>
                  </w:rPr>
                </w:pPr>
              </w:p>
            </w:tc>
            <w:tc>
              <w:tcPr>
                <w:tcW w:w="479" w:type="pct"/>
                <w:tcBorders>
                  <w:top w:val="single" w:color="auto" w:sz="4" w:space="0"/>
                  <w:left w:val="single" w:color="auto" w:sz="4" w:space="0"/>
                  <w:bottom w:val="single" w:color="auto" w:sz="4" w:space="0"/>
                  <w:right w:val="single" w:color="auto" w:sz="4" w:space="0"/>
                </w:tcBorders>
                <w:vAlign w:val="center"/>
              </w:tcPr>
              <w:p w14:paraId="286E6F43">
                <w:pPr>
                  <w:jc w:val="right"/>
                  <w:rPr>
                    <w:rFonts w:cs="Times New Roman"/>
                  </w:rPr>
                </w:pPr>
              </w:p>
            </w:tc>
            <w:tc>
              <w:tcPr>
                <w:tcW w:w="421" w:type="pct"/>
                <w:tcBorders>
                  <w:top w:val="single" w:color="auto" w:sz="4" w:space="0"/>
                  <w:left w:val="single" w:color="auto" w:sz="4" w:space="0"/>
                  <w:bottom w:val="single" w:color="auto" w:sz="4" w:space="0"/>
                  <w:right w:val="single" w:color="auto" w:sz="4" w:space="0"/>
                </w:tcBorders>
                <w:vAlign w:val="center"/>
              </w:tcPr>
              <w:p w14:paraId="118D1729">
                <w:pPr>
                  <w:jc w:val="right"/>
                  <w:rPr>
                    <w:rFonts w:cs="Times New Roman"/>
                  </w:rPr>
                </w:pPr>
              </w:p>
            </w:tc>
            <w:tc>
              <w:tcPr>
                <w:tcW w:w="359" w:type="pct"/>
                <w:tcBorders>
                  <w:top w:val="single" w:color="auto" w:sz="4" w:space="0"/>
                  <w:left w:val="single" w:color="auto" w:sz="4" w:space="0"/>
                  <w:bottom w:val="single" w:color="auto" w:sz="4" w:space="0"/>
                  <w:right w:val="single" w:color="auto" w:sz="4" w:space="0"/>
                </w:tcBorders>
                <w:vAlign w:val="center"/>
              </w:tcPr>
              <w:p w14:paraId="78BF1108">
                <w:pPr>
                  <w:jc w:val="right"/>
                  <w:rPr>
                    <w:rFonts w:cs="Times New Roman"/>
                  </w:rPr>
                </w:pPr>
              </w:p>
            </w:tc>
          </w:tr>
        </w:sdtContent>
      </w:sdt>
      <w:sdt>
        <w:sdtPr>
          <w:rPr>
            <w:rFonts w:cs="Times New Roman"/>
            <w:color w:val="000000"/>
          </w:rPr>
          <w:alias w:val="公司承租情况明细"/>
          <w:tag w:val="_TUP_ebb1ad055b8649d7ad8719d21bc811c6"/>
          <w:id w:val="1568763874"/>
          <w:placeholder>
            <w:docPart w:val="{b3f4be12-da9a-4108-a3cb-af77807cbc1c}"/>
          </w:placeholder>
        </w:sdtPr>
        <w:sdtEndPr>
          <w:rPr>
            <w:rFonts w:cs="Times New Roman"/>
            <w:color w:val="000000"/>
          </w:rPr>
        </w:sdtEndPr>
        <w:sdtContent>
          <w:tr w14:paraId="73D02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Borders>
                  <w:top w:val="single" w:color="auto" w:sz="4" w:space="0"/>
                  <w:left w:val="single" w:color="auto" w:sz="4" w:space="0"/>
                  <w:bottom w:val="single" w:color="auto" w:sz="4" w:space="0"/>
                  <w:right w:val="single" w:color="auto" w:sz="4" w:space="0"/>
                </w:tcBorders>
                <w:vAlign w:val="center"/>
              </w:tcPr>
              <w:p w14:paraId="7F25455F">
                <w:pPr>
                  <w:rPr>
                    <w:rFonts w:cs="Times New Roman"/>
                  </w:rPr>
                </w:pPr>
                <w:r>
                  <w:rPr>
                    <w:rFonts w:cs="Times New Roman"/>
                  </w:rPr>
                  <w:t>武汉汉江资产运营有限公司</w:t>
                </w:r>
              </w:p>
            </w:tc>
            <w:tc>
              <w:tcPr>
                <w:tcW w:w="413" w:type="pct"/>
                <w:tcBorders>
                  <w:top w:val="single" w:color="auto" w:sz="4" w:space="0"/>
                  <w:left w:val="single" w:color="auto" w:sz="4" w:space="0"/>
                  <w:bottom w:val="single" w:color="auto" w:sz="4" w:space="0"/>
                  <w:right w:val="single" w:color="auto" w:sz="4" w:space="0"/>
                </w:tcBorders>
                <w:vAlign w:val="center"/>
              </w:tcPr>
              <w:p w14:paraId="09CEF9A6">
                <w:pPr>
                  <w:jc w:val="center"/>
                  <w:rPr>
                    <w:rFonts w:cs="Times New Roman"/>
                  </w:rPr>
                </w:pPr>
                <w:r>
                  <w:rPr>
                    <w:rFonts w:cs="Times New Roman"/>
                  </w:rPr>
                  <w:t>房屋、土地</w:t>
                </w:r>
              </w:p>
            </w:tc>
            <w:tc>
              <w:tcPr>
                <w:tcW w:w="464" w:type="pct"/>
                <w:tcBorders>
                  <w:top w:val="single" w:color="auto" w:sz="4" w:space="0"/>
                  <w:left w:val="single" w:color="auto" w:sz="4" w:space="0"/>
                  <w:bottom w:val="single" w:color="auto" w:sz="4" w:space="0"/>
                  <w:right w:val="single" w:color="auto" w:sz="4" w:space="0"/>
                </w:tcBorders>
                <w:vAlign w:val="center"/>
              </w:tcPr>
              <w:p w14:paraId="3CB6CA30">
                <w:pPr>
                  <w:jc w:val="right"/>
                  <w:rPr>
                    <w:rFonts w:cs="Times New Roman"/>
                  </w:rPr>
                </w:pPr>
              </w:p>
            </w:tc>
            <w:tc>
              <w:tcPr>
                <w:tcW w:w="424" w:type="pct"/>
                <w:tcBorders>
                  <w:top w:val="single" w:color="auto" w:sz="4" w:space="0"/>
                  <w:left w:val="single" w:color="auto" w:sz="4" w:space="0"/>
                  <w:bottom w:val="single" w:color="auto" w:sz="4" w:space="0"/>
                  <w:right w:val="single" w:color="auto" w:sz="4" w:space="0"/>
                </w:tcBorders>
                <w:vAlign w:val="center"/>
              </w:tcPr>
              <w:p w14:paraId="5581837B">
                <w:pPr>
                  <w:jc w:val="right"/>
                  <w:rPr>
                    <w:rFonts w:cs="Times New Roman"/>
                  </w:rPr>
                </w:pPr>
              </w:p>
            </w:tc>
            <w:tc>
              <w:tcPr>
                <w:tcW w:w="421" w:type="pct"/>
                <w:tcBorders>
                  <w:top w:val="single" w:color="auto" w:sz="4" w:space="0"/>
                  <w:left w:val="single" w:color="auto" w:sz="4" w:space="0"/>
                  <w:bottom w:val="single" w:color="auto" w:sz="4" w:space="0"/>
                  <w:right w:val="single" w:color="auto" w:sz="4" w:space="0"/>
                </w:tcBorders>
                <w:vAlign w:val="center"/>
              </w:tcPr>
              <w:p w14:paraId="58060BC3">
                <w:pPr>
                  <w:jc w:val="right"/>
                  <w:rPr>
                    <w:rFonts w:cs="Times New Roman"/>
                  </w:rPr>
                </w:pPr>
              </w:p>
            </w:tc>
            <w:tc>
              <w:tcPr>
                <w:tcW w:w="360" w:type="pct"/>
                <w:tcBorders>
                  <w:top w:val="single" w:color="auto" w:sz="4" w:space="0"/>
                  <w:left w:val="single" w:color="auto" w:sz="4" w:space="0"/>
                  <w:bottom w:val="single" w:color="auto" w:sz="4" w:space="0"/>
                  <w:right w:val="single" w:color="auto" w:sz="4" w:space="0"/>
                </w:tcBorders>
                <w:vAlign w:val="center"/>
              </w:tcPr>
              <w:p w14:paraId="4451BB89">
                <w:pPr>
                  <w:jc w:val="right"/>
                  <w:rPr>
                    <w:rFonts w:cs="Times New Roman"/>
                  </w:rPr>
                </w:pPr>
              </w:p>
            </w:tc>
            <w:tc>
              <w:tcPr>
                <w:tcW w:w="289" w:type="pct"/>
                <w:tcBorders>
                  <w:top w:val="single" w:color="auto" w:sz="4" w:space="0"/>
                  <w:left w:val="single" w:color="auto" w:sz="4" w:space="0"/>
                  <w:bottom w:val="single" w:color="auto" w:sz="4" w:space="0"/>
                  <w:right w:val="single" w:color="auto" w:sz="4" w:space="0"/>
                </w:tcBorders>
                <w:vAlign w:val="center"/>
              </w:tcPr>
              <w:p w14:paraId="652C3DC5">
                <w:pPr>
                  <w:jc w:val="right"/>
                  <w:rPr>
                    <w:rFonts w:cs="Times New Roman"/>
                  </w:rPr>
                </w:pPr>
              </w:p>
            </w:tc>
            <w:tc>
              <w:tcPr>
                <w:tcW w:w="463" w:type="pct"/>
                <w:tcBorders>
                  <w:top w:val="single" w:color="auto" w:sz="4" w:space="0"/>
                  <w:left w:val="single" w:color="auto" w:sz="4" w:space="0"/>
                  <w:bottom w:val="single" w:color="auto" w:sz="4" w:space="0"/>
                  <w:right w:val="single" w:color="auto" w:sz="4" w:space="0"/>
                </w:tcBorders>
                <w:vAlign w:val="center"/>
              </w:tcPr>
              <w:p w14:paraId="504E1925">
                <w:pPr>
                  <w:jc w:val="right"/>
                  <w:rPr>
                    <w:rFonts w:cs="Times New Roman"/>
                  </w:rPr>
                </w:pPr>
                <w:r>
                  <w:rPr>
                    <w:rFonts w:cs="Times New Roman"/>
                  </w:rPr>
                  <w:t>47,619.05</w:t>
                </w:r>
              </w:p>
            </w:tc>
            <w:tc>
              <w:tcPr>
                <w:tcW w:w="449" w:type="pct"/>
                <w:tcBorders>
                  <w:top w:val="single" w:color="auto" w:sz="4" w:space="0"/>
                  <w:left w:val="single" w:color="auto" w:sz="4" w:space="0"/>
                  <w:bottom w:val="single" w:color="auto" w:sz="4" w:space="0"/>
                  <w:right w:val="single" w:color="auto" w:sz="4" w:space="0"/>
                </w:tcBorders>
                <w:vAlign w:val="center"/>
              </w:tcPr>
              <w:p w14:paraId="290420DE">
                <w:pPr>
                  <w:jc w:val="right"/>
                  <w:rPr>
                    <w:rFonts w:cs="Times New Roman"/>
                  </w:rPr>
                </w:pPr>
              </w:p>
            </w:tc>
            <w:tc>
              <w:tcPr>
                <w:tcW w:w="479" w:type="pct"/>
                <w:tcBorders>
                  <w:top w:val="single" w:color="auto" w:sz="4" w:space="0"/>
                  <w:left w:val="single" w:color="auto" w:sz="4" w:space="0"/>
                  <w:bottom w:val="single" w:color="auto" w:sz="4" w:space="0"/>
                  <w:right w:val="single" w:color="auto" w:sz="4" w:space="0"/>
                </w:tcBorders>
                <w:vAlign w:val="center"/>
              </w:tcPr>
              <w:p w14:paraId="41FD3A90">
                <w:pPr>
                  <w:jc w:val="right"/>
                  <w:rPr>
                    <w:rFonts w:cs="Times New Roman"/>
                  </w:rPr>
                </w:pPr>
                <w:r>
                  <w:rPr>
                    <w:rFonts w:cs="Times New Roman"/>
                  </w:rPr>
                  <w:t>50,000.00</w:t>
                </w:r>
              </w:p>
            </w:tc>
            <w:tc>
              <w:tcPr>
                <w:tcW w:w="421" w:type="pct"/>
                <w:tcBorders>
                  <w:top w:val="single" w:color="auto" w:sz="4" w:space="0"/>
                  <w:left w:val="single" w:color="auto" w:sz="4" w:space="0"/>
                  <w:bottom w:val="single" w:color="auto" w:sz="4" w:space="0"/>
                  <w:right w:val="single" w:color="auto" w:sz="4" w:space="0"/>
                </w:tcBorders>
                <w:vAlign w:val="center"/>
              </w:tcPr>
              <w:p w14:paraId="36526522">
                <w:pPr>
                  <w:jc w:val="right"/>
                  <w:rPr>
                    <w:rFonts w:cs="Times New Roman"/>
                  </w:rPr>
                </w:pPr>
                <w:r>
                  <w:rPr>
                    <w:rFonts w:cs="Times New Roman"/>
                  </w:rPr>
                  <w:t>160,291.99</w:t>
                </w:r>
              </w:p>
            </w:tc>
            <w:tc>
              <w:tcPr>
                <w:tcW w:w="359" w:type="pct"/>
                <w:tcBorders>
                  <w:top w:val="single" w:color="auto" w:sz="4" w:space="0"/>
                  <w:left w:val="single" w:color="auto" w:sz="4" w:space="0"/>
                  <w:bottom w:val="single" w:color="auto" w:sz="4" w:space="0"/>
                  <w:right w:val="single" w:color="auto" w:sz="4" w:space="0"/>
                </w:tcBorders>
                <w:vAlign w:val="center"/>
              </w:tcPr>
              <w:p w14:paraId="39F69B24">
                <w:pPr>
                  <w:jc w:val="right"/>
                  <w:rPr>
                    <w:rFonts w:cs="Times New Roman"/>
                  </w:rPr>
                </w:pPr>
              </w:p>
            </w:tc>
          </w:tr>
        </w:sdtContent>
      </w:sdt>
      <w:sdt>
        <w:sdtPr>
          <w:rPr>
            <w:rFonts w:cs="Times New Roman"/>
            <w:color w:val="000000"/>
          </w:rPr>
          <w:alias w:val="公司承租情况明细"/>
          <w:tag w:val="_TUP_ebb1ad055b8649d7ad8719d21bc811c6"/>
          <w:id w:val="-1987765989"/>
          <w:placeholder>
            <w:docPart w:val="{b3f4be12-da9a-4108-a3cb-af77807cbc1c}"/>
          </w:placeholder>
        </w:sdtPr>
        <w:sdtEndPr>
          <w:rPr>
            <w:rFonts w:cs="Times New Roman"/>
            <w:color w:val="000000"/>
          </w:rPr>
        </w:sdtEndPr>
        <w:sdtContent>
          <w:tr w14:paraId="0690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Borders>
                  <w:top w:val="single" w:color="auto" w:sz="4" w:space="0"/>
                  <w:left w:val="single" w:color="auto" w:sz="4" w:space="0"/>
                  <w:bottom w:val="single" w:color="auto" w:sz="4" w:space="0"/>
                  <w:right w:val="single" w:color="auto" w:sz="4" w:space="0"/>
                </w:tcBorders>
                <w:vAlign w:val="center"/>
              </w:tcPr>
              <w:p w14:paraId="47FFA41C">
                <w:pPr>
                  <w:rPr>
                    <w:rFonts w:cs="Times New Roman"/>
                  </w:rPr>
                </w:pPr>
                <w:r>
                  <w:rPr>
                    <w:rFonts w:cs="Times New Roman"/>
                  </w:rPr>
                  <w:t>北京三五零一服装厂有限公司</w:t>
                </w:r>
              </w:p>
            </w:tc>
            <w:tc>
              <w:tcPr>
                <w:tcW w:w="413" w:type="pct"/>
                <w:tcBorders>
                  <w:top w:val="single" w:color="auto" w:sz="4" w:space="0"/>
                  <w:left w:val="single" w:color="auto" w:sz="4" w:space="0"/>
                  <w:bottom w:val="single" w:color="auto" w:sz="4" w:space="0"/>
                  <w:right w:val="single" w:color="auto" w:sz="4" w:space="0"/>
                </w:tcBorders>
                <w:vAlign w:val="center"/>
              </w:tcPr>
              <w:p w14:paraId="6D20D13F">
                <w:pPr>
                  <w:jc w:val="center"/>
                  <w:rPr>
                    <w:rFonts w:cs="Times New Roman"/>
                  </w:rPr>
                </w:pPr>
                <w:r>
                  <w:rPr>
                    <w:rFonts w:cs="Times New Roman"/>
                  </w:rPr>
                  <w:t>房屋</w:t>
                </w:r>
              </w:p>
            </w:tc>
            <w:tc>
              <w:tcPr>
                <w:tcW w:w="464" w:type="pct"/>
                <w:tcBorders>
                  <w:top w:val="single" w:color="auto" w:sz="4" w:space="0"/>
                  <w:left w:val="single" w:color="auto" w:sz="4" w:space="0"/>
                  <w:bottom w:val="single" w:color="auto" w:sz="4" w:space="0"/>
                  <w:right w:val="single" w:color="auto" w:sz="4" w:space="0"/>
                </w:tcBorders>
                <w:vAlign w:val="center"/>
              </w:tcPr>
              <w:p w14:paraId="2B0AC8E8">
                <w:pPr>
                  <w:jc w:val="right"/>
                  <w:rPr>
                    <w:rFonts w:cs="Times New Roman"/>
                  </w:rPr>
                </w:pPr>
                <w:r>
                  <w:rPr>
                    <w:rFonts w:cs="Times New Roman"/>
                  </w:rPr>
                  <w:t>258,189.50</w:t>
                </w:r>
              </w:p>
            </w:tc>
            <w:tc>
              <w:tcPr>
                <w:tcW w:w="424" w:type="pct"/>
                <w:tcBorders>
                  <w:top w:val="single" w:color="auto" w:sz="4" w:space="0"/>
                  <w:left w:val="single" w:color="auto" w:sz="4" w:space="0"/>
                  <w:bottom w:val="single" w:color="auto" w:sz="4" w:space="0"/>
                  <w:right w:val="single" w:color="auto" w:sz="4" w:space="0"/>
                </w:tcBorders>
                <w:vAlign w:val="center"/>
              </w:tcPr>
              <w:p w14:paraId="169C89CC">
                <w:pPr>
                  <w:jc w:val="right"/>
                  <w:rPr>
                    <w:rFonts w:cs="Times New Roman"/>
                  </w:rPr>
                </w:pPr>
              </w:p>
            </w:tc>
            <w:tc>
              <w:tcPr>
                <w:tcW w:w="421" w:type="pct"/>
                <w:tcBorders>
                  <w:top w:val="single" w:color="auto" w:sz="4" w:space="0"/>
                  <w:left w:val="single" w:color="auto" w:sz="4" w:space="0"/>
                  <w:bottom w:val="single" w:color="auto" w:sz="4" w:space="0"/>
                  <w:right w:val="single" w:color="auto" w:sz="4" w:space="0"/>
                </w:tcBorders>
                <w:vAlign w:val="center"/>
              </w:tcPr>
              <w:p w14:paraId="37A70AF1">
                <w:pPr>
                  <w:jc w:val="right"/>
                  <w:rPr>
                    <w:rFonts w:cs="Times New Roman"/>
                  </w:rPr>
                </w:pPr>
                <w:r>
                  <w:rPr>
                    <w:rFonts w:cs="Times New Roman"/>
                  </w:rPr>
                  <w:t>271,099.00</w:t>
                </w:r>
              </w:p>
            </w:tc>
            <w:tc>
              <w:tcPr>
                <w:tcW w:w="360" w:type="pct"/>
                <w:tcBorders>
                  <w:top w:val="single" w:color="auto" w:sz="4" w:space="0"/>
                  <w:left w:val="single" w:color="auto" w:sz="4" w:space="0"/>
                  <w:bottom w:val="single" w:color="auto" w:sz="4" w:space="0"/>
                  <w:right w:val="single" w:color="auto" w:sz="4" w:space="0"/>
                </w:tcBorders>
                <w:vAlign w:val="center"/>
              </w:tcPr>
              <w:p w14:paraId="756A3EB9">
                <w:pPr>
                  <w:jc w:val="right"/>
                  <w:rPr>
                    <w:rFonts w:cs="Times New Roman"/>
                  </w:rPr>
                </w:pPr>
              </w:p>
            </w:tc>
            <w:tc>
              <w:tcPr>
                <w:tcW w:w="289" w:type="pct"/>
                <w:tcBorders>
                  <w:top w:val="single" w:color="auto" w:sz="4" w:space="0"/>
                  <w:left w:val="single" w:color="auto" w:sz="4" w:space="0"/>
                  <w:bottom w:val="single" w:color="auto" w:sz="4" w:space="0"/>
                  <w:right w:val="single" w:color="auto" w:sz="4" w:space="0"/>
                </w:tcBorders>
                <w:vAlign w:val="center"/>
              </w:tcPr>
              <w:p w14:paraId="7FE1700C">
                <w:pPr>
                  <w:jc w:val="right"/>
                  <w:rPr>
                    <w:rFonts w:cs="Times New Roman"/>
                  </w:rPr>
                </w:pPr>
              </w:p>
            </w:tc>
            <w:tc>
              <w:tcPr>
                <w:tcW w:w="463" w:type="pct"/>
                <w:tcBorders>
                  <w:top w:val="single" w:color="auto" w:sz="4" w:space="0"/>
                  <w:left w:val="single" w:color="auto" w:sz="4" w:space="0"/>
                  <w:bottom w:val="single" w:color="auto" w:sz="4" w:space="0"/>
                  <w:right w:val="single" w:color="auto" w:sz="4" w:space="0"/>
                </w:tcBorders>
                <w:vAlign w:val="center"/>
              </w:tcPr>
              <w:p w14:paraId="3AD6A48F">
                <w:pPr>
                  <w:jc w:val="right"/>
                  <w:rPr>
                    <w:rFonts w:cs="Times New Roman"/>
                  </w:rPr>
                </w:pPr>
                <w:r>
                  <w:rPr>
                    <w:rFonts w:cs="Times New Roman"/>
                  </w:rPr>
                  <w:t>4,583,464.31</w:t>
                </w:r>
              </w:p>
            </w:tc>
            <w:tc>
              <w:tcPr>
                <w:tcW w:w="449" w:type="pct"/>
                <w:tcBorders>
                  <w:top w:val="single" w:color="auto" w:sz="4" w:space="0"/>
                  <w:left w:val="single" w:color="auto" w:sz="4" w:space="0"/>
                  <w:bottom w:val="single" w:color="auto" w:sz="4" w:space="0"/>
                  <w:right w:val="single" w:color="auto" w:sz="4" w:space="0"/>
                </w:tcBorders>
                <w:vAlign w:val="center"/>
              </w:tcPr>
              <w:p w14:paraId="5237B1A4">
                <w:pPr>
                  <w:jc w:val="right"/>
                  <w:rPr>
                    <w:rFonts w:cs="Times New Roman"/>
                  </w:rPr>
                </w:pPr>
              </w:p>
            </w:tc>
            <w:tc>
              <w:tcPr>
                <w:tcW w:w="479" w:type="pct"/>
                <w:tcBorders>
                  <w:top w:val="single" w:color="auto" w:sz="4" w:space="0"/>
                  <w:left w:val="single" w:color="auto" w:sz="4" w:space="0"/>
                  <w:bottom w:val="single" w:color="auto" w:sz="4" w:space="0"/>
                  <w:right w:val="single" w:color="auto" w:sz="4" w:space="0"/>
                </w:tcBorders>
                <w:vAlign w:val="center"/>
              </w:tcPr>
              <w:p w14:paraId="060F531D">
                <w:pPr>
                  <w:jc w:val="right"/>
                  <w:rPr>
                    <w:rFonts w:cs="Times New Roman"/>
                  </w:rPr>
                </w:pPr>
                <w:r>
                  <w:rPr>
                    <w:rFonts w:cs="Times New Roman"/>
                  </w:rPr>
                  <w:t>4,812,637.56</w:t>
                </w:r>
              </w:p>
            </w:tc>
            <w:tc>
              <w:tcPr>
                <w:tcW w:w="421" w:type="pct"/>
                <w:tcBorders>
                  <w:top w:val="single" w:color="auto" w:sz="4" w:space="0"/>
                  <w:left w:val="single" w:color="auto" w:sz="4" w:space="0"/>
                  <w:bottom w:val="single" w:color="auto" w:sz="4" w:space="0"/>
                  <w:right w:val="single" w:color="auto" w:sz="4" w:space="0"/>
                </w:tcBorders>
                <w:vAlign w:val="center"/>
              </w:tcPr>
              <w:p w14:paraId="27F27F32">
                <w:pPr>
                  <w:jc w:val="right"/>
                  <w:rPr>
                    <w:rFonts w:cs="Times New Roman"/>
                  </w:rPr>
                </w:pPr>
              </w:p>
            </w:tc>
            <w:tc>
              <w:tcPr>
                <w:tcW w:w="359" w:type="pct"/>
                <w:tcBorders>
                  <w:top w:val="single" w:color="auto" w:sz="4" w:space="0"/>
                  <w:left w:val="single" w:color="auto" w:sz="4" w:space="0"/>
                  <w:bottom w:val="single" w:color="auto" w:sz="4" w:space="0"/>
                  <w:right w:val="single" w:color="auto" w:sz="4" w:space="0"/>
                </w:tcBorders>
                <w:vAlign w:val="center"/>
              </w:tcPr>
              <w:p w14:paraId="1C803E8E">
                <w:pPr>
                  <w:jc w:val="right"/>
                  <w:rPr>
                    <w:rFonts w:cs="Times New Roman"/>
                  </w:rPr>
                </w:pPr>
              </w:p>
            </w:tc>
          </w:tr>
        </w:sdtContent>
      </w:sdt>
      <w:sdt>
        <w:sdtPr>
          <w:rPr>
            <w:rFonts w:cs="Times New Roman"/>
            <w:color w:val="000000"/>
          </w:rPr>
          <w:alias w:val="公司承租情况明细"/>
          <w:tag w:val="_TUP_ebb1ad055b8649d7ad8719d21bc811c6"/>
          <w:id w:val="1915895001"/>
          <w:placeholder>
            <w:docPart w:val="{b3f4be12-da9a-4108-a3cb-af77807cbc1c}"/>
          </w:placeholder>
        </w:sdtPr>
        <w:sdtEndPr>
          <w:rPr>
            <w:rFonts w:cs="Times New Roman"/>
            <w:color w:val="000000"/>
          </w:rPr>
        </w:sdtEndPr>
        <w:sdtContent>
          <w:tr w14:paraId="53C8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Borders>
                  <w:top w:val="single" w:color="auto" w:sz="4" w:space="0"/>
                  <w:left w:val="single" w:color="auto" w:sz="4" w:space="0"/>
                  <w:bottom w:val="single" w:color="auto" w:sz="4" w:space="0"/>
                  <w:right w:val="single" w:color="auto" w:sz="4" w:space="0"/>
                </w:tcBorders>
                <w:vAlign w:val="center"/>
              </w:tcPr>
              <w:p w14:paraId="12CE0BB0">
                <w:pPr>
                  <w:rPr>
                    <w:rFonts w:cs="Times New Roman"/>
                  </w:rPr>
                </w:pPr>
                <w:r>
                  <w:rPr>
                    <w:rFonts w:cs="Times New Roman"/>
                  </w:rPr>
                  <w:t>南京际华五三零二科技发展有限公司</w:t>
                </w:r>
              </w:p>
            </w:tc>
            <w:tc>
              <w:tcPr>
                <w:tcW w:w="413" w:type="pct"/>
                <w:tcBorders>
                  <w:top w:val="single" w:color="auto" w:sz="4" w:space="0"/>
                  <w:left w:val="single" w:color="auto" w:sz="4" w:space="0"/>
                  <w:bottom w:val="single" w:color="auto" w:sz="4" w:space="0"/>
                  <w:right w:val="single" w:color="auto" w:sz="4" w:space="0"/>
                </w:tcBorders>
                <w:vAlign w:val="center"/>
              </w:tcPr>
              <w:p w14:paraId="500BDEAF">
                <w:pPr>
                  <w:jc w:val="center"/>
                  <w:rPr>
                    <w:rFonts w:cs="Times New Roman"/>
                  </w:rPr>
                </w:pPr>
                <w:r>
                  <w:rPr>
                    <w:rFonts w:cs="Times New Roman"/>
                  </w:rPr>
                  <w:t>房屋</w:t>
                </w:r>
              </w:p>
            </w:tc>
            <w:tc>
              <w:tcPr>
                <w:tcW w:w="464" w:type="pct"/>
                <w:tcBorders>
                  <w:top w:val="single" w:color="auto" w:sz="4" w:space="0"/>
                  <w:left w:val="single" w:color="auto" w:sz="4" w:space="0"/>
                  <w:bottom w:val="single" w:color="auto" w:sz="4" w:space="0"/>
                  <w:right w:val="single" w:color="auto" w:sz="4" w:space="0"/>
                </w:tcBorders>
                <w:vAlign w:val="center"/>
              </w:tcPr>
              <w:p w14:paraId="4C06724E">
                <w:pPr>
                  <w:jc w:val="right"/>
                  <w:rPr>
                    <w:rFonts w:cs="Times New Roman"/>
                  </w:rPr>
                </w:pPr>
              </w:p>
            </w:tc>
            <w:tc>
              <w:tcPr>
                <w:tcW w:w="424" w:type="pct"/>
                <w:tcBorders>
                  <w:top w:val="single" w:color="auto" w:sz="4" w:space="0"/>
                  <w:left w:val="single" w:color="auto" w:sz="4" w:space="0"/>
                  <w:bottom w:val="single" w:color="auto" w:sz="4" w:space="0"/>
                  <w:right w:val="single" w:color="auto" w:sz="4" w:space="0"/>
                </w:tcBorders>
                <w:vAlign w:val="center"/>
              </w:tcPr>
              <w:p w14:paraId="604AC1AE">
                <w:pPr>
                  <w:jc w:val="right"/>
                  <w:rPr>
                    <w:rFonts w:cs="Times New Roman"/>
                  </w:rPr>
                </w:pPr>
              </w:p>
            </w:tc>
            <w:tc>
              <w:tcPr>
                <w:tcW w:w="421" w:type="pct"/>
                <w:tcBorders>
                  <w:top w:val="single" w:color="auto" w:sz="4" w:space="0"/>
                  <w:left w:val="single" w:color="auto" w:sz="4" w:space="0"/>
                  <w:bottom w:val="single" w:color="auto" w:sz="4" w:space="0"/>
                  <w:right w:val="single" w:color="auto" w:sz="4" w:space="0"/>
                </w:tcBorders>
                <w:vAlign w:val="center"/>
              </w:tcPr>
              <w:p w14:paraId="4E2227C3">
                <w:pPr>
                  <w:jc w:val="right"/>
                  <w:rPr>
                    <w:rFonts w:cs="Times New Roman"/>
                  </w:rPr>
                </w:pPr>
              </w:p>
            </w:tc>
            <w:tc>
              <w:tcPr>
                <w:tcW w:w="360" w:type="pct"/>
                <w:tcBorders>
                  <w:top w:val="single" w:color="auto" w:sz="4" w:space="0"/>
                  <w:left w:val="single" w:color="auto" w:sz="4" w:space="0"/>
                  <w:bottom w:val="single" w:color="auto" w:sz="4" w:space="0"/>
                  <w:right w:val="single" w:color="auto" w:sz="4" w:space="0"/>
                </w:tcBorders>
                <w:vAlign w:val="center"/>
              </w:tcPr>
              <w:p w14:paraId="11B1C708">
                <w:pPr>
                  <w:jc w:val="right"/>
                  <w:rPr>
                    <w:rFonts w:cs="Times New Roman"/>
                  </w:rPr>
                </w:pPr>
              </w:p>
            </w:tc>
            <w:tc>
              <w:tcPr>
                <w:tcW w:w="289" w:type="pct"/>
                <w:tcBorders>
                  <w:top w:val="single" w:color="auto" w:sz="4" w:space="0"/>
                  <w:left w:val="single" w:color="auto" w:sz="4" w:space="0"/>
                  <w:bottom w:val="single" w:color="auto" w:sz="4" w:space="0"/>
                  <w:right w:val="single" w:color="auto" w:sz="4" w:space="0"/>
                </w:tcBorders>
                <w:vAlign w:val="center"/>
              </w:tcPr>
              <w:p w14:paraId="3DC1514E">
                <w:pPr>
                  <w:jc w:val="right"/>
                  <w:rPr>
                    <w:rFonts w:cs="Times New Roman"/>
                  </w:rPr>
                </w:pPr>
              </w:p>
            </w:tc>
            <w:tc>
              <w:tcPr>
                <w:tcW w:w="463" w:type="pct"/>
                <w:tcBorders>
                  <w:top w:val="single" w:color="auto" w:sz="4" w:space="0"/>
                  <w:left w:val="single" w:color="auto" w:sz="4" w:space="0"/>
                  <w:bottom w:val="single" w:color="auto" w:sz="4" w:space="0"/>
                  <w:right w:val="single" w:color="auto" w:sz="4" w:space="0"/>
                </w:tcBorders>
                <w:vAlign w:val="center"/>
              </w:tcPr>
              <w:p w14:paraId="7E56D044">
                <w:pPr>
                  <w:jc w:val="right"/>
                  <w:rPr>
                    <w:rFonts w:cs="Times New Roman"/>
                  </w:rPr>
                </w:pPr>
                <w:r>
                  <w:rPr>
                    <w:rFonts w:cs="Times New Roman"/>
                  </w:rPr>
                  <w:t>85,714.26</w:t>
                </w:r>
              </w:p>
            </w:tc>
            <w:tc>
              <w:tcPr>
                <w:tcW w:w="449" w:type="pct"/>
                <w:tcBorders>
                  <w:top w:val="single" w:color="auto" w:sz="4" w:space="0"/>
                  <w:left w:val="single" w:color="auto" w:sz="4" w:space="0"/>
                  <w:bottom w:val="single" w:color="auto" w:sz="4" w:space="0"/>
                  <w:right w:val="single" w:color="auto" w:sz="4" w:space="0"/>
                </w:tcBorders>
                <w:vAlign w:val="center"/>
              </w:tcPr>
              <w:p w14:paraId="4F0BB4BA">
                <w:pPr>
                  <w:jc w:val="right"/>
                  <w:rPr>
                    <w:rFonts w:cs="Times New Roman"/>
                  </w:rPr>
                </w:pPr>
              </w:p>
            </w:tc>
            <w:tc>
              <w:tcPr>
                <w:tcW w:w="479" w:type="pct"/>
                <w:tcBorders>
                  <w:top w:val="single" w:color="auto" w:sz="4" w:space="0"/>
                  <w:left w:val="single" w:color="auto" w:sz="4" w:space="0"/>
                  <w:bottom w:val="single" w:color="auto" w:sz="4" w:space="0"/>
                  <w:right w:val="single" w:color="auto" w:sz="4" w:space="0"/>
                </w:tcBorders>
                <w:vAlign w:val="center"/>
              </w:tcPr>
              <w:p w14:paraId="1C25A208">
                <w:pPr>
                  <w:jc w:val="right"/>
                  <w:rPr>
                    <w:rFonts w:cs="Times New Roman"/>
                  </w:rPr>
                </w:pPr>
              </w:p>
            </w:tc>
            <w:tc>
              <w:tcPr>
                <w:tcW w:w="421" w:type="pct"/>
                <w:tcBorders>
                  <w:top w:val="single" w:color="auto" w:sz="4" w:space="0"/>
                  <w:left w:val="single" w:color="auto" w:sz="4" w:space="0"/>
                  <w:bottom w:val="single" w:color="auto" w:sz="4" w:space="0"/>
                  <w:right w:val="single" w:color="auto" w:sz="4" w:space="0"/>
                </w:tcBorders>
                <w:vAlign w:val="center"/>
              </w:tcPr>
              <w:p w14:paraId="0A712B19">
                <w:pPr>
                  <w:jc w:val="right"/>
                  <w:rPr>
                    <w:rFonts w:cs="Times New Roman"/>
                  </w:rPr>
                </w:pPr>
              </w:p>
            </w:tc>
            <w:tc>
              <w:tcPr>
                <w:tcW w:w="359" w:type="pct"/>
                <w:tcBorders>
                  <w:top w:val="single" w:color="auto" w:sz="4" w:space="0"/>
                  <w:left w:val="single" w:color="auto" w:sz="4" w:space="0"/>
                  <w:bottom w:val="single" w:color="auto" w:sz="4" w:space="0"/>
                  <w:right w:val="single" w:color="auto" w:sz="4" w:space="0"/>
                </w:tcBorders>
                <w:vAlign w:val="center"/>
              </w:tcPr>
              <w:p w14:paraId="54DC53C7">
                <w:pPr>
                  <w:jc w:val="right"/>
                  <w:rPr>
                    <w:rFonts w:cs="Times New Roman"/>
                  </w:rPr>
                </w:pPr>
              </w:p>
            </w:tc>
          </w:tr>
        </w:sdtContent>
      </w:sdt>
      <w:sdt>
        <w:sdtPr>
          <w:rPr>
            <w:rFonts w:cs="Times New Roman"/>
            <w:color w:val="000000"/>
          </w:rPr>
          <w:alias w:val="公司承租情况明细"/>
          <w:tag w:val="_TUP_ebb1ad055b8649d7ad8719d21bc811c6"/>
          <w:id w:val="-1534029504"/>
          <w:placeholder>
            <w:docPart w:val="{b3f4be12-da9a-4108-a3cb-af77807cbc1c}"/>
          </w:placeholder>
        </w:sdtPr>
        <w:sdtEndPr>
          <w:rPr>
            <w:rFonts w:cs="Times New Roman"/>
            <w:color w:val="000000"/>
          </w:rPr>
        </w:sdtEndPr>
        <w:sdtContent>
          <w:tr w14:paraId="1E1B5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Borders>
                  <w:top w:val="single" w:color="auto" w:sz="4" w:space="0"/>
                  <w:left w:val="single" w:color="auto" w:sz="4" w:space="0"/>
                  <w:bottom w:val="single" w:color="auto" w:sz="4" w:space="0"/>
                  <w:right w:val="single" w:color="auto" w:sz="4" w:space="0"/>
                </w:tcBorders>
                <w:vAlign w:val="center"/>
              </w:tcPr>
              <w:p w14:paraId="455EC1FC">
                <w:pPr>
                  <w:rPr>
                    <w:rFonts w:cs="Times New Roman"/>
                  </w:rPr>
                </w:pPr>
                <w:r>
                  <w:rPr>
                    <w:rFonts w:cs="Times New Roman"/>
                  </w:rPr>
                  <w:t>南京新际资产运营有限公司</w:t>
                </w:r>
              </w:p>
            </w:tc>
            <w:tc>
              <w:tcPr>
                <w:tcW w:w="413" w:type="pct"/>
                <w:tcBorders>
                  <w:top w:val="single" w:color="auto" w:sz="4" w:space="0"/>
                  <w:left w:val="single" w:color="auto" w:sz="4" w:space="0"/>
                  <w:bottom w:val="single" w:color="auto" w:sz="4" w:space="0"/>
                  <w:right w:val="single" w:color="auto" w:sz="4" w:space="0"/>
                </w:tcBorders>
                <w:vAlign w:val="center"/>
              </w:tcPr>
              <w:p w14:paraId="5A1C487E">
                <w:pPr>
                  <w:jc w:val="center"/>
                  <w:rPr>
                    <w:rFonts w:cs="Times New Roman"/>
                  </w:rPr>
                </w:pPr>
                <w:r>
                  <w:rPr>
                    <w:rFonts w:cs="Times New Roman"/>
                  </w:rPr>
                  <w:t>房屋</w:t>
                </w:r>
              </w:p>
            </w:tc>
            <w:tc>
              <w:tcPr>
                <w:tcW w:w="464" w:type="pct"/>
                <w:tcBorders>
                  <w:top w:val="single" w:color="auto" w:sz="4" w:space="0"/>
                  <w:left w:val="single" w:color="auto" w:sz="4" w:space="0"/>
                  <w:bottom w:val="single" w:color="auto" w:sz="4" w:space="0"/>
                  <w:right w:val="single" w:color="auto" w:sz="4" w:space="0"/>
                </w:tcBorders>
                <w:vAlign w:val="center"/>
              </w:tcPr>
              <w:p w14:paraId="7C2316C4">
                <w:pPr>
                  <w:jc w:val="right"/>
                  <w:rPr>
                    <w:rFonts w:cs="Times New Roman"/>
                  </w:rPr>
                </w:pPr>
              </w:p>
            </w:tc>
            <w:tc>
              <w:tcPr>
                <w:tcW w:w="424" w:type="pct"/>
                <w:tcBorders>
                  <w:top w:val="single" w:color="auto" w:sz="4" w:space="0"/>
                  <w:left w:val="single" w:color="auto" w:sz="4" w:space="0"/>
                  <w:bottom w:val="single" w:color="auto" w:sz="4" w:space="0"/>
                  <w:right w:val="single" w:color="auto" w:sz="4" w:space="0"/>
                </w:tcBorders>
                <w:vAlign w:val="center"/>
              </w:tcPr>
              <w:p w14:paraId="32436E07">
                <w:pPr>
                  <w:jc w:val="right"/>
                  <w:rPr>
                    <w:rFonts w:cs="Times New Roman"/>
                  </w:rPr>
                </w:pPr>
              </w:p>
            </w:tc>
            <w:tc>
              <w:tcPr>
                <w:tcW w:w="421" w:type="pct"/>
                <w:tcBorders>
                  <w:top w:val="single" w:color="auto" w:sz="4" w:space="0"/>
                  <w:left w:val="single" w:color="auto" w:sz="4" w:space="0"/>
                  <w:bottom w:val="single" w:color="auto" w:sz="4" w:space="0"/>
                  <w:right w:val="single" w:color="auto" w:sz="4" w:space="0"/>
                </w:tcBorders>
                <w:vAlign w:val="center"/>
              </w:tcPr>
              <w:p w14:paraId="5DFB76B6">
                <w:pPr>
                  <w:jc w:val="right"/>
                  <w:rPr>
                    <w:rFonts w:cs="Times New Roman"/>
                  </w:rPr>
                </w:pPr>
              </w:p>
            </w:tc>
            <w:tc>
              <w:tcPr>
                <w:tcW w:w="360" w:type="pct"/>
                <w:tcBorders>
                  <w:top w:val="single" w:color="auto" w:sz="4" w:space="0"/>
                  <w:left w:val="single" w:color="auto" w:sz="4" w:space="0"/>
                  <w:bottom w:val="single" w:color="auto" w:sz="4" w:space="0"/>
                  <w:right w:val="single" w:color="auto" w:sz="4" w:space="0"/>
                </w:tcBorders>
                <w:vAlign w:val="center"/>
              </w:tcPr>
              <w:p w14:paraId="300A65DE">
                <w:pPr>
                  <w:jc w:val="right"/>
                  <w:rPr>
                    <w:rFonts w:cs="Times New Roman"/>
                  </w:rPr>
                </w:pPr>
              </w:p>
            </w:tc>
            <w:tc>
              <w:tcPr>
                <w:tcW w:w="289" w:type="pct"/>
                <w:tcBorders>
                  <w:top w:val="single" w:color="auto" w:sz="4" w:space="0"/>
                  <w:left w:val="single" w:color="auto" w:sz="4" w:space="0"/>
                  <w:bottom w:val="single" w:color="auto" w:sz="4" w:space="0"/>
                  <w:right w:val="single" w:color="auto" w:sz="4" w:space="0"/>
                </w:tcBorders>
                <w:vAlign w:val="center"/>
              </w:tcPr>
              <w:p w14:paraId="130C2D97">
                <w:pPr>
                  <w:jc w:val="right"/>
                  <w:rPr>
                    <w:rFonts w:cs="Times New Roman"/>
                  </w:rPr>
                </w:pPr>
              </w:p>
            </w:tc>
            <w:tc>
              <w:tcPr>
                <w:tcW w:w="463" w:type="pct"/>
                <w:tcBorders>
                  <w:top w:val="single" w:color="auto" w:sz="4" w:space="0"/>
                  <w:left w:val="single" w:color="auto" w:sz="4" w:space="0"/>
                  <w:bottom w:val="single" w:color="auto" w:sz="4" w:space="0"/>
                  <w:right w:val="single" w:color="auto" w:sz="4" w:space="0"/>
                </w:tcBorders>
                <w:vAlign w:val="center"/>
              </w:tcPr>
              <w:p w14:paraId="22241FCB">
                <w:pPr>
                  <w:jc w:val="right"/>
                  <w:rPr>
                    <w:rFonts w:cs="Times New Roman"/>
                  </w:rPr>
                </w:pPr>
              </w:p>
            </w:tc>
            <w:tc>
              <w:tcPr>
                <w:tcW w:w="449" w:type="pct"/>
                <w:tcBorders>
                  <w:top w:val="single" w:color="auto" w:sz="4" w:space="0"/>
                  <w:left w:val="single" w:color="auto" w:sz="4" w:space="0"/>
                  <w:bottom w:val="single" w:color="auto" w:sz="4" w:space="0"/>
                  <w:right w:val="single" w:color="auto" w:sz="4" w:space="0"/>
                </w:tcBorders>
                <w:vAlign w:val="center"/>
              </w:tcPr>
              <w:p w14:paraId="38AA811D">
                <w:pPr>
                  <w:jc w:val="right"/>
                  <w:rPr>
                    <w:rFonts w:cs="Times New Roman"/>
                  </w:rPr>
                </w:pPr>
              </w:p>
            </w:tc>
            <w:tc>
              <w:tcPr>
                <w:tcW w:w="479" w:type="pct"/>
                <w:tcBorders>
                  <w:top w:val="single" w:color="auto" w:sz="4" w:space="0"/>
                  <w:left w:val="single" w:color="auto" w:sz="4" w:space="0"/>
                  <w:bottom w:val="single" w:color="auto" w:sz="4" w:space="0"/>
                  <w:right w:val="single" w:color="auto" w:sz="4" w:space="0"/>
                </w:tcBorders>
                <w:vAlign w:val="center"/>
              </w:tcPr>
              <w:p w14:paraId="0C87B19C">
                <w:pPr>
                  <w:jc w:val="right"/>
                  <w:rPr>
                    <w:rFonts w:cs="Times New Roman"/>
                  </w:rPr>
                </w:pPr>
                <w:r>
                  <w:rPr>
                    <w:rFonts w:cs="Times New Roman"/>
                  </w:rPr>
                  <w:t>500,000.00</w:t>
                </w:r>
              </w:p>
            </w:tc>
            <w:tc>
              <w:tcPr>
                <w:tcW w:w="421" w:type="pct"/>
                <w:tcBorders>
                  <w:top w:val="single" w:color="auto" w:sz="4" w:space="0"/>
                  <w:left w:val="single" w:color="auto" w:sz="4" w:space="0"/>
                  <w:bottom w:val="single" w:color="auto" w:sz="4" w:space="0"/>
                  <w:right w:val="single" w:color="auto" w:sz="4" w:space="0"/>
                </w:tcBorders>
                <w:vAlign w:val="center"/>
              </w:tcPr>
              <w:p w14:paraId="49066CDB">
                <w:pPr>
                  <w:jc w:val="right"/>
                  <w:rPr>
                    <w:rFonts w:cs="Times New Roman"/>
                  </w:rPr>
                </w:pPr>
              </w:p>
            </w:tc>
            <w:tc>
              <w:tcPr>
                <w:tcW w:w="359" w:type="pct"/>
                <w:tcBorders>
                  <w:top w:val="single" w:color="auto" w:sz="4" w:space="0"/>
                  <w:left w:val="single" w:color="auto" w:sz="4" w:space="0"/>
                  <w:bottom w:val="single" w:color="auto" w:sz="4" w:space="0"/>
                  <w:right w:val="single" w:color="auto" w:sz="4" w:space="0"/>
                </w:tcBorders>
                <w:vAlign w:val="center"/>
              </w:tcPr>
              <w:p w14:paraId="45ECCFA1">
                <w:pPr>
                  <w:jc w:val="right"/>
                  <w:rPr>
                    <w:rFonts w:cs="Times New Roman"/>
                  </w:rPr>
                </w:pPr>
              </w:p>
            </w:tc>
          </w:tr>
        </w:sdtContent>
      </w:sdt>
      <w:sdt>
        <w:sdtPr>
          <w:rPr>
            <w:rFonts w:cs="Times New Roman"/>
            <w:color w:val="000000"/>
          </w:rPr>
          <w:alias w:val="公司承租情况明细"/>
          <w:tag w:val="_TUP_ebb1ad055b8649d7ad8719d21bc811c6"/>
          <w:id w:val="-1750566465"/>
          <w:placeholder>
            <w:docPart w:val="{b3f4be12-da9a-4108-a3cb-af77807cbc1c}"/>
          </w:placeholder>
        </w:sdtPr>
        <w:sdtEndPr>
          <w:rPr>
            <w:rFonts w:cs="Times New Roman"/>
            <w:color w:val="000000"/>
          </w:rPr>
        </w:sdtEndPr>
        <w:sdtContent>
          <w:tr w14:paraId="72C1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Borders>
                  <w:top w:val="single" w:color="auto" w:sz="4" w:space="0"/>
                  <w:left w:val="single" w:color="auto" w:sz="4" w:space="0"/>
                  <w:bottom w:val="single" w:color="auto" w:sz="4" w:space="0"/>
                  <w:right w:val="single" w:color="auto" w:sz="4" w:space="0"/>
                </w:tcBorders>
                <w:vAlign w:val="center"/>
              </w:tcPr>
              <w:p w14:paraId="6A80D068">
                <w:pPr>
                  <w:rPr>
                    <w:rFonts w:cs="Times New Roman"/>
                  </w:rPr>
                </w:pPr>
                <w:r>
                  <w:rPr>
                    <w:rFonts w:cs="Times New Roman"/>
                  </w:rPr>
                  <w:t>石家庄际华资产管理有限公司</w:t>
                </w:r>
              </w:p>
            </w:tc>
            <w:tc>
              <w:tcPr>
                <w:tcW w:w="413" w:type="pct"/>
                <w:tcBorders>
                  <w:top w:val="single" w:color="auto" w:sz="4" w:space="0"/>
                  <w:left w:val="single" w:color="auto" w:sz="4" w:space="0"/>
                  <w:bottom w:val="single" w:color="auto" w:sz="4" w:space="0"/>
                  <w:right w:val="single" w:color="auto" w:sz="4" w:space="0"/>
                </w:tcBorders>
                <w:vAlign w:val="center"/>
              </w:tcPr>
              <w:p w14:paraId="5CFC9BE9">
                <w:pPr>
                  <w:jc w:val="center"/>
                  <w:rPr>
                    <w:rFonts w:cs="Times New Roman"/>
                  </w:rPr>
                </w:pPr>
                <w:r>
                  <w:rPr>
                    <w:rFonts w:cs="Times New Roman"/>
                  </w:rPr>
                  <w:t>房屋</w:t>
                </w:r>
              </w:p>
            </w:tc>
            <w:tc>
              <w:tcPr>
                <w:tcW w:w="464" w:type="pct"/>
                <w:tcBorders>
                  <w:top w:val="single" w:color="auto" w:sz="4" w:space="0"/>
                  <w:left w:val="single" w:color="auto" w:sz="4" w:space="0"/>
                  <w:bottom w:val="single" w:color="auto" w:sz="4" w:space="0"/>
                  <w:right w:val="single" w:color="auto" w:sz="4" w:space="0"/>
                </w:tcBorders>
                <w:vAlign w:val="center"/>
              </w:tcPr>
              <w:p w14:paraId="4B6E5788">
                <w:pPr>
                  <w:jc w:val="right"/>
                  <w:rPr>
                    <w:rFonts w:cs="Times New Roman"/>
                  </w:rPr>
                </w:pPr>
                <w:r>
                  <w:rPr>
                    <w:rFonts w:cs="Times New Roman"/>
                  </w:rPr>
                  <w:t>270,758.74</w:t>
                </w:r>
              </w:p>
            </w:tc>
            <w:tc>
              <w:tcPr>
                <w:tcW w:w="424" w:type="pct"/>
                <w:tcBorders>
                  <w:top w:val="single" w:color="auto" w:sz="4" w:space="0"/>
                  <w:left w:val="single" w:color="auto" w:sz="4" w:space="0"/>
                  <w:bottom w:val="single" w:color="auto" w:sz="4" w:space="0"/>
                  <w:right w:val="single" w:color="auto" w:sz="4" w:space="0"/>
                </w:tcBorders>
                <w:vAlign w:val="center"/>
              </w:tcPr>
              <w:p w14:paraId="4191470C">
                <w:pPr>
                  <w:jc w:val="right"/>
                  <w:rPr>
                    <w:rFonts w:cs="Times New Roman"/>
                  </w:rPr>
                </w:pPr>
              </w:p>
            </w:tc>
            <w:tc>
              <w:tcPr>
                <w:tcW w:w="421" w:type="pct"/>
                <w:tcBorders>
                  <w:top w:val="single" w:color="auto" w:sz="4" w:space="0"/>
                  <w:left w:val="single" w:color="auto" w:sz="4" w:space="0"/>
                  <w:bottom w:val="single" w:color="auto" w:sz="4" w:space="0"/>
                  <w:right w:val="single" w:color="auto" w:sz="4" w:space="0"/>
                </w:tcBorders>
                <w:vAlign w:val="center"/>
              </w:tcPr>
              <w:p w14:paraId="120CE0EA">
                <w:pPr>
                  <w:jc w:val="right"/>
                  <w:rPr>
                    <w:rFonts w:cs="Times New Roman"/>
                  </w:rPr>
                </w:pPr>
                <w:r>
                  <w:rPr>
                    <w:rFonts w:cs="Times New Roman"/>
                  </w:rPr>
                  <w:t>284,296.68</w:t>
                </w:r>
              </w:p>
            </w:tc>
            <w:tc>
              <w:tcPr>
                <w:tcW w:w="360" w:type="pct"/>
                <w:tcBorders>
                  <w:top w:val="single" w:color="auto" w:sz="4" w:space="0"/>
                  <w:left w:val="single" w:color="auto" w:sz="4" w:space="0"/>
                  <w:bottom w:val="single" w:color="auto" w:sz="4" w:space="0"/>
                  <w:right w:val="single" w:color="auto" w:sz="4" w:space="0"/>
                </w:tcBorders>
                <w:vAlign w:val="center"/>
              </w:tcPr>
              <w:p w14:paraId="5512BBDD">
                <w:pPr>
                  <w:jc w:val="right"/>
                  <w:rPr>
                    <w:rFonts w:cs="Times New Roman"/>
                  </w:rPr>
                </w:pPr>
              </w:p>
            </w:tc>
            <w:tc>
              <w:tcPr>
                <w:tcW w:w="289" w:type="pct"/>
                <w:tcBorders>
                  <w:top w:val="single" w:color="auto" w:sz="4" w:space="0"/>
                  <w:left w:val="single" w:color="auto" w:sz="4" w:space="0"/>
                  <w:bottom w:val="single" w:color="auto" w:sz="4" w:space="0"/>
                  <w:right w:val="single" w:color="auto" w:sz="4" w:space="0"/>
                </w:tcBorders>
                <w:vAlign w:val="center"/>
              </w:tcPr>
              <w:p w14:paraId="3F33DE7D">
                <w:pPr>
                  <w:jc w:val="right"/>
                  <w:rPr>
                    <w:rFonts w:cs="Times New Roman"/>
                  </w:rPr>
                </w:pPr>
              </w:p>
            </w:tc>
            <w:tc>
              <w:tcPr>
                <w:tcW w:w="463" w:type="pct"/>
                <w:tcBorders>
                  <w:top w:val="single" w:color="auto" w:sz="4" w:space="0"/>
                  <w:left w:val="single" w:color="auto" w:sz="4" w:space="0"/>
                  <w:bottom w:val="single" w:color="auto" w:sz="4" w:space="0"/>
                  <w:right w:val="single" w:color="auto" w:sz="4" w:space="0"/>
                </w:tcBorders>
                <w:vAlign w:val="center"/>
              </w:tcPr>
              <w:p w14:paraId="377BCFF1">
                <w:pPr>
                  <w:jc w:val="right"/>
                  <w:rPr>
                    <w:rFonts w:cs="Times New Roman"/>
                  </w:rPr>
                </w:pPr>
              </w:p>
            </w:tc>
            <w:tc>
              <w:tcPr>
                <w:tcW w:w="449" w:type="pct"/>
                <w:tcBorders>
                  <w:top w:val="single" w:color="auto" w:sz="4" w:space="0"/>
                  <w:left w:val="single" w:color="auto" w:sz="4" w:space="0"/>
                  <w:bottom w:val="single" w:color="auto" w:sz="4" w:space="0"/>
                  <w:right w:val="single" w:color="auto" w:sz="4" w:space="0"/>
                </w:tcBorders>
                <w:vAlign w:val="center"/>
              </w:tcPr>
              <w:p w14:paraId="3C0F7055">
                <w:pPr>
                  <w:jc w:val="right"/>
                  <w:rPr>
                    <w:rFonts w:cs="Times New Roman"/>
                  </w:rPr>
                </w:pPr>
              </w:p>
            </w:tc>
            <w:tc>
              <w:tcPr>
                <w:tcW w:w="479" w:type="pct"/>
                <w:tcBorders>
                  <w:top w:val="single" w:color="auto" w:sz="4" w:space="0"/>
                  <w:left w:val="single" w:color="auto" w:sz="4" w:space="0"/>
                  <w:bottom w:val="single" w:color="auto" w:sz="4" w:space="0"/>
                  <w:right w:val="single" w:color="auto" w:sz="4" w:space="0"/>
                </w:tcBorders>
                <w:vAlign w:val="center"/>
              </w:tcPr>
              <w:p w14:paraId="5977E4F2">
                <w:pPr>
                  <w:jc w:val="right"/>
                  <w:rPr>
                    <w:rFonts w:cs="Times New Roman"/>
                  </w:rPr>
                </w:pPr>
              </w:p>
            </w:tc>
            <w:tc>
              <w:tcPr>
                <w:tcW w:w="421" w:type="pct"/>
                <w:tcBorders>
                  <w:top w:val="single" w:color="auto" w:sz="4" w:space="0"/>
                  <w:left w:val="single" w:color="auto" w:sz="4" w:space="0"/>
                  <w:bottom w:val="single" w:color="auto" w:sz="4" w:space="0"/>
                  <w:right w:val="single" w:color="auto" w:sz="4" w:space="0"/>
                </w:tcBorders>
                <w:vAlign w:val="center"/>
              </w:tcPr>
              <w:p w14:paraId="7B6CD32A">
                <w:pPr>
                  <w:jc w:val="right"/>
                  <w:rPr>
                    <w:rFonts w:cs="Times New Roman"/>
                  </w:rPr>
                </w:pPr>
              </w:p>
            </w:tc>
            <w:tc>
              <w:tcPr>
                <w:tcW w:w="359" w:type="pct"/>
                <w:tcBorders>
                  <w:top w:val="single" w:color="auto" w:sz="4" w:space="0"/>
                  <w:left w:val="single" w:color="auto" w:sz="4" w:space="0"/>
                  <w:bottom w:val="single" w:color="auto" w:sz="4" w:space="0"/>
                  <w:right w:val="single" w:color="auto" w:sz="4" w:space="0"/>
                </w:tcBorders>
                <w:vAlign w:val="center"/>
              </w:tcPr>
              <w:p w14:paraId="1EB77F3B">
                <w:pPr>
                  <w:jc w:val="right"/>
                  <w:rPr>
                    <w:rFonts w:cs="Times New Roman"/>
                  </w:rPr>
                </w:pPr>
              </w:p>
            </w:tc>
          </w:tr>
        </w:sdtContent>
      </w:sdt>
      <w:sdt>
        <w:sdtPr>
          <w:rPr>
            <w:rFonts w:cs="Times New Roman"/>
            <w:color w:val="000000"/>
          </w:rPr>
          <w:alias w:val="公司承租情况明细"/>
          <w:tag w:val="_TUP_ebb1ad055b8649d7ad8719d21bc811c6"/>
          <w:id w:val="-172654160"/>
          <w:placeholder>
            <w:docPart w:val="{b3f4be12-da9a-4108-a3cb-af77807cbc1c}"/>
          </w:placeholder>
        </w:sdtPr>
        <w:sdtEndPr>
          <w:rPr>
            <w:rFonts w:cs="Times New Roman"/>
            <w:color w:val="000000"/>
          </w:rPr>
        </w:sdtEndPr>
        <w:sdtContent>
          <w:tr w14:paraId="302B8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Borders>
                  <w:top w:val="single" w:color="auto" w:sz="4" w:space="0"/>
                  <w:left w:val="single" w:color="auto" w:sz="4" w:space="0"/>
                  <w:bottom w:val="single" w:color="auto" w:sz="4" w:space="0"/>
                  <w:right w:val="single" w:color="auto" w:sz="4" w:space="0"/>
                </w:tcBorders>
                <w:vAlign w:val="center"/>
              </w:tcPr>
              <w:p w14:paraId="27E80CBF">
                <w:pPr>
                  <w:rPr>
                    <w:rFonts w:cs="Times New Roman"/>
                  </w:rPr>
                </w:pPr>
                <w:r>
                  <w:rPr>
                    <w:rFonts w:cs="Times New Roman"/>
                  </w:rPr>
                  <w:t>新兴际华（上海）工程科技研究院有限公司</w:t>
                </w:r>
              </w:p>
            </w:tc>
            <w:tc>
              <w:tcPr>
                <w:tcW w:w="413" w:type="pct"/>
                <w:tcBorders>
                  <w:top w:val="single" w:color="auto" w:sz="4" w:space="0"/>
                  <w:left w:val="single" w:color="auto" w:sz="4" w:space="0"/>
                  <w:bottom w:val="single" w:color="auto" w:sz="4" w:space="0"/>
                  <w:right w:val="single" w:color="auto" w:sz="4" w:space="0"/>
                </w:tcBorders>
                <w:vAlign w:val="center"/>
              </w:tcPr>
              <w:p w14:paraId="7048B6D3">
                <w:pPr>
                  <w:jc w:val="center"/>
                  <w:rPr>
                    <w:rFonts w:cs="Times New Roman"/>
                  </w:rPr>
                </w:pPr>
                <w:r>
                  <w:rPr>
                    <w:rFonts w:cs="Times New Roman"/>
                  </w:rPr>
                  <w:t>房屋</w:t>
                </w:r>
              </w:p>
            </w:tc>
            <w:tc>
              <w:tcPr>
                <w:tcW w:w="464" w:type="pct"/>
                <w:tcBorders>
                  <w:top w:val="single" w:color="auto" w:sz="4" w:space="0"/>
                  <w:left w:val="single" w:color="auto" w:sz="4" w:space="0"/>
                  <w:bottom w:val="single" w:color="auto" w:sz="4" w:space="0"/>
                  <w:right w:val="single" w:color="auto" w:sz="4" w:space="0"/>
                </w:tcBorders>
                <w:vAlign w:val="center"/>
              </w:tcPr>
              <w:p w14:paraId="279619FF">
                <w:pPr>
                  <w:jc w:val="right"/>
                  <w:rPr>
                    <w:rFonts w:cs="Times New Roman"/>
                  </w:rPr>
                </w:pPr>
                <w:r>
                  <w:rPr>
                    <w:rFonts w:cs="Times New Roman"/>
                  </w:rPr>
                  <w:t>29,100.00</w:t>
                </w:r>
              </w:p>
            </w:tc>
            <w:tc>
              <w:tcPr>
                <w:tcW w:w="424" w:type="pct"/>
                <w:tcBorders>
                  <w:top w:val="single" w:color="auto" w:sz="4" w:space="0"/>
                  <w:left w:val="single" w:color="auto" w:sz="4" w:space="0"/>
                  <w:bottom w:val="single" w:color="auto" w:sz="4" w:space="0"/>
                  <w:right w:val="single" w:color="auto" w:sz="4" w:space="0"/>
                </w:tcBorders>
                <w:vAlign w:val="center"/>
              </w:tcPr>
              <w:p w14:paraId="0752E5AA">
                <w:pPr>
                  <w:jc w:val="right"/>
                  <w:rPr>
                    <w:rFonts w:cs="Times New Roman"/>
                  </w:rPr>
                </w:pPr>
              </w:p>
            </w:tc>
            <w:tc>
              <w:tcPr>
                <w:tcW w:w="421" w:type="pct"/>
                <w:tcBorders>
                  <w:top w:val="single" w:color="auto" w:sz="4" w:space="0"/>
                  <w:left w:val="single" w:color="auto" w:sz="4" w:space="0"/>
                  <w:bottom w:val="single" w:color="auto" w:sz="4" w:space="0"/>
                  <w:right w:val="single" w:color="auto" w:sz="4" w:space="0"/>
                </w:tcBorders>
                <w:vAlign w:val="center"/>
              </w:tcPr>
              <w:p w14:paraId="38AD7780">
                <w:pPr>
                  <w:jc w:val="right"/>
                  <w:rPr>
                    <w:rFonts w:cs="Times New Roman"/>
                  </w:rPr>
                </w:pPr>
                <w:r>
                  <w:rPr>
                    <w:rFonts w:cs="Times New Roman"/>
                  </w:rPr>
                  <w:t>31,719.00</w:t>
                </w:r>
              </w:p>
            </w:tc>
            <w:tc>
              <w:tcPr>
                <w:tcW w:w="360" w:type="pct"/>
                <w:tcBorders>
                  <w:top w:val="single" w:color="auto" w:sz="4" w:space="0"/>
                  <w:left w:val="single" w:color="auto" w:sz="4" w:space="0"/>
                  <w:bottom w:val="single" w:color="auto" w:sz="4" w:space="0"/>
                  <w:right w:val="single" w:color="auto" w:sz="4" w:space="0"/>
                </w:tcBorders>
                <w:vAlign w:val="center"/>
              </w:tcPr>
              <w:p w14:paraId="036E04E8">
                <w:pPr>
                  <w:jc w:val="right"/>
                  <w:rPr>
                    <w:rFonts w:cs="Times New Roman"/>
                  </w:rPr>
                </w:pPr>
              </w:p>
            </w:tc>
            <w:tc>
              <w:tcPr>
                <w:tcW w:w="289" w:type="pct"/>
                <w:tcBorders>
                  <w:top w:val="single" w:color="auto" w:sz="4" w:space="0"/>
                  <w:left w:val="single" w:color="auto" w:sz="4" w:space="0"/>
                  <w:bottom w:val="single" w:color="auto" w:sz="4" w:space="0"/>
                  <w:right w:val="single" w:color="auto" w:sz="4" w:space="0"/>
                </w:tcBorders>
                <w:vAlign w:val="center"/>
              </w:tcPr>
              <w:p w14:paraId="2F21508D">
                <w:pPr>
                  <w:jc w:val="right"/>
                  <w:rPr>
                    <w:rFonts w:cs="Times New Roman"/>
                  </w:rPr>
                </w:pPr>
              </w:p>
            </w:tc>
            <w:tc>
              <w:tcPr>
                <w:tcW w:w="463" w:type="pct"/>
                <w:tcBorders>
                  <w:top w:val="single" w:color="auto" w:sz="4" w:space="0"/>
                  <w:left w:val="single" w:color="auto" w:sz="4" w:space="0"/>
                  <w:bottom w:val="single" w:color="auto" w:sz="4" w:space="0"/>
                  <w:right w:val="single" w:color="auto" w:sz="4" w:space="0"/>
                </w:tcBorders>
                <w:vAlign w:val="center"/>
              </w:tcPr>
              <w:p w14:paraId="4F0C39D6">
                <w:pPr>
                  <w:jc w:val="right"/>
                  <w:rPr>
                    <w:rFonts w:cs="Times New Roman"/>
                  </w:rPr>
                </w:pPr>
                <w:r>
                  <w:rPr>
                    <w:rFonts w:cs="Times New Roman"/>
                  </w:rPr>
                  <w:t>29,100.00</w:t>
                </w:r>
              </w:p>
            </w:tc>
            <w:tc>
              <w:tcPr>
                <w:tcW w:w="449" w:type="pct"/>
                <w:tcBorders>
                  <w:top w:val="single" w:color="auto" w:sz="4" w:space="0"/>
                  <w:left w:val="single" w:color="auto" w:sz="4" w:space="0"/>
                  <w:bottom w:val="single" w:color="auto" w:sz="4" w:space="0"/>
                  <w:right w:val="single" w:color="auto" w:sz="4" w:space="0"/>
                </w:tcBorders>
                <w:vAlign w:val="center"/>
              </w:tcPr>
              <w:p w14:paraId="180E3B92">
                <w:pPr>
                  <w:jc w:val="right"/>
                  <w:rPr>
                    <w:rFonts w:cs="Times New Roman"/>
                  </w:rPr>
                </w:pPr>
              </w:p>
            </w:tc>
            <w:tc>
              <w:tcPr>
                <w:tcW w:w="479" w:type="pct"/>
                <w:tcBorders>
                  <w:top w:val="single" w:color="auto" w:sz="4" w:space="0"/>
                  <w:left w:val="single" w:color="auto" w:sz="4" w:space="0"/>
                  <w:bottom w:val="single" w:color="auto" w:sz="4" w:space="0"/>
                  <w:right w:val="single" w:color="auto" w:sz="4" w:space="0"/>
                </w:tcBorders>
                <w:vAlign w:val="center"/>
              </w:tcPr>
              <w:p w14:paraId="75F74FF0">
                <w:pPr>
                  <w:jc w:val="right"/>
                  <w:rPr>
                    <w:rFonts w:cs="Times New Roman"/>
                  </w:rPr>
                </w:pPr>
                <w:r>
                  <w:rPr>
                    <w:rFonts w:cs="Times New Roman"/>
                  </w:rPr>
                  <w:t>31,719.00</w:t>
                </w:r>
              </w:p>
            </w:tc>
            <w:tc>
              <w:tcPr>
                <w:tcW w:w="421" w:type="pct"/>
                <w:tcBorders>
                  <w:top w:val="single" w:color="auto" w:sz="4" w:space="0"/>
                  <w:left w:val="single" w:color="auto" w:sz="4" w:space="0"/>
                  <w:bottom w:val="single" w:color="auto" w:sz="4" w:space="0"/>
                  <w:right w:val="single" w:color="auto" w:sz="4" w:space="0"/>
                </w:tcBorders>
                <w:vAlign w:val="center"/>
              </w:tcPr>
              <w:p w14:paraId="0FA3854A">
                <w:pPr>
                  <w:jc w:val="right"/>
                  <w:rPr>
                    <w:rFonts w:cs="Times New Roman"/>
                  </w:rPr>
                </w:pPr>
              </w:p>
            </w:tc>
            <w:tc>
              <w:tcPr>
                <w:tcW w:w="359" w:type="pct"/>
                <w:tcBorders>
                  <w:top w:val="single" w:color="auto" w:sz="4" w:space="0"/>
                  <w:left w:val="single" w:color="auto" w:sz="4" w:space="0"/>
                  <w:bottom w:val="single" w:color="auto" w:sz="4" w:space="0"/>
                  <w:right w:val="single" w:color="auto" w:sz="4" w:space="0"/>
                </w:tcBorders>
                <w:vAlign w:val="center"/>
              </w:tcPr>
              <w:p w14:paraId="1672243C">
                <w:pPr>
                  <w:jc w:val="right"/>
                  <w:rPr>
                    <w:rFonts w:cs="Times New Roman"/>
                  </w:rPr>
                </w:pPr>
              </w:p>
            </w:tc>
          </w:tr>
        </w:sdtContent>
      </w:sdt>
      <w:sdt>
        <w:sdtPr>
          <w:rPr>
            <w:rFonts w:cs="Times New Roman"/>
            <w:color w:val="000000"/>
          </w:rPr>
          <w:alias w:val="公司承租情况明细"/>
          <w:tag w:val="_TUP_ebb1ad055b8649d7ad8719d21bc811c6"/>
          <w:id w:val="-1472673151"/>
          <w:placeholder>
            <w:docPart w:val="{b3f4be12-da9a-4108-a3cb-af77807cbc1c}"/>
          </w:placeholder>
        </w:sdtPr>
        <w:sdtEndPr>
          <w:rPr>
            <w:rFonts w:cs="Times New Roman"/>
            <w:color w:val="000000"/>
          </w:rPr>
        </w:sdtEndPr>
        <w:sdtContent>
          <w:tr w14:paraId="54C9A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Borders>
                  <w:top w:val="single" w:color="auto" w:sz="4" w:space="0"/>
                  <w:left w:val="single" w:color="auto" w:sz="4" w:space="0"/>
                  <w:bottom w:val="single" w:color="auto" w:sz="4" w:space="0"/>
                  <w:right w:val="single" w:color="auto" w:sz="4" w:space="0"/>
                </w:tcBorders>
                <w:vAlign w:val="center"/>
              </w:tcPr>
              <w:p w14:paraId="7E1A2E96">
                <w:pPr>
                  <w:jc w:val="center"/>
                  <w:rPr>
                    <w:rFonts w:cs="Times New Roman"/>
                  </w:rPr>
                </w:pPr>
                <w:r>
                  <w:rPr>
                    <w:rFonts w:cs="Times New Roman"/>
                  </w:rPr>
                  <w:t>合计</w:t>
                </w:r>
              </w:p>
            </w:tc>
            <w:tc>
              <w:tcPr>
                <w:tcW w:w="413" w:type="pct"/>
                <w:tcBorders>
                  <w:top w:val="single" w:color="auto" w:sz="4" w:space="0"/>
                  <w:left w:val="single" w:color="auto" w:sz="4" w:space="0"/>
                  <w:bottom w:val="single" w:color="auto" w:sz="4" w:space="0"/>
                  <w:right w:val="single" w:color="auto" w:sz="4" w:space="0"/>
                </w:tcBorders>
                <w:vAlign w:val="center"/>
              </w:tcPr>
              <w:p w14:paraId="2FC27DE8">
                <w:pPr>
                  <w:jc w:val="center"/>
                  <w:rPr>
                    <w:rFonts w:cs="Times New Roman"/>
                  </w:rPr>
                </w:pPr>
              </w:p>
            </w:tc>
            <w:tc>
              <w:tcPr>
                <w:tcW w:w="464" w:type="pct"/>
                <w:tcBorders>
                  <w:top w:val="single" w:color="auto" w:sz="4" w:space="0"/>
                  <w:left w:val="single" w:color="auto" w:sz="4" w:space="0"/>
                  <w:bottom w:val="single" w:color="auto" w:sz="4" w:space="0"/>
                  <w:right w:val="single" w:color="auto" w:sz="4" w:space="0"/>
                </w:tcBorders>
                <w:vAlign w:val="center"/>
              </w:tcPr>
              <w:p w14:paraId="281F945D">
                <w:pPr>
                  <w:jc w:val="both"/>
                  <w:rPr>
                    <w:rFonts w:cs="Times New Roman"/>
                  </w:rPr>
                </w:pPr>
                <w:r>
                  <w:rPr>
                    <w:rFonts w:cs="Times New Roman"/>
                  </w:rPr>
                  <w:t>819,079.25</w:t>
                </w:r>
              </w:p>
            </w:tc>
            <w:tc>
              <w:tcPr>
                <w:tcW w:w="424" w:type="pct"/>
                <w:tcBorders>
                  <w:top w:val="single" w:color="auto" w:sz="4" w:space="0"/>
                  <w:left w:val="single" w:color="auto" w:sz="4" w:space="0"/>
                  <w:bottom w:val="single" w:color="auto" w:sz="4" w:space="0"/>
                  <w:right w:val="single" w:color="auto" w:sz="4" w:space="0"/>
                </w:tcBorders>
                <w:vAlign w:val="center"/>
              </w:tcPr>
              <w:p w14:paraId="3CA2CE7F">
                <w:pPr>
                  <w:jc w:val="both"/>
                  <w:rPr>
                    <w:rFonts w:cs="Times New Roman"/>
                  </w:rPr>
                </w:pPr>
              </w:p>
            </w:tc>
            <w:tc>
              <w:tcPr>
                <w:tcW w:w="421" w:type="pct"/>
                <w:tcBorders>
                  <w:top w:val="single" w:color="auto" w:sz="4" w:space="0"/>
                  <w:left w:val="single" w:color="auto" w:sz="4" w:space="0"/>
                  <w:bottom w:val="single" w:color="auto" w:sz="4" w:space="0"/>
                  <w:right w:val="single" w:color="auto" w:sz="4" w:space="0"/>
                </w:tcBorders>
                <w:vAlign w:val="center"/>
              </w:tcPr>
              <w:p w14:paraId="5C8402E8">
                <w:pPr>
                  <w:jc w:val="both"/>
                  <w:rPr>
                    <w:rFonts w:cs="Times New Roman"/>
                  </w:rPr>
                </w:pPr>
                <w:r>
                  <w:rPr>
                    <w:rFonts w:cs="Times New Roman"/>
                  </w:rPr>
                  <w:t>587,114.68</w:t>
                </w:r>
              </w:p>
            </w:tc>
            <w:tc>
              <w:tcPr>
                <w:tcW w:w="360" w:type="pct"/>
                <w:tcBorders>
                  <w:top w:val="single" w:color="auto" w:sz="4" w:space="0"/>
                  <w:left w:val="single" w:color="auto" w:sz="4" w:space="0"/>
                  <w:bottom w:val="single" w:color="auto" w:sz="4" w:space="0"/>
                  <w:right w:val="single" w:color="auto" w:sz="4" w:space="0"/>
                </w:tcBorders>
                <w:vAlign w:val="center"/>
              </w:tcPr>
              <w:p w14:paraId="2D1FAE86">
                <w:pPr>
                  <w:jc w:val="both"/>
                  <w:rPr>
                    <w:rFonts w:cs="Times New Roman"/>
                  </w:rPr>
                </w:pPr>
              </w:p>
            </w:tc>
            <w:tc>
              <w:tcPr>
                <w:tcW w:w="289" w:type="pct"/>
                <w:tcBorders>
                  <w:top w:val="single" w:color="auto" w:sz="4" w:space="0"/>
                  <w:left w:val="single" w:color="auto" w:sz="4" w:space="0"/>
                  <w:bottom w:val="single" w:color="auto" w:sz="4" w:space="0"/>
                  <w:right w:val="single" w:color="auto" w:sz="4" w:space="0"/>
                </w:tcBorders>
                <w:vAlign w:val="center"/>
              </w:tcPr>
              <w:p w14:paraId="2D09E231">
                <w:pPr>
                  <w:jc w:val="both"/>
                  <w:rPr>
                    <w:rFonts w:cs="Times New Roman"/>
                  </w:rPr>
                </w:pPr>
              </w:p>
            </w:tc>
            <w:tc>
              <w:tcPr>
                <w:tcW w:w="463" w:type="pct"/>
                <w:tcBorders>
                  <w:top w:val="single" w:color="auto" w:sz="4" w:space="0"/>
                  <w:left w:val="single" w:color="auto" w:sz="4" w:space="0"/>
                  <w:bottom w:val="single" w:color="auto" w:sz="4" w:space="0"/>
                  <w:right w:val="single" w:color="auto" w:sz="4" w:space="0"/>
                </w:tcBorders>
                <w:vAlign w:val="center"/>
              </w:tcPr>
              <w:p w14:paraId="3773C7FF">
                <w:pPr>
                  <w:jc w:val="both"/>
                  <w:rPr>
                    <w:rFonts w:cs="Times New Roman"/>
                  </w:rPr>
                </w:pPr>
                <w:r>
                  <w:rPr>
                    <w:rFonts w:cs="Times New Roman"/>
                  </w:rPr>
                  <w:t>5,029,864.42</w:t>
                </w:r>
              </w:p>
            </w:tc>
            <w:tc>
              <w:tcPr>
                <w:tcW w:w="449" w:type="pct"/>
                <w:tcBorders>
                  <w:top w:val="single" w:color="auto" w:sz="4" w:space="0"/>
                  <w:left w:val="single" w:color="auto" w:sz="4" w:space="0"/>
                  <w:bottom w:val="single" w:color="auto" w:sz="4" w:space="0"/>
                  <w:right w:val="single" w:color="auto" w:sz="4" w:space="0"/>
                </w:tcBorders>
                <w:vAlign w:val="center"/>
              </w:tcPr>
              <w:p w14:paraId="43A0394A">
                <w:pPr>
                  <w:jc w:val="both"/>
                  <w:rPr>
                    <w:rFonts w:cs="Times New Roman"/>
                  </w:rPr>
                </w:pPr>
              </w:p>
            </w:tc>
            <w:tc>
              <w:tcPr>
                <w:tcW w:w="479" w:type="pct"/>
                <w:tcBorders>
                  <w:top w:val="single" w:color="auto" w:sz="4" w:space="0"/>
                  <w:left w:val="single" w:color="auto" w:sz="4" w:space="0"/>
                  <w:bottom w:val="single" w:color="auto" w:sz="4" w:space="0"/>
                  <w:right w:val="single" w:color="auto" w:sz="4" w:space="0"/>
                </w:tcBorders>
                <w:vAlign w:val="center"/>
              </w:tcPr>
              <w:p w14:paraId="0606F112">
                <w:pPr>
                  <w:jc w:val="both"/>
                  <w:rPr>
                    <w:rFonts w:cs="Times New Roman"/>
                  </w:rPr>
                </w:pPr>
                <w:r>
                  <w:rPr>
                    <w:rFonts w:cs="Times New Roman"/>
                  </w:rPr>
                  <w:t>5,394,356.56</w:t>
                </w:r>
              </w:p>
            </w:tc>
            <w:tc>
              <w:tcPr>
                <w:tcW w:w="421" w:type="pct"/>
                <w:tcBorders>
                  <w:top w:val="single" w:color="auto" w:sz="4" w:space="0"/>
                  <w:left w:val="single" w:color="auto" w:sz="4" w:space="0"/>
                  <w:bottom w:val="single" w:color="auto" w:sz="4" w:space="0"/>
                  <w:right w:val="single" w:color="auto" w:sz="4" w:space="0"/>
                </w:tcBorders>
                <w:vAlign w:val="center"/>
              </w:tcPr>
              <w:p w14:paraId="038C7479">
                <w:pPr>
                  <w:jc w:val="both"/>
                  <w:rPr>
                    <w:rFonts w:cs="Times New Roman"/>
                  </w:rPr>
                </w:pPr>
                <w:r>
                  <w:rPr>
                    <w:rFonts w:cs="Times New Roman"/>
                  </w:rPr>
                  <w:t>160,291.99</w:t>
                </w:r>
              </w:p>
            </w:tc>
            <w:tc>
              <w:tcPr>
                <w:tcW w:w="359" w:type="pct"/>
                <w:tcBorders>
                  <w:top w:val="single" w:color="auto" w:sz="4" w:space="0"/>
                  <w:left w:val="single" w:color="auto" w:sz="4" w:space="0"/>
                  <w:bottom w:val="single" w:color="auto" w:sz="4" w:space="0"/>
                  <w:right w:val="single" w:color="auto" w:sz="4" w:space="0"/>
                </w:tcBorders>
                <w:vAlign w:val="center"/>
              </w:tcPr>
              <w:p w14:paraId="45B2EA1D">
                <w:pPr>
                  <w:jc w:val="both"/>
                  <w:rPr>
                    <w:rFonts w:cs="Times New Roman"/>
                  </w:rPr>
                </w:pPr>
              </w:p>
            </w:tc>
          </w:tr>
        </w:sdtContent>
      </w:sdt>
    </w:tbl>
    <w:p w14:paraId="354B1251">
      <w:pPr>
        <w:rPr>
          <w:color w:val="000000" w:themeColor="text1"/>
          <w14:textFill>
            <w14:solidFill>
              <w14:schemeClr w14:val="tx1"/>
            </w14:solidFill>
          </w14:textFill>
        </w:rPr>
      </w:pPr>
    </w:p>
    <w:p w14:paraId="005134B2">
      <w:pPr>
        <w:rPr>
          <w:color w:val="000000" w:themeColor="text1"/>
          <w14:textFill>
            <w14:solidFill>
              <w14:schemeClr w14:val="tx1"/>
            </w14:solidFill>
          </w14:textFill>
        </w:rPr>
      </w:pPr>
      <w:r>
        <w:rPr>
          <w:rFonts w:hint="eastAsia"/>
          <w:color w:val="000000" w:themeColor="text1"/>
          <w14:textFill>
            <w14:solidFill>
              <w14:schemeClr w14:val="tx1"/>
            </w14:solidFill>
          </w14:textFill>
        </w:rPr>
        <w:t>关联租赁情况说明</w:t>
      </w:r>
    </w:p>
    <w:sdt>
      <w:sdtPr>
        <w:rPr>
          <w:color w:val="000000" w:themeColor="text1"/>
          <w14:textFill>
            <w14:solidFill>
              <w14:schemeClr w14:val="tx1"/>
            </w14:solidFill>
          </w14:textFill>
        </w:rPr>
        <w:alias w:val="是否适用：关联租赁情况说明[双击切换]"/>
        <w:tag w:val="_GBC_a8d25c1a27d24bbeb9dd0063be85a310"/>
        <w:id w:val="789626629"/>
      </w:sdtPr>
      <w:sdtEndPr>
        <w:rPr>
          <w:color w:val="000000" w:themeColor="text1"/>
          <w14:textFill>
            <w14:solidFill>
              <w14:schemeClr w14:val="tx1"/>
            </w14:solidFill>
          </w14:textFill>
        </w:rPr>
      </w:sdtEndPr>
      <w:sdtContent>
        <w:p w14:paraId="0F6BFA0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43C6D51B">
      <w:pPr>
        <w:rPr>
          <w:color w:val="000000" w:themeColor="text1"/>
          <w14:textFill>
            <w14:solidFill>
              <w14:schemeClr w14:val="tx1"/>
            </w14:solidFill>
          </w14:textFill>
        </w:rPr>
      </w:pPr>
    </w:p>
    <w:p w14:paraId="1DD53517">
      <w:pPr>
        <w:rPr>
          <w:color w:val="000000" w:themeColor="text1"/>
          <w14:textFill>
            <w14:solidFill>
              <w14:schemeClr w14:val="tx1"/>
            </w14:solidFill>
          </w14:textFill>
        </w:rPr>
      </w:pPr>
    </w:p>
    <w:bookmarkEnd w:id="411"/>
    <w:p w14:paraId="50404D52">
      <w:pPr>
        <w:rPr>
          <w:color w:val="000000" w:themeColor="text1"/>
          <w14:textFill>
            <w14:solidFill>
              <w14:schemeClr w14:val="tx1"/>
            </w14:solidFill>
          </w14:textFill>
        </w:rPr>
        <w:sectPr>
          <w:pgSz w:w="16838" w:h="11906" w:orient="landscape"/>
          <w:pgMar w:top="1797" w:right="1525" w:bottom="1276" w:left="1440" w:header="856" w:footer="992" w:gutter="0"/>
          <w:cols w:space="425" w:num="1"/>
          <w:docGrid w:linePitch="312" w:charSpace="0"/>
        </w:sectPr>
      </w:pPr>
    </w:p>
    <w:p w14:paraId="3B9F3E32">
      <w:pPr>
        <w:pStyle w:val="58"/>
        <w:numPr>
          <w:ilvl w:val="0"/>
          <w:numId w:val="105"/>
        </w:numPr>
        <w:tabs>
          <w:tab w:val="left" w:pos="616"/>
        </w:tabs>
        <w:rPr>
          <w:rFonts w:ascii="宋体" w:hAnsi="宋体"/>
          <w:color w:val="000000" w:themeColor="text1"/>
          <w14:textFill>
            <w14:solidFill>
              <w14:schemeClr w14:val="tx1"/>
            </w14:solidFill>
          </w14:textFill>
        </w:rPr>
      </w:pPr>
      <w:bookmarkStart w:id="412" w:name="_Hlk105747684"/>
      <w:r>
        <w:rPr>
          <w:rFonts w:hint="eastAsia" w:ascii="宋体" w:hAnsi="宋体"/>
          <w:color w:val="000000" w:themeColor="text1"/>
          <w14:textFill>
            <w14:solidFill>
              <w14:schemeClr w14:val="tx1"/>
            </w14:solidFill>
          </w14:textFill>
        </w:rPr>
        <w:t>关联担保情况</w:t>
      </w:r>
    </w:p>
    <w:p w14:paraId="7ED81193">
      <w:pPr>
        <w:rPr>
          <w:color w:val="000000" w:themeColor="text1"/>
          <w14:textFill>
            <w14:solidFill>
              <w14:schemeClr w14:val="tx1"/>
            </w14:solidFill>
          </w14:textFill>
        </w:rPr>
      </w:pPr>
      <w:r>
        <w:rPr>
          <w:rFonts w:hint="eastAsia"/>
          <w:color w:val="000000" w:themeColor="text1"/>
          <w14:textFill>
            <w14:solidFill>
              <w14:schemeClr w14:val="tx1"/>
            </w14:solidFill>
          </w14:textFill>
        </w:rPr>
        <w:t>本公司作为担保方</w:t>
      </w:r>
    </w:p>
    <w:sdt>
      <w:sdtPr>
        <w:rPr>
          <w:color w:val="000000" w:themeColor="text1"/>
          <w14:textFill>
            <w14:solidFill>
              <w14:schemeClr w14:val="tx1"/>
            </w14:solidFill>
          </w14:textFill>
        </w:rPr>
        <w:alias w:val="是否适用：本公司作为担保方的担保情况表[双击切换]"/>
        <w:tag w:val="_GBC_f0150417f8ec4c5281b86683570391cb"/>
        <w:id w:val="147477884"/>
        <w:placeholder>
          <w:docPart w:val="GBC22222222222222222222222222222"/>
        </w:placeholder>
      </w:sdtPr>
      <w:sdtEndPr>
        <w:rPr>
          <w:color w:val="000000" w:themeColor="text1"/>
          <w14:textFill>
            <w14:solidFill>
              <w14:schemeClr w14:val="tx1"/>
            </w14:solidFill>
          </w14:textFill>
        </w:rPr>
      </w:sdtEndPr>
      <w:sdtContent>
        <w:p w14:paraId="307AF81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59ED032">
      <w:pPr>
        <w:rPr>
          <w:color w:val="000000" w:themeColor="text1"/>
          <w14:textFill>
            <w14:solidFill>
              <w14:schemeClr w14:val="tx1"/>
            </w14:solidFill>
          </w14:textFill>
        </w:rPr>
      </w:pPr>
    </w:p>
    <w:p w14:paraId="4FF3EA5E">
      <w:pP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本公司作为被担保方</w:t>
      </w:r>
    </w:p>
    <w:sdt>
      <w:sdtPr>
        <w:rPr>
          <w:rFonts w:cs="Cambria"/>
          <w:color w:val="000000" w:themeColor="text1"/>
          <w14:textFill>
            <w14:solidFill>
              <w14:schemeClr w14:val="tx1"/>
            </w14:solidFill>
          </w14:textFill>
        </w:rPr>
        <w:alias w:val="是否适用：本公司作为被担保方的担保情况表[双击切换]"/>
        <w:tag w:val="_GBC_3686094d29c941dd91bd168e3ef88833"/>
        <w:id w:val="147459649"/>
        <w:placeholder>
          <w:docPart w:val="GBC22222222222222222222222222222"/>
        </w:placeholder>
      </w:sdtPr>
      <w:sdtEndPr>
        <w:rPr>
          <w:rFonts w:cs="Cambria"/>
          <w:color w:val="000000" w:themeColor="text1"/>
          <w14:textFill>
            <w14:solidFill>
              <w14:schemeClr w14:val="tx1"/>
            </w14:solidFill>
          </w14:textFill>
        </w:rPr>
      </w:sdtEndPr>
      <w:sdtContent>
        <w:p w14:paraId="3B1A2046">
          <w:pPr>
            <w:rPr>
              <w:rFonts w:cs="Cambria"/>
              <w:color w:val="000000" w:themeColor="text1"/>
              <w14:textFill>
                <w14:solidFill>
                  <w14:schemeClr w14:val="tx1"/>
                </w14:solidFill>
              </w14:textFill>
            </w:rPr>
          </w:pPr>
          <w:r>
            <w:rPr>
              <w:rFonts w:ascii="宋体" w:hAnsi="宋体" w:cs="Cambria"/>
              <w:color w:val="000000" w:themeColor="text1"/>
              <w14:textFill>
                <w14:solidFill>
                  <w14:schemeClr w14:val="tx1"/>
                </w14:solidFill>
              </w14:textFill>
            </w:rPr>
            <w:fldChar w:fldCharType="begin"/>
          </w:r>
          <w:r>
            <w:rPr>
              <w:rFonts w:hint="eastAsia" w:ascii="宋体" w:hAnsi="宋体" w:cs="Cambria"/>
              <w:color w:val="000000" w:themeColor="text1"/>
              <w14:textFill>
                <w14:solidFill>
                  <w14:schemeClr w14:val="tx1"/>
                </w14:solidFill>
              </w14:textFill>
            </w:rPr>
            <w:instrText xml:space="preserve"> MACROBUTTON  SnrToggleCheckbox □适用 </w:instrText>
          </w:r>
          <w:r>
            <w:rPr>
              <w:rFonts w:ascii="宋体" w:hAnsi="宋体" w:cs="Cambria"/>
              <w:color w:val="000000" w:themeColor="text1"/>
              <w14:textFill>
                <w14:solidFill>
                  <w14:schemeClr w14:val="tx1"/>
                </w14:solidFill>
              </w14:textFill>
            </w:rPr>
            <w:fldChar w:fldCharType="end"/>
          </w:r>
          <w:r>
            <w:rPr>
              <w:rFonts w:ascii="宋体" w:hAnsi="宋体" w:cs="Cambria"/>
              <w:color w:val="000000" w:themeColor="text1"/>
              <w14:textFill>
                <w14:solidFill>
                  <w14:schemeClr w14:val="tx1"/>
                </w14:solidFill>
              </w14:textFill>
            </w:rPr>
            <w:fldChar w:fldCharType="begin"/>
          </w:r>
          <w:r>
            <w:rPr>
              <w:rFonts w:hint="eastAsia" w:ascii="宋体" w:hAnsi="宋体" w:cs="Cambria"/>
              <w:color w:val="000000" w:themeColor="text1"/>
              <w14:textFill>
                <w14:solidFill>
                  <w14:schemeClr w14:val="tx1"/>
                </w14:solidFill>
              </w14:textFill>
            </w:rPr>
            <w:instrText xml:space="preserve"> MACROBUTTON  SnrToggleCheckbox √不适用 </w:instrText>
          </w:r>
          <w:r>
            <w:rPr>
              <w:rFonts w:ascii="宋体" w:hAnsi="宋体" w:cs="Cambria"/>
              <w:color w:val="000000" w:themeColor="text1"/>
              <w14:textFill>
                <w14:solidFill>
                  <w14:schemeClr w14:val="tx1"/>
                </w14:solidFill>
              </w14:textFill>
            </w:rPr>
            <w:fldChar w:fldCharType="end"/>
          </w:r>
        </w:p>
      </w:sdtContent>
    </w:sdt>
    <w:p w14:paraId="2CAF7C99">
      <w:pPr>
        <w:rPr>
          <w:rFonts w:cs="Cambria"/>
          <w:color w:val="000000" w:themeColor="text1"/>
          <w14:textFill>
            <w14:solidFill>
              <w14:schemeClr w14:val="tx1"/>
            </w14:solidFill>
          </w14:textFill>
        </w:rPr>
      </w:pPr>
    </w:p>
    <w:p w14:paraId="35066EA2">
      <w:pP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关联担保情况说明</w:t>
      </w:r>
    </w:p>
    <w:sdt>
      <w:sdtPr>
        <w:rPr>
          <w:rFonts w:cs="Cambria"/>
          <w:color w:val="000000" w:themeColor="text1"/>
          <w14:textFill>
            <w14:solidFill>
              <w14:schemeClr w14:val="tx1"/>
            </w14:solidFill>
          </w14:textFill>
        </w:rPr>
        <w:alias w:val="是否适用：关联担保情况说明[双击切换]"/>
        <w:tag w:val="_GBC_9a5a4769e8804b779ae17adb041890d7"/>
        <w:id w:val="147451482"/>
        <w:placeholder>
          <w:docPart w:val="GBC22222222222222222222222222222"/>
        </w:placeholder>
      </w:sdtPr>
      <w:sdtEndPr>
        <w:rPr>
          <w:rFonts w:cs="Cambria"/>
          <w:color w:val="000000" w:themeColor="text1"/>
          <w14:textFill>
            <w14:solidFill>
              <w14:schemeClr w14:val="tx1"/>
            </w14:solidFill>
          </w14:textFill>
        </w:rPr>
      </w:sdtEndPr>
      <w:sdtContent>
        <w:p w14:paraId="639F22DE">
          <w:pPr>
            <w:rPr>
              <w:rFonts w:cs="Cambria"/>
              <w:color w:val="000000" w:themeColor="text1"/>
              <w14:textFill>
                <w14:solidFill>
                  <w14:schemeClr w14:val="tx1"/>
                </w14:solidFill>
              </w14:textFill>
            </w:rPr>
          </w:pPr>
          <w:r>
            <w:rPr>
              <w:rFonts w:ascii="宋体" w:hAnsi="宋体" w:cs="Cambria"/>
              <w:color w:val="000000" w:themeColor="text1"/>
              <w14:textFill>
                <w14:solidFill>
                  <w14:schemeClr w14:val="tx1"/>
                </w14:solidFill>
              </w14:textFill>
            </w:rPr>
            <w:fldChar w:fldCharType="begin"/>
          </w:r>
          <w:r>
            <w:rPr>
              <w:rFonts w:hint="eastAsia" w:ascii="宋体" w:hAnsi="宋体" w:cs="Cambria"/>
              <w:color w:val="000000" w:themeColor="text1"/>
              <w14:textFill>
                <w14:solidFill>
                  <w14:schemeClr w14:val="tx1"/>
                </w14:solidFill>
              </w14:textFill>
            </w:rPr>
            <w:instrText xml:space="preserve"> MACROBUTTON  SnrToggleCheckbox □适用 </w:instrText>
          </w:r>
          <w:r>
            <w:rPr>
              <w:rFonts w:ascii="宋体" w:hAnsi="宋体" w:cs="Cambria"/>
              <w:color w:val="000000" w:themeColor="text1"/>
              <w14:textFill>
                <w14:solidFill>
                  <w14:schemeClr w14:val="tx1"/>
                </w14:solidFill>
              </w14:textFill>
            </w:rPr>
            <w:fldChar w:fldCharType="end"/>
          </w:r>
          <w:r>
            <w:rPr>
              <w:rFonts w:ascii="宋体" w:hAnsi="宋体" w:cs="Cambria"/>
              <w:color w:val="000000" w:themeColor="text1"/>
              <w14:textFill>
                <w14:solidFill>
                  <w14:schemeClr w14:val="tx1"/>
                </w14:solidFill>
              </w14:textFill>
            </w:rPr>
            <w:fldChar w:fldCharType="begin"/>
          </w:r>
          <w:r>
            <w:rPr>
              <w:rFonts w:hint="eastAsia" w:ascii="宋体" w:hAnsi="宋体" w:cs="Cambria"/>
              <w:color w:val="000000" w:themeColor="text1"/>
              <w14:textFill>
                <w14:solidFill>
                  <w14:schemeClr w14:val="tx1"/>
                </w14:solidFill>
              </w14:textFill>
            </w:rPr>
            <w:instrText xml:space="preserve"> MACROBUTTON  SnrToggleCheckbox √不适用 </w:instrText>
          </w:r>
          <w:r>
            <w:rPr>
              <w:rFonts w:ascii="宋体" w:hAnsi="宋体" w:cs="Cambria"/>
              <w:color w:val="000000" w:themeColor="text1"/>
              <w14:textFill>
                <w14:solidFill>
                  <w14:schemeClr w14:val="tx1"/>
                </w14:solidFill>
              </w14:textFill>
            </w:rPr>
            <w:fldChar w:fldCharType="end"/>
          </w:r>
        </w:p>
      </w:sdtContent>
    </w:sdt>
    <w:p w14:paraId="1D3CCCF6">
      <w:pPr>
        <w:rPr>
          <w:rFonts w:cs="Cambria"/>
          <w:color w:val="000000" w:themeColor="text1"/>
          <w:sz w:val="20"/>
          <w:szCs w:val="20"/>
          <w14:textFill>
            <w14:solidFill>
              <w14:schemeClr w14:val="tx1"/>
            </w14:solidFill>
          </w14:textFill>
        </w:rPr>
      </w:pPr>
    </w:p>
    <w:bookmarkEnd w:id="412"/>
    <w:p w14:paraId="4442DC3E">
      <w:pPr>
        <w:pStyle w:val="58"/>
        <w:numPr>
          <w:ilvl w:val="0"/>
          <w:numId w:val="105"/>
        </w:numPr>
        <w:tabs>
          <w:tab w:val="left" w:pos="616"/>
        </w:tabs>
        <w:rPr>
          <w:rFonts w:ascii="宋体" w:hAnsi="宋体"/>
          <w:color w:val="000000" w:themeColor="text1"/>
          <w14:textFill>
            <w14:solidFill>
              <w14:schemeClr w14:val="tx1"/>
            </w14:solidFill>
          </w14:textFill>
        </w:rPr>
      </w:pPr>
      <w:bookmarkStart w:id="413" w:name="_Hlk72829984"/>
      <w:r>
        <w:rPr>
          <w:rFonts w:hint="eastAsia" w:ascii="宋体" w:hAnsi="宋体"/>
          <w:color w:val="000000" w:themeColor="text1"/>
          <w14:textFill>
            <w14:solidFill>
              <w14:schemeClr w14:val="tx1"/>
            </w14:solidFill>
          </w14:textFill>
        </w:rPr>
        <w:t>关联方资金拆借</w:t>
      </w:r>
    </w:p>
    <w:sdt>
      <w:sdtPr>
        <w:rPr>
          <w:color w:val="000000" w:themeColor="text1"/>
          <w14:textFill>
            <w14:solidFill>
              <w14:schemeClr w14:val="tx1"/>
            </w14:solidFill>
          </w14:textFill>
        </w:rPr>
        <w:alias w:val="是否适用：关联方资金拆借[双击切换]"/>
        <w:tag w:val="_GBC_4b2d20ddab104a06a9007945a55a3da5"/>
        <w:id w:val="-1880151861"/>
      </w:sdtPr>
      <w:sdtEndPr>
        <w:rPr>
          <w:color w:val="000000" w:themeColor="text1"/>
          <w14:textFill>
            <w14:solidFill>
              <w14:schemeClr w14:val="tx1"/>
            </w14:solidFill>
          </w14:textFill>
        </w:rPr>
      </w:sdtEndPr>
      <w:sdtContent>
        <w:p w14:paraId="16689C5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06332251">
      <w:pPr>
        <w:jc w:val="right"/>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单位：</w:t>
      </w:r>
      <w:sdt>
        <w:sdtPr>
          <w:rPr>
            <w:rFonts w:hint="eastAsia" w:cs="Cambria"/>
            <w:color w:val="000000" w:themeColor="text1"/>
            <w14:textFill>
              <w14:solidFill>
                <w14:schemeClr w14:val="tx1"/>
              </w14:solidFill>
            </w14:textFill>
          </w:rPr>
          <w:alias w:val="单位：关联方资金拆借"/>
          <w:tag w:val="_GBC_30878251351c48cd910d8c588a3fae01"/>
          <w:id w:val="830255285"/>
          <w:comboBox>
            <w:listItem w:displayText="元" w:value="1"/>
            <w:listItem w:displayText="千元" w:value="1000"/>
            <w:listItem w:displayText="万元" w:value="10000"/>
            <w:listItem w:displayText="百万元" w:value="1000000"/>
            <w:listItem w:displayText="亿元" w:value="100000000"/>
          </w:comboBox>
        </w:sdtPr>
        <w:sdtEndPr>
          <w:rPr>
            <w:rFonts w:hint="eastAsia" w:cs="Cambria"/>
            <w:color w:val="000000" w:themeColor="text1"/>
            <w14:textFill>
              <w14:solidFill>
                <w14:schemeClr w14:val="tx1"/>
              </w14:solidFill>
            </w14:textFill>
          </w:rPr>
        </w:sdtEndPr>
        <w:sdtContent>
          <w:r>
            <w:rPr>
              <w:rFonts w:hint="eastAsia" w:cs="Cambria"/>
              <w:color w:val="000000" w:themeColor="text1"/>
              <w14:textFill>
                <w14:solidFill>
                  <w14:schemeClr w14:val="tx1"/>
                </w14:solidFill>
              </w14:textFill>
            </w:rPr>
            <w:t>元</w:t>
          </w:r>
        </w:sdtContent>
      </w:sdt>
      <w:r>
        <w:rPr>
          <w:rFonts w:hint="eastAsia" w:cs="Cambria"/>
          <w:color w:val="000000" w:themeColor="text1"/>
          <w14:textFill>
            <w14:solidFill>
              <w14:schemeClr w14:val="tx1"/>
            </w14:solidFill>
          </w14:textFill>
        </w:rPr>
        <w:t xml:space="preserve">  币种：</w:t>
      </w:r>
      <w:sdt>
        <w:sdtPr>
          <w:rPr>
            <w:rFonts w:hint="eastAsia" w:cs="Cambria"/>
            <w:color w:val="000000" w:themeColor="text1"/>
            <w14:textFill>
              <w14:solidFill>
                <w14:schemeClr w14:val="tx1"/>
              </w14:solidFill>
            </w14:textFill>
          </w:rPr>
          <w:alias w:val="币种：关联方资金拆借"/>
          <w:tag w:val="_GBC_a29488b34f974558ba4cf6bd0f030f00"/>
          <w:id w:val="200848672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s="Cambria"/>
            <w:color w:val="000000" w:themeColor="text1"/>
            <w14:textFill>
              <w14:solidFill>
                <w14:schemeClr w14:val="tx1"/>
              </w14:solidFill>
            </w14:textFill>
          </w:rPr>
        </w:sdtEndPr>
        <w:sdtContent>
          <w:r>
            <w:rPr>
              <w:rFonts w:hint="eastAsia" w:cs="Cambria"/>
              <w:color w:val="000000" w:themeColor="text1"/>
              <w14:textFill>
                <w14:solidFill>
                  <w14:schemeClr w14:val="tx1"/>
                </w14:solidFill>
              </w14:textFill>
            </w:rPr>
            <w:t>人民币</w:t>
          </w:r>
        </w:sdtContent>
      </w:sdt>
    </w:p>
    <w:tbl>
      <w:tblPr>
        <w:tblStyle w:val="3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65"/>
        <w:gridCol w:w="2053"/>
        <w:gridCol w:w="1516"/>
        <w:gridCol w:w="1610"/>
      </w:tblGrid>
      <w:tr w14:paraId="5AD8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21bb8fa4d636469babeb2a54015330c9"/>
            <w:id w:val="-282882228"/>
          </w:sdtPr>
          <w:sdtEndPr>
            <w:rPr>
              <w:rFonts w:cs="Times New Roman"/>
            </w:rPr>
          </w:sdtEndPr>
          <w:sdtContent>
            <w:tc>
              <w:tcPr>
                <w:tcW w:w="2137" w:type="pct"/>
                <w:tcBorders>
                  <w:top w:val="single" w:color="auto" w:sz="4" w:space="0"/>
                  <w:left w:val="single" w:color="auto" w:sz="4" w:space="0"/>
                  <w:bottom w:val="single" w:color="auto" w:sz="4" w:space="0"/>
                  <w:right w:val="single" w:color="auto" w:sz="4" w:space="0"/>
                </w:tcBorders>
                <w:vAlign w:val="center"/>
              </w:tcPr>
              <w:p w14:paraId="46F113D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关联方</w:t>
                </w:r>
              </w:p>
            </w:tc>
          </w:sdtContent>
        </w:sdt>
        <w:sdt>
          <w:sdtPr>
            <w:rPr>
              <w:rFonts w:cs="Times New Roman"/>
            </w:rPr>
            <w:tag w:val="_PLD_21ea4181f1384bdbbbf3891f93fa488d"/>
            <w:id w:val="-1176654322"/>
          </w:sdtPr>
          <w:sdtEndPr>
            <w:rPr>
              <w:rFonts w:cs="Times New Roman"/>
            </w:rPr>
          </w:sdtEndPr>
          <w:sdtContent>
            <w:tc>
              <w:tcPr>
                <w:tcW w:w="1135" w:type="pct"/>
                <w:tcBorders>
                  <w:top w:val="single" w:color="auto" w:sz="4" w:space="0"/>
                  <w:left w:val="single" w:color="auto" w:sz="4" w:space="0"/>
                  <w:bottom w:val="single" w:color="auto" w:sz="4" w:space="0"/>
                  <w:right w:val="single" w:color="auto" w:sz="4" w:space="0"/>
                </w:tcBorders>
                <w:vAlign w:val="center"/>
              </w:tcPr>
              <w:p w14:paraId="101FBAA7">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拆借金额</w:t>
                </w:r>
              </w:p>
            </w:tc>
          </w:sdtContent>
        </w:sdt>
        <w:sdt>
          <w:sdtPr>
            <w:rPr>
              <w:rFonts w:cs="Times New Roman"/>
            </w:rPr>
            <w:tag w:val="_PLD_bd5ce6aed4f143e49953692c5a59760c"/>
            <w:id w:val="-1548135496"/>
          </w:sdtPr>
          <w:sdtEndPr>
            <w:rPr>
              <w:rFonts w:cs="Times New Roman"/>
            </w:rPr>
          </w:sdtEndPr>
          <w:sdtContent>
            <w:tc>
              <w:tcPr>
                <w:tcW w:w="838" w:type="pct"/>
                <w:tcBorders>
                  <w:top w:val="single" w:color="auto" w:sz="4" w:space="0"/>
                  <w:left w:val="single" w:color="auto" w:sz="4" w:space="0"/>
                  <w:bottom w:val="single" w:color="auto" w:sz="4" w:space="0"/>
                  <w:right w:val="single" w:color="auto" w:sz="4" w:space="0"/>
                </w:tcBorders>
                <w:vAlign w:val="center"/>
              </w:tcPr>
              <w:p w14:paraId="739B1319">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起始日</w:t>
                </w:r>
              </w:p>
            </w:tc>
          </w:sdtContent>
        </w:sdt>
        <w:sdt>
          <w:sdtPr>
            <w:rPr>
              <w:rFonts w:cs="Times New Roman"/>
            </w:rPr>
            <w:tag w:val="_PLD_2b385e7ee14a4b079bb06e055c36feb7"/>
            <w:id w:val="102228312"/>
          </w:sdtPr>
          <w:sdtEndPr>
            <w:rPr>
              <w:rFonts w:cs="Times New Roman"/>
            </w:rPr>
          </w:sdtEndPr>
          <w:sdtContent>
            <w:tc>
              <w:tcPr>
                <w:tcW w:w="888" w:type="pct"/>
                <w:tcBorders>
                  <w:top w:val="single" w:color="auto" w:sz="4" w:space="0"/>
                  <w:left w:val="single" w:color="auto" w:sz="4" w:space="0"/>
                  <w:bottom w:val="single" w:color="auto" w:sz="4" w:space="0"/>
                  <w:right w:val="single" w:color="auto" w:sz="4" w:space="0"/>
                </w:tcBorders>
                <w:vAlign w:val="center"/>
              </w:tcPr>
              <w:p w14:paraId="59CDEEB2">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到期日</w:t>
                </w:r>
              </w:p>
            </w:tc>
          </w:sdtContent>
        </w:sdt>
      </w:tr>
      <w:tr w14:paraId="0198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e99d0f8d089a4169bf3ff1a58fede048"/>
            <w:id w:val="1275983369"/>
          </w:sdtPr>
          <w:sdtEndPr>
            <w:rPr>
              <w:rFonts w:cs="Times New Roman"/>
            </w:rPr>
          </w:sdtEndPr>
          <w:sdtContent>
            <w:tc>
              <w:tcPr>
                <w:tcW w:w="5000" w:type="pct"/>
                <w:gridSpan w:val="4"/>
                <w:tcBorders>
                  <w:top w:val="single" w:color="auto" w:sz="4" w:space="0"/>
                  <w:left w:val="single" w:color="auto" w:sz="4" w:space="0"/>
                  <w:bottom w:val="single" w:color="auto" w:sz="4" w:space="0"/>
                  <w:right w:val="single" w:color="auto" w:sz="4" w:space="0"/>
                </w:tcBorders>
              </w:tcPr>
              <w:p w14:paraId="497ADAAA">
                <w:pPr>
                  <w:rPr>
                    <w:rFonts w:cs="Times New Roman"/>
                  </w:rPr>
                </w:pPr>
                <w:r>
                  <w:rPr>
                    <w:rFonts w:cs="Times New Roman"/>
                    <w:color w:val="000000" w:themeColor="text1"/>
                    <w14:textFill>
                      <w14:solidFill>
                        <w14:schemeClr w14:val="tx1"/>
                      </w14:solidFill>
                    </w14:textFill>
                  </w:rPr>
                  <w:t>拆入</w:t>
                </w:r>
              </w:p>
            </w:tc>
          </w:sdtContent>
        </w:sdt>
      </w:tr>
      <w:sdt>
        <w:sdtPr>
          <w:rPr>
            <w:rFonts w:cs="Times New Roman"/>
            <w:color w:val="000000" w:themeColor="text1"/>
            <w14:textFill>
              <w14:solidFill>
                <w14:schemeClr w14:val="tx1"/>
              </w14:solidFill>
            </w14:textFill>
          </w:rPr>
          <w:alias w:val="关联方资金拆入明细"/>
          <w:tag w:val="_TUP_dc7a5d29d458478da43f89617e2db5ec"/>
          <w:id w:val="507651079"/>
          <w:placeholder>
            <w:docPart w:val="{df921bb6-cb27-449a-a3c8-f8e19e099680}"/>
          </w:placeholder>
        </w:sdtPr>
        <w:sdtEndPr>
          <w:rPr>
            <w:rFonts w:cs="Times New Roman"/>
            <w:color w:val="000000" w:themeColor="text1"/>
            <w14:textFill>
              <w14:solidFill>
                <w14:schemeClr w14:val="tx1"/>
              </w14:solidFill>
            </w14:textFill>
          </w:rPr>
        </w:sdtEndPr>
        <w:sdtContent>
          <w:tr w14:paraId="36D55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137" w:type="pct"/>
                <w:tcBorders>
                  <w:top w:val="single" w:color="auto" w:sz="4" w:space="0"/>
                  <w:left w:val="single" w:color="auto" w:sz="4" w:space="0"/>
                  <w:bottom w:val="single" w:color="auto" w:sz="4" w:space="0"/>
                  <w:right w:val="single" w:color="auto" w:sz="4" w:space="0"/>
                </w:tcBorders>
                <w:vAlign w:val="center"/>
              </w:tcPr>
              <w:p w14:paraId="2BDFE20A">
                <w:pPr>
                  <w:rPr>
                    <w:rFonts w:cs="Times New Roman"/>
                  </w:rPr>
                </w:pPr>
                <w:r>
                  <w:rPr>
                    <w:rFonts w:cs="Times New Roman"/>
                  </w:rPr>
                  <w:t>新兴际华资产经营管理有限公司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47E334C9">
                <w:pPr>
                  <w:jc w:val="right"/>
                  <w:rPr>
                    <w:rFonts w:cs="Times New Roman"/>
                  </w:rPr>
                </w:pPr>
                <w:r>
                  <w:rPr>
                    <w:rFonts w:cs="Times New Roman"/>
                  </w:rPr>
                  <w:t>500,000.00</w:t>
                </w:r>
              </w:p>
            </w:tc>
            <w:tc>
              <w:tcPr>
                <w:tcW w:w="838" w:type="pct"/>
                <w:tcBorders>
                  <w:top w:val="single" w:color="auto" w:sz="4" w:space="0"/>
                  <w:left w:val="single" w:color="auto" w:sz="4" w:space="0"/>
                  <w:bottom w:val="single" w:color="auto" w:sz="4" w:space="0"/>
                  <w:right w:val="single" w:color="auto" w:sz="4" w:space="0"/>
                </w:tcBorders>
                <w:vAlign w:val="center"/>
              </w:tcPr>
              <w:p w14:paraId="19074D49">
                <w:pPr>
                  <w:jc w:val="center"/>
                  <w:rPr>
                    <w:rFonts w:cs="Times New Roman"/>
                  </w:rPr>
                </w:pPr>
                <w:r>
                  <w:rPr>
                    <w:rFonts w:cs="Times New Roman"/>
                  </w:rPr>
                  <w:t>2024-01-22</w:t>
                </w:r>
              </w:p>
            </w:tc>
            <w:tc>
              <w:tcPr>
                <w:tcW w:w="888" w:type="pct"/>
                <w:tcBorders>
                  <w:top w:val="single" w:color="auto" w:sz="4" w:space="0"/>
                  <w:left w:val="single" w:color="auto" w:sz="4" w:space="0"/>
                  <w:bottom w:val="single" w:color="auto" w:sz="4" w:space="0"/>
                  <w:right w:val="single" w:color="auto" w:sz="4" w:space="0"/>
                </w:tcBorders>
                <w:vAlign w:val="center"/>
              </w:tcPr>
              <w:p w14:paraId="59DDA2C0">
                <w:pPr>
                  <w:jc w:val="center"/>
                  <w:rPr>
                    <w:rFonts w:cs="Times New Roman"/>
                  </w:rPr>
                </w:pPr>
                <w:r>
                  <w:rPr>
                    <w:rFonts w:cs="Times New Roman"/>
                  </w:rPr>
                  <w:t>2025-04-10</w:t>
                </w:r>
              </w:p>
            </w:tc>
          </w:tr>
        </w:sdtContent>
      </w:sdt>
      <w:sdt>
        <w:sdtPr>
          <w:rPr>
            <w:rFonts w:cs="Times New Roman"/>
            <w:color w:val="000000" w:themeColor="text1"/>
            <w14:textFill>
              <w14:solidFill>
                <w14:schemeClr w14:val="tx1"/>
              </w14:solidFill>
            </w14:textFill>
          </w:rPr>
          <w:alias w:val="关联方资金拆入明细"/>
          <w:tag w:val="_TUP_dc7a5d29d458478da43f89617e2db5ec"/>
          <w:id w:val="2115249715"/>
          <w:placeholder>
            <w:docPart w:val="{df921bb6-cb27-449a-a3c8-f8e19e099680}"/>
          </w:placeholder>
        </w:sdtPr>
        <w:sdtEndPr>
          <w:rPr>
            <w:rFonts w:cs="Times New Roman"/>
            <w:color w:val="000000" w:themeColor="text1"/>
            <w14:textFill>
              <w14:solidFill>
                <w14:schemeClr w14:val="tx1"/>
              </w14:solidFill>
            </w14:textFill>
          </w:rPr>
        </w:sdtEndPr>
        <w:sdtContent>
          <w:tr w14:paraId="29F63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pct"/>
                <w:tcBorders>
                  <w:top w:val="single" w:color="auto" w:sz="4" w:space="0"/>
                  <w:left w:val="single" w:color="auto" w:sz="4" w:space="0"/>
                  <w:bottom w:val="single" w:color="auto" w:sz="4" w:space="0"/>
                  <w:right w:val="single" w:color="auto" w:sz="4" w:space="0"/>
                </w:tcBorders>
                <w:vAlign w:val="center"/>
              </w:tcPr>
              <w:p w14:paraId="71C35309">
                <w:pPr>
                  <w:rPr>
                    <w:rFonts w:cs="Times New Roman"/>
                  </w:rPr>
                </w:pPr>
                <w:r>
                  <w:rPr>
                    <w:rFonts w:cs="Times New Roman"/>
                  </w:rPr>
                  <w:t>新兴际华资产经营管理有限公司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70118735">
                <w:pPr>
                  <w:jc w:val="right"/>
                  <w:rPr>
                    <w:rFonts w:cs="Times New Roman"/>
                  </w:rPr>
                </w:pPr>
                <w:r>
                  <w:rPr>
                    <w:rFonts w:cs="Times New Roman"/>
                  </w:rPr>
                  <w:t>1,000,000.00</w:t>
                </w:r>
              </w:p>
            </w:tc>
            <w:tc>
              <w:tcPr>
                <w:tcW w:w="838" w:type="pct"/>
                <w:tcBorders>
                  <w:top w:val="single" w:color="auto" w:sz="4" w:space="0"/>
                  <w:left w:val="single" w:color="auto" w:sz="4" w:space="0"/>
                  <w:bottom w:val="single" w:color="auto" w:sz="4" w:space="0"/>
                  <w:right w:val="single" w:color="auto" w:sz="4" w:space="0"/>
                </w:tcBorders>
                <w:vAlign w:val="center"/>
              </w:tcPr>
              <w:p w14:paraId="55FB5672">
                <w:pPr>
                  <w:jc w:val="center"/>
                  <w:rPr>
                    <w:rFonts w:cs="Times New Roman"/>
                  </w:rPr>
                </w:pPr>
                <w:r>
                  <w:rPr>
                    <w:rFonts w:cs="Times New Roman"/>
                  </w:rPr>
                  <w:t>2024-10-10</w:t>
                </w:r>
              </w:p>
            </w:tc>
            <w:tc>
              <w:tcPr>
                <w:tcW w:w="888" w:type="pct"/>
                <w:tcBorders>
                  <w:top w:val="single" w:color="auto" w:sz="4" w:space="0"/>
                  <w:left w:val="single" w:color="auto" w:sz="4" w:space="0"/>
                  <w:bottom w:val="single" w:color="auto" w:sz="4" w:space="0"/>
                  <w:right w:val="single" w:color="auto" w:sz="4" w:space="0"/>
                </w:tcBorders>
                <w:vAlign w:val="center"/>
              </w:tcPr>
              <w:p w14:paraId="28D6B649">
                <w:pPr>
                  <w:jc w:val="center"/>
                  <w:rPr>
                    <w:rFonts w:cs="Times New Roman"/>
                  </w:rPr>
                </w:pPr>
                <w:r>
                  <w:rPr>
                    <w:rFonts w:cs="Times New Roman"/>
                  </w:rPr>
                  <w:t>2025-04-10</w:t>
                </w:r>
              </w:p>
            </w:tc>
          </w:tr>
        </w:sdtContent>
      </w:sdt>
      <w:sdt>
        <w:sdtPr>
          <w:rPr>
            <w:rFonts w:cs="Times New Roman"/>
            <w:color w:val="000000" w:themeColor="text1"/>
            <w14:textFill>
              <w14:solidFill>
                <w14:schemeClr w14:val="tx1"/>
              </w14:solidFill>
            </w14:textFill>
          </w:rPr>
          <w:alias w:val="关联方资金拆入明细"/>
          <w:tag w:val="_TUP_dc7a5d29d458478da43f89617e2db5ec"/>
          <w:id w:val="-1063023162"/>
          <w:placeholder>
            <w:docPart w:val="{df921bb6-cb27-449a-a3c8-f8e19e099680}"/>
          </w:placeholder>
        </w:sdtPr>
        <w:sdtEndPr>
          <w:rPr>
            <w:rFonts w:cs="Times New Roman"/>
            <w:color w:val="000000" w:themeColor="text1"/>
            <w14:textFill>
              <w14:solidFill>
                <w14:schemeClr w14:val="tx1"/>
              </w14:solidFill>
            </w14:textFill>
          </w:rPr>
        </w:sdtEndPr>
        <w:sdtContent>
          <w:tr w14:paraId="5A15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pct"/>
                <w:tcBorders>
                  <w:top w:val="single" w:color="auto" w:sz="4" w:space="0"/>
                  <w:left w:val="single" w:color="auto" w:sz="4" w:space="0"/>
                  <w:bottom w:val="single" w:color="auto" w:sz="4" w:space="0"/>
                  <w:right w:val="single" w:color="auto" w:sz="4" w:space="0"/>
                </w:tcBorders>
                <w:vAlign w:val="center"/>
              </w:tcPr>
              <w:p w14:paraId="5990802E">
                <w:pPr>
                  <w:rPr>
                    <w:rFonts w:cs="Times New Roman"/>
                  </w:rPr>
                </w:pPr>
                <w:r>
                  <w:rPr>
                    <w:rFonts w:cs="Times New Roman"/>
                  </w:rPr>
                  <w:t>新兴际华资产经营管理有限公司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372582B4">
                <w:pPr>
                  <w:jc w:val="right"/>
                  <w:rPr>
                    <w:rFonts w:cs="Times New Roman"/>
                  </w:rPr>
                </w:pPr>
                <w:r>
                  <w:rPr>
                    <w:rFonts w:cs="Times New Roman"/>
                  </w:rPr>
                  <w:t>11,000,000.00</w:t>
                </w:r>
              </w:p>
            </w:tc>
            <w:tc>
              <w:tcPr>
                <w:tcW w:w="838" w:type="pct"/>
                <w:tcBorders>
                  <w:top w:val="single" w:color="auto" w:sz="4" w:space="0"/>
                  <w:left w:val="single" w:color="auto" w:sz="4" w:space="0"/>
                  <w:bottom w:val="single" w:color="auto" w:sz="4" w:space="0"/>
                  <w:right w:val="single" w:color="auto" w:sz="4" w:space="0"/>
                </w:tcBorders>
                <w:vAlign w:val="center"/>
              </w:tcPr>
              <w:p w14:paraId="69BBF081">
                <w:pPr>
                  <w:jc w:val="center"/>
                  <w:rPr>
                    <w:rFonts w:cs="Times New Roman"/>
                  </w:rPr>
                </w:pPr>
                <w:r>
                  <w:rPr>
                    <w:rFonts w:cs="Times New Roman"/>
                  </w:rPr>
                  <w:t>2023-07-18</w:t>
                </w:r>
              </w:p>
            </w:tc>
            <w:tc>
              <w:tcPr>
                <w:tcW w:w="888" w:type="pct"/>
                <w:tcBorders>
                  <w:top w:val="single" w:color="auto" w:sz="4" w:space="0"/>
                  <w:left w:val="single" w:color="auto" w:sz="4" w:space="0"/>
                  <w:bottom w:val="single" w:color="auto" w:sz="4" w:space="0"/>
                  <w:right w:val="single" w:color="auto" w:sz="4" w:space="0"/>
                </w:tcBorders>
                <w:vAlign w:val="center"/>
              </w:tcPr>
              <w:p w14:paraId="65CEFD03">
                <w:pPr>
                  <w:jc w:val="center"/>
                  <w:rPr>
                    <w:rFonts w:cs="Times New Roman"/>
                  </w:rPr>
                </w:pPr>
                <w:r>
                  <w:rPr>
                    <w:rFonts w:cs="Times New Roman"/>
                  </w:rPr>
                  <w:t>2025-12-31</w:t>
                </w:r>
              </w:p>
            </w:tc>
          </w:tr>
        </w:sdtContent>
      </w:sdt>
      <w:sdt>
        <w:sdtPr>
          <w:rPr>
            <w:rFonts w:cs="Times New Roman"/>
            <w:color w:val="000000" w:themeColor="text1"/>
            <w14:textFill>
              <w14:solidFill>
                <w14:schemeClr w14:val="tx1"/>
              </w14:solidFill>
            </w14:textFill>
          </w:rPr>
          <w:alias w:val="关联方资金拆入明细"/>
          <w:tag w:val="_TUP_dc7a5d29d458478da43f89617e2db5ec"/>
          <w:id w:val="1160347311"/>
          <w:placeholder>
            <w:docPart w:val="{df921bb6-cb27-449a-a3c8-f8e19e099680}"/>
          </w:placeholder>
        </w:sdtPr>
        <w:sdtEndPr>
          <w:rPr>
            <w:rFonts w:cs="Times New Roman"/>
            <w:color w:val="000000" w:themeColor="text1"/>
            <w14:textFill>
              <w14:solidFill>
                <w14:schemeClr w14:val="tx1"/>
              </w14:solidFill>
            </w14:textFill>
          </w:rPr>
        </w:sdtEndPr>
        <w:sdtContent>
          <w:tr w14:paraId="63D48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pct"/>
                <w:tcBorders>
                  <w:top w:val="single" w:color="auto" w:sz="4" w:space="0"/>
                  <w:left w:val="single" w:color="auto" w:sz="4" w:space="0"/>
                  <w:bottom w:val="single" w:color="auto" w:sz="4" w:space="0"/>
                  <w:right w:val="single" w:color="auto" w:sz="4" w:space="0"/>
                </w:tcBorders>
                <w:vAlign w:val="center"/>
              </w:tcPr>
              <w:p w14:paraId="7D3132F2">
                <w:pPr>
                  <w:rPr>
                    <w:rFonts w:cs="Times New Roman"/>
                  </w:rPr>
                </w:pPr>
                <w:r>
                  <w:rPr>
                    <w:rFonts w:cs="Times New Roman"/>
                  </w:rPr>
                  <w:t>新兴际华资产经营管理有限公司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459D3C90">
                <w:pPr>
                  <w:jc w:val="right"/>
                  <w:rPr>
                    <w:rFonts w:cs="Times New Roman"/>
                  </w:rPr>
                </w:pPr>
                <w:r>
                  <w:rPr>
                    <w:rFonts w:cs="Times New Roman"/>
                  </w:rPr>
                  <w:t>2,500,000.00</w:t>
                </w:r>
              </w:p>
            </w:tc>
            <w:tc>
              <w:tcPr>
                <w:tcW w:w="838" w:type="pct"/>
                <w:tcBorders>
                  <w:top w:val="single" w:color="auto" w:sz="4" w:space="0"/>
                  <w:left w:val="single" w:color="auto" w:sz="4" w:space="0"/>
                  <w:bottom w:val="single" w:color="auto" w:sz="4" w:space="0"/>
                  <w:right w:val="single" w:color="auto" w:sz="4" w:space="0"/>
                </w:tcBorders>
                <w:vAlign w:val="center"/>
              </w:tcPr>
              <w:p w14:paraId="715A339F">
                <w:pPr>
                  <w:jc w:val="center"/>
                  <w:rPr>
                    <w:rFonts w:cs="Times New Roman"/>
                  </w:rPr>
                </w:pPr>
                <w:r>
                  <w:rPr>
                    <w:rFonts w:cs="Times New Roman"/>
                  </w:rPr>
                  <w:t>2024-01-22</w:t>
                </w:r>
              </w:p>
            </w:tc>
            <w:tc>
              <w:tcPr>
                <w:tcW w:w="888" w:type="pct"/>
                <w:tcBorders>
                  <w:top w:val="single" w:color="auto" w:sz="4" w:space="0"/>
                  <w:left w:val="single" w:color="auto" w:sz="4" w:space="0"/>
                  <w:bottom w:val="single" w:color="auto" w:sz="4" w:space="0"/>
                  <w:right w:val="single" w:color="auto" w:sz="4" w:space="0"/>
                </w:tcBorders>
                <w:vAlign w:val="center"/>
              </w:tcPr>
              <w:p w14:paraId="4CE16FF2">
                <w:pPr>
                  <w:jc w:val="center"/>
                  <w:rPr>
                    <w:rFonts w:cs="Times New Roman"/>
                  </w:rPr>
                </w:pPr>
                <w:r>
                  <w:rPr>
                    <w:rFonts w:cs="Times New Roman"/>
                  </w:rPr>
                  <w:t>2025-12-31</w:t>
                </w:r>
              </w:p>
            </w:tc>
          </w:tr>
        </w:sdtContent>
      </w:sdt>
      <w:sdt>
        <w:sdtPr>
          <w:rPr>
            <w:rFonts w:cs="Times New Roman"/>
            <w:color w:val="000000" w:themeColor="text1"/>
            <w14:textFill>
              <w14:solidFill>
                <w14:schemeClr w14:val="tx1"/>
              </w14:solidFill>
            </w14:textFill>
          </w:rPr>
          <w:alias w:val="关联方资金拆入明细"/>
          <w:tag w:val="_TUP_dc7a5d29d458478da43f89617e2db5ec"/>
          <w:id w:val="1399559423"/>
          <w:placeholder>
            <w:docPart w:val="{df921bb6-cb27-449a-a3c8-f8e19e099680}"/>
          </w:placeholder>
        </w:sdtPr>
        <w:sdtEndPr>
          <w:rPr>
            <w:rFonts w:cs="Times New Roman"/>
            <w:color w:val="000000" w:themeColor="text1"/>
            <w14:textFill>
              <w14:solidFill>
                <w14:schemeClr w14:val="tx1"/>
              </w14:solidFill>
            </w14:textFill>
          </w:rPr>
        </w:sdtEndPr>
        <w:sdtContent>
          <w:tr w14:paraId="4120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pct"/>
                <w:tcBorders>
                  <w:top w:val="single" w:color="auto" w:sz="4" w:space="0"/>
                  <w:left w:val="single" w:color="auto" w:sz="4" w:space="0"/>
                  <w:bottom w:val="single" w:color="auto" w:sz="4" w:space="0"/>
                  <w:right w:val="single" w:color="auto" w:sz="4" w:space="0"/>
                </w:tcBorders>
                <w:vAlign w:val="center"/>
              </w:tcPr>
              <w:p w14:paraId="0BFEB2E0">
                <w:pPr>
                  <w:rPr>
                    <w:rFonts w:cs="Times New Roman"/>
                  </w:rPr>
                </w:pPr>
                <w:r>
                  <w:rPr>
                    <w:rFonts w:cs="Times New Roman"/>
                  </w:rPr>
                  <w:t>新兴际华资产经营管理有限公司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360BB1C4">
                <w:pPr>
                  <w:jc w:val="right"/>
                  <w:rPr>
                    <w:rFonts w:cs="Times New Roman"/>
                  </w:rPr>
                </w:pPr>
                <w:r>
                  <w:rPr>
                    <w:rFonts w:cs="Times New Roman"/>
                  </w:rPr>
                  <w:t>6,710,000.00</w:t>
                </w:r>
              </w:p>
            </w:tc>
            <w:tc>
              <w:tcPr>
                <w:tcW w:w="838" w:type="pct"/>
                <w:tcBorders>
                  <w:top w:val="single" w:color="auto" w:sz="4" w:space="0"/>
                  <w:left w:val="single" w:color="auto" w:sz="4" w:space="0"/>
                  <w:bottom w:val="single" w:color="auto" w:sz="4" w:space="0"/>
                  <w:right w:val="single" w:color="auto" w:sz="4" w:space="0"/>
                </w:tcBorders>
                <w:vAlign w:val="center"/>
              </w:tcPr>
              <w:p w14:paraId="79A89CD0">
                <w:pPr>
                  <w:jc w:val="center"/>
                  <w:rPr>
                    <w:rFonts w:cs="Times New Roman"/>
                  </w:rPr>
                </w:pPr>
                <w:r>
                  <w:rPr>
                    <w:rFonts w:cs="Times New Roman"/>
                  </w:rPr>
                  <w:t>2025-01-17</w:t>
                </w:r>
              </w:p>
            </w:tc>
            <w:tc>
              <w:tcPr>
                <w:tcW w:w="888" w:type="pct"/>
                <w:tcBorders>
                  <w:top w:val="single" w:color="auto" w:sz="4" w:space="0"/>
                  <w:left w:val="single" w:color="auto" w:sz="4" w:space="0"/>
                  <w:bottom w:val="single" w:color="auto" w:sz="4" w:space="0"/>
                  <w:right w:val="single" w:color="auto" w:sz="4" w:space="0"/>
                </w:tcBorders>
                <w:vAlign w:val="center"/>
              </w:tcPr>
              <w:p w14:paraId="65EDB19F">
                <w:pPr>
                  <w:jc w:val="center"/>
                  <w:rPr>
                    <w:rFonts w:cs="Times New Roman"/>
                  </w:rPr>
                </w:pPr>
                <w:r>
                  <w:rPr>
                    <w:rFonts w:cs="Times New Roman"/>
                  </w:rPr>
                  <w:t>2026-01-16</w:t>
                </w:r>
              </w:p>
            </w:tc>
          </w:tr>
        </w:sdtContent>
      </w:sdt>
      <w:sdt>
        <w:sdtPr>
          <w:rPr>
            <w:rFonts w:cs="Times New Roman"/>
            <w:color w:val="000000" w:themeColor="text1"/>
            <w14:textFill>
              <w14:solidFill>
                <w14:schemeClr w14:val="tx1"/>
              </w14:solidFill>
            </w14:textFill>
          </w:rPr>
          <w:alias w:val="关联方资金拆入明细"/>
          <w:tag w:val="_TUP_dc7a5d29d458478da43f89617e2db5ec"/>
          <w:id w:val="1546022996"/>
          <w:placeholder>
            <w:docPart w:val="{df921bb6-cb27-449a-a3c8-f8e19e099680}"/>
          </w:placeholder>
        </w:sdtPr>
        <w:sdtEndPr>
          <w:rPr>
            <w:rFonts w:cs="Times New Roman"/>
            <w:color w:val="000000" w:themeColor="text1"/>
            <w14:textFill>
              <w14:solidFill>
                <w14:schemeClr w14:val="tx1"/>
              </w14:solidFill>
            </w14:textFill>
          </w:rPr>
        </w:sdtEndPr>
        <w:sdtContent>
          <w:tr w14:paraId="4B05C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pct"/>
                <w:tcBorders>
                  <w:top w:val="single" w:color="auto" w:sz="4" w:space="0"/>
                  <w:left w:val="single" w:color="auto" w:sz="4" w:space="0"/>
                  <w:bottom w:val="single" w:color="auto" w:sz="4" w:space="0"/>
                  <w:right w:val="single" w:color="auto" w:sz="4" w:space="0"/>
                </w:tcBorders>
                <w:vAlign w:val="center"/>
              </w:tcPr>
              <w:p w14:paraId="33E46ADC">
                <w:pPr>
                  <w:rPr>
                    <w:rFonts w:cs="Times New Roman"/>
                  </w:rPr>
                </w:pPr>
                <w:r>
                  <w:rPr>
                    <w:rFonts w:cs="Times New Roman"/>
                  </w:rPr>
                  <w:t>新兴际华投资有限公司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015EA1FA">
                <w:pPr>
                  <w:jc w:val="right"/>
                  <w:rPr>
                    <w:rFonts w:cs="Times New Roman"/>
                  </w:rPr>
                </w:pPr>
                <w:r>
                  <w:rPr>
                    <w:rFonts w:cs="Times New Roman"/>
                  </w:rPr>
                  <w:t>2,188,300.00</w:t>
                </w:r>
              </w:p>
            </w:tc>
            <w:tc>
              <w:tcPr>
                <w:tcW w:w="838" w:type="pct"/>
                <w:tcBorders>
                  <w:top w:val="single" w:color="auto" w:sz="4" w:space="0"/>
                  <w:left w:val="single" w:color="auto" w:sz="4" w:space="0"/>
                  <w:bottom w:val="single" w:color="auto" w:sz="4" w:space="0"/>
                  <w:right w:val="single" w:color="auto" w:sz="4" w:space="0"/>
                </w:tcBorders>
                <w:vAlign w:val="center"/>
              </w:tcPr>
              <w:p w14:paraId="79D9755A">
                <w:pPr>
                  <w:jc w:val="center"/>
                  <w:rPr>
                    <w:rFonts w:cs="Times New Roman"/>
                  </w:rPr>
                </w:pPr>
                <w:r>
                  <w:rPr>
                    <w:rFonts w:cs="Times New Roman"/>
                  </w:rPr>
                  <w:t>2019-02-26</w:t>
                </w:r>
              </w:p>
            </w:tc>
            <w:tc>
              <w:tcPr>
                <w:tcW w:w="888" w:type="pct"/>
                <w:tcBorders>
                  <w:top w:val="single" w:color="auto" w:sz="4" w:space="0"/>
                  <w:left w:val="single" w:color="auto" w:sz="4" w:space="0"/>
                  <w:bottom w:val="single" w:color="auto" w:sz="4" w:space="0"/>
                  <w:right w:val="single" w:color="auto" w:sz="4" w:space="0"/>
                </w:tcBorders>
                <w:vAlign w:val="center"/>
              </w:tcPr>
              <w:p w14:paraId="5301971B">
                <w:pPr>
                  <w:jc w:val="center"/>
                  <w:rPr>
                    <w:rFonts w:cs="Times New Roman"/>
                  </w:rPr>
                </w:pPr>
                <w:r>
                  <w:rPr>
                    <w:rFonts w:cs="Times New Roman"/>
                  </w:rPr>
                  <w:t>2026-02-26</w:t>
                </w:r>
              </w:p>
            </w:tc>
          </w:tr>
        </w:sdtContent>
      </w:sdt>
      <w:sdt>
        <w:sdtPr>
          <w:rPr>
            <w:rFonts w:cs="Times New Roman"/>
            <w:color w:val="000000" w:themeColor="text1"/>
            <w14:textFill>
              <w14:solidFill>
                <w14:schemeClr w14:val="tx1"/>
              </w14:solidFill>
            </w14:textFill>
          </w:rPr>
          <w:alias w:val="关联方资金拆入明细"/>
          <w:tag w:val="_TUP_dc7a5d29d458478da43f89617e2db5ec"/>
          <w:id w:val="-1424944407"/>
          <w:placeholder>
            <w:docPart w:val="{df921bb6-cb27-449a-a3c8-f8e19e099680}"/>
          </w:placeholder>
        </w:sdtPr>
        <w:sdtEndPr>
          <w:rPr>
            <w:rFonts w:cs="Times New Roman"/>
            <w:color w:val="000000" w:themeColor="text1"/>
            <w14:textFill>
              <w14:solidFill>
                <w14:schemeClr w14:val="tx1"/>
              </w14:solidFill>
            </w14:textFill>
          </w:rPr>
        </w:sdtEndPr>
        <w:sdtContent>
          <w:tr w14:paraId="0B48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pct"/>
                <w:tcBorders>
                  <w:top w:val="single" w:color="auto" w:sz="4" w:space="0"/>
                  <w:left w:val="single" w:color="auto" w:sz="4" w:space="0"/>
                  <w:bottom w:val="single" w:color="auto" w:sz="4" w:space="0"/>
                  <w:right w:val="single" w:color="auto" w:sz="4" w:space="0"/>
                </w:tcBorders>
                <w:vAlign w:val="center"/>
              </w:tcPr>
              <w:p w14:paraId="729175F6">
                <w:pPr>
                  <w:rPr>
                    <w:rFonts w:cs="Times New Roman"/>
                  </w:rPr>
                </w:pPr>
                <w:r>
                  <w:rPr>
                    <w:rFonts w:cs="Times New Roman"/>
                  </w:rPr>
                  <w:t>新兴际华投资有限公司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71C11307">
                <w:pPr>
                  <w:jc w:val="right"/>
                  <w:rPr>
                    <w:rFonts w:cs="Times New Roman"/>
                  </w:rPr>
                </w:pPr>
                <w:r>
                  <w:rPr>
                    <w:rFonts w:cs="Times New Roman"/>
                  </w:rPr>
                  <w:t>5,000,000.00</w:t>
                </w:r>
              </w:p>
            </w:tc>
            <w:tc>
              <w:tcPr>
                <w:tcW w:w="838" w:type="pct"/>
                <w:tcBorders>
                  <w:top w:val="single" w:color="auto" w:sz="4" w:space="0"/>
                  <w:left w:val="single" w:color="auto" w:sz="4" w:space="0"/>
                  <w:bottom w:val="single" w:color="auto" w:sz="4" w:space="0"/>
                  <w:right w:val="single" w:color="auto" w:sz="4" w:space="0"/>
                </w:tcBorders>
                <w:vAlign w:val="center"/>
              </w:tcPr>
              <w:p w14:paraId="0D88064F">
                <w:pPr>
                  <w:jc w:val="center"/>
                  <w:rPr>
                    <w:rFonts w:cs="Times New Roman"/>
                  </w:rPr>
                </w:pPr>
                <w:r>
                  <w:rPr>
                    <w:rFonts w:cs="Times New Roman"/>
                  </w:rPr>
                  <w:t>2019-01-19</w:t>
                </w:r>
              </w:p>
            </w:tc>
            <w:tc>
              <w:tcPr>
                <w:tcW w:w="888" w:type="pct"/>
                <w:tcBorders>
                  <w:top w:val="single" w:color="auto" w:sz="4" w:space="0"/>
                  <w:left w:val="single" w:color="auto" w:sz="4" w:space="0"/>
                  <w:bottom w:val="single" w:color="auto" w:sz="4" w:space="0"/>
                  <w:right w:val="single" w:color="auto" w:sz="4" w:space="0"/>
                </w:tcBorders>
                <w:vAlign w:val="center"/>
              </w:tcPr>
              <w:p w14:paraId="5DF5F772">
                <w:pPr>
                  <w:jc w:val="center"/>
                  <w:rPr>
                    <w:rFonts w:cs="Times New Roman"/>
                  </w:rPr>
                </w:pPr>
                <w:r>
                  <w:rPr>
                    <w:rFonts w:cs="Times New Roman"/>
                  </w:rPr>
                  <w:t>2026-01-19</w:t>
                </w:r>
              </w:p>
            </w:tc>
          </w:tr>
        </w:sdtContent>
      </w:sdt>
      <w:sdt>
        <w:sdtPr>
          <w:rPr>
            <w:rFonts w:cs="Times New Roman"/>
            <w:color w:val="000000" w:themeColor="text1"/>
            <w14:textFill>
              <w14:solidFill>
                <w14:schemeClr w14:val="tx1"/>
              </w14:solidFill>
            </w14:textFill>
          </w:rPr>
          <w:alias w:val="关联方资金拆入明细"/>
          <w:tag w:val="_TUP_dc7a5d29d458478da43f89617e2db5ec"/>
          <w:id w:val="-830295476"/>
          <w:placeholder>
            <w:docPart w:val="{df921bb6-cb27-449a-a3c8-f8e19e099680}"/>
          </w:placeholder>
        </w:sdtPr>
        <w:sdtEndPr>
          <w:rPr>
            <w:rFonts w:cs="Times New Roman"/>
            <w:color w:val="000000" w:themeColor="text1"/>
            <w14:textFill>
              <w14:solidFill>
                <w14:schemeClr w14:val="tx1"/>
              </w14:solidFill>
            </w14:textFill>
          </w:rPr>
        </w:sdtEndPr>
        <w:sdtContent>
          <w:tr w14:paraId="36C7B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pct"/>
                <w:tcBorders>
                  <w:top w:val="single" w:color="auto" w:sz="4" w:space="0"/>
                  <w:left w:val="single" w:color="auto" w:sz="4" w:space="0"/>
                  <w:bottom w:val="single" w:color="auto" w:sz="4" w:space="0"/>
                  <w:right w:val="single" w:color="auto" w:sz="4" w:space="0"/>
                </w:tcBorders>
                <w:vAlign w:val="center"/>
              </w:tcPr>
              <w:p w14:paraId="0DC2942A">
                <w:pPr>
                  <w:rPr>
                    <w:rFonts w:cs="Times New Roman"/>
                  </w:rPr>
                </w:pPr>
                <w:r>
                  <w:rPr>
                    <w:rFonts w:cs="Times New Roman"/>
                  </w:rPr>
                  <w:t>新兴际华投资有限公司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3899DECB">
                <w:pPr>
                  <w:jc w:val="right"/>
                  <w:rPr>
                    <w:rFonts w:cs="Times New Roman"/>
                  </w:rPr>
                </w:pPr>
                <w:r>
                  <w:rPr>
                    <w:rFonts w:cs="Times New Roman"/>
                  </w:rPr>
                  <w:t>10,000,000.00</w:t>
                </w:r>
              </w:p>
            </w:tc>
            <w:tc>
              <w:tcPr>
                <w:tcW w:w="838" w:type="pct"/>
                <w:tcBorders>
                  <w:top w:val="single" w:color="auto" w:sz="4" w:space="0"/>
                  <w:left w:val="single" w:color="auto" w:sz="4" w:space="0"/>
                  <w:bottom w:val="single" w:color="auto" w:sz="4" w:space="0"/>
                  <w:right w:val="single" w:color="auto" w:sz="4" w:space="0"/>
                </w:tcBorders>
                <w:vAlign w:val="center"/>
              </w:tcPr>
              <w:p w14:paraId="5EF93DC8">
                <w:pPr>
                  <w:jc w:val="center"/>
                  <w:rPr>
                    <w:rFonts w:cs="Times New Roman"/>
                  </w:rPr>
                </w:pPr>
                <w:r>
                  <w:rPr>
                    <w:rFonts w:cs="Times New Roman"/>
                  </w:rPr>
                  <w:t>2019-02-07</w:t>
                </w:r>
              </w:p>
            </w:tc>
            <w:tc>
              <w:tcPr>
                <w:tcW w:w="888" w:type="pct"/>
                <w:tcBorders>
                  <w:top w:val="single" w:color="auto" w:sz="4" w:space="0"/>
                  <w:left w:val="single" w:color="auto" w:sz="4" w:space="0"/>
                  <w:bottom w:val="single" w:color="auto" w:sz="4" w:space="0"/>
                  <w:right w:val="single" w:color="auto" w:sz="4" w:space="0"/>
                </w:tcBorders>
                <w:vAlign w:val="center"/>
              </w:tcPr>
              <w:p w14:paraId="74833A62">
                <w:pPr>
                  <w:jc w:val="center"/>
                  <w:rPr>
                    <w:rFonts w:cs="Times New Roman"/>
                  </w:rPr>
                </w:pPr>
                <w:r>
                  <w:rPr>
                    <w:rFonts w:cs="Times New Roman"/>
                  </w:rPr>
                  <w:t>2026-02-07</w:t>
                </w:r>
              </w:p>
            </w:tc>
          </w:tr>
        </w:sdtContent>
      </w:sdt>
      <w:sdt>
        <w:sdtPr>
          <w:rPr>
            <w:rFonts w:cs="Times New Roman"/>
            <w:color w:val="000000" w:themeColor="text1"/>
            <w14:textFill>
              <w14:solidFill>
                <w14:schemeClr w14:val="tx1"/>
              </w14:solidFill>
            </w14:textFill>
          </w:rPr>
          <w:alias w:val="关联方资金拆入明细"/>
          <w:tag w:val="_TUP_dc7a5d29d458478da43f89617e2db5ec"/>
          <w:id w:val="1815211665"/>
          <w:placeholder>
            <w:docPart w:val="{df921bb6-cb27-449a-a3c8-f8e19e099680}"/>
          </w:placeholder>
        </w:sdtPr>
        <w:sdtEndPr>
          <w:rPr>
            <w:rFonts w:cs="Times New Roman"/>
            <w:color w:val="000000" w:themeColor="text1"/>
            <w14:textFill>
              <w14:solidFill>
                <w14:schemeClr w14:val="tx1"/>
              </w14:solidFill>
            </w14:textFill>
          </w:rPr>
        </w:sdtEndPr>
        <w:sdtContent>
          <w:tr w14:paraId="7E01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pct"/>
                <w:tcBorders>
                  <w:top w:val="single" w:color="auto" w:sz="4" w:space="0"/>
                  <w:left w:val="single" w:color="auto" w:sz="4" w:space="0"/>
                  <w:bottom w:val="single" w:color="auto" w:sz="4" w:space="0"/>
                  <w:right w:val="single" w:color="auto" w:sz="4" w:space="0"/>
                </w:tcBorders>
                <w:vAlign w:val="center"/>
              </w:tcPr>
              <w:p w14:paraId="638CD8B3">
                <w:pPr>
                  <w:rPr>
                    <w:rFonts w:cs="Times New Roman"/>
                  </w:rPr>
                </w:pPr>
                <w:r>
                  <w:rPr>
                    <w:rFonts w:cs="Times New Roman"/>
                  </w:rPr>
                  <w:t>新兴际华投资有限公司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42EDCC07">
                <w:pPr>
                  <w:jc w:val="right"/>
                  <w:rPr>
                    <w:rFonts w:cs="Times New Roman"/>
                  </w:rPr>
                </w:pPr>
                <w:r>
                  <w:rPr>
                    <w:rFonts w:cs="Times New Roman"/>
                  </w:rPr>
                  <w:t>5,000,000.00</w:t>
                </w:r>
              </w:p>
            </w:tc>
            <w:tc>
              <w:tcPr>
                <w:tcW w:w="838" w:type="pct"/>
                <w:tcBorders>
                  <w:top w:val="single" w:color="auto" w:sz="4" w:space="0"/>
                  <w:left w:val="single" w:color="auto" w:sz="4" w:space="0"/>
                  <w:bottom w:val="single" w:color="auto" w:sz="4" w:space="0"/>
                  <w:right w:val="single" w:color="auto" w:sz="4" w:space="0"/>
                </w:tcBorders>
                <w:vAlign w:val="center"/>
              </w:tcPr>
              <w:p w14:paraId="4757A64D">
                <w:pPr>
                  <w:jc w:val="center"/>
                  <w:rPr>
                    <w:rFonts w:cs="Times New Roman"/>
                  </w:rPr>
                </w:pPr>
                <w:r>
                  <w:rPr>
                    <w:rFonts w:cs="Times New Roman"/>
                  </w:rPr>
                  <w:t>2019-02-14</w:t>
                </w:r>
              </w:p>
            </w:tc>
            <w:tc>
              <w:tcPr>
                <w:tcW w:w="888" w:type="pct"/>
                <w:tcBorders>
                  <w:top w:val="single" w:color="auto" w:sz="4" w:space="0"/>
                  <w:left w:val="single" w:color="auto" w:sz="4" w:space="0"/>
                  <w:bottom w:val="single" w:color="auto" w:sz="4" w:space="0"/>
                  <w:right w:val="single" w:color="auto" w:sz="4" w:space="0"/>
                </w:tcBorders>
                <w:vAlign w:val="center"/>
              </w:tcPr>
              <w:p w14:paraId="69AEB7C9">
                <w:pPr>
                  <w:jc w:val="center"/>
                  <w:rPr>
                    <w:rFonts w:cs="Times New Roman"/>
                  </w:rPr>
                </w:pPr>
                <w:r>
                  <w:rPr>
                    <w:rFonts w:cs="Times New Roman"/>
                  </w:rPr>
                  <w:t>2026-02-14</w:t>
                </w:r>
              </w:p>
            </w:tc>
          </w:tr>
        </w:sdtContent>
      </w:sdt>
      <w:sdt>
        <w:sdtPr>
          <w:rPr>
            <w:rFonts w:cs="Times New Roman"/>
            <w:color w:val="000000" w:themeColor="text1"/>
            <w14:textFill>
              <w14:solidFill>
                <w14:schemeClr w14:val="tx1"/>
              </w14:solidFill>
            </w14:textFill>
          </w:rPr>
          <w:alias w:val="关联方资金拆入明细"/>
          <w:tag w:val="_TUP_dc7a5d29d458478da43f89617e2db5ec"/>
          <w:id w:val="-1388650160"/>
          <w:placeholder>
            <w:docPart w:val="{df921bb6-cb27-449a-a3c8-f8e19e099680}"/>
          </w:placeholder>
        </w:sdtPr>
        <w:sdtEndPr>
          <w:rPr>
            <w:rFonts w:cs="Times New Roman"/>
            <w:color w:val="000000" w:themeColor="text1"/>
            <w14:textFill>
              <w14:solidFill>
                <w14:schemeClr w14:val="tx1"/>
              </w14:solidFill>
            </w14:textFill>
          </w:rPr>
        </w:sdtEndPr>
        <w:sdtContent>
          <w:tr w14:paraId="6627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pct"/>
                <w:tcBorders>
                  <w:top w:val="single" w:color="auto" w:sz="4" w:space="0"/>
                  <w:left w:val="single" w:color="auto" w:sz="4" w:space="0"/>
                  <w:bottom w:val="single" w:color="auto" w:sz="4" w:space="0"/>
                  <w:right w:val="single" w:color="auto" w:sz="4" w:space="0"/>
                </w:tcBorders>
                <w:vAlign w:val="center"/>
              </w:tcPr>
              <w:p w14:paraId="5D8C1F76">
                <w:pPr>
                  <w:rPr>
                    <w:rFonts w:cs="Times New Roman"/>
                  </w:rPr>
                </w:pPr>
                <w:r>
                  <w:rPr>
                    <w:rFonts w:cs="Times New Roman"/>
                  </w:rPr>
                  <w:t>新兴际华投资有限公司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22878E72">
                <w:pPr>
                  <w:jc w:val="right"/>
                  <w:rPr>
                    <w:rFonts w:cs="Times New Roman"/>
                  </w:rPr>
                </w:pPr>
                <w:r>
                  <w:rPr>
                    <w:rFonts w:cs="Times New Roman"/>
                  </w:rPr>
                  <w:t>5,000,000.00</w:t>
                </w:r>
              </w:p>
            </w:tc>
            <w:tc>
              <w:tcPr>
                <w:tcW w:w="838" w:type="pct"/>
                <w:tcBorders>
                  <w:top w:val="single" w:color="auto" w:sz="4" w:space="0"/>
                  <w:left w:val="single" w:color="auto" w:sz="4" w:space="0"/>
                  <w:bottom w:val="single" w:color="auto" w:sz="4" w:space="0"/>
                  <w:right w:val="single" w:color="auto" w:sz="4" w:space="0"/>
                </w:tcBorders>
                <w:vAlign w:val="center"/>
              </w:tcPr>
              <w:p w14:paraId="01BB9D58">
                <w:pPr>
                  <w:jc w:val="center"/>
                  <w:rPr>
                    <w:rFonts w:cs="Times New Roman"/>
                  </w:rPr>
                </w:pPr>
                <w:r>
                  <w:rPr>
                    <w:rFonts w:cs="Times New Roman"/>
                  </w:rPr>
                  <w:t>2019-04-15</w:t>
                </w:r>
              </w:p>
            </w:tc>
            <w:tc>
              <w:tcPr>
                <w:tcW w:w="888" w:type="pct"/>
                <w:tcBorders>
                  <w:top w:val="single" w:color="auto" w:sz="4" w:space="0"/>
                  <w:left w:val="single" w:color="auto" w:sz="4" w:space="0"/>
                  <w:bottom w:val="single" w:color="auto" w:sz="4" w:space="0"/>
                  <w:right w:val="single" w:color="auto" w:sz="4" w:space="0"/>
                </w:tcBorders>
                <w:vAlign w:val="center"/>
              </w:tcPr>
              <w:p w14:paraId="5FCFE29E">
                <w:pPr>
                  <w:jc w:val="center"/>
                  <w:rPr>
                    <w:rFonts w:cs="Times New Roman"/>
                  </w:rPr>
                </w:pPr>
                <w:r>
                  <w:rPr>
                    <w:rFonts w:cs="Times New Roman"/>
                  </w:rPr>
                  <w:t>2026-04-15</w:t>
                </w:r>
              </w:p>
            </w:tc>
          </w:tr>
        </w:sdtContent>
      </w:sdt>
      <w:sdt>
        <w:sdtPr>
          <w:rPr>
            <w:rFonts w:cs="Times New Roman"/>
            <w:color w:val="000000" w:themeColor="text1"/>
            <w14:textFill>
              <w14:solidFill>
                <w14:schemeClr w14:val="tx1"/>
              </w14:solidFill>
            </w14:textFill>
          </w:rPr>
          <w:alias w:val="关联方资金拆入明细"/>
          <w:tag w:val="_TUP_dc7a5d29d458478da43f89617e2db5ec"/>
          <w:id w:val="802813161"/>
          <w:placeholder>
            <w:docPart w:val="{df921bb6-cb27-449a-a3c8-f8e19e099680}"/>
          </w:placeholder>
        </w:sdtPr>
        <w:sdtEndPr>
          <w:rPr>
            <w:rFonts w:cs="Times New Roman"/>
            <w:color w:val="000000" w:themeColor="text1"/>
            <w14:textFill>
              <w14:solidFill>
                <w14:schemeClr w14:val="tx1"/>
              </w14:solidFill>
            </w14:textFill>
          </w:rPr>
        </w:sdtEndPr>
        <w:sdtContent>
          <w:tr w14:paraId="0356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pct"/>
                <w:tcBorders>
                  <w:top w:val="single" w:color="auto" w:sz="4" w:space="0"/>
                  <w:left w:val="single" w:color="auto" w:sz="4" w:space="0"/>
                  <w:bottom w:val="single" w:color="auto" w:sz="4" w:space="0"/>
                  <w:right w:val="single" w:color="auto" w:sz="4" w:space="0"/>
                </w:tcBorders>
                <w:vAlign w:val="center"/>
              </w:tcPr>
              <w:p w14:paraId="33970C1B">
                <w:pPr>
                  <w:rPr>
                    <w:rFonts w:cs="Times New Roman"/>
                  </w:rPr>
                </w:pPr>
                <w:r>
                  <w:rPr>
                    <w:rFonts w:cs="Times New Roman"/>
                  </w:rPr>
                  <w:t>新兴际华投资有限公司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57D5C1EB">
                <w:pPr>
                  <w:jc w:val="right"/>
                  <w:rPr>
                    <w:rFonts w:cs="Times New Roman"/>
                  </w:rPr>
                </w:pPr>
                <w:r>
                  <w:rPr>
                    <w:rFonts w:cs="Times New Roman"/>
                  </w:rPr>
                  <w:t>5,000,000.00</w:t>
                </w:r>
              </w:p>
            </w:tc>
            <w:tc>
              <w:tcPr>
                <w:tcW w:w="838" w:type="pct"/>
                <w:tcBorders>
                  <w:top w:val="single" w:color="auto" w:sz="4" w:space="0"/>
                  <w:left w:val="single" w:color="auto" w:sz="4" w:space="0"/>
                  <w:bottom w:val="single" w:color="auto" w:sz="4" w:space="0"/>
                  <w:right w:val="single" w:color="auto" w:sz="4" w:space="0"/>
                </w:tcBorders>
                <w:vAlign w:val="center"/>
              </w:tcPr>
              <w:p w14:paraId="2CD447AB">
                <w:pPr>
                  <w:jc w:val="center"/>
                  <w:rPr>
                    <w:rFonts w:cs="Times New Roman"/>
                  </w:rPr>
                </w:pPr>
                <w:r>
                  <w:rPr>
                    <w:rFonts w:cs="Times New Roman"/>
                  </w:rPr>
                  <w:t>2019-04-30</w:t>
                </w:r>
              </w:p>
            </w:tc>
            <w:tc>
              <w:tcPr>
                <w:tcW w:w="888" w:type="pct"/>
                <w:tcBorders>
                  <w:top w:val="single" w:color="auto" w:sz="4" w:space="0"/>
                  <w:left w:val="single" w:color="auto" w:sz="4" w:space="0"/>
                  <w:bottom w:val="single" w:color="auto" w:sz="4" w:space="0"/>
                  <w:right w:val="single" w:color="auto" w:sz="4" w:space="0"/>
                </w:tcBorders>
                <w:vAlign w:val="center"/>
              </w:tcPr>
              <w:p w14:paraId="08CFE24E">
                <w:pPr>
                  <w:jc w:val="center"/>
                  <w:rPr>
                    <w:rFonts w:cs="Times New Roman"/>
                  </w:rPr>
                </w:pPr>
                <w:r>
                  <w:rPr>
                    <w:rFonts w:cs="Times New Roman"/>
                  </w:rPr>
                  <w:t>2026-04-30</w:t>
                </w:r>
              </w:p>
            </w:tc>
          </w:tr>
        </w:sdtContent>
      </w:sdt>
      <w:sdt>
        <w:sdtPr>
          <w:rPr>
            <w:rFonts w:cs="Times New Roman"/>
            <w:color w:val="000000" w:themeColor="text1"/>
            <w14:textFill>
              <w14:solidFill>
                <w14:schemeClr w14:val="tx1"/>
              </w14:solidFill>
            </w14:textFill>
          </w:rPr>
          <w:alias w:val="关联方资金拆入明细"/>
          <w:tag w:val="_TUP_dc7a5d29d458478da43f89617e2db5ec"/>
          <w:id w:val="178237370"/>
          <w:placeholder>
            <w:docPart w:val="{df921bb6-cb27-449a-a3c8-f8e19e099680}"/>
          </w:placeholder>
        </w:sdtPr>
        <w:sdtEndPr>
          <w:rPr>
            <w:rFonts w:cs="Times New Roman"/>
            <w:color w:val="000000" w:themeColor="text1"/>
            <w14:textFill>
              <w14:solidFill>
                <w14:schemeClr w14:val="tx1"/>
              </w14:solidFill>
            </w14:textFill>
          </w:rPr>
        </w:sdtEndPr>
        <w:sdtContent>
          <w:tr w14:paraId="6A748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pct"/>
                <w:tcBorders>
                  <w:top w:val="single" w:color="auto" w:sz="4" w:space="0"/>
                  <w:left w:val="single" w:color="auto" w:sz="4" w:space="0"/>
                  <w:bottom w:val="single" w:color="auto" w:sz="4" w:space="0"/>
                  <w:right w:val="single" w:color="auto" w:sz="4" w:space="0"/>
                </w:tcBorders>
                <w:vAlign w:val="center"/>
              </w:tcPr>
              <w:p w14:paraId="01B8273A">
                <w:pPr>
                  <w:rPr>
                    <w:rFonts w:cs="Times New Roman"/>
                  </w:rPr>
                </w:pPr>
                <w:r>
                  <w:rPr>
                    <w:rFonts w:cs="Times New Roman"/>
                  </w:rPr>
                  <w:t>新兴际华投资有限公司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1CE2293E">
                <w:pPr>
                  <w:jc w:val="right"/>
                  <w:rPr>
                    <w:rFonts w:cs="Times New Roman"/>
                  </w:rPr>
                </w:pPr>
                <w:r>
                  <w:rPr>
                    <w:rFonts w:cs="Times New Roman"/>
                  </w:rPr>
                  <w:t>3,969,300.00</w:t>
                </w:r>
              </w:p>
            </w:tc>
            <w:tc>
              <w:tcPr>
                <w:tcW w:w="838" w:type="pct"/>
                <w:tcBorders>
                  <w:top w:val="single" w:color="auto" w:sz="4" w:space="0"/>
                  <w:left w:val="single" w:color="auto" w:sz="4" w:space="0"/>
                  <w:bottom w:val="single" w:color="auto" w:sz="4" w:space="0"/>
                  <w:right w:val="single" w:color="auto" w:sz="4" w:space="0"/>
                </w:tcBorders>
                <w:vAlign w:val="center"/>
              </w:tcPr>
              <w:p w14:paraId="13481BCB">
                <w:pPr>
                  <w:jc w:val="center"/>
                  <w:rPr>
                    <w:rFonts w:cs="Times New Roman"/>
                  </w:rPr>
                </w:pPr>
                <w:r>
                  <w:rPr>
                    <w:rFonts w:cs="Times New Roman"/>
                  </w:rPr>
                  <w:t>2018-10-26</w:t>
                </w:r>
              </w:p>
            </w:tc>
            <w:tc>
              <w:tcPr>
                <w:tcW w:w="888" w:type="pct"/>
                <w:tcBorders>
                  <w:top w:val="single" w:color="auto" w:sz="4" w:space="0"/>
                  <w:left w:val="single" w:color="auto" w:sz="4" w:space="0"/>
                  <w:bottom w:val="single" w:color="auto" w:sz="4" w:space="0"/>
                  <w:right w:val="single" w:color="auto" w:sz="4" w:space="0"/>
                </w:tcBorders>
                <w:vAlign w:val="center"/>
              </w:tcPr>
              <w:p w14:paraId="287D6AEC">
                <w:pPr>
                  <w:jc w:val="center"/>
                  <w:rPr>
                    <w:rFonts w:cs="Times New Roman"/>
                  </w:rPr>
                </w:pPr>
                <w:r>
                  <w:rPr>
                    <w:rFonts w:cs="Times New Roman"/>
                  </w:rPr>
                  <w:t>2025-10-26</w:t>
                </w:r>
              </w:p>
            </w:tc>
          </w:tr>
        </w:sdtContent>
      </w:sdt>
      <w:sdt>
        <w:sdtPr>
          <w:rPr>
            <w:rFonts w:cs="Times New Roman"/>
            <w:color w:val="000000" w:themeColor="text1"/>
            <w14:textFill>
              <w14:solidFill>
                <w14:schemeClr w14:val="tx1"/>
              </w14:solidFill>
            </w14:textFill>
          </w:rPr>
          <w:alias w:val="关联方资金拆入明细"/>
          <w:tag w:val="_TUP_dc7a5d29d458478da43f89617e2db5ec"/>
          <w:id w:val="-1015382995"/>
          <w:placeholder>
            <w:docPart w:val="{df921bb6-cb27-449a-a3c8-f8e19e099680}"/>
          </w:placeholder>
        </w:sdtPr>
        <w:sdtEndPr>
          <w:rPr>
            <w:rFonts w:cs="Times New Roman"/>
            <w:color w:val="000000" w:themeColor="text1"/>
            <w14:textFill>
              <w14:solidFill>
                <w14:schemeClr w14:val="tx1"/>
              </w14:solidFill>
            </w14:textFill>
          </w:rPr>
        </w:sdtEndPr>
        <w:sdtContent>
          <w:tr w14:paraId="5F058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pct"/>
                <w:tcBorders>
                  <w:top w:val="single" w:color="auto" w:sz="4" w:space="0"/>
                  <w:left w:val="single" w:color="auto" w:sz="4" w:space="0"/>
                  <w:bottom w:val="single" w:color="auto" w:sz="4" w:space="0"/>
                  <w:right w:val="single" w:color="auto" w:sz="4" w:space="0"/>
                </w:tcBorders>
                <w:vAlign w:val="center"/>
              </w:tcPr>
              <w:p w14:paraId="74F8A206">
                <w:pPr>
                  <w:rPr>
                    <w:rFonts w:cs="Times New Roman"/>
                  </w:rPr>
                </w:pPr>
                <w:r>
                  <w:rPr>
                    <w:rFonts w:cs="Times New Roman"/>
                  </w:rPr>
                  <w:t>咸阳际华投资发展有限公司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21933BE8">
                <w:pPr>
                  <w:jc w:val="right"/>
                  <w:rPr>
                    <w:rFonts w:cs="Times New Roman"/>
                  </w:rPr>
                </w:pPr>
                <w:r>
                  <w:rPr>
                    <w:rFonts w:cs="Times New Roman"/>
                  </w:rPr>
                  <w:t>3,500,045.34</w:t>
                </w:r>
              </w:p>
            </w:tc>
            <w:tc>
              <w:tcPr>
                <w:tcW w:w="838" w:type="pct"/>
                <w:tcBorders>
                  <w:top w:val="single" w:color="auto" w:sz="4" w:space="0"/>
                  <w:left w:val="single" w:color="auto" w:sz="4" w:space="0"/>
                  <w:bottom w:val="single" w:color="auto" w:sz="4" w:space="0"/>
                  <w:right w:val="single" w:color="auto" w:sz="4" w:space="0"/>
                </w:tcBorders>
                <w:vAlign w:val="center"/>
              </w:tcPr>
              <w:p w14:paraId="409C0774">
                <w:pPr>
                  <w:jc w:val="center"/>
                  <w:rPr>
                    <w:rFonts w:cs="Times New Roman"/>
                  </w:rPr>
                </w:pPr>
                <w:r>
                  <w:rPr>
                    <w:rFonts w:cs="Times New Roman"/>
                  </w:rPr>
                  <w:t>2015-04-01</w:t>
                </w:r>
              </w:p>
            </w:tc>
            <w:tc>
              <w:tcPr>
                <w:tcW w:w="888" w:type="pct"/>
                <w:tcBorders>
                  <w:top w:val="single" w:color="auto" w:sz="4" w:space="0"/>
                  <w:left w:val="single" w:color="auto" w:sz="4" w:space="0"/>
                  <w:bottom w:val="single" w:color="auto" w:sz="4" w:space="0"/>
                  <w:right w:val="single" w:color="auto" w:sz="4" w:space="0"/>
                </w:tcBorders>
                <w:vAlign w:val="center"/>
              </w:tcPr>
              <w:p w14:paraId="683D11B9">
                <w:pPr>
                  <w:jc w:val="center"/>
                  <w:rPr>
                    <w:rFonts w:cs="Times New Roman"/>
                  </w:rPr>
                </w:pPr>
                <w:r>
                  <w:rPr>
                    <w:rFonts w:cs="Times New Roman"/>
                  </w:rPr>
                  <w:t>无明确日期</w:t>
                </w:r>
              </w:p>
            </w:tc>
          </w:tr>
        </w:sdtContent>
      </w:sdt>
      <w:sdt>
        <w:sdtPr>
          <w:rPr>
            <w:rFonts w:cs="Times New Roman"/>
            <w:color w:val="000000" w:themeColor="text1"/>
            <w14:textFill>
              <w14:solidFill>
                <w14:schemeClr w14:val="tx1"/>
              </w14:solidFill>
            </w14:textFill>
          </w:rPr>
          <w:alias w:val="关联方资金拆入明细"/>
          <w:tag w:val="_TUP_dc7a5d29d458478da43f89617e2db5ec"/>
          <w:id w:val="620417904"/>
          <w:placeholder>
            <w:docPart w:val="{df921bb6-cb27-449a-a3c8-f8e19e099680}"/>
          </w:placeholder>
        </w:sdtPr>
        <w:sdtEndPr>
          <w:rPr>
            <w:rFonts w:cs="Times New Roman"/>
            <w:color w:val="000000" w:themeColor="text1"/>
            <w14:textFill>
              <w14:solidFill>
                <w14:schemeClr w14:val="tx1"/>
              </w14:solidFill>
            </w14:textFill>
          </w:rPr>
        </w:sdtEndPr>
        <w:sdtContent>
          <w:tr w14:paraId="184E8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pct"/>
                <w:tcBorders>
                  <w:top w:val="single" w:color="auto" w:sz="4" w:space="0"/>
                  <w:left w:val="single" w:color="auto" w:sz="4" w:space="0"/>
                  <w:bottom w:val="single" w:color="auto" w:sz="4" w:space="0"/>
                  <w:right w:val="single" w:color="auto" w:sz="4" w:space="0"/>
                </w:tcBorders>
                <w:vAlign w:val="center"/>
              </w:tcPr>
              <w:p w14:paraId="7D97E138">
                <w:pPr>
                  <w:rPr>
                    <w:rFonts w:cs="Times New Roman"/>
                  </w:rPr>
                </w:pPr>
                <w:r>
                  <w:rPr>
                    <w:rFonts w:cs="Times New Roman"/>
                  </w:rPr>
                  <w:t>新兴际华集团有限公司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2EC60412">
                <w:pPr>
                  <w:jc w:val="right"/>
                  <w:rPr>
                    <w:rFonts w:cs="Times New Roman"/>
                  </w:rPr>
                </w:pPr>
                <w:r>
                  <w:rPr>
                    <w:rFonts w:cs="Times New Roman"/>
                  </w:rPr>
                  <w:t>35,000,000.00</w:t>
                </w:r>
              </w:p>
            </w:tc>
            <w:tc>
              <w:tcPr>
                <w:tcW w:w="838" w:type="pct"/>
                <w:tcBorders>
                  <w:top w:val="single" w:color="auto" w:sz="4" w:space="0"/>
                  <w:left w:val="single" w:color="auto" w:sz="4" w:space="0"/>
                  <w:bottom w:val="single" w:color="auto" w:sz="4" w:space="0"/>
                  <w:right w:val="single" w:color="auto" w:sz="4" w:space="0"/>
                </w:tcBorders>
                <w:vAlign w:val="center"/>
              </w:tcPr>
              <w:p w14:paraId="1351EA69">
                <w:pPr>
                  <w:jc w:val="center"/>
                  <w:rPr>
                    <w:rFonts w:cs="Times New Roman"/>
                  </w:rPr>
                </w:pPr>
                <w:r>
                  <w:rPr>
                    <w:rFonts w:cs="Times New Roman"/>
                  </w:rPr>
                  <w:t>2024-06-28</w:t>
                </w:r>
              </w:p>
            </w:tc>
            <w:tc>
              <w:tcPr>
                <w:tcW w:w="888" w:type="pct"/>
                <w:tcBorders>
                  <w:top w:val="single" w:color="auto" w:sz="4" w:space="0"/>
                  <w:left w:val="single" w:color="auto" w:sz="4" w:space="0"/>
                  <w:bottom w:val="single" w:color="auto" w:sz="4" w:space="0"/>
                  <w:right w:val="single" w:color="auto" w:sz="4" w:space="0"/>
                </w:tcBorders>
                <w:vAlign w:val="center"/>
              </w:tcPr>
              <w:p w14:paraId="46D4823B">
                <w:pPr>
                  <w:jc w:val="center"/>
                  <w:rPr>
                    <w:rFonts w:cs="Times New Roman"/>
                  </w:rPr>
                </w:pPr>
                <w:r>
                  <w:rPr>
                    <w:rFonts w:cs="Times New Roman"/>
                  </w:rPr>
                  <w:t>2025-06-28</w:t>
                </w:r>
              </w:p>
            </w:tc>
          </w:tr>
        </w:sdtContent>
      </w:sdt>
      <w:sdt>
        <w:sdtPr>
          <w:rPr>
            <w:rFonts w:cs="Times New Roman"/>
            <w:color w:val="000000" w:themeColor="text1"/>
            <w14:textFill>
              <w14:solidFill>
                <w14:schemeClr w14:val="tx1"/>
              </w14:solidFill>
            </w14:textFill>
          </w:rPr>
          <w:alias w:val="关联方资金拆入明细"/>
          <w:tag w:val="_TUP_dc7a5d29d458478da43f89617e2db5ec"/>
          <w:id w:val="-638028575"/>
          <w:placeholder>
            <w:docPart w:val="{df921bb6-cb27-449a-a3c8-f8e19e099680}"/>
          </w:placeholder>
        </w:sdtPr>
        <w:sdtEndPr>
          <w:rPr>
            <w:rFonts w:cs="Times New Roman"/>
            <w:color w:val="000000" w:themeColor="text1"/>
            <w14:textFill>
              <w14:solidFill>
                <w14:schemeClr w14:val="tx1"/>
              </w14:solidFill>
            </w14:textFill>
          </w:rPr>
        </w:sdtEndPr>
        <w:sdtContent>
          <w:tr w14:paraId="6F0A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pct"/>
                <w:tcBorders>
                  <w:top w:val="single" w:color="auto" w:sz="4" w:space="0"/>
                  <w:left w:val="single" w:color="auto" w:sz="4" w:space="0"/>
                  <w:bottom w:val="single" w:color="auto" w:sz="4" w:space="0"/>
                  <w:right w:val="single" w:color="auto" w:sz="4" w:space="0"/>
                </w:tcBorders>
                <w:vAlign w:val="center"/>
              </w:tcPr>
              <w:p w14:paraId="0608468F">
                <w:pPr>
                  <w:rPr>
                    <w:rFonts w:cs="Times New Roman"/>
                  </w:rPr>
                </w:pPr>
                <w:r>
                  <w:rPr>
                    <w:rFonts w:cs="Times New Roman"/>
                  </w:rPr>
                  <w:t>新兴际华集团有限公司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0AE6BEF7">
                <w:pPr>
                  <w:jc w:val="right"/>
                  <w:rPr>
                    <w:rFonts w:cs="Times New Roman"/>
                  </w:rPr>
                </w:pPr>
                <w:r>
                  <w:rPr>
                    <w:rFonts w:cs="Times New Roman"/>
                  </w:rPr>
                  <w:t>35,000,000.00</w:t>
                </w:r>
              </w:p>
            </w:tc>
            <w:tc>
              <w:tcPr>
                <w:tcW w:w="838" w:type="pct"/>
                <w:tcBorders>
                  <w:top w:val="single" w:color="auto" w:sz="4" w:space="0"/>
                  <w:left w:val="single" w:color="auto" w:sz="4" w:space="0"/>
                  <w:bottom w:val="single" w:color="auto" w:sz="4" w:space="0"/>
                  <w:right w:val="single" w:color="auto" w:sz="4" w:space="0"/>
                </w:tcBorders>
                <w:vAlign w:val="center"/>
              </w:tcPr>
              <w:p w14:paraId="223A5283">
                <w:pPr>
                  <w:jc w:val="center"/>
                  <w:rPr>
                    <w:rFonts w:cs="Times New Roman"/>
                  </w:rPr>
                </w:pPr>
                <w:r>
                  <w:rPr>
                    <w:rFonts w:cs="Times New Roman"/>
                  </w:rPr>
                  <w:t>2025-06-30</w:t>
                </w:r>
              </w:p>
            </w:tc>
            <w:tc>
              <w:tcPr>
                <w:tcW w:w="888" w:type="pct"/>
                <w:tcBorders>
                  <w:top w:val="single" w:color="auto" w:sz="4" w:space="0"/>
                  <w:left w:val="single" w:color="auto" w:sz="4" w:space="0"/>
                  <w:bottom w:val="single" w:color="auto" w:sz="4" w:space="0"/>
                  <w:right w:val="single" w:color="auto" w:sz="4" w:space="0"/>
                </w:tcBorders>
                <w:vAlign w:val="center"/>
              </w:tcPr>
              <w:p w14:paraId="31A20981">
                <w:pPr>
                  <w:jc w:val="center"/>
                  <w:rPr>
                    <w:rFonts w:cs="Times New Roman"/>
                  </w:rPr>
                </w:pPr>
                <w:r>
                  <w:rPr>
                    <w:rFonts w:cs="Times New Roman"/>
                  </w:rPr>
                  <w:t>2026-06-30</w:t>
                </w:r>
              </w:p>
            </w:tc>
          </w:tr>
        </w:sdtContent>
      </w:sdt>
      <w:sdt>
        <w:sdtPr>
          <w:rPr>
            <w:rFonts w:cs="Times New Roman"/>
            <w:color w:val="000000" w:themeColor="text1"/>
            <w14:textFill>
              <w14:solidFill>
                <w14:schemeClr w14:val="tx1"/>
              </w14:solidFill>
            </w14:textFill>
          </w:rPr>
          <w:alias w:val="关联方资金拆入明细"/>
          <w:tag w:val="_TUP_dc7a5d29d458478da43f89617e2db5ec"/>
          <w:id w:val="791711201"/>
          <w:placeholder>
            <w:docPart w:val="{df921bb6-cb27-449a-a3c8-f8e19e099680}"/>
          </w:placeholder>
        </w:sdtPr>
        <w:sdtEndPr>
          <w:rPr>
            <w:rFonts w:cs="Times New Roman"/>
            <w:color w:val="000000" w:themeColor="text1"/>
            <w14:textFill>
              <w14:solidFill>
                <w14:schemeClr w14:val="tx1"/>
              </w14:solidFill>
            </w14:textFill>
          </w:rPr>
        </w:sdtEndPr>
        <w:sdtContent>
          <w:tr w14:paraId="12EE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pct"/>
                <w:tcBorders>
                  <w:top w:val="single" w:color="auto" w:sz="4" w:space="0"/>
                  <w:left w:val="single" w:color="auto" w:sz="4" w:space="0"/>
                  <w:bottom w:val="single" w:color="auto" w:sz="4" w:space="0"/>
                  <w:right w:val="single" w:color="auto" w:sz="4" w:space="0"/>
                </w:tcBorders>
                <w:vAlign w:val="center"/>
              </w:tcPr>
              <w:p w14:paraId="355DE8D4">
                <w:pPr>
                  <w:rPr>
                    <w:rFonts w:cs="Times New Roman"/>
                  </w:rPr>
                </w:pPr>
                <w:r>
                  <w:rPr>
                    <w:rFonts w:cs="Times New Roman"/>
                  </w:rPr>
                  <w:t>新兴际华集团有限公司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1D39865B">
                <w:pPr>
                  <w:jc w:val="right"/>
                  <w:rPr>
                    <w:rFonts w:cs="Times New Roman"/>
                  </w:rPr>
                </w:pPr>
                <w:r>
                  <w:rPr>
                    <w:rFonts w:cs="Times New Roman"/>
                  </w:rPr>
                  <w:t>180,000,000.00</w:t>
                </w:r>
              </w:p>
            </w:tc>
            <w:tc>
              <w:tcPr>
                <w:tcW w:w="838" w:type="pct"/>
                <w:tcBorders>
                  <w:top w:val="single" w:color="auto" w:sz="4" w:space="0"/>
                  <w:left w:val="single" w:color="auto" w:sz="4" w:space="0"/>
                  <w:bottom w:val="single" w:color="auto" w:sz="4" w:space="0"/>
                  <w:right w:val="single" w:color="auto" w:sz="4" w:space="0"/>
                </w:tcBorders>
                <w:vAlign w:val="center"/>
              </w:tcPr>
              <w:p w14:paraId="649DD6F1">
                <w:pPr>
                  <w:jc w:val="center"/>
                  <w:rPr>
                    <w:rFonts w:cs="Times New Roman"/>
                  </w:rPr>
                </w:pPr>
                <w:r>
                  <w:rPr>
                    <w:rFonts w:cs="Times New Roman"/>
                  </w:rPr>
                  <w:t>2024-08-15</w:t>
                </w:r>
              </w:p>
            </w:tc>
            <w:tc>
              <w:tcPr>
                <w:tcW w:w="888" w:type="pct"/>
                <w:tcBorders>
                  <w:top w:val="single" w:color="auto" w:sz="4" w:space="0"/>
                  <w:left w:val="single" w:color="auto" w:sz="4" w:space="0"/>
                  <w:bottom w:val="single" w:color="auto" w:sz="4" w:space="0"/>
                  <w:right w:val="single" w:color="auto" w:sz="4" w:space="0"/>
                </w:tcBorders>
                <w:vAlign w:val="center"/>
              </w:tcPr>
              <w:p w14:paraId="18F14E15">
                <w:pPr>
                  <w:jc w:val="center"/>
                  <w:rPr>
                    <w:rFonts w:cs="Times New Roman"/>
                  </w:rPr>
                </w:pPr>
                <w:r>
                  <w:rPr>
                    <w:rFonts w:cs="Times New Roman"/>
                  </w:rPr>
                  <w:t>2025-08-15</w:t>
                </w:r>
              </w:p>
            </w:tc>
          </w:tr>
        </w:sdtContent>
      </w:sdt>
      <w:sdt>
        <w:sdtPr>
          <w:rPr>
            <w:rFonts w:cs="Times New Roman"/>
            <w:color w:val="000000" w:themeColor="text1"/>
            <w14:textFill>
              <w14:solidFill>
                <w14:schemeClr w14:val="tx1"/>
              </w14:solidFill>
            </w14:textFill>
          </w:rPr>
          <w:alias w:val="关联方资金拆入明细"/>
          <w:tag w:val="_TUP_dc7a5d29d458478da43f89617e2db5ec"/>
          <w:id w:val="1586501964"/>
          <w:placeholder>
            <w:docPart w:val="{df921bb6-cb27-449a-a3c8-f8e19e099680}"/>
          </w:placeholder>
        </w:sdtPr>
        <w:sdtEndPr>
          <w:rPr>
            <w:rFonts w:cs="Times New Roman"/>
            <w:color w:val="000000" w:themeColor="text1"/>
            <w14:textFill>
              <w14:solidFill>
                <w14:schemeClr w14:val="tx1"/>
              </w14:solidFill>
            </w14:textFill>
          </w:rPr>
        </w:sdtEndPr>
        <w:sdtContent>
          <w:tr w14:paraId="6CD7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pct"/>
                <w:tcBorders>
                  <w:top w:val="single" w:color="auto" w:sz="4" w:space="0"/>
                  <w:left w:val="single" w:color="auto" w:sz="4" w:space="0"/>
                  <w:bottom w:val="single" w:color="auto" w:sz="4" w:space="0"/>
                  <w:right w:val="single" w:color="auto" w:sz="4" w:space="0"/>
                </w:tcBorders>
                <w:vAlign w:val="center"/>
              </w:tcPr>
              <w:p w14:paraId="744FC687">
                <w:pPr>
                  <w:rPr>
                    <w:rFonts w:cs="Times New Roman"/>
                  </w:rPr>
                </w:pPr>
                <w:r>
                  <w:rPr>
                    <w:rFonts w:cs="Times New Roman"/>
                  </w:rPr>
                  <w:t>新兴际华集团财务有限公司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73526FD7">
                <w:pPr>
                  <w:jc w:val="right"/>
                  <w:rPr>
                    <w:rFonts w:cs="Times New Roman"/>
                  </w:rPr>
                </w:pPr>
                <w:r>
                  <w:rPr>
                    <w:rFonts w:cs="Times New Roman"/>
                  </w:rPr>
                  <w:t>200,000,000.00</w:t>
                </w:r>
              </w:p>
            </w:tc>
            <w:tc>
              <w:tcPr>
                <w:tcW w:w="838" w:type="pct"/>
                <w:tcBorders>
                  <w:top w:val="single" w:color="auto" w:sz="4" w:space="0"/>
                  <w:left w:val="single" w:color="auto" w:sz="4" w:space="0"/>
                  <w:bottom w:val="single" w:color="auto" w:sz="4" w:space="0"/>
                  <w:right w:val="single" w:color="auto" w:sz="4" w:space="0"/>
                </w:tcBorders>
                <w:vAlign w:val="center"/>
              </w:tcPr>
              <w:p w14:paraId="53252CCB">
                <w:pPr>
                  <w:jc w:val="center"/>
                  <w:rPr>
                    <w:rFonts w:cs="Times New Roman"/>
                  </w:rPr>
                </w:pPr>
                <w:r>
                  <w:rPr>
                    <w:rFonts w:cs="Times New Roman"/>
                  </w:rPr>
                  <w:t>2023-04-27</w:t>
                </w:r>
              </w:p>
            </w:tc>
            <w:tc>
              <w:tcPr>
                <w:tcW w:w="888" w:type="pct"/>
                <w:tcBorders>
                  <w:top w:val="single" w:color="auto" w:sz="4" w:space="0"/>
                  <w:left w:val="single" w:color="auto" w:sz="4" w:space="0"/>
                  <w:bottom w:val="single" w:color="auto" w:sz="4" w:space="0"/>
                  <w:right w:val="single" w:color="auto" w:sz="4" w:space="0"/>
                </w:tcBorders>
                <w:vAlign w:val="center"/>
              </w:tcPr>
              <w:p w14:paraId="3682F1E5">
                <w:pPr>
                  <w:jc w:val="center"/>
                  <w:rPr>
                    <w:rFonts w:cs="Times New Roman"/>
                  </w:rPr>
                </w:pPr>
                <w:r>
                  <w:rPr>
                    <w:rFonts w:cs="Times New Roman"/>
                  </w:rPr>
                  <w:t>2026-04-27</w:t>
                </w:r>
              </w:p>
            </w:tc>
          </w:tr>
        </w:sdtContent>
      </w:sdt>
      <w:sdt>
        <w:sdtPr>
          <w:rPr>
            <w:rFonts w:cs="Times New Roman"/>
            <w:color w:val="000000" w:themeColor="text1"/>
            <w14:textFill>
              <w14:solidFill>
                <w14:schemeClr w14:val="tx1"/>
              </w14:solidFill>
            </w14:textFill>
          </w:rPr>
          <w:alias w:val="关联方资金拆入明细"/>
          <w:tag w:val="_TUP_dc7a5d29d458478da43f89617e2db5ec"/>
          <w:id w:val="-679657160"/>
          <w:placeholder>
            <w:docPart w:val="{df921bb6-cb27-449a-a3c8-f8e19e099680}"/>
          </w:placeholder>
        </w:sdtPr>
        <w:sdtEndPr>
          <w:rPr>
            <w:rFonts w:cs="Times New Roman"/>
            <w:color w:val="000000" w:themeColor="text1"/>
            <w14:textFill>
              <w14:solidFill>
                <w14:schemeClr w14:val="tx1"/>
              </w14:solidFill>
            </w14:textFill>
          </w:rPr>
        </w:sdtEndPr>
        <w:sdtContent>
          <w:tr w14:paraId="1C4C8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pct"/>
                <w:tcBorders>
                  <w:top w:val="single" w:color="auto" w:sz="4" w:space="0"/>
                  <w:left w:val="single" w:color="auto" w:sz="4" w:space="0"/>
                  <w:bottom w:val="single" w:color="auto" w:sz="4" w:space="0"/>
                  <w:right w:val="single" w:color="auto" w:sz="4" w:space="0"/>
                </w:tcBorders>
                <w:vAlign w:val="center"/>
              </w:tcPr>
              <w:p w14:paraId="477E8F05">
                <w:pPr>
                  <w:rPr>
                    <w:rFonts w:cs="Times New Roman"/>
                  </w:rPr>
                </w:pPr>
                <w:r>
                  <w:rPr>
                    <w:rFonts w:cs="Times New Roman"/>
                  </w:rPr>
                  <w:t>新兴际华集团财务有限公司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13EF4103">
                <w:pPr>
                  <w:jc w:val="right"/>
                  <w:rPr>
                    <w:rFonts w:cs="Times New Roman"/>
                  </w:rPr>
                </w:pPr>
                <w:r>
                  <w:rPr>
                    <w:rFonts w:cs="Times New Roman"/>
                  </w:rPr>
                  <w:t>1,000,000.00</w:t>
                </w:r>
              </w:p>
            </w:tc>
            <w:tc>
              <w:tcPr>
                <w:tcW w:w="838" w:type="pct"/>
                <w:tcBorders>
                  <w:top w:val="single" w:color="auto" w:sz="4" w:space="0"/>
                  <w:left w:val="single" w:color="auto" w:sz="4" w:space="0"/>
                  <w:bottom w:val="single" w:color="auto" w:sz="4" w:space="0"/>
                  <w:right w:val="single" w:color="auto" w:sz="4" w:space="0"/>
                </w:tcBorders>
                <w:vAlign w:val="center"/>
              </w:tcPr>
              <w:p w14:paraId="6CC46934">
                <w:pPr>
                  <w:jc w:val="center"/>
                  <w:rPr>
                    <w:rFonts w:cs="Times New Roman"/>
                  </w:rPr>
                </w:pPr>
                <w:r>
                  <w:rPr>
                    <w:rFonts w:cs="Times New Roman"/>
                  </w:rPr>
                  <w:t>2024-06-26</w:t>
                </w:r>
              </w:p>
            </w:tc>
            <w:tc>
              <w:tcPr>
                <w:tcW w:w="888" w:type="pct"/>
                <w:tcBorders>
                  <w:top w:val="single" w:color="auto" w:sz="4" w:space="0"/>
                  <w:left w:val="single" w:color="auto" w:sz="4" w:space="0"/>
                  <w:bottom w:val="single" w:color="auto" w:sz="4" w:space="0"/>
                  <w:right w:val="single" w:color="auto" w:sz="4" w:space="0"/>
                </w:tcBorders>
                <w:vAlign w:val="center"/>
              </w:tcPr>
              <w:p w14:paraId="057ABC33">
                <w:pPr>
                  <w:jc w:val="center"/>
                  <w:rPr>
                    <w:rFonts w:cs="Times New Roman"/>
                  </w:rPr>
                </w:pPr>
                <w:r>
                  <w:rPr>
                    <w:rFonts w:cs="Times New Roman"/>
                  </w:rPr>
                  <w:t>2025-06-25</w:t>
                </w:r>
              </w:p>
            </w:tc>
          </w:tr>
        </w:sdtContent>
      </w:sdt>
      <w:sdt>
        <w:sdtPr>
          <w:rPr>
            <w:rFonts w:cs="Times New Roman"/>
            <w:color w:val="000000" w:themeColor="text1"/>
            <w14:textFill>
              <w14:solidFill>
                <w14:schemeClr w14:val="tx1"/>
              </w14:solidFill>
            </w14:textFill>
          </w:rPr>
          <w:alias w:val="关联方资金拆入明细"/>
          <w:tag w:val="_TUP_dc7a5d29d458478da43f89617e2db5ec"/>
          <w:id w:val="1373807854"/>
          <w:placeholder>
            <w:docPart w:val="{df921bb6-cb27-449a-a3c8-f8e19e099680}"/>
          </w:placeholder>
        </w:sdtPr>
        <w:sdtEndPr>
          <w:rPr>
            <w:rFonts w:cs="Times New Roman"/>
            <w:color w:val="000000" w:themeColor="text1"/>
            <w14:textFill>
              <w14:solidFill>
                <w14:schemeClr w14:val="tx1"/>
              </w14:solidFill>
            </w14:textFill>
          </w:rPr>
        </w:sdtEndPr>
        <w:sdtContent>
          <w:tr w14:paraId="678E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pct"/>
                <w:tcBorders>
                  <w:top w:val="single" w:color="auto" w:sz="4" w:space="0"/>
                  <w:left w:val="single" w:color="auto" w:sz="4" w:space="0"/>
                  <w:bottom w:val="single" w:color="auto" w:sz="4" w:space="0"/>
                  <w:right w:val="single" w:color="auto" w:sz="4" w:space="0"/>
                </w:tcBorders>
                <w:vAlign w:val="center"/>
              </w:tcPr>
              <w:p w14:paraId="73D825D3">
                <w:pPr>
                  <w:rPr>
                    <w:rFonts w:cs="Times New Roman"/>
                  </w:rPr>
                </w:pPr>
                <w:r>
                  <w:rPr>
                    <w:rFonts w:cs="Times New Roman"/>
                  </w:rPr>
                  <w:t>新兴际华集团财务有限公司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6027E493">
                <w:pPr>
                  <w:jc w:val="right"/>
                  <w:rPr>
                    <w:rFonts w:cs="Times New Roman"/>
                  </w:rPr>
                </w:pPr>
                <w:r>
                  <w:rPr>
                    <w:rFonts w:cs="Times New Roman"/>
                  </w:rPr>
                  <w:t>298,000,000.00</w:t>
                </w:r>
              </w:p>
            </w:tc>
            <w:tc>
              <w:tcPr>
                <w:tcW w:w="838" w:type="pct"/>
                <w:tcBorders>
                  <w:top w:val="single" w:color="auto" w:sz="4" w:space="0"/>
                  <w:left w:val="single" w:color="auto" w:sz="4" w:space="0"/>
                  <w:bottom w:val="single" w:color="auto" w:sz="4" w:space="0"/>
                  <w:right w:val="single" w:color="auto" w:sz="4" w:space="0"/>
                </w:tcBorders>
                <w:vAlign w:val="center"/>
              </w:tcPr>
              <w:p w14:paraId="38B4A001">
                <w:pPr>
                  <w:jc w:val="center"/>
                  <w:rPr>
                    <w:rFonts w:cs="Times New Roman"/>
                  </w:rPr>
                </w:pPr>
                <w:r>
                  <w:rPr>
                    <w:rFonts w:cs="Times New Roman"/>
                  </w:rPr>
                  <w:t>2024-06-26</w:t>
                </w:r>
              </w:p>
            </w:tc>
            <w:tc>
              <w:tcPr>
                <w:tcW w:w="888" w:type="pct"/>
                <w:tcBorders>
                  <w:top w:val="single" w:color="auto" w:sz="4" w:space="0"/>
                  <w:left w:val="single" w:color="auto" w:sz="4" w:space="0"/>
                  <w:bottom w:val="single" w:color="auto" w:sz="4" w:space="0"/>
                  <w:right w:val="single" w:color="auto" w:sz="4" w:space="0"/>
                </w:tcBorders>
                <w:vAlign w:val="center"/>
              </w:tcPr>
              <w:p w14:paraId="73EE132F">
                <w:pPr>
                  <w:jc w:val="center"/>
                  <w:rPr>
                    <w:rFonts w:cs="Times New Roman"/>
                  </w:rPr>
                </w:pPr>
                <w:r>
                  <w:rPr>
                    <w:rFonts w:cs="Times New Roman"/>
                  </w:rPr>
                  <w:t>2027-06-25</w:t>
                </w:r>
              </w:p>
            </w:tc>
          </w:tr>
        </w:sdtContent>
      </w:sdt>
      <w:sdt>
        <w:sdtPr>
          <w:rPr>
            <w:rFonts w:cs="Times New Roman"/>
            <w:color w:val="000000" w:themeColor="text1"/>
            <w14:textFill>
              <w14:solidFill>
                <w14:schemeClr w14:val="tx1"/>
              </w14:solidFill>
            </w14:textFill>
          </w:rPr>
          <w:alias w:val="关联方资金拆入明细"/>
          <w:tag w:val="_TUP_dc7a5d29d458478da43f89617e2db5ec"/>
          <w:id w:val="-1643036311"/>
          <w:placeholder>
            <w:docPart w:val="{df921bb6-cb27-449a-a3c8-f8e19e099680}"/>
          </w:placeholder>
        </w:sdtPr>
        <w:sdtEndPr>
          <w:rPr>
            <w:rFonts w:cs="Times New Roman"/>
            <w:color w:val="000000" w:themeColor="text1"/>
            <w14:textFill>
              <w14:solidFill>
                <w14:schemeClr w14:val="tx1"/>
              </w14:solidFill>
            </w14:textFill>
          </w:rPr>
        </w:sdtEndPr>
        <w:sdtContent>
          <w:tr w14:paraId="59B1B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pct"/>
                <w:tcBorders>
                  <w:top w:val="single" w:color="auto" w:sz="4" w:space="0"/>
                  <w:left w:val="single" w:color="auto" w:sz="4" w:space="0"/>
                  <w:bottom w:val="single" w:color="auto" w:sz="4" w:space="0"/>
                  <w:right w:val="single" w:color="auto" w:sz="4" w:space="0"/>
                </w:tcBorders>
                <w:vAlign w:val="center"/>
              </w:tcPr>
              <w:p w14:paraId="2057BD68">
                <w:pPr>
                  <w:rPr>
                    <w:rFonts w:cs="Times New Roman"/>
                  </w:rPr>
                </w:pPr>
                <w:r>
                  <w:rPr>
                    <w:rFonts w:cs="Times New Roman"/>
                  </w:rPr>
                  <w:t>新兴际华集团财务有限公司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014CB30E">
                <w:pPr>
                  <w:jc w:val="right"/>
                  <w:rPr>
                    <w:rFonts w:cs="Times New Roman"/>
                  </w:rPr>
                </w:pPr>
                <w:r>
                  <w:rPr>
                    <w:rFonts w:cs="Times New Roman"/>
                  </w:rPr>
                  <w:t>20,000,000.00</w:t>
                </w:r>
              </w:p>
            </w:tc>
            <w:tc>
              <w:tcPr>
                <w:tcW w:w="838" w:type="pct"/>
                <w:tcBorders>
                  <w:top w:val="single" w:color="auto" w:sz="4" w:space="0"/>
                  <w:left w:val="single" w:color="auto" w:sz="4" w:space="0"/>
                  <w:bottom w:val="single" w:color="auto" w:sz="4" w:space="0"/>
                  <w:right w:val="single" w:color="auto" w:sz="4" w:space="0"/>
                </w:tcBorders>
                <w:vAlign w:val="center"/>
              </w:tcPr>
              <w:p w14:paraId="2D81FDAF">
                <w:pPr>
                  <w:jc w:val="center"/>
                  <w:rPr>
                    <w:rFonts w:cs="Times New Roman"/>
                  </w:rPr>
                </w:pPr>
                <w:r>
                  <w:rPr>
                    <w:rFonts w:cs="Times New Roman"/>
                  </w:rPr>
                  <w:t>2024-09-18</w:t>
                </w:r>
              </w:p>
            </w:tc>
            <w:tc>
              <w:tcPr>
                <w:tcW w:w="888" w:type="pct"/>
                <w:tcBorders>
                  <w:top w:val="single" w:color="auto" w:sz="4" w:space="0"/>
                  <w:left w:val="single" w:color="auto" w:sz="4" w:space="0"/>
                  <w:bottom w:val="single" w:color="auto" w:sz="4" w:space="0"/>
                  <w:right w:val="single" w:color="auto" w:sz="4" w:space="0"/>
                </w:tcBorders>
                <w:vAlign w:val="center"/>
              </w:tcPr>
              <w:p w14:paraId="125BAF0B">
                <w:pPr>
                  <w:jc w:val="center"/>
                  <w:rPr>
                    <w:rFonts w:cs="Times New Roman"/>
                  </w:rPr>
                </w:pPr>
                <w:r>
                  <w:rPr>
                    <w:rFonts w:cs="Times New Roman"/>
                  </w:rPr>
                  <w:t>2025-01-03</w:t>
                </w:r>
              </w:p>
            </w:tc>
          </w:tr>
        </w:sdtContent>
      </w:sdt>
      <w:sdt>
        <w:sdtPr>
          <w:rPr>
            <w:rFonts w:cs="Times New Roman"/>
            <w:color w:val="000000" w:themeColor="text1"/>
            <w14:textFill>
              <w14:solidFill>
                <w14:schemeClr w14:val="tx1"/>
              </w14:solidFill>
            </w14:textFill>
          </w:rPr>
          <w:alias w:val="关联方资金拆入明细"/>
          <w:tag w:val="_TUP_dc7a5d29d458478da43f89617e2db5ec"/>
          <w:id w:val="-1315943356"/>
          <w:placeholder>
            <w:docPart w:val="{df921bb6-cb27-449a-a3c8-f8e19e099680}"/>
          </w:placeholder>
        </w:sdtPr>
        <w:sdtEndPr>
          <w:rPr>
            <w:rFonts w:cs="Times New Roman"/>
            <w:color w:val="000000" w:themeColor="text1"/>
            <w14:textFill>
              <w14:solidFill>
                <w14:schemeClr w14:val="tx1"/>
              </w14:solidFill>
            </w14:textFill>
          </w:rPr>
        </w:sdtEndPr>
        <w:sdtContent>
          <w:tr w14:paraId="49B8F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pct"/>
                <w:tcBorders>
                  <w:top w:val="single" w:color="auto" w:sz="4" w:space="0"/>
                  <w:left w:val="single" w:color="auto" w:sz="4" w:space="0"/>
                  <w:bottom w:val="single" w:color="auto" w:sz="4" w:space="0"/>
                  <w:right w:val="single" w:color="auto" w:sz="4" w:space="0"/>
                </w:tcBorders>
                <w:vAlign w:val="center"/>
              </w:tcPr>
              <w:p w14:paraId="2FE9E83C">
                <w:pPr>
                  <w:rPr>
                    <w:rFonts w:cs="Times New Roman"/>
                  </w:rPr>
                </w:pPr>
                <w:r>
                  <w:rPr>
                    <w:rFonts w:cs="Times New Roman"/>
                  </w:rPr>
                  <w:t>新兴际华集团财务有限公司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377C254A">
                <w:pPr>
                  <w:jc w:val="right"/>
                  <w:rPr>
                    <w:rFonts w:cs="Times New Roman"/>
                  </w:rPr>
                </w:pPr>
                <w:r>
                  <w:rPr>
                    <w:rFonts w:cs="Times New Roman"/>
                  </w:rPr>
                  <w:t>20,000,000.00</w:t>
                </w:r>
              </w:p>
            </w:tc>
            <w:tc>
              <w:tcPr>
                <w:tcW w:w="838" w:type="pct"/>
                <w:tcBorders>
                  <w:top w:val="single" w:color="auto" w:sz="4" w:space="0"/>
                  <w:left w:val="single" w:color="auto" w:sz="4" w:space="0"/>
                  <w:bottom w:val="single" w:color="auto" w:sz="4" w:space="0"/>
                  <w:right w:val="single" w:color="auto" w:sz="4" w:space="0"/>
                </w:tcBorders>
                <w:vAlign w:val="center"/>
              </w:tcPr>
              <w:p w14:paraId="2E2332B5">
                <w:pPr>
                  <w:jc w:val="center"/>
                  <w:rPr>
                    <w:rFonts w:cs="Times New Roman"/>
                  </w:rPr>
                </w:pPr>
                <w:r>
                  <w:rPr>
                    <w:rFonts w:cs="Times New Roman"/>
                  </w:rPr>
                  <w:t>2024-10-17</w:t>
                </w:r>
              </w:p>
            </w:tc>
            <w:tc>
              <w:tcPr>
                <w:tcW w:w="888" w:type="pct"/>
                <w:tcBorders>
                  <w:top w:val="single" w:color="auto" w:sz="4" w:space="0"/>
                  <w:left w:val="single" w:color="auto" w:sz="4" w:space="0"/>
                  <w:bottom w:val="single" w:color="auto" w:sz="4" w:space="0"/>
                  <w:right w:val="single" w:color="auto" w:sz="4" w:space="0"/>
                </w:tcBorders>
                <w:vAlign w:val="center"/>
              </w:tcPr>
              <w:p w14:paraId="0BEDD2E1">
                <w:pPr>
                  <w:jc w:val="center"/>
                  <w:rPr>
                    <w:rFonts w:cs="Times New Roman"/>
                  </w:rPr>
                </w:pPr>
                <w:r>
                  <w:rPr>
                    <w:rFonts w:cs="Times New Roman"/>
                  </w:rPr>
                  <w:t>2025-01-17</w:t>
                </w:r>
              </w:p>
            </w:tc>
          </w:tr>
        </w:sdtContent>
      </w:sdt>
      <w:sdt>
        <w:sdtPr>
          <w:rPr>
            <w:rFonts w:cs="Times New Roman"/>
            <w:color w:val="000000" w:themeColor="text1"/>
            <w14:textFill>
              <w14:solidFill>
                <w14:schemeClr w14:val="tx1"/>
              </w14:solidFill>
            </w14:textFill>
          </w:rPr>
          <w:alias w:val="关联方资金拆入明细"/>
          <w:tag w:val="_TUP_dc7a5d29d458478da43f89617e2db5ec"/>
          <w:id w:val="677087792"/>
          <w:placeholder>
            <w:docPart w:val="{df921bb6-cb27-449a-a3c8-f8e19e099680}"/>
          </w:placeholder>
        </w:sdtPr>
        <w:sdtEndPr>
          <w:rPr>
            <w:rFonts w:cs="Times New Roman"/>
            <w:color w:val="000000" w:themeColor="text1"/>
            <w14:textFill>
              <w14:solidFill>
                <w14:schemeClr w14:val="tx1"/>
              </w14:solidFill>
            </w14:textFill>
          </w:rPr>
        </w:sdtEndPr>
        <w:sdtContent>
          <w:tr w14:paraId="51AD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pct"/>
                <w:tcBorders>
                  <w:top w:val="single" w:color="auto" w:sz="4" w:space="0"/>
                  <w:left w:val="single" w:color="auto" w:sz="4" w:space="0"/>
                  <w:bottom w:val="single" w:color="auto" w:sz="4" w:space="0"/>
                  <w:right w:val="single" w:color="auto" w:sz="4" w:space="0"/>
                </w:tcBorders>
                <w:vAlign w:val="center"/>
              </w:tcPr>
              <w:p w14:paraId="0102EB49">
                <w:pPr>
                  <w:rPr>
                    <w:rFonts w:cs="Times New Roman"/>
                  </w:rPr>
                </w:pPr>
                <w:r>
                  <w:rPr>
                    <w:rFonts w:cs="Times New Roman"/>
                  </w:rPr>
                  <w:t>新兴际华集团财务有限公司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1ADDE930">
                <w:pPr>
                  <w:jc w:val="right"/>
                  <w:rPr>
                    <w:rFonts w:cs="Times New Roman"/>
                  </w:rPr>
                </w:pPr>
                <w:r>
                  <w:rPr>
                    <w:rFonts w:cs="Times New Roman"/>
                  </w:rPr>
                  <w:t>20,000,000.00</w:t>
                </w:r>
              </w:p>
            </w:tc>
            <w:tc>
              <w:tcPr>
                <w:tcW w:w="838" w:type="pct"/>
                <w:tcBorders>
                  <w:top w:val="single" w:color="auto" w:sz="4" w:space="0"/>
                  <w:left w:val="single" w:color="auto" w:sz="4" w:space="0"/>
                  <w:bottom w:val="single" w:color="auto" w:sz="4" w:space="0"/>
                  <w:right w:val="single" w:color="auto" w:sz="4" w:space="0"/>
                </w:tcBorders>
                <w:vAlign w:val="center"/>
              </w:tcPr>
              <w:p w14:paraId="6953BAD8">
                <w:pPr>
                  <w:jc w:val="center"/>
                  <w:rPr>
                    <w:rFonts w:cs="Times New Roman"/>
                  </w:rPr>
                </w:pPr>
                <w:r>
                  <w:rPr>
                    <w:rFonts w:cs="Times New Roman"/>
                  </w:rPr>
                  <w:t>2024-11-26</w:t>
                </w:r>
              </w:p>
            </w:tc>
            <w:tc>
              <w:tcPr>
                <w:tcW w:w="888" w:type="pct"/>
                <w:tcBorders>
                  <w:top w:val="single" w:color="auto" w:sz="4" w:space="0"/>
                  <w:left w:val="single" w:color="auto" w:sz="4" w:space="0"/>
                  <w:bottom w:val="single" w:color="auto" w:sz="4" w:space="0"/>
                  <w:right w:val="single" w:color="auto" w:sz="4" w:space="0"/>
                </w:tcBorders>
                <w:vAlign w:val="center"/>
              </w:tcPr>
              <w:p w14:paraId="75729A8B">
                <w:pPr>
                  <w:jc w:val="center"/>
                  <w:rPr>
                    <w:rFonts w:cs="Times New Roman"/>
                  </w:rPr>
                </w:pPr>
                <w:r>
                  <w:rPr>
                    <w:rFonts w:cs="Times New Roman"/>
                  </w:rPr>
                  <w:t>2025-05-26</w:t>
                </w:r>
              </w:p>
            </w:tc>
          </w:tr>
        </w:sdtContent>
      </w:sdt>
      <w:sdt>
        <w:sdtPr>
          <w:rPr>
            <w:rFonts w:cs="Times New Roman"/>
            <w:color w:val="000000" w:themeColor="text1"/>
            <w14:textFill>
              <w14:solidFill>
                <w14:schemeClr w14:val="tx1"/>
              </w14:solidFill>
            </w14:textFill>
          </w:rPr>
          <w:alias w:val="关联方资金拆入明细"/>
          <w:tag w:val="_TUP_dc7a5d29d458478da43f89617e2db5ec"/>
          <w:id w:val="-1416704209"/>
          <w:placeholder>
            <w:docPart w:val="{df921bb6-cb27-449a-a3c8-f8e19e099680}"/>
          </w:placeholder>
        </w:sdtPr>
        <w:sdtEndPr>
          <w:rPr>
            <w:rFonts w:cs="Times New Roman"/>
            <w:color w:val="000000" w:themeColor="text1"/>
            <w14:textFill>
              <w14:solidFill>
                <w14:schemeClr w14:val="tx1"/>
              </w14:solidFill>
            </w14:textFill>
          </w:rPr>
        </w:sdtEndPr>
        <w:sdtContent>
          <w:tr w14:paraId="7CBDC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pct"/>
                <w:tcBorders>
                  <w:top w:val="single" w:color="auto" w:sz="4" w:space="0"/>
                  <w:left w:val="single" w:color="auto" w:sz="4" w:space="0"/>
                  <w:bottom w:val="single" w:color="auto" w:sz="4" w:space="0"/>
                  <w:right w:val="single" w:color="auto" w:sz="4" w:space="0"/>
                </w:tcBorders>
                <w:vAlign w:val="center"/>
              </w:tcPr>
              <w:p w14:paraId="41022F26">
                <w:pPr>
                  <w:rPr>
                    <w:rFonts w:cs="Times New Roman"/>
                  </w:rPr>
                </w:pPr>
                <w:r>
                  <w:rPr>
                    <w:rFonts w:cs="Times New Roman"/>
                  </w:rPr>
                  <w:t>新兴际华集团财务有限公司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44CD2301">
                <w:pPr>
                  <w:jc w:val="right"/>
                  <w:rPr>
                    <w:rFonts w:cs="Times New Roman"/>
                  </w:rPr>
                </w:pPr>
                <w:r>
                  <w:rPr>
                    <w:rFonts w:cs="Times New Roman"/>
                  </w:rPr>
                  <w:t>23,000,000.00</w:t>
                </w:r>
              </w:p>
            </w:tc>
            <w:tc>
              <w:tcPr>
                <w:tcW w:w="838" w:type="pct"/>
                <w:tcBorders>
                  <w:top w:val="single" w:color="auto" w:sz="4" w:space="0"/>
                  <w:left w:val="single" w:color="auto" w:sz="4" w:space="0"/>
                  <w:bottom w:val="single" w:color="auto" w:sz="4" w:space="0"/>
                  <w:right w:val="single" w:color="auto" w:sz="4" w:space="0"/>
                </w:tcBorders>
                <w:vAlign w:val="center"/>
              </w:tcPr>
              <w:p w14:paraId="1D9FB1BC">
                <w:pPr>
                  <w:jc w:val="center"/>
                  <w:rPr>
                    <w:rFonts w:cs="Times New Roman"/>
                  </w:rPr>
                </w:pPr>
                <w:r>
                  <w:rPr>
                    <w:rFonts w:cs="Times New Roman"/>
                  </w:rPr>
                  <w:t>2024-12-11</w:t>
                </w:r>
              </w:p>
            </w:tc>
            <w:tc>
              <w:tcPr>
                <w:tcW w:w="888" w:type="pct"/>
                <w:tcBorders>
                  <w:top w:val="single" w:color="auto" w:sz="4" w:space="0"/>
                  <w:left w:val="single" w:color="auto" w:sz="4" w:space="0"/>
                  <w:bottom w:val="single" w:color="auto" w:sz="4" w:space="0"/>
                  <w:right w:val="single" w:color="auto" w:sz="4" w:space="0"/>
                </w:tcBorders>
                <w:vAlign w:val="center"/>
              </w:tcPr>
              <w:p w14:paraId="6BC1A63C">
                <w:pPr>
                  <w:jc w:val="center"/>
                  <w:rPr>
                    <w:rFonts w:cs="Times New Roman"/>
                  </w:rPr>
                </w:pPr>
                <w:r>
                  <w:rPr>
                    <w:rFonts w:cs="Times New Roman"/>
                  </w:rPr>
                  <w:t>2025-06-11</w:t>
                </w:r>
              </w:p>
            </w:tc>
          </w:tr>
        </w:sdtContent>
      </w:sdt>
      <w:sdt>
        <w:sdtPr>
          <w:rPr>
            <w:rFonts w:cs="Times New Roman"/>
            <w:color w:val="000000" w:themeColor="text1"/>
            <w14:textFill>
              <w14:solidFill>
                <w14:schemeClr w14:val="tx1"/>
              </w14:solidFill>
            </w14:textFill>
          </w:rPr>
          <w:alias w:val="关联方资金拆入明细"/>
          <w:tag w:val="_TUP_dc7a5d29d458478da43f89617e2db5ec"/>
          <w:id w:val="-1710946351"/>
          <w:placeholder>
            <w:docPart w:val="{df921bb6-cb27-449a-a3c8-f8e19e099680}"/>
          </w:placeholder>
        </w:sdtPr>
        <w:sdtEndPr>
          <w:rPr>
            <w:rFonts w:cs="Times New Roman"/>
            <w:color w:val="000000" w:themeColor="text1"/>
            <w14:textFill>
              <w14:solidFill>
                <w14:schemeClr w14:val="tx1"/>
              </w14:solidFill>
            </w14:textFill>
          </w:rPr>
        </w:sdtEndPr>
        <w:sdtContent>
          <w:tr w14:paraId="31E40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pct"/>
                <w:tcBorders>
                  <w:top w:val="single" w:color="auto" w:sz="4" w:space="0"/>
                  <w:left w:val="single" w:color="auto" w:sz="4" w:space="0"/>
                  <w:bottom w:val="single" w:color="auto" w:sz="4" w:space="0"/>
                  <w:right w:val="single" w:color="auto" w:sz="4" w:space="0"/>
                </w:tcBorders>
                <w:vAlign w:val="center"/>
              </w:tcPr>
              <w:p w14:paraId="4259F8E5">
                <w:pPr>
                  <w:rPr>
                    <w:rFonts w:cs="Times New Roman"/>
                  </w:rPr>
                </w:pPr>
                <w:r>
                  <w:rPr>
                    <w:rFonts w:cs="Times New Roman"/>
                  </w:rPr>
                  <w:t>新兴际华集团财务有限公司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26E6DC6F">
                <w:pPr>
                  <w:jc w:val="right"/>
                  <w:rPr>
                    <w:rFonts w:cs="Times New Roman"/>
                  </w:rPr>
                </w:pPr>
                <w:r>
                  <w:rPr>
                    <w:rFonts w:cs="Times New Roman"/>
                  </w:rPr>
                  <w:t>7,000,000.00</w:t>
                </w:r>
              </w:p>
            </w:tc>
            <w:tc>
              <w:tcPr>
                <w:tcW w:w="838" w:type="pct"/>
                <w:tcBorders>
                  <w:top w:val="single" w:color="auto" w:sz="4" w:space="0"/>
                  <w:left w:val="single" w:color="auto" w:sz="4" w:space="0"/>
                  <w:bottom w:val="single" w:color="auto" w:sz="4" w:space="0"/>
                  <w:right w:val="single" w:color="auto" w:sz="4" w:space="0"/>
                </w:tcBorders>
                <w:vAlign w:val="center"/>
              </w:tcPr>
              <w:p w14:paraId="09C83D6A">
                <w:pPr>
                  <w:jc w:val="center"/>
                  <w:rPr>
                    <w:rFonts w:cs="Times New Roman"/>
                  </w:rPr>
                </w:pPr>
                <w:r>
                  <w:rPr>
                    <w:rFonts w:cs="Times New Roman"/>
                  </w:rPr>
                  <w:t>2024-12-25</w:t>
                </w:r>
              </w:p>
            </w:tc>
            <w:tc>
              <w:tcPr>
                <w:tcW w:w="888" w:type="pct"/>
                <w:tcBorders>
                  <w:top w:val="single" w:color="auto" w:sz="4" w:space="0"/>
                  <w:left w:val="single" w:color="auto" w:sz="4" w:space="0"/>
                  <w:bottom w:val="single" w:color="auto" w:sz="4" w:space="0"/>
                  <w:right w:val="single" w:color="auto" w:sz="4" w:space="0"/>
                </w:tcBorders>
                <w:vAlign w:val="center"/>
              </w:tcPr>
              <w:p w14:paraId="5C648621">
                <w:pPr>
                  <w:jc w:val="center"/>
                  <w:rPr>
                    <w:rFonts w:cs="Times New Roman"/>
                  </w:rPr>
                </w:pPr>
                <w:r>
                  <w:rPr>
                    <w:rFonts w:cs="Times New Roman"/>
                  </w:rPr>
                  <w:t>2025-07-25</w:t>
                </w:r>
              </w:p>
            </w:tc>
          </w:tr>
        </w:sdtContent>
      </w:sdt>
      <w:sdt>
        <w:sdtPr>
          <w:rPr>
            <w:rFonts w:cs="Times New Roman"/>
            <w:color w:val="000000" w:themeColor="text1"/>
            <w14:textFill>
              <w14:solidFill>
                <w14:schemeClr w14:val="tx1"/>
              </w14:solidFill>
            </w14:textFill>
          </w:rPr>
          <w:alias w:val="关联方资金拆入明细"/>
          <w:tag w:val="_TUP_dc7a5d29d458478da43f89617e2db5ec"/>
          <w:id w:val="864880131"/>
          <w:placeholder>
            <w:docPart w:val="{df921bb6-cb27-449a-a3c8-f8e19e099680}"/>
          </w:placeholder>
        </w:sdtPr>
        <w:sdtEndPr>
          <w:rPr>
            <w:rFonts w:cs="Times New Roman"/>
            <w:color w:val="000000" w:themeColor="text1"/>
            <w14:textFill>
              <w14:solidFill>
                <w14:schemeClr w14:val="tx1"/>
              </w14:solidFill>
            </w14:textFill>
          </w:rPr>
        </w:sdtEndPr>
        <w:sdtContent>
          <w:tr w14:paraId="53BE3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pct"/>
                <w:tcBorders>
                  <w:top w:val="single" w:color="auto" w:sz="4" w:space="0"/>
                  <w:left w:val="single" w:color="auto" w:sz="4" w:space="0"/>
                  <w:bottom w:val="single" w:color="auto" w:sz="4" w:space="0"/>
                  <w:right w:val="single" w:color="auto" w:sz="4" w:space="0"/>
                </w:tcBorders>
                <w:vAlign w:val="center"/>
              </w:tcPr>
              <w:p w14:paraId="569EAB58">
                <w:pPr>
                  <w:rPr>
                    <w:rFonts w:cs="Times New Roman"/>
                  </w:rPr>
                </w:pPr>
                <w:r>
                  <w:rPr>
                    <w:rFonts w:cs="Times New Roman"/>
                  </w:rPr>
                  <w:t>新兴际华集团财务有限公司</w:t>
                </w:r>
              </w:p>
            </w:tc>
            <w:tc>
              <w:tcPr>
                <w:tcW w:w="1135" w:type="pct"/>
                <w:tcBorders>
                  <w:top w:val="single" w:color="auto" w:sz="4" w:space="0"/>
                  <w:left w:val="single" w:color="auto" w:sz="4" w:space="0"/>
                  <w:bottom w:val="single" w:color="auto" w:sz="4" w:space="0"/>
                  <w:right w:val="single" w:color="auto" w:sz="4" w:space="0"/>
                </w:tcBorders>
                <w:vAlign w:val="center"/>
              </w:tcPr>
              <w:p w14:paraId="64F9AA5C">
                <w:pPr>
                  <w:jc w:val="right"/>
                  <w:rPr>
                    <w:rFonts w:cs="Times New Roman"/>
                  </w:rPr>
                </w:pPr>
                <w:r>
                  <w:rPr>
                    <w:rFonts w:cs="Times New Roman"/>
                  </w:rPr>
                  <w:t>40,000,000.00</w:t>
                </w:r>
              </w:p>
            </w:tc>
            <w:tc>
              <w:tcPr>
                <w:tcW w:w="838" w:type="pct"/>
                <w:tcBorders>
                  <w:top w:val="single" w:color="auto" w:sz="4" w:space="0"/>
                  <w:left w:val="single" w:color="auto" w:sz="4" w:space="0"/>
                  <w:bottom w:val="single" w:color="auto" w:sz="4" w:space="0"/>
                  <w:right w:val="single" w:color="auto" w:sz="4" w:space="0"/>
                </w:tcBorders>
                <w:vAlign w:val="center"/>
              </w:tcPr>
              <w:p w14:paraId="1EE3F3AF">
                <w:pPr>
                  <w:jc w:val="center"/>
                  <w:rPr>
                    <w:rFonts w:cs="Times New Roman"/>
                  </w:rPr>
                </w:pPr>
                <w:r>
                  <w:rPr>
                    <w:rFonts w:cs="Times New Roman"/>
                  </w:rPr>
                  <w:t>2024-03-04</w:t>
                </w:r>
              </w:p>
            </w:tc>
            <w:tc>
              <w:tcPr>
                <w:tcW w:w="888" w:type="pct"/>
                <w:tcBorders>
                  <w:top w:val="single" w:color="auto" w:sz="4" w:space="0"/>
                  <w:left w:val="single" w:color="auto" w:sz="4" w:space="0"/>
                  <w:bottom w:val="single" w:color="auto" w:sz="4" w:space="0"/>
                  <w:right w:val="single" w:color="auto" w:sz="4" w:space="0"/>
                </w:tcBorders>
                <w:vAlign w:val="center"/>
              </w:tcPr>
              <w:p w14:paraId="74D32D22">
                <w:pPr>
                  <w:jc w:val="center"/>
                  <w:rPr>
                    <w:rFonts w:cs="Times New Roman"/>
                  </w:rPr>
                </w:pPr>
                <w:r>
                  <w:rPr>
                    <w:rFonts w:cs="Times New Roman"/>
                  </w:rPr>
                  <w:t>2025-03-04</w:t>
                </w:r>
              </w:p>
            </w:tc>
          </w:tr>
        </w:sdtContent>
      </w:sdt>
    </w:tbl>
    <w:p w14:paraId="4DC2E740">
      <w:pPr>
        <w:rPr>
          <w:rFonts w:cstheme="minorBidi"/>
          <w:color w:val="000000" w:themeColor="text1"/>
          <w14:textFill>
            <w14:solidFill>
              <w14:schemeClr w14:val="tx1"/>
            </w14:solidFill>
          </w14:textFill>
        </w:rPr>
      </w:pPr>
    </w:p>
    <w:bookmarkEnd w:id="413"/>
    <w:p w14:paraId="37D15C65">
      <w:pPr>
        <w:pStyle w:val="58"/>
        <w:numPr>
          <w:ilvl w:val="0"/>
          <w:numId w:val="105"/>
        </w:numPr>
        <w:tabs>
          <w:tab w:val="left" w:pos="616"/>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关联方资产转让、债务重组情况</w:t>
      </w:r>
    </w:p>
    <w:sdt>
      <w:sdtPr>
        <w:rPr>
          <w:color w:val="000000" w:themeColor="text1"/>
          <w14:textFill>
            <w14:solidFill>
              <w14:schemeClr w14:val="tx1"/>
            </w14:solidFill>
          </w14:textFill>
        </w:rPr>
        <w:alias w:val="是否适用：关联方资产转让、债务重组情况[双击切换]"/>
        <w:tag w:val="_GBC_c590c66abdbe454e89c4c55269fb6adf"/>
        <w:id w:val="147463110"/>
        <w:placeholder>
          <w:docPart w:val="GBC22222222222222222222222222222"/>
        </w:placeholder>
      </w:sdtPr>
      <w:sdtEndPr>
        <w:rPr>
          <w:color w:val="000000" w:themeColor="text1"/>
          <w14:textFill>
            <w14:solidFill>
              <w14:schemeClr w14:val="tx1"/>
            </w14:solidFill>
          </w14:textFill>
        </w:rPr>
      </w:sdtEndPr>
      <w:sdtContent>
        <w:p w14:paraId="7D5FABC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668E82A">
      <w:pPr>
        <w:rPr>
          <w:color w:val="000000" w:themeColor="text1"/>
          <w14:textFill>
            <w14:solidFill>
              <w14:schemeClr w14:val="tx1"/>
            </w14:solidFill>
          </w14:textFill>
        </w:rPr>
      </w:pPr>
    </w:p>
    <w:p w14:paraId="06F3AAF0">
      <w:pPr>
        <w:rPr>
          <w:color w:val="000000" w:themeColor="text1"/>
          <w14:textFill>
            <w14:solidFill>
              <w14:schemeClr w14:val="tx1"/>
            </w14:solidFill>
          </w14:textFill>
        </w:rPr>
      </w:pPr>
    </w:p>
    <w:p w14:paraId="0D60DA8C">
      <w:pPr>
        <w:pStyle w:val="58"/>
        <w:numPr>
          <w:ilvl w:val="0"/>
          <w:numId w:val="105"/>
        </w:numPr>
        <w:tabs>
          <w:tab w:val="left" w:pos="616"/>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关键管理人员报酬</w:t>
      </w:r>
    </w:p>
    <w:sdt>
      <w:sdtPr>
        <w:rPr>
          <w:color w:val="000000" w:themeColor="text1"/>
          <w14:textFill>
            <w14:solidFill>
              <w14:schemeClr w14:val="tx1"/>
            </w14:solidFill>
          </w14:textFill>
        </w:rPr>
        <w:alias w:val="是否适用：关键管理人员报酬[双击切换]"/>
        <w:tag w:val="_GBC_48379e9c7f5743bb916ac1cb044f4057"/>
        <w:id w:val="147453137"/>
        <w:placeholder>
          <w:docPart w:val="GBC22222222222222222222222222222"/>
        </w:placeholder>
      </w:sdtPr>
      <w:sdtEndPr>
        <w:rPr>
          <w:color w:val="000000" w:themeColor="text1"/>
          <w14:textFill>
            <w14:solidFill>
              <w14:schemeClr w14:val="tx1"/>
            </w14:solidFill>
          </w14:textFill>
        </w:rPr>
      </w:sdtEndPr>
      <w:sdtContent>
        <w:p w14:paraId="6F5FDB7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570EC2B">
      <w:pPr>
        <w:jc w:val="right"/>
        <w:rPr>
          <w:rFonts w:cs="Cambria"/>
          <w:color w:val="000000" w:themeColor="text1"/>
          <w14:textFill>
            <w14:solidFill>
              <w14:schemeClr w14:val="tx1"/>
            </w14:solidFill>
          </w14:textFill>
        </w:rPr>
      </w:pPr>
    </w:p>
    <w:p w14:paraId="6B5B11FC">
      <w:pPr>
        <w:jc w:val="right"/>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单位：</w:t>
      </w:r>
      <w:sdt>
        <w:sdtPr>
          <w:rPr>
            <w:rFonts w:hint="eastAsia" w:cs="Cambria"/>
            <w:color w:val="000000" w:themeColor="text1"/>
            <w14:textFill>
              <w14:solidFill>
                <w14:schemeClr w14:val="tx1"/>
              </w14:solidFill>
            </w14:textFill>
          </w:rPr>
          <w:alias w:val="单位：财务附注：关键管理人员报酬"/>
          <w:tag w:val="_GBC_ce83ed5df8424f9a845da83f15361f10"/>
          <w:id w:val="1474829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s="Cambria"/>
            <w:color w:val="000000" w:themeColor="text1"/>
            <w14:textFill>
              <w14:solidFill>
                <w14:schemeClr w14:val="tx1"/>
              </w14:solidFill>
            </w14:textFill>
          </w:rPr>
        </w:sdtEndPr>
        <w:sdtContent>
          <w:r>
            <w:rPr>
              <w:rFonts w:hint="eastAsia" w:cs="Cambria"/>
              <w:color w:val="000000" w:themeColor="text1"/>
              <w14:textFill>
                <w14:solidFill>
                  <w14:schemeClr w14:val="tx1"/>
                </w14:solidFill>
              </w14:textFill>
            </w:rPr>
            <w:t>万元</w:t>
          </w:r>
        </w:sdtContent>
      </w:sdt>
      <w:r>
        <w:rPr>
          <w:rFonts w:hint="eastAsia" w:cs="Cambria"/>
          <w:color w:val="000000" w:themeColor="text1"/>
          <w14:textFill>
            <w14:solidFill>
              <w14:schemeClr w14:val="tx1"/>
            </w14:solidFill>
          </w14:textFill>
        </w:rPr>
        <w:t xml:space="preserve">  币种：</w:t>
      </w:r>
      <w:sdt>
        <w:sdtPr>
          <w:rPr>
            <w:rFonts w:hint="eastAsia" w:cs="Cambria"/>
            <w:color w:val="000000" w:themeColor="text1"/>
            <w14:textFill>
              <w14:solidFill>
                <w14:schemeClr w14:val="tx1"/>
              </w14:solidFill>
            </w14:textFill>
          </w:rPr>
          <w:alias w:val="币种：财务附注：关键管理人员报酬"/>
          <w:tag w:val="_GBC_f493c9ef199846639115d5bc3032a26e"/>
          <w:id w:val="1474677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s="Cambria"/>
            <w:color w:val="000000" w:themeColor="text1"/>
            <w14:textFill>
              <w14:solidFill>
                <w14:schemeClr w14:val="tx1"/>
              </w14:solidFill>
            </w14:textFill>
          </w:rPr>
        </w:sdtEndPr>
        <w:sdtContent>
          <w:r>
            <w:rPr>
              <w:rFonts w:hint="eastAsia" w:cs="Cambr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4"/>
        <w:gridCol w:w="3274"/>
        <w:gridCol w:w="2501"/>
      </w:tblGrid>
      <w:tr w14:paraId="5BC4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67f843efe3664c9fbe7a215b63622ea0"/>
            <w:id w:val="147473116"/>
          </w:sdtPr>
          <w:sdtEndPr>
            <w:rPr>
              <w:rFonts w:cs="Times New Roman"/>
            </w:rPr>
          </w:sdtEndPr>
          <w:sdtContent>
            <w:tc>
              <w:tcPr>
                <w:tcW w:w="1809" w:type="pct"/>
                <w:tcBorders>
                  <w:top w:val="single" w:color="auto" w:sz="4" w:space="0"/>
                  <w:left w:val="single" w:color="auto" w:sz="4" w:space="0"/>
                  <w:bottom w:val="single" w:color="auto" w:sz="4" w:space="0"/>
                  <w:right w:val="single" w:color="auto" w:sz="4" w:space="0"/>
                </w:tcBorders>
                <w:vAlign w:val="center"/>
              </w:tcPr>
              <w:p w14:paraId="23A2CF2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30a169af324e457e93d304c688a55945"/>
            <w:id w:val="147453472"/>
          </w:sdtPr>
          <w:sdtEndPr>
            <w:rPr>
              <w:rFonts w:cs="Times New Roman"/>
            </w:rPr>
          </w:sdtEndPr>
          <w:sdtContent>
            <w:tc>
              <w:tcPr>
                <w:tcW w:w="1809" w:type="pct"/>
                <w:tcBorders>
                  <w:top w:val="single" w:color="auto" w:sz="4" w:space="0"/>
                  <w:left w:val="single" w:color="auto" w:sz="4" w:space="0"/>
                  <w:bottom w:val="single" w:color="auto" w:sz="4" w:space="0"/>
                  <w:right w:val="single" w:color="auto" w:sz="4" w:space="0"/>
                </w:tcBorders>
                <w:vAlign w:val="center"/>
              </w:tcPr>
              <w:p w14:paraId="78400170">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tc>
          </w:sdtContent>
        </w:sdt>
        <w:sdt>
          <w:sdtPr>
            <w:rPr>
              <w:rFonts w:cs="Times New Roman"/>
            </w:rPr>
            <w:tag w:val="_PLD_bf5a91780f544d6eade38e70db331a30"/>
            <w:id w:val="147469946"/>
          </w:sdtPr>
          <w:sdtEndPr>
            <w:rPr>
              <w:rFonts w:cs="Times New Roman"/>
            </w:rPr>
          </w:sdtEndPr>
          <w:sdtContent>
            <w:tc>
              <w:tcPr>
                <w:tcW w:w="1382" w:type="pct"/>
                <w:tcBorders>
                  <w:top w:val="single" w:color="auto" w:sz="4" w:space="0"/>
                  <w:left w:val="single" w:color="auto" w:sz="4" w:space="0"/>
                  <w:bottom w:val="single" w:color="auto" w:sz="4" w:space="0"/>
                  <w:right w:val="single" w:color="auto" w:sz="4" w:space="0"/>
                </w:tcBorders>
                <w:vAlign w:val="center"/>
              </w:tcPr>
              <w:p w14:paraId="0086236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tc>
          </w:sdtContent>
        </w:sdt>
      </w:tr>
      <w:tr w14:paraId="489F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pct"/>
            <w:tcBorders>
              <w:top w:val="single" w:color="auto" w:sz="4" w:space="0"/>
              <w:left w:val="single" w:color="auto" w:sz="4" w:space="0"/>
              <w:bottom w:val="single" w:color="auto" w:sz="4" w:space="0"/>
              <w:right w:val="single" w:color="auto" w:sz="4" w:space="0"/>
            </w:tcBorders>
            <w:vAlign w:val="center"/>
          </w:tcPr>
          <w:p w14:paraId="7C2F9BE5">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关键管理人员报酬</w:t>
            </w:r>
          </w:p>
        </w:tc>
        <w:tc>
          <w:tcPr>
            <w:tcW w:w="1809" w:type="pct"/>
            <w:tcBorders>
              <w:top w:val="single" w:color="auto" w:sz="4" w:space="0"/>
              <w:left w:val="single" w:color="auto" w:sz="4" w:space="0"/>
              <w:bottom w:val="single" w:color="auto" w:sz="4" w:space="0"/>
              <w:right w:val="single" w:color="auto" w:sz="4" w:space="0"/>
            </w:tcBorders>
            <w:vAlign w:val="center"/>
          </w:tcPr>
          <w:p w14:paraId="28DC08D0">
            <w:pPr>
              <w:jc w:val="right"/>
              <w:rPr>
                <w:rFonts w:cs="Times New Roman"/>
              </w:rPr>
            </w:pPr>
            <w:r>
              <w:rPr>
                <w:rFonts w:cs="Times New Roman"/>
              </w:rPr>
              <w:t>177.63</w:t>
            </w:r>
          </w:p>
        </w:tc>
        <w:tc>
          <w:tcPr>
            <w:tcW w:w="1382" w:type="pct"/>
            <w:tcBorders>
              <w:top w:val="single" w:color="auto" w:sz="4" w:space="0"/>
              <w:left w:val="single" w:color="auto" w:sz="4" w:space="0"/>
              <w:bottom w:val="single" w:color="auto" w:sz="4" w:space="0"/>
              <w:right w:val="single" w:color="auto" w:sz="4" w:space="0"/>
            </w:tcBorders>
            <w:vAlign w:val="center"/>
          </w:tcPr>
          <w:p w14:paraId="1935385F">
            <w:pPr>
              <w:jc w:val="right"/>
              <w:rPr>
                <w:rFonts w:cs="Times New Roman"/>
              </w:rPr>
            </w:pPr>
            <w:r>
              <w:rPr>
                <w:rFonts w:cs="Times New Roman"/>
              </w:rPr>
              <w:t>177.71</w:t>
            </w:r>
          </w:p>
        </w:tc>
      </w:tr>
    </w:tbl>
    <w:p w14:paraId="49B82C93">
      <w:pPr>
        <w:rPr>
          <w:color w:val="000000" w:themeColor="text1"/>
          <w14:textFill>
            <w14:solidFill>
              <w14:schemeClr w14:val="tx1"/>
            </w14:solidFill>
          </w14:textFill>
        </w:rPr>
      </w:pPr>
    </w:p>
    <w:p w14:paraId="3B129F89">
      <w:pPr>
        <w:pStyle w:val="58"/>
        <w:numPr>
          <w:ilvl w:val="0"/>
          <w:numId w:val="105"/>
        </w:numPr>
        <w:tabs>
          <w:tab w:val="left" w:pos="616"/>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其他关联交易</w:t>
      </w:r>
    </w:p>
    <w:sdt>
      <w:sdtPr>
        <w:rPr>
          <w:color w:val="000000" w:themeColor="text1"/>
          <w14:textFill>
            <w14:solidFill>
              <w14:schemeClr w14:val="tx1"/>
            </w14:solidFill>
          </w14:textFill>
        </w:rPr>
        <w:alias w:val="是否适用：其他关联交易[双击切换]"/>
        <w:tag w:val="_GBC_9768a300838a499089a7b814ff3d817d"/>
        <w:id w:val="147451023"/>
        <w:placeholder>
          <w:docPart w:val="GBC22222222222222222222222222222"/>
        </w:placeholder>
      </w:sdtPr>
      <w:sdtEndPr>
        <w:rPr>
          <w:color w:val="000000" w:themeColor="text1"/>
          <w14:textFill>
            <w14:solidFill>
              <w14:schemeClr w14:val="tx1"/>
            </w14:solidFill>
          </w14:textFill>
        </w:rPr>
      </w:sdtEndPr>
      <w:sdtContent>
        <w:p w14:paraId="67BDF2F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01B4965">
      <w:pPr>
        <w:rPr>
          <w:color w:val="000000" w:themeColor="text1"/>
          <w14:textFill>
            <w14:solidFill>
              <w14:schemeClr w14:val="tx1"/>
            </w14:solidFill>
          </w14:textFill>
        </w:rPr>
      </w:pPr>
    </w:p>
    <w:p w14:paraId="05E59C88">
      <w:pPr>
        <w:pStyle w:val="57"/>
        <w:numPr>
          <w:ilvl w:val="0"/>
          <w:numId w:val="104"/>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应收、应付关联方等未结算项目情况</w:t>
      </w:r>
    </w:p>
    <w:p w14:paraId="0B01D178">
      <w:pPr>
        <w:pStyle w:val="58"/>
        <w:numPr>
          <w:ilvl w:val="0"/>
          <w:numId w:val="106"/>
        </w:numPr>
        <w:tabs>
          <w:tab w:val="left" w:pos="616"/>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应收项目</w:t>
      </w:r>
    </w:p>
    <w:sdt>
      <w:sdtPr>
        <w:rPr>
          <w:color w:val="000000" w:themeColor="text1"/>
          <w14:textFill>
            <w14:solidFill>
              <w14:schemeClr w14:val="tx1"/>
            </w14:solidFill>
          </w14:textFill>
        </w:rPr>
        <w:alias w:val="是否适用：应收项目[双击切换]"/>
        <w:tag w:val="_GBC_e5475e28b21641f6895ac4770b2631b5"/>
        <w:id w:val="-167800006"/>
      </w:sdtPr>
      <w:sdtEndPr>
        <w:rPr>
          <w:color w:val="000000" w:themeColor="text1"/>
          <w14:textFill>
            <w14:solidFill>
              <w14:schemeClr w14:val="tx1"/>
            </w14:solidFill>
          </w14:textFill>
        </w:rPr>
      </w:sdtEndPr>
      <w:sdtContent>
        <w:p w14:paraId="0134D85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4B9BB34D">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上市公司应收关联方款项"/>
          <w:tag w:val="_GBC_04d0c208b4494e01aba7984c41905093"/>
          <w:id w:val="1852070764"/>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上市公司应收关联方款项"/>
          <w:tag w:val="_GBC_b106fdd467084a62837eebe1d06bbbee"/>
          <w:id w:val="-174972587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1424"/>
        <w:gridCol w:w="2150"/>
        <w:gridCol w:w="1384"/>
        <w:gridCol w:w="1288"/>
        <w:gridCol w:w="1439"/>
        <w:gridCol w:w="1208"/>
      </w:tblGrid>
      <w:tr w14:paraId="1666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blHeader/>
        </w:trPr>
        <w:sdt>
          <w:sdtPr>
            <w:rPr>
              <w:rFonts w:cs="Times New Roman"/>
            </w:rPr>
            <w:tag w:val="_PLD_75750bc8ac464afa98573c85adea097c"/>
            <w:id w:val="-1474134440"/>
          </w:sdtPr>
          <w:sdtEndPr>
            <w:rPr>
              <w:rFonts w:cs="Times New Roman"/>
            </w:rPr>
          </w:sdtEndPr>
          <w:sdtContent>
            <w:tc>
              <w:tcPr>
                <w:tcW w:w="800" w:type="pct"/>
                <w:vMerge w:val="restart"/>
                <w:tcBorders>
                  <w:top w:val="single" w:color="auto" w:sz="4" w:space="0"/>
                  <w:left w:val="single" w:color="auto" w:sz="4" w:space="0"/>
                  <w:right w:val="single" w:color="auto" w:sz="4" w:space="0"/>
                </w:tcBorders>
                <w:vAlign w:val="center"/>
              </w:tcPr>
              <w:p w14:paraId="01FB4DA2">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项目名称</w:t>
                </w:r>
              </w:p>
            </w:tc>
          </w:sdtContent>
        </w:sdt>
        <w:sdt>
          <w:sdtPr>
            <w:rPr>
              <w:rFonts w:cs="Times New Roman"/>
            </w:rPr>
            <w:tag w:val="_PLD_5006be842c534839b3dabcf833329dd5"/>
            <w:id w:val="1429697088"/>
          </w:sdtPr>
          <w:sdtEndPr>
            <w:rPr>
              <w:rFonts w:cs="Times New Roman"/>
            </w:rPr>
          </w:sdtEndPr>
          <w:sdtContent>
            <w:tc>
              <w:tcPr>
                <w:tcW w:w="1208" w:type="pct"/>
                <w:vMerge w:val="restart"/>
                <w:tcBorders>
                  <w:top w:val="single" w:color="auto" w:sz="4" w:space="0"/>
                  <w:left w:val="single" w:color="auto" w:sz="4" w:space="0"/>
                  <w:right w:val="single" w:color="auto" w:sz="4" w:space="0"/>
                </w:tcBorders>
                <w:vAlign w:val="center"/>
              </w:tcPr>
              <w:p w14:paraId="1A9E118F">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关联方</w:t>
                </w:r>
              </w:p>
            </w:tc>
          </w:sdtContent>
        </w:sdt>
        <w:sdt>
          <w:sdtPr>
            <w:rPr>
              <w:rFonts w:cs="Times New Roman"/>
            </w:rPr>
            <w:tag w:val="_PLD_f8f3c28b2f064090a27f319875eb1b52"/>
            <w:id w:val="1253476434"/>
          </w:sdtPr>
          <w:sdtEndPr>
            <w:rPr>
              <w:rFonts w:cs="Times New Roman"/>
            </w:rPr>
          </w:sdtEndPr>
          <w:sdtContent>
            <w:tc>
              <w:tcPr>
                <w:tcW w:w="1502" w:type="pct"/>
                <w:gridSpan w:val="2"/>
                <w:tcBorders>
                  <w:top w:val="single" w:color="auto" w:sz="4" w:space="0"/>
                  <w:left w:val="single" w:color="auto" w:sz="4" w:space="0"/>
                  <w:bottom w:val="single" w:color="auto" w:sz="4" w:space="0"/>
                  <w:right w:val="single" w:color="auto" w:sz="4" w:space="0"/>
                </w:tcBorders>
                <w:vAlign w:val="center"/>
              </w:tcPr>
              <w:p w14:paraId="2E3088E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fdab8cbff0b74f19a916d61075f629a0"/>
            <w:id w:val="431324257"/>
          </w:sdtPr>
          <w:sdtEndPr>
            <w:rPr>
              <w:rFonts w:cs="Times New Roman"/>
            </w:rPr>
          </w:sdtEndPr>
          <w:sdtContent>
            <w:tc>
              <w:tcPr>
                <w:tcW w:w="1488" w:type="pct"/>
                <w:gridSpan w:val="2"/>
                <w:tcBorders>
                  <w:top w:val="single" w:color="auto" w:sz="4" w:space="0"/>
                  <w:left w:val="single" w:color="auto" w:sz="4" w:space="0"/>
                  <w:bottom w:val="single" w:color="auto" w:sz="4" w:space="0"/>
                  <w:right w:val="single" w:color="auto" w:sz="4" w:space="0"/>
                </w:tcBorders>
                <w:vAlign w:val="center"/>
              </w:tcPr>
              <w:p w14:paraId="6530F2F8">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tr>
      <w:tr w14:paraId="40DC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blHeader/>
        </w:trPr>
        <w:tc>
          <w:tcPr>
            <w:tcW w:w="800" w:type="pct"/>
            <w:vMerge w:val="continue"/>
            <w:tcBorders>
              <w:left w:val="single" w:color="auto" w:sz="4" w:space="0"/>
              <w:bottom w:val="single" w:color="auto" w:sz="4" w:space="0"/>
              <w:right w:val="single" w:color="auto" w:sz="4" w:space="0"/>
            </w:tcBorders>
            <w:vAlign w:val="center"/>
          </w:tcPr>
          <w:p w14:paraId="1D6017C1">
            <w:pPr>
              <w:jc w:val="center"/>
              <w:rPr>
                <w:rFonts w:cs="Times New Roman"/>
                <w:color w:val="000000" w:themeColor="text1"/>
                <w14:textFill>
                  <w14:solidFill>
                    <w14:schemeClr w14:val="tx1"/>
                  </w14:solidFill>
                </w14:textFill>
              </w:rPr>
            </w:pPr>
          </w:p>
        </w:tc>
        <w:tc>
          <w:tcPr>
            <w:tcW w:w="1208" w:type="pct"/>
            <w:vMerge w:val="continue"/>
            <w:tcBorders>
              <w:left w:val="single" w:color="auto" w:sz="4" w:space="0"/>
              <w:bottom w:val="single" w:color="auto" w:sz="4" w:space="0"/>
              <w:right w:val="single" w:color="auto" w:sz="4" w:space="0"/>
            </w:tcBorders>
            <w:vAlign w:val="center"/>
          </w:tcPr>
          <w:p w14:paraId="0EC3FB1A">
            <w:pPr>
              <w:rPr>
                <w:rFonts w:cs="Times New Roman"/>
                <w:color w:val="000000" w:themeColor="text1"/>
                <w14:textFill>
                  <w14:solidFill>
                    <w14:schemeClr w14:val="tx1"/>
                  </w14:solidFill>
                </w14:textFill>
              </w:rPr>
            </w:pPr>
          </w:p>
        </w:tc>
        <w:sdt>
          <w:sdtPr>
            <w:rPr>
              <w:rFonts w:cs="Times New Roman"/>
            </w:rPr>
            <w:tag w:val="_PLD_5c085d18049644c9860a00b248b7c0ba"/>
            <w:id w:val="-34729510"/>
          </w:sdtPr>
          <w:sdtEndPr>
            <w:rPr>
              <w:rFonts w:cs="Times New Roman"/>
            </w:rPr>
          </w:sdtEndPr>
          <w:sdtContent>
            <w:tc>
              <w:tcPr>
                <w:tcW w:w="778" w:type="pct"/>
                <w:tcBorders>
                  <w:top w:val="single" w:color="auto" w:sz="4" w:space="0"/>
                  <w:left w:val="single" w:color="auto" w:sz="4" w:space="0"/>
                  <w:bottom w:val="single" w:color="auto" w:sz="4" w:space="0"/>
                  <w:right w:val="single" w:color="auto" w:sz="4" w:space="0"/>
                </w:tcBorders>
                <w:vAlign w:val="center"/>
              </w:tcPr>
              <w:p w14:paraId="7E97AF6C">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账面余额</w:t>
                </w:r>
              </w:p>
            </w:tc>
          </w:sdtContent>
        </w:sdt>
        <w:sdt>
          <w:sdtPr>
            <w:rPr>
              <w:rFonts w:cs="Times New Roman"/>
            </w:rPr>
            <w:tag w:val="_PLD_8262489c05a6417a883e2c877ded6170"/>
            <w:id w:val="631210222"/>
          </w:sdtPr>
          <w:sdtEndPr>
            <w:rPr>
              <w:rFonts w:cs="Times New Roman"/>
            </w:rPr>
          </w:sdtEndPr>
          <w:sdtContent>
            <w:tc>
              <w:tcPr>
                <w:tcW w:w="724" w:type="pct"/>
                <w:tcBorders>
                  <w:top w:val="single" w:color="auto" w:sz="4" w:space="0"/>
                  <w:left w:val="single" w:color="auto" w:sz="4" w:space="0"/>
                  <w:bottom w:val="single" w:color="auto" w:sz="4" w:space="0"/>
                  <w:right w:val="single" w:color="auto" w:sz="4" w:space="0"/>
                </w:tcBorders>
                <w:vAlign w:val="center"/>
              </w:tcPr>
              <w:p w14:paraId="59D4DBDA">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坏账准备</w:t>
                </w:r>
              </w:p>
            </w:tc>
          </w:sdtContent>
        </w:sdt>
        <w:sdt>
          <w:sdtPr>
            <w:rPr>
              <w:rFonts w:cs="Times New Roman"/>
            </w:rPr>
            <w:tag w:val="_PLD_46c6d827df3f47a3bc83a6dd8718f17e"/>
            <w:id w:val="-2009045984"/>
          </w:sdtPr>
          <w:sdtEndPr>
            <w:rPr>
              <w:rFonts w:cs="Times New Roman"/>
            </w:rPr>
          </w:sdtEndPr>
          <w:sdtContent>
            <w:tc>
              <w:tcPr>
                <w:tcW w:w="809" w:type="pct"/>
                <w:tcBorders>
                  <w:top w:val="single" w:color="auto" w:sz="4" w:space="0"/>
                  <w:left w:val="single" w:color="auto" w:sz="4" w:space="0"/>
                  <w:bottom w:val="single" w:color="auto" w:sz="4" w:space="0"/>
                  <w:right w:val="single" w:color="auto" w:sz="4" w:space="0"/>
                </w:tcBorders>
                <w:vAlign w:val="center"/>
              </w:tcPr>
              <w:p w14:paraId="6AA71B6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账面余额</w:t>
                </w:r>
              </w:p>
            </w:tc>
          </w:sdtContent>
        </w:sdt>
        <w:sdt>
          <w:sdtPr>
            <w:rPr>
              <w:rFonts w:cs="Times New Roman"/>
            </w:rPr>
            <w:tag w:val="_PLD_fca2aa8baf8a48a7a4cdc730d7420d47"/>
            <w:id w:val="1765798778"/>
          </w:sdtPr>
          <w:sdtEndPr>
            <w:rPr>
              <w:rFonts w:cs="Times New Roman"/>
            </w:rPr>
          </w:sdtEndPr>
          <w:sdtContent>
            <w:tc>
              <w:tcPr>
                <w:tcW w:w="678" w:type="pct"/>
                <w:tcBorders>
                  <w:top w:val="single" w:color="auto" w:sz="4" w:space="0"/>
                  <w:left w:val="single" w:color="auto" w:sz="4" w:space="0"/>
                  <w:bottom w:val="single" w:color="auto" w:sz="4" w:space="0"/>
                  <w:right w:val="single" w:color="auto" w:sz="4" w:space="0"/>
                </w:tcBorders>
                <w:vAlign w:val="center"/>
              </w:tcPr>
              <w:p w14:paraId="0BBB8DD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坏账准备</w:t>
                </w:r>
              </w:p>
            </w:tc>
          </w:sdtContent>
        </w:sdt>
      </w:tr>
      <w:sdt>
        <w:sdtPr>
          <w:rPr>
            <w:rFonts w:cs="Times New Roman"/>
            <w:color w:val="000000" w:themeColor="text1"/>
            <w14:textFill>
              <w14:solidFill>
                <w14:schemeClr w14:val="tx1"/>
              </w14:solidFill>
            </w14:textFill>
          </w:rPr>
          <w:alias w:val="上市公司应收关联方款项明细"/>
          <w:tag w:val="_GBC_203fd12dc6be4a978fe2a9d9f5ad1070"/>
          <w:id w:val="79414470"/>
          <w:placeholder>
            <w:docPart w:val="{2103f560-d9c2-456c-b39e-efce37321a20}"/>
          </w:placeholder>
        </w:sdtPr>
        <w:sdtEndPr>
          <w:rPr>
            <w:rFonts w:cs="Times New Roman"/>
            <w:color w:val="000000" w:themeColor="text1"/>
            <w14:textFill>
              <w14:solidFill>
                <w14:schemeClr w14:val="tx1"/>
              </w14:solidFill>
            </w14:textFill>
          </w:rPr>
        </w:sdtEndPr>
        <w:sdtContent>
          <w:tr w14:paraId="46257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648C4E22">
                <w:pPr>
                  <w:autoSpaceDE w:val="0"/>
                  <w:autoSpaceDN w:val="0"/>
                  <w:adjustRightInd w:val="0"/>
                  <w:rPr>
                    <w:rFonts w:cs="Times New Roman"/>
                  </w:rPr>
                </w:pPr>
                <w:r>
                  <w:rPr>
                    <w:rFonts w:cs="Times New Roman"/>
                  </w:rPr>
                  <w:t>银行存款</w:t>
                </w:r>
              </w:p>
            </w:tc>
            <w:tc>
              <w:tcPr>
                <w:tcW w:w="1208" w:type="pct"/>
                <w:tcBorders>
                  <w:top w:val="single" w:color="auto" w:sz="4" w:space="0"/>
                  <w:left w:val="single" w:color="auto" w:sz="4" w:space="0"/>
                  <w:bottom w:val="single" w:color="auto" w:sz="4" w:space="0"/>
                  <w:right w:val="single" w:color="auto" w:sz="4" w:space="0"/>
                </w:tcBorders>
                <w:vAlign w:val="center"/>
              </w:tcPr>
              <w:p w14:paraId="73ABF3E6">
                <w:pPr>
                  <w:autoSpaceDE w:val="0"/>
                  <w:autoSpaceDN w:val="0"/>
                  <w:adjustRightInd w:val="0"/>
                  <w:rPr>
                    <w:rFonts w:cs="Times New Roman"/>
                  </w:rPr>
                </w:pPr>
              </w:p>
            </w:tc>
            <w:tc>
              <w:tcPr>
                <w:tcW w:w="778" w:type="pct"/>
                <w:tcBorders>
                  <w:top w:val="single" w:color="auto" w:sz="4" w:space="0"/>
                  <w:left w:val="single" w:color="auto" w:sz="4" w:space="0"/>
                  <w:bottom w:val="single" w:color="auto" w:sz="4" w:space="0"/>
                  <w:right w:val="single" w:color="auto" w:sz="4" w:space="0"/>
                </w:tcBorders>
                <w:vAlign w:val="center"/>
              </w:tcPr>
              <w:p w14:paraId="19E97E06">
                <w:pPr>
                  <w:autoSpaceDE w:val="0"/>
                  <w:autoSpaceDN w:val="0"/>
                  <w:adjustRightInd w:val="0"/>
                  <w:jc w:val="center"/>
                  <w:rPr>
                    <w:rFonts w:cs="Times New Roman"/>
                  </w:rPr>
                </w:pPr>
              </w:p>
            </w:tc>
            <w:tc>
              <w:tcPr>
                <w:tcW w:w="724" w:type="pct"/>
                <w:tcBorders>
                  <w:top w:val="single" w:color="auto" w:sz="4" w:space="0"/>
                  <w:left w:val="single" w:color="auto" w:sz="4" w:space="0"/>
                  <w:bottom w:val="single" w:color="auto" w:sz="4" w:space="0"/>
                  <w:right w:val="single" w:color="auto" w:sz="4" w:space="0"/>
                </w:tcBorders>
                <w:vAlign w:val="center"/>
              </w:tcPr>
              <w:p w14:paraId="5D455278">
                <w:pPr>
                  <w:autoSpaceDE w:val="0"/>
                  <w:autoSpaceDN w:val="0"/>
                  <w:adjustRightInd w:val="0"/>
                  <w:jc w:val="center"/>
                  <w:rPr>
                    <w:rFonts w:cs="Times New Roman"/>
                  </w:rPr>
                </w:pPr>
              </w:p>
            </w:tc>
            <w:tc>
              <w:tcPr>
                <w:tcW w:w="809" w:type="pct"/>
                <w:tcBorders>
                  <w:top w:val="single" w:color="auto" w:sz="4" w:space="0"/>
                  <w:left w:val="single" w:color="auto" w:sz="4" w:space="0"/>
                  <w:bottom w:val="single" w:color="auto" w:sz="4" w:space="0"/>
                  <w:right w:val="single" w:color="auto" w:sz="4" w:space="0"/>
                </w:tcBorders>
                <w:vAlign w:val="center"/>
              </w:tcPr>
              <w:p w14:paraId="18073A71">
                <w:pPr>
                  <w:autoSpaceDE w:val="0"/>
                  <w:autoSpaceDN w:val="0"/>
                  <w:adjustRightInd w:val="0"/>
                  <w:jc w:val="center"/>
                  <w:rPr>
                    <w:rFonts w:cs="Times New Roman"/>
                  </w:rPr>
                </w:pPr>
              </w:p>
            </w:tc>
            <w:tc>
              <w:tcPr>
                <w:tcW w:w="678" w:type="pct"/>
                <w:tcBorders>
                  <w:top w:val="single" w:color="auto" w:sz="4" w:space="0"/>
                  <w:left w:val="single" w:color="auto" w:sz="4" w:space="0"/>
                  <w:bottom w:val="single" w:color="auto" w:sz="4" w:space="0"/>
                  <w:right w:val="single" w:color="auto" w:sz="4" w:space="0"/>
                </w:tcBorders>
                <w:vAlign w:val="center"/>
              </w:tcPr>
              <w:p w14:paraId="4DF201AD">
                <w:pPr>
                  <w:autoSpaceDE w:val="0"/>
                  <w:autoSpaceDN w:val="0"/>
                  <w:adjustRightInd w:val="0"/>
                  <w:jc w:val="center"/>
                  <w:rPr>
                    <w:rFonts w:cs="Times New Roman"/>
                  </w:rPr>
                </w:pP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391002813"/>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1AED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35DAB0ED">
                <w:pPr>
                  <w:autoSpaceDE w:val="0"/>
                  <w:autoSpaceDN w:val="0"/>
                  <w:adjustRightInd w:val="0"/>
                  <w:rPr>
                    <w:rFonts w:cs="Times New Roman"/>
                    <w:sz w:val="20"/>
                    <w:szCs w:val="20"/>
                  </w:rPr>
                </w:pPr>
                <w:r>
                  <w:rPr>
                    <w:rFonts w:cs="Times New Roman"/>
                    <w:sz w:val="20"/>
                    <w:szCs w:val="20"/>
                  </w:rPr>
                  <w:t>银行存款</w:t>
                </w:r>
              </w:p>
            </w:tc>
            <w:tc>
              <w:tcPr>
                <w:tcW w:w="1208" w:type="pct"/>
                <w:tcBorders>
                  <w:top w:val="single" w:color="auto" w:sz="4" w:space="0"/>
                  <w:left w:val="single" w:color="auto" w:sz="4" w:space="0"/>
                  <w:bottom w:val="single" w:color="auto" w:sz="4" w:space="0"/>
                  <w:right w:val="single" w:color="auto" w:sz="4" w:space="0"/>
                </w:tcBorders>
                <w:vAlign w:val="center"/>
              </w:tcPr>
              <w:p w14:paraId="4AC227B0">
                <w:pPr>
                  <w:autoSpaceDE w:val="0"/>
                  <w:autoSpaceDN w:val="0"/>
                  <w:adjustRightInd w:val="0"/>
                  <w:rPr>
                    <w:rFonts w:cs="Times New Roman"/>
                    <w:sz w:val="20"/>
                    <w:szCs w:val="20"/>
                  </w:rPr>
                </w:pPr>
                <w:r>
                  <w:rPr>
                    <w:rFonts w:cs="Times New Roman"/>
                    <w:sz w:val="20"/>
                    <w:szCs w:val="20"/>
                  </w:rPr>
                  <w:t>新兴际华集团财务有限公司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14CFD0A8">
                <w:pPr>
                  <w:autoSpaceDE w:val="0"/>
                  <w:autoSpaceDN w:val="0"/>
                  <w:adjustRightInd w:val="0"/>
                  <w:jc w:val="right"/>
                  <w:rPr>
                    <w:rFonts w:cs="Times New Roman"/>
                    <w:sz w:val="18"/>
                    <w:szCs w:val="18"/>
                  </w:rPr>
                </w:pPr>
                <w:r>
                  <w:rPr>
                    <w:rFonts w:cs="Times New Roman"/>
                    <w:sz w:val="18"/>
                    <w:szCs w:val="18"/>
                  </w:rPr>
                  <w:t>4,370,960,573.16</w:t>
                </w:r>
              </w:p>
            </w:tc>
            <w:tc>
              <w:tcPr>
                <w:tcW w:w="724" w:type="pct"/>
                <w:tcBorders>
                  <w:top w:val="single" w:color="auto" w:sz="4" w:space="0"/>
                  <w:left w:val="single" w:color="auto" w:sz="4" w:space="0"/>
                  <w:bottom w:val="single" w:color="auto" w:sz="4" w:space="0"/>
                  <w:right w:val="single" w:color="auto" w:sz="4" w:space="0"/>
                </w:tcBorders>
                <w:vAlign w:val="center"/>
              </w:tcPr>
              <w:p w14:paraId="3DB80D00">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7093FBD4">
                <w:pPr>
                  <w:autoSpaceDE w:val="0"/>
                  <w:autoSpaceDN w:val="0"/>
                  <w:adjustRightInd w:val="0"/>
                  <w:jc w:val="right"/>
                  <w:rPr>
                    <w:rFonts w:cs="Times New Roman"/>
                    <w:sz w:val="18"/>
                    <w:szCs w:val="18"/>
                  </w:rPr>
                </w:pPr>
                <w:r>
                  <w:rPr>
                    <w:rFonts w:cs="Times New Roman"/>
                    <w:sz w:val="18"/>
                    <w:szCs w:val="18"/>
                  </w:rPr>
                  <w:t>3,351,736,657.29</w:t>
                </w:r>
              </w:p>
            </w:tc>
            <w:tc>
              <w:tcPr>
                <w:tcW w:w="678" w:type="pct"/>
                <w:tcBorders>
                  <w:top w:val="single" w:color="auto" w:sz="4" w:space="0"/>
                  <w:left w:val="single" w:color="auto" w:sz="4" w:space="0"/>
                  <w:bottom w:val="single" w:color="auto" w:sz="4" w:space="0"/>
                  <w:right w:val="single" w:color="auto" w:sz="4" w:space="0"/>
                </w:tcBorders>
                <w:vAlign w:val="center"/>
              </w:tcPr>
              <w:p w14:paraId="6D72ECEB">
                <w:pPr>
                  <w:autoSpaceDE w:val="0"/>
                  <w:autoSpaceDN w:val="0"/>
                  <w:adjustRightInd w:val="0"/>
                  <w:jc w:val="right"/>
                  <w:rPr>
                    <w:rFonts w:cs="Times New Roman"/>
                    <w:sz w:val="18"/>
                    <w:szCs w:val="18"/>
                  </w:rPr>
                </w:pP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70374175"/>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75E8F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1DEC2BC8">
                <w:pPr>
                  <w:autoSpaceDE w:val="0"/>
                  <w:autoSpaceDN w:val="0"/>
                  <w:adjustRightInd w:val="0"/>
                  <w:rPr>
                    <w:rFonts w:cs="Times New Roman"/>
                    <w:sz w:val="20"/>
                    <w:szCs w:val="20"/>
                  </w:rPr>
                </w:pPr>
                <w:r>
                  <w:rPr>
                    <w:rFonts w:cs="Times New Roman"/>
                    <w:sz w:val="20"/>
                    <w:szCs w:val="20"/>
                  </w:rPr>
                  <w:t>应收票据</w:t>
                </w:r>
              </w:p>
            </w:tc>
            <w:tc>
              <w:tcPr>
                <w:tcW w:w="1208" w:type="pct"/>
                <w:tcBorders>
                  <w:top w:val="single" w:color="auto" w:sz="4" w:space="0"/>
                  <w:left w:val="single" w:color="auto" w:sz="4" w:space="0"/>
                  <w:bottom w:val="single" w:color="auto" w:sz="4" w:space="0"/>
                  <w:right w:val="single" w:color="auto" w:sz="4" w:space="0"/>
                </w:tcBorders>
                <w:vAlign w:val="center"/>
              </w:tcPr>
              <w:p w14:paraId="6357887D">
                <w:pPr>
                  <w:autoSpaceDE w:val="0"/>
                  <w:autoSpaceDN w:val="0"/>
                  <w:adjustRightInd w:val="0"/>
                  <w:rPr>
                    <w:rFonts w:cs="Times New Roman"/>
                    <w:sz w:val="20"/>
                    <w:szCs w:val="20"/>
                  </w:rPr>
                </w:pPr>
              </w:p>
            </w:tc>
            <w:tc>
              <w:tcPr>
                <w:tcW w:w="778" w:type="pct"/>
                <w:tcBorders>
                  <w:top w:val="single" w:color="auto" w:sz="4" w:space="0"/>
                  <w:left w:val="single" w:color="auto" w:sz="4" w:space="0"/>
                  <w:bottom w:val="single" w:color="auto" w:sz="4" w:space="0"/>
                  <w:right w:val="single" w:color="auto" w:sz="4" w:space="0"/>
                </w:tcBorders>
                <w:vAlign w:val="center"/>
              </w:tcPr>
              <w:p w14:paraId="7D31E8E6">
                <w:pPr>
                  <w:autoSpaceDE w:val="0"/>
                  <w:autoSpaceDN w:val="0"/>
                  <w:adjustRightInd w:val="0"/>
                  <w:jc w:val="right"/>
                  <w:rPr>
                    <w:rFonts w:cs="Times New Roman"/>
                    <w:sz w:val="18"/>
                    <w:szCs w:val="18"/>
                  </w:rPr>
                </w:pPr>
              </w:p>
            </w:tc>
            <w:tc>
              <w:tcPr>
                <w:tcW w:w="724" w:type="pct"/>
                <w:tcBorders>
                  <w:top w:val="single" w:color="auto" w:sz="4" w:space="0"/>
                  <w:left w:val="single" w:color="auto" w:sz="4" w:space="0"/>
                  <w:bottom w:val="single" w:color="auto" w:sz="4" w:space="0"/>
                  <w:right w:val="single" w:color="auto" w:sz="4" w:space="0"/>
                </w:tcBorders>
                <w:vAlign w:val="center"/>
              </w:tcPr>
              <w:p w14:paraId="22A0D178">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0CADE76D">
                <w:pPr>
                  <w:autoSpaceDE w:val="0"/>
                  <w:autoSpaceDN w:val="0"/>
                  <w:adjustRightInd w:val="0"/>
                  <w:jc w:val="right"/>
                  <w:rPr>
                    <w:rFonts w:cs="Times New Roman"/>
                    <w:sz w:val="18"/>
                    <w:szCs w:val="18"/>
                  </w:rPr>
                </w:pPr>
              </w:p>
            </w:tc>
            <w:tc>
              <w:tcPr>
                <w:tcW w:w="678" w:type="pct"/>
                <w:tcBorders>
                  <w:top w:val="single" w:color="auto" w:sz="4" w:space="0"/>
                  <w:left w:val="single" w:color="auto" w:sz="4" w:space="0"/>
                  <w:bottom w:val="single" w:color="auto" w:sz="4" w:space="0"/>
                  <w:right w:val="single" w:color="auto" w:sz="4" w:space="0"/>
                </w:tcBorders>
                <w:vAlign w:val="center"/>
              </w:tcPr>
              <w:p w14:paraId="515BCB6B">
                <w:pPr>
                  <w:autoSpaceDE w:val="0"/>
                  <w:autoSpaceDN w:val="0"/>
                  <w:adjustRightInd w:val="0"/>
                  <w:jc w:val="right"/>
                  <w:rPr>
                    <w:rFonts w:cs="Times New Roman"/>
                    <w:sz w:val="18"/>
                    <w:szCs w:val="18"/>
                  </w:rPr>
                </w:pPr>
              </w:p>
            </w:tc>
          </w:tr>
        </w:sdtContent>
      </w:sdt>
      <w:sdt>
        <w:sdtPr>
          <w:alias w:val="上市公司应收关联方款项明细"/>
          <w:tag w:val="_GBC_203fd12dc6be4a978fe2a9d9f5ad1070"/>
          <w:id w:val="185949697"/>
          <w:placeholder>
            <w:docPart w:val="{2103f560-d9c2-456c-b39e-efce37321a20}"/>
          </w:placeholder>
        </w:sdtPr>
        <w:sdtContent>
          <w:sdt>
            <w:sdtPr>
              <w:alias w:val="上市公司应收关联方款项明细"/>
              <w:tag w:val="_GBC_203fd12dc6be4a978fe2a9d9f5ad1070"/>
              <w:id w:val="1603989133"/>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5AD1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659D2EF3">
                    <w:pPr>
                      <w:autoSpaceDE w:val="0"/>
                      <w:autoSpaceDN w:val="0"/>
                      <w:adjustRightInd w:val="0"/>
                      <w:rPr>
                        <w:rFonts w:cs="Times New Roman"/>
                        <w:sz w:val="20"/>
                        <w:szCs w:val="20"/>
                      </w:rPr>
                    </w:pPr>
                    <w:r>
                      <w:rPr>
                        <w:rFonts w:cs="Times New Roman"/>
                        <w:sz w:val="20"/>
                        <w:szCs w:val="20"/>
                      </w:rPr>
                      <w:t>应收票据</w:t>
                    </w:r>
                  </w:p>
                </w:tc>
                <w:tc>
                  <w:tcPr>
                    <w:tcW w:w="1208" w:type="pct"/>
                    <w:tcBorders>
                      <w:top w:val="single" w:color="auto" w:sz="4" w:space="0"/>
                      <w:left w:val="single" w:color="auto" w:sz="4" w:space="0"/>
                      <w:bottom w:val="single" w:color="auto" w:sz="4" w:space="0"/>
                      <w:right w:val="single" w:color="auto" w:sz="4" w:space="0"/>
                    </w:tcBorders>
                    <w:vAlign w:val="center"/>
                  </w:tcPr>
                  <w:p w14:paraId="6764A165">
                    <w:pPr>
                      <w:autoSpaceDE w:val="0"/>
                      <w:autoSpaceDN w:val="0"/>
                      <w:adjustRightInd w:val="0"/>
                      <w:rPr>
                        <w:rFonts w:cs="Times New Roman"/>
                        <w:sz w:val="20"/>
                        <w:szCs w:val="20"/>
                      </w:rPr>
                    </w:pPr>
                    <w:r>
                      <w:rPr>
                        <w:rFonts w:cs="Times New Roman"/>
                        <w:sz w:val="20"/>
                        <w:szCs w:val="20"/>
                      </w:rPr>
                      <w:t>新兴铸管股份有限公司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4728B515">
                    <w:pPr>
                      <w:autoSpaceDE w:val="0"/>
                      <w:autoSpaceDN w:val="0"/>
                      <w:adjustRightInd w:val="0"/>
                      <w:jc w:val="right"/>
                      <w:rPr>
                        <w:rFonts w:cs="Times New Roman"/>
                        <w:sz w:val="18"/>
                        <w:szCs w:val="18"/>
                      </w:rPr>
                    </w:pPr>
                    <w:r>
                      <w:rPr>
                        <w:rFonts w:cs="Times New Roman"/>
                        <w:sz w:val="18"/>
                        <w:szCs w:val="18"/>
                      </w:rPr>
                      <w:t>1,604,896.70</w:t>
                    </w:r>
                  </w:p>
                </w:tc>
                <w:tc>
                  <w:tcPr>
                    <w:tcW w:w="724" w:type="pct"/>
                    <w:tcBorders>
                      <w:top w:val="single" w:color="auto" w:sz="4" w:space="0"/>
                      <w:left w:val="single" w:color="auto" w:sz="4" w:space="0"/>
                      <w:bottom w:val="single" w:color="auto" w:sz="4" w:space="0"/>
                      <w:right w:val="single" w:color="auto" w:sz="4" w:space="0"/>
                    </w:tcBorders>
                    <w:vAlign w:val="center"/>
                  </w:tcPr>
                  <w:p w14:paraId="775E02DB">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579D8339">
                    <w:pPr>
                      <w:autoSpaceDE w:val="0"/>
                      <w:autoSpaceDN w:val="0"/>
                      <w:adjustRightInd w:val="0"/>
                      <w:jc w:val="right"/>
                      <w:rPr>
                        <w:rFonts w:cs="Times New Roman"/>
                        <w:sz w:val="18"/>
                        <w:szCs w:val="18"/>
                      </w:rPr>
                    </w:pPr>
                    <w:r>
                      <w:rPr>
                        <w:rFonts w:cs="Times New Roman"/>
                        <w:sz w:val="18"/>
                        <w:szCs w:val="18"/>
                      </w:rPr>
                      <w:t>6,511.88</w:t>
                    </w:r>
                  </w:p>
                </w:tc>
                <w:tc>
                  <w:tcPr>
                    <w:tcW w:w="678" w:type="pct"/>
                    <w:tcBorders>
                      <w:top w:val="single" w:color="auto" w:sz="4" w:space="0"/>
                      <w:left w:val="single" w:color="auto" w:sz="4" w:space="0"/>
                      <w:bottom w:val="single" w:color="auto" w:sz="4" w:space="0"/>
                      <w:right w:val="single" w:color="auto" w:sz="4" w:space="0"/>
                    </w:tcBorders>
                    <w:vAlign w:val="center"/>
                  </w:tcPr>
                  <w:p w14:paraId="506B1AB4">
                    <w:pPr>
                      <w:autoSpaceDE w:val="0"/>
                      <w:autoSpaceDN w:val="0"/>
                      <w:adjustRightInd w:val="0"/>
                      <w:jc w:val="right"/>
                      <w:rPr>
                        <w:rFonts w:cs="Times New Roman"/>
                        <w:sz w:val="18"/>
                        <w:szCs w:val="18"/>
                      </w:rPr>
                    </w:pPr>
                  </w:p>
                </w:tc>
              </w:tr>
            </w:sdtContent>
          </w:sdt>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564010591"/>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0486F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21C5ED92">
                <w:pPr>
                  <w:autoSpaceDE w:val="0"/>
                  <w:autoSpaceDN w:val="0"/>
                  <w:adjustRightInd w:val="0"/>
                  <w:rPr>
                    <w:rFonts w:cs="Times New Roman"/>
                    <w:sz w:val="20"/>
                    <w:szCs w:val="20"/>
                  </w:rPr>
                </w:pPr>
                <w:r>
                  <w:rPr>
                    <w:rFonts w:cs="Times New Roman"/>
                    <w:sz w:val="20"/>
                    <w:szCs w:val="20"/>
                  </w:rPr>
                  <w:t>应收票据</w:t>
                </w:r>
              </w:p>
            </w:tc>
            <w:tc>
              <w:tcPr>
                <w:tcW w:w="1208" w:type="pct"/>
                <w:tcBorders>
                  <w:top w:val="single" w:color="auto" w:sz="4" w:space="0"/>
                  <w:left w:val="single" w:color="auto" w:sz="4" w:space="0"/>
                  <w:bottom w:val="single" w:color="auto" w:sz="4" w:space="0"/>
                  <w:right w:val="single" w:color="auto" w:sz="4" w:space="0"/>
                </w:tcBorders>
                <w:vAlign w:val="center"/>
              </w:tcPr>
              <w:p w14:paraId="046B9EA4">
                <w:pPr>
                  <w:autoSpaceDE w:val="0"/>
                  <w:autoSpaceDN w:val="0"/>
                  <w:adjustRightInd w:val="0"/>
                  <w:rPr>
                    <w:rFonts w:cs="Times New Roman"/>
                    <w:sz w:val="20"/>
                    <w:szCs w:val="20"/>
                  </w:rPr>
                </w:pPr>
                <w:r>
                  <w:rPr>
                    <w:rFonts w:cs="Times New Roman"/>
                    <w:sz w:val="20"/>
                    <w:szCs w:val="20"/>
                  </w:rPr>
                  <w:t>湖北新兴全力机械有限公司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455B3B65">
                <w:pPr>
                  <w:autoSpaceDE w:val="0"/>
                  <w:autoSpaceDN w:val="0"/>
                  <w:adjustRightInd w:val="0"/>
                  <w:jc w:val="right"/>
                  <w:rPr>
                    <w:rFonts w:cs="Times New Roman"/>
                    <w:sz w:val="18"/>
                    <w:szCs w:val="18"/>
                  </w:rPr>
                </w:pPr>
                <w:r>
                  <w:rPr>
                    <w:rFonts w:cs="Times New Roman"/>
                    <w:sz w:val="18"/>
                    <w:szCs w:val="18"/>
                  </w:rPr>
                  <w:t>86,060.00</w:t>
                </w:r>
              </w:p>
            </w:tc>
            <w:tc>
              <w:tcPr>
                <w:tcW w:w="724" w:type="pct"/>
                <w:tcBorders>
                  <w:top w:val="single" w:color="auto" w:sz="4" w:space="0"/>
                  <w:left w:val="single" w:color="auto" w:sz="4" w:space="0"/>
                  <w:bottom w:val="single" w:color="auto" w:sz="4" w:space="0"/>
                  <w:right w:val="single" w:color="auto" w:sz="4" w:space="0"/>
                </w:tcBorders>
                <w:vAlign w:val="center"/>
              </w:tcPr>
              <w:p w14:paraId="0BC0947E">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73AA26FD">
                <w:pPr>
                  <w:autoSpaceDE w:val="0"/>
                  <w:autoSpaceDN w:val="0"/>
                  <w:adjustRightInd w:val="0"/>
                  <w:jc w:val="right"/>
                  <w:rPr>
                    <w:rFonts w:cs="Times New Roman"/>
                    <w:sz w:val="18"/>
                    <w:szCs w:val="18"/>
                  </w:rPr>
                </w:pPr>
              </w:p>
            </w:tc>
            <w:tc>
              <w:tcPr>
                <w:tcW w:w="678" w:type="pct"/>
                <w:tcBorders>
                  <w:top w:val="single" w:color="auto" w:sz="4" w:space="0"/>
                  <w:left w:val="single" w:color="auto" w:sz="4" w:space="0"/>
                  <w:bottom w:val="single" w:color="auto" w:sz="4" w:space="0"/>
                  <w:right w:val="single" w:color="auto" w:sz="4" w:space="0"/>
                </w:tcBorders>
                <w:vAlign w:val="center"/>
              </w:tcPr>
              <w:p w14:paraId="6B76E898">
                <w:pPr>
                  <w:autoSpaceDE w:val="0"/>
                  <w:autoSpaceDN w:val="0"/>
                  <w:adjustRightInd w:val="0"/>
                  <w:jc w:val="right"/>
                  <w:rPr>
                    <w:rFonts w:cs="Times New Roman"/>
                    <w:sz w:val="18"/>
                    <w:szCs w:val="18"/>
                  </w:rPr>
                </w:pP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898898974"/>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3EB9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1AD93A84">
                <w:pPr>
                  <w:autoSpaceDE w:val="0"/>
                  <w:autoSpaceDN w:val="0"/>
                  <w:adjustRightInd w:val="0"/>
                  <w:rPr>
                    <w:rFonts w:cs="Times New Roman"/>
                    <w:sz w:val="20"/>
                    <w:szCs w:val="20"/>
                  </w:rPr>
                </w:pPr>
                <w:r>
                  <w:rPr>
                    <w:rFonts w:cs="Times New Roman"/>
                    <w:sz w:val="20"/>
                    <w:szCs w:val="20"/>
                  </w:rPr>
                  <w:t>应收票据</w:t>
                </w:r>
              </w:p>
            </w:tc>
            <w:tc>
              <w:tcPr>
                <w:tcW w:w="1208" w:type="pct"/>
                <w:tcBorders>
                  <w:top w:val="single" w:color="auto" w:sz="4" w:space="0"/>
                  <w:left w:val="single" w:color="auto" w:sz="4" w:space="0"/>
                  <w:bottom w:val="single" w:color="auto" w:sz="4" w:space="0"/>
                  <w:right w:val="single" w:color="auto" w:sz="4" w:space="0"/>
                </w:tcBorders>
                <w:vAlign w:val="center"/>
              </w:tcPr>
              <w:p w14:paraId="10844C06">
                <w:pPr>
                  <w:autoSpaceDE w:val="0"/>
                  <w:autoSpaceDN w:val="0"/>
                  <w:adjustRightInd w:val="0"/>
                  <w:rPr>
                    <w:rFonts w:cs="Times New Roman"/>
                    <w:sz w:val="20"/>
                    <w:szCs w:val="20"/>
                  </w:rPr>
                </w:pPr>
                <w:r>
                  <w:rPr>
                    <w:rFonts w:cs="Times New Roman"/>
                    <w:sz w:val="20"/>
                    <w:szCs w:val="20"/>
                  </w:rPr>
                  <w:t>广东新兴铸管有限公司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097CF3E3">
                <w:pPr>
                  <w:autoSpaceDE w:val="0"/>
                  <w:autoSpaceDN w:val="0"/>
                  <w:adjustRightInd w:val="0"/>
                  <w:jc w:val="right"/>
                  <w:rPr>
                    <w:rFonts w:cs="Times New Roman"/>
                    <w:sz w:val="18"/>
                    <w:szCs w:val="18"/>
                  </w:rPr>
                </w:pPr>
                <w:r>
                  <w:rPr>
                    <w:rFonts w:cs="Times New Roman"/>
                    <w:sz w:val="18"/>
                    <w:szCs w:val="18"/>
                  </w:rPr>
                  <w:t>24,640.00</w:t>
                </w:r>
              </w:p>
            </w:tc>
            <w:tc>
              <w:tcPr>
                <w:tcW w:w="724" w:type="pct"/>
                <w:tcBorders>
                  <w:top w:val="single" w:color="auto" w:sz="4" w:space="0"/>
                  <w:left w:val="single" w:color="auto" w:sz="4" w:space="0"/>
                  <w:bottom w:val="single" w:color="auto" w:sz="4" w:space="0"/>
                  <w:right w:val="single" w:color="auto" w:sz="4" w:space="0"/>
                </w:tcBorders>
                <w:vAlign w:val="center"/>
              </w:tcPr>
              <w:p w14:paraId="2D27F07F">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039B4472">
                <w:pPr>
                  <w:autoSpaceDE w:val="0"/>
                  <w:autoSpaceDN w:val="0"/>
                  <w:adjustRightInd w:val="0"/>
                  <w:jc w:val="right"/>
                  <w:rPr>
                    <w:rFonts w:cs="Times New Roman"/>
                    <w:sz w:val="18"/>
                    <w:szCs w:val="18"/>
                  </w:rPr>
                </w:pPr>
              </w:p>
            </w:tc>
            <w:tc>
              <w:tcPr>
                <w:tcW w:w="678" w:type="pct"/>
                <w:tcBorders>
                  <w:top w:val="single" w:color="auto" w:sz="4" w:space="0"/>
                  <w:left w:val="single" w:color="auto" w:sz="4" w:space="0"/>
                  <w:bottom w:val="single" w:color="auto" w:sz="4" w:space="0"/>
                  <w:right w:val="single" w:color="auto" w:sz="4" w:space="0"/>
                </w:tcBorders>
                <w:vAlign w:val="center"/>
              </w:tcPr>
              <w:p w14:paraId="79216FFD">
                <w:pPr>
                  <w:autoSpaceDE w:val="0"/>
                  <w:autoSpaceDN w:val="0"/>
                  <w:adjustRightInd w:val="0"/>
                  <w:jc w:val="right"/>
                  <w:rPr>
                    <w:rFonts w:cs="Times New Roman"/>
                    <w:sz w:val="18"/>
                    <w:szCs w:val="18"/>
                  </w:rPr>
                </w:pP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969052554"/>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78FD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5A05B334">
                <w:pPr>
                  <w:autoSpaceDE w:val="0"/>
                  <w:autoSpaceDN w:val="0"/>
                  <w:adjustRightInd w:val="0"/>
                  <w:rPr>
                    <w:rFonts w:cs="Times New Roman"/>
                    <w:sz w:val="20"/>
                    <w:szCs w:val="20"/>
                  </w:rPr>
                </w:pPr>
                <w:r>
                  <w:rPr>
                    <w:rFonts w:cs="Times New Roman"/>
                    <w:sz w:val="20"/>
                    <w:szCs w:val="20"/>
                  </w:rPr>
                  <w:t>应收款项融资</w:t>
                </w:r>
              </w:p>
            </w:tc>
            <w:tc>
              <w:tcPr>
                <w:tcW w:w="1208" w:type="pct"/>
                <w:tcBorders>
                  <w:top w:val="single" w:color="auto" w:sz="4" w:space="0"/>
                  <w:left w:val="single" w:color="auto" w:sz="4" w:space="0"/>
                  <w:bottom w:val="single" w:color="auto" w:sz="4" w:space="0"/>
                  <w:right w:val="single" w:color="auto" w:sz="4" w:space="0"/>
                </w:tcBorders>
                <w:vAlign w:val="center"/>
              </w:tcPr>
              <w:p w14:paraId="6D055E6F">
                <w:pPr>
                  <w:autoSpaceDE w:val="0"/>
                  <w:autoSpaceDN w:val="0"/>
                  <w:adjustRightInd w:val="0"/>
                  <w:rPr>
                    <w:rFonts w:cs="Times New Roman"/>
                    <w:sz w:val="20"/>
                    <w:szCs w:val="20"/>
                  </w:rPr>
                </w:pPr>
              </w:p>
            </w:tc>
            <w:tc>
              <w:tcPr>
                <w:tcW w:w="778" w:type="pct"/>
                <w:tcBorders>
                  <w:top w:val="single" w:color="auto" w:sz="4" w:space="0"/>
                  <w:left w:val="single" w:color="auto" w:sz="4" w:space="0"/>
                  <w:bottom w:val="single" w:color="auto" w:sz="4" w:space="0"/>
                  <w:right w:val="single" w:color="auto" w:sz="4" w:space="0"/>
                </w:tcBorders>
                <w:vAlign w:val="center"/>
              </w:tcPr>
              <w:p w14:paraId="7CF4D06D">
                <w:pPr>
                  <w:autoSpaceDE w:val="0"/>
                  <w:autoSpaceDN w:val="0"/>
                  <w:adjustRightInd w:val="0"/>
                  <w:jc w:val="right"/>
                  <w:rPr>
                    <w:rFonts w:cs="Times New Roman"/>
                    <w:sz w:val="18"/>
                    <w:szCs w:val="18"/>
                  </w:rPr>
                </w:pPr>
              </w:p>
            </w:tc>
            <w:tc>
              <w:tcPr>
                <w:tcW w:w="724" w:type="pct"/>
                <w:tcBorders>
                  <w:top w:val="single" w:color="auto" w:sz="4" w:space="0"/>
                  <w:left w:val="single" w:color="auto" w:sz="4" w:space="0"/>
                  <w:bottom w:val="single" w:color="auto" w:sz="4" w:space="0"/>
                  <w:right w:val="single" w:color="auto" w:sz="4" w:space="0"/>
                </w:tcBorders>
                <w:vAlign w:val="center"/>
              </w:tcPr>
              <w:p w14:paraId="1BFD9A7F">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13C2CE33">
                <w:pPr>
                  <w:autoSpaceDE w:val="0"/>
                  <w:autoSpaceDN w:val="0"/>
                  <w:adjustRightInd w:val="0"/>
                  <w:jc w:val="right"/>
                  <w:rPr>
                    <w:rFonts w:cs="Times New Roman"/>
                    <w:sz w:val="18"/>
                    <w:szCs w:val="18"/>
                  </w:rPr>
                </w:pPr>
              </w:p>
            </w:tc>
            <w:tc>
              <w:tcPr>
                <w:tcW w:w="678" w:type="pct"/>
                <w:tcBorders>
                  <w:top w:val="single" w:color="auto" w:sz="4" w:space="0"/>
                  <w:left w:val="single" w:color="auto" w:sz="4" w:space="0"/>
                  <w:bottom w:val="single" w:color="auto" w:sz="4" w:space="0"/>
                  <w:right w:val="single" w:color="auto" w:sz="4" w:space="0"/>
                </w:tcBorders>
                <w:vAlign w:val="center"/>
              </w:tcPr>
              <w:p w14:paraId="0CFB3E82">
                <w:pPr>
                  <w:autoSpaceDE w:val="0"/>
                  <w:autoSpaceDN w:val="0"/>
                  <w:adjustRightInd w:val="0"/>
                  <w:jc w:val="right"/>
                  <w:rPr>
                    <w:rFonts w:cs="Times New Roman"/>
                    <w:sz w:val="18"/>
                    <w:szCs w:val="18"/>
                  </w:rPr>
                </w:pP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12216659"/>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663F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14965708">
                <w:pPr>
                  <w:autoSpaceDE w:val="0"/>
                  <w:autoSpaceDN w:val="0"/>
                  <w:adjustRightInd w:val="0"/>
                  <w:rPr>
                    <w:rFonts w:cs="Times New Roman"/>
                    <w:sz w:val="20"/>
                    <w:szCs w:val="20"/>
                  </w:rPr>
                </w:pPr>
                <w:r>
                  <w:rPr>
                    <w:rFonts w:cs="Times New Roman"/>
                    <w:sz w:val="20"/>
                    <w:szCs w:val="20"/>
                  </w:rPr>
                  <w:t>应收款项融资</w:t>
                </w:r>
              </w:p>
            </w:tc>
            <w:tc>
              <w:tcPr>
                <w:tcW w:w="1208" w:type="pct"/>
                <w:tcBorders>
                  <w:top w:val="single" w:color="auto" w:sz="4" w:space="0"/>
                  <w:left w:val="single" w:color="auto" w:sz="4" w:space="0"/>
                  <w:bottom w:val="single" w:color="auto" w:sz="4" w:space="0"/>
                  <w:right w:val="single" w:color="auto" w:sz="4" w:space="0"/>
                </w:tcBorders>
                <w:vAlign w:val="center"/>
              </w:tcPr>
              <w:p w14:paraId="3D19A2B3">
                <w:pPr>
                  <w:autoSpaceDE w:val="0"/>
                  <w:autoSpaceDN w:val="0"/>
                  <w:adjustRightInd w:val="0"/>
                  <w:rPr>
                    <w:rFonts w:cs="Times New Roman"/>
                    <w:sz w:val="20"/>
                    <w:szCs w:val="20"/>
                  </w:rPr>
                </w:pPr>
                <w:r>
                  <w:rPr>
                    <w:rFonts w:cs="Times New Roman"/>
                    <w:sz w:val="20"/>
                    <w:szCs w:val="20"/>
                  </w:rPr>
                  <w:t>黄石新兴管业有限公司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39F574C5">
                <w:pPr>
                  <w:autoSpaceDE w:val="0"/>
                  <w:autoSpaceDN w:val="0"/>
                  <w:adjustRightInd w:val="0"/>
                  <w:jc w:val="right"/>
                  <w:rPr>
                    <w:rFonts w:cs="Times New Roman"/>
                    <w:sz w:val="18"/>
                    <w:szCs w:val="18"/>
                  </w:rPr>
                </w:pPr>
                <w:r>
                  <w:rPr>
                    <w:rFonts w:cs="Times New Roman"/>
                    <w:sz w:val="18"/>
                    <w:szCs w:val="18"/>
                  </w:rPr>
                  <w:t>9,000.00</w:t>
                </w:r>
              </w:p>
            </w:tc>
            <w:tc>
              <w:tcPr>
                <w:tcW w:w="724" w:type="pct"/>
                <w:tcBorders>
                  <w:top w:val="single" w:color="auto" w:sz="4" w:space="0"/>
                  <w:left w:val="single" w:color="auto" w:sz="4" w:space="0"/>
                  <w:bottom w:val="single" w:color="auto" w:sz="4" w:space="0"/>
                  <w:right w:val="single" w:color="auto" w:sz="4" w:space="0"/>
                </w:tcBorders>
                <w:vAlign w:val="center"/>
              </w:tcPr>
              <w:p w14:paraId="4FACE12E">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18431DB9">
                <w:pPr>
                  <w:autoSpaceDE w:val="0"/>
                  <w:autoSpaceDN w:val="0"/>
                  <w:adjustRightInd w:val="0"/>
                  <w:jc w:val="right"/>
                  <w:rPr>
                    <w:rFonts w:cs="Times New Roman"/>
                    <w:sz w:val="18"/>
                    <w:szCs w:val="18"/>
                  </w:rPr>
                </w:pPr>
                <w:r>
                  <w:rPr>
                    <w:rFonts w:cs="Times New Roman"/>
                    <w:sz w:val="18"/>
                    <w:szCs w:val="18"/>
                  </w:rPr>
                  <w:t>50,000.00</w:t>
                </w:r>
              </w:p>
            </w:tc>
            <w:tc>
              <w:tcPr>
                <w:tcW w:w="678" w:type="pct"/>
                <w:tcBorders>
                  <w:top w:val="single" w:color="auto" w:sz="4" w:space="0"/>
                  <w:left w:val="single" w:color="auto" w:sz="4" w:space="0"/>
                  <w:bottom w:val="single" w:color="auto" w:sz="4" w:space="0"/>
                  <w:right w:val="single" w:color="auto" w:sz="4" w:space="0"/>
                </w:tcBorders>
                <w:vAlign w:val="center"/>
              </w:tcPr>
              <w:p w14:paraId="5CCEF064">
                <w:pPr>
                  <w:autoSpaceDE w:val="0"/>
                  <w:autoSpaceDN w:val="0"/>
                  <w:adjustRightInd w:val="0"/>
                  <w:jc w:val="right"/>
                  <w:rPr>
                    <w:rFonts w:cs="Times New Roman"/>
                    <w:sz w:val="18"/>
                    <w:szCs w:val="18"/>
                  </w:rPr>
                </w:pP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389309379"/>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1D0AB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7903FAB4">
                <w:pPr>
                  <w:autoSpaceDE w:val="0"/>
                  <w:autoSpaceDN w:val="0"/>
                  <w:adjustRightInd w:val="0"/>
                  <w:rPr>
                    <w:rFonts w:cs="Times New Roman"/>
                    <w:sz w:val="20"/>
                    <w:szCs w:val="20"/>
                  </w:rPr>
                </w:pPr>
                <w:r>
                  <w:rPr>
                    <w:rFonts w:cs="Times New Roman"/>
                    <w:sz w:val="20"/>
                    <w:szCs w:val="20"/>
                  </w:rPr>
                  <w:t>应收款项融资</w:t>
                </w:r>
              </w:p>
            </w:tc>
            <w:tc>
              <w:tcPr>
                <w:tcW w:w="1208" w:type="pct"/>
                <w:tcBorders>
                  <w:top w:val="single" w:color="auto" w:sz="4" w:space="0"/>
                  <w:left w:val="single" w:color="auto" w:sz="4" w:space="0"/>
                  <w:bottom w:val="single" w:color="auto" w:sz="4" w:space="0"/>
                  <w:right w:val="single" w:color="auto" w:sz="4" w:space="0"/>
                </w:tcBorders>
                <w:vAlign w:val="center"/>
              </w:tcPr>
              <w:p w14:paraId="2601EEB7">
                <w:pPr>
                  <w:autoSpaceDE w:val="0"/>
                  <w:autoSpaceDN w:val="0"/>
                  <w:adjustRightInd w:val="0"/>
                  <w:rPr>
                    <w:rFonts w:cs="Times New Roman"/>
                    <w:sz w:val="20"/>
                    <w:szCs w:val="20"/>
                  </w:rPr>
                </w:pPr>
                <w:r>
                  <w:rPr>
                    <w:rFonts w:cs="Times New Roman"/>
                    <w:sz w:val="20"/>
                    <w:szCs w:val="20"/>
                  </w:rPr>
                  <w:t>新兴铸管股份有限公司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623CC7A4">
                <w:pPr>
                  <w:autoSpaceDE w:val="0"/>
                  <w:autoSpaceDN w:val="0"/>
                  <w:adjustRightInd w:val="0"/>
                  <w:jc w:val="right"/>
                  <w:rPr>
                    <w:rFonts w:cs="Times New Roman"/>
                    <w:sz w:val="18"/>
                    <w:szCs w:val="18"/>
                  </w:rPr>
                </w:pPr>
                <w:r>
                  <w:rPr>
                    <w:rFonts w:cs="Times New Roman"/>
                    <w:sz w:val="18"/>
                    <w:szCs w:val="18"/>
                  </w:rPr>
                  <w:t>5,670.56</w:t>
                </w:r>
              </w:p>
            </w:tc>
            <w:tc>
              <w:tcPr>
                <w:tcW w:w="724" w:type="pct"/>
                <w:tcBorders>
                  <w:top w:val="single" w:color="auto" w:sz="4" w:space="0"/>
                  <w:left w:val="single" w:color="auto" w:sz="4" w:space="0"/>
                  <w:bottom w:val="single" w:color="auto" w:sz="4" w:space="0"/>
                  <w:right w:val="single" w:color="auto" w:sz="4" w:space="0"/>
                </w:tcBorders>
                <w:vAlign w:val="center"/>
              </w:tcPr>
              <w:p w14:paraId="5F76BC90">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7E327802">
                <w:pPr>
                  <w:autoSpaceDE w:val="0"/>
                  <w:autoSpaceDN w:val="0"/>
                  <w:adjustRightInd w:val="0"/>
                  <w:jc w:val="right"/>
                  <w:rPr>
                    <w:rFonts w:cs="Times New Roman"/>
                    <w:sz w:val="18"/>
                    <w:szCs w:val="18"/>
                  </w:rPr>
                </w:pPr>
              </w:p>
            </w:tc>
            <w:tc>
              <w:tcPr>
                <w:tcW w:w="678" w:type="pct"/>
                <w:tcBorders>
                  <w:top w:val="single" w:color="auto" w:sz="4" w:space="0"/>
                  <w:left w:val="single" w:color="auto" w:sz="4" w:space="0"/>
                  <w:bottom w:val="single" w:color="auto" w:sz="4" w:space="0"/>
                  <w:right w:val="single" w:color="auto" w:sz="4" w:space="0"/>
                </w:tcBorders>
                <w:vAlign w:val="center"/>
              </w:tcPr>
              <w:p w14:paraId="6D051C5F">
                <w:pPr>
                  <w:autoSpaceDE w:val="0"/>
                  <w:autoSpaceDN w:val="0"/>
                  <w:adjustRightInd w:val="0"/>
                  <w:jc w:val="right"/>
                  <w:rPr>
                    <w:rFonts w:cs="Times New Roman"/>
                    <w:sz w:val="18"/>
                    <w:szCs w:val="18"/>
                  </w:rPr>
                </w:pP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2091036005"/>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2BF9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0E3F0EC1">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1E716B7C">
                <w:pPr>
                  <w:autoSpaceDE w:val="0"/>
                  <w:autoSpaceDN w:val="0"/>
                  <w:adjustRightInd w:val="0"/>
                  <w:rPr>
                    <w:rFonts w:cs="Times New Roman"/>
                    <w:sz w:val="20"/>
                    <w:szCs w:val="20"/>
                  </w:rPr>
                </w:pPr>
              </w:p>
            </w:tc>
            <w:tc>
              <w:tcPr>
                <w:tcW w:w="778" w:type="pct"/>
                <w:tcBorders>
                  <w:top w:val="single" w:color="auto" w:sz="4" w:space="0"/>
                  <w:left w:val="single" w:color="auto" w:sz="4" w:space="0"/>
                  <w:bottom w:val="single" w:color="auto" w:sz="4" w:space="0"/>
                  <w:right w:val="single" w:color="auto" w:sz="4" w:space="0"/>
                </w:tcBorders>
                <w:vAlign w:val="center"/>
              </w:tcPr>
              <w:p w14:paraId="70362F9E">
                <w:pPr>
                  <w:autoSpaceDE w:val="0"/>
                  <w:autoSpaceDN w:val="0"/>
                  <w:adjustRightInd w:val="0"/>
                  <w:jc w:val="right"/>
                  <w:rPr>
                    <w:rFonts w:cs="Times New Roman"/>
                    <w:sz w:val="18"/>
                    <w:szCs w:val="18"/>
                  </w:rPr>
                </w:pPr>
              </w:p>
            </w:tc>
            <w:tc>
              <w:tcPr>
                <w:tcW w:w="724" w:type="pct"/>
                <w:tcBorders>
                  <w:top w:val="single" w:color="auto" w:sz="4" w:space="0"/>
                  <w:left w:val="single" w:color="auto" w:sz="4" w:space="0"/>
                  <w:bottom w:val="single" w:color="auto" w:sz="4" w:space="0"/>
                  <w:right w:val="single" w:color="auto" w:sz="4" w:space="0"/>
                </w:tcBorders>
                <w:vAlign w:val="center"/>
              </w:tcPr>
              <w:p w14:paraId="563E9B43">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405063E1">
                <w:pPr>
                  <w:autoSpaceDE w:val="0"/>
                  <w:autoSpaceDN w:val="0"/>
                  <w:adjustRightInd w:val="0"/>
                  <w:jc w:val="right"/>
                  <w:rPr>
                    <w:rFonts w:cs="Times New Roman"/>
                    <w:sz w:val="18"/>
                    <w:szCs w:val="18"/>
                  </w:rPr>
                </w:pPr>
              </w:p>
            </w:tc>
            <w:tc>
              <w:tcPr>
                <w:tcW w:w="678" w:type="pct"/>
                <w:tcBorders>
                  <w:top w:val="single" w:color="auto" w:sz="4" w:space="0"/>
                  <w:left w:val="single" w:color="auto" w:sz="4" w:space="0"/>
                  <w:bottom w:val="single" w:color="auto" w:sz="4" w:space="0"/>
                  <w:right w:val="single" w:color="auto" w:sz="4" w:space="0"/>
                </w:tcBorders>
                <w:vAlign w:val="center"/>
              </w:tcPr>
              <w:p w14:paraId="6CE9C004">
                <w:pPr>
                  <w:autoSpaceDE w:val="0"/>
                  <w:autoSpaceDN w:val="0"/>
                  <w:adjustRightInd w:val="0"/>
                  <w:jc w:val="right"/>
                  <w:rPr>
                    <w:rFonts w:cs="Times New Roman"/>
                    <w:sz w:val="18"/>
                    <w:szCs w:val="18"/>
                  </w:rPr>
                </w:pP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658725965"/>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5C457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57CD91BC">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201D04A0">
                <w:pPr>
                  <w:autoSpaceDE w:val="0"/>
                  <w:autoSpaceDN w:val="0"/>
                  <w:adjustRightInd w:val="0"/>
                  <w:rPr>
                    <w:rFonts w:cs="Times New Roman"/>
                    <w:sz w:val="20"/>
                    <w:szCs w:val="20"/>
                  </w:rPr>
                </w:pPr>
                <w:r>
                  <w:rPr>
                    <w:rFonts w:cs="Times New Roman"/>
                    <w:sz w:val="20"/>
                    <w:szCs w:val="20"/>
                  </w:rPr>
                  <w:t>新兴铸管股份有限公司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295456C5">
                <w:pPr>
                  <w:autoSpaceDE w:val="0"/>
                  <w:autoSpaceDN w:val="0"/>
                  <w:adjustRightInd w:val="0"/>
                  <w:jc w:val="right"/>
                  <w:rPr>
                    <w:rFonts w:cs="Times New Roman"/>
                    <w:sz w:val="18"/>
                    <w:szCs w:val="18"/>
                  </w:rPr>
                </w:pPr>
                <w:r>
                  <w:rPr>
                    <w:rFonts w:cs="Times New Roman"/>
                    <w:sz w:val="18"/>
                    <w:szCs w:val="18"/>
                  </w:rPr>
                  <w:t>36,454,062.27</w:t>
                </w:r>
              </w:p>
            </w:tc>
            <w:tc>
              <w:tcPr>
                <w:tcW w:w="724" w:type="pct"/>
                <w:tcBorders>
                  <w:top w:val="single" w:color="auto" w:sz="4" w:space="0"/>
                  <w:left w:val="single" w:color="auto" w:sz="4" w:space="0"/>
                  <w:bottom w:val="single" w:color="auto" w:sz="4" w:space="0"/>
                  <w:right w:val="single" w:color="auto" w:sz="4" w:space="0"/>
                </w:tcBorders>
                <w:vAlign w:val="center"/>
              </w:tcPr>
              <w:p w14:paraId="4DC8DB2A">
                <w:pPr>
                  <w:autoSpaceDE w:val="0"/>
                  <w:autoSpaceDN w:val="0"/>
                  <w:adjustRightInd w:val="0"/>
                  <w:jc w:val="right"/>
                  <w:rPr>
                    <w:rFonts w:cs="Times New Roman"/>
                    <w:sz w:val="18"/>
                    <w:szCs w:val="18"/>
                  </w:rPr>
                </w:pPr>
                <w:r>
                  <w:rPr>
                    <w:rFonts w:cs="Times New Roman"/>
                    <w:sz w:val="18"/>
                    <w:szCs w:val="18"/>
                  </w:rPr>
                  <w:t>1,505,315.22</w:t>
                </w:r>
              </w:p>
            </w:tc>
            <w:tc>
              <w:tcPr>
                <w:tcW w:w="809" w:type="pct"/>
                <w:tcBorders>
                  <w:top w:val="single" w:color="auto" w:sz="4" w:space="0"/>
                  <w:left w:val="single" w:color="auto" w:sz="4" w:space="0"/>
                  <w:bottom w:val="single" w:color="auto" w:sz="4" w:space="0"/>
                  <w:right w:val="single" w:color="auto" w:sz="4" w:space="0"/>
                </w:tcBorders>
                <w:vAlign w:val="center"/>
              </w:tcPr>
              <w:p w14:paraId="128672F1">
                <w:pPr>
                  <w:autoSpaceDE w:val="0"/>
                  <w:autoSpaceDN w:val="0"/>
                  <w:adjustRightInd w:val="0"/>
                  <w:jc w:val="right"/>
                  <w:rPr>
                    <w:rFonts w:cs="Times New Roman"/>
                    <w:sz w:val="18"/>
                    <w:szCs w:val="18"/>
                  </w:rPr>
                </w:pPr>
                <w:r>
                  <w:rPr>
                    <w:rFonts w:cs="Times New Roman"/>
                    <w:sz w:val="18"/>
                    <w:szCs w:val="18"/>
                  </w:rPr>
                  <w:t>30,116,091.02</w:t>
                </w:r>
              </w:p>
            </w:tc>
            <w:tc>
              <w:tcPr>
                <w:tcW w:w="678" w:type="pct"/>
                <w:tcBorders>
                  <w:top w:val="single" w:color="auto" w:sz="4" w:space="0"/>
                  <w:left w:val="single" w:color="auto" w:sz="4" w:space="0"/>
                  <w:bottom w:val="single" w:color="auto" w:sz="4" w:space="0"/>
                  <w:right w:val="single" w:color="auto" w:sz="4" w:space="0"/>
                </w:tcBorders>
                <w:vAlign w:val="center"/>
              </w:tcPr>
              <w:p w14:paraId="678BE172">
                <w:pPr>
                  <w:autoSpaceDE w:val="0"/>
                  <w:autoSpaceDN w:val="0"/>
                  <w:adjustRightInd w:val="0"/>
                  <w:jc w:val="right"/>
                  <w:rPr>
                    <w:rFonts w:cs="Times New Roman"/>
                    <w:sz w:val="18"/>
                    <w:szCs w:val="18"/>
                  </w:rPr>
                </w:pPr>
                <w:r>
                  <w:rPr>
                    <w:rFonts w:cs="Times New Roman"/>
                    <w:sz w:val="18"/>
                    <w:szCs w:val="18"/>
                  </w:rPr>
                  <w:t>1,224,305.17</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745955858"/>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43BBA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3FFD8FDB">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76262B7C">
                <w:pPr>
                  <w:autoSpaceDE w:val="0"/>
                  <w:autoSpaceDN w:val="0"/>
                  <w:adjustRightInd w:val="0"/>
                  <w:rPr>
                    <w:rFonts w:cs="Times New Roman"/>
                    <w:sz w:val="20"/>
                    <w:szCs w:val="20"/>
                  </w:rPr>
                </w:pPr>
                <w:r>
                  <w:rPr>
                    <w:rFonts w:cs="Times New Roman"/>
                    <w:sz w:val="20"/>
                    <w:szCs w:val="20"/>
                  </w:rPr>
                  <w:t>辽宁际华三五二三特种装备有限公司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312582B1">
                <w:pPr>
                  <w:autoSpaceDE w:val="0"/>
                  <w:autoSpaceDN w:val="0"/>
                  <w:adjustRightInd w:val="0"/>
                  <w:jc w:val="right"/>
                  <w:rPr>
                    <w:rFonts w:cs="Times New Roman"/>
                    <w:sz w:val="18"/>
                    <w:szCs w:val="18"/>
                  </w:rPr>
                </w:pPr>
                <w:r>
                  <w:rPr>
                    <w:rFonts w:cs="Times New Roman"/>
                    <w:sz w:val="18"/>
                    <w:szCs w:val="18"/>
                  </w:rPr>
                  <w:t>12,701,429.99</w:t>
                </w:r>
              </w:p>
            </w:tc>
            <w:tc>
              <w:tcPr>
                <w:tcW w:w="724" w:type="pct"/>
                <w:tcBorders>
                  <w:top w:val="single" w:color="auto" w:sz="4" w:space="0"/>
                  <w:left w:val="single" w:color="auto" w:sz="4" w:space="0"/>
                  <w:bottom w:val="single" w:color="auto" w:sz="4" w:space="0"/>
                  <w:right w:val="single" w:color="auto" w:sz="4" w:space="0"/>
                </w:tcBorders>
                <w:vAlign w:val="center"/>
              </w:tcPr>
              <w:p w14:paraId="160AE5FA">
                <w:pPr>
                  <w:autoSpaceDE w:val="0"/>
                  <w:autoSpaceDN w:val="0"/>
                  <w:adjustRightInd w:val="0"/>
                  <w:jc w:val="right"/>
                  <w:rPr>
                    <w:rFonts w:cs="Times New Roman"/>
                    <w:sz w:val="18"/>
                    <w:szCs w:val="18"/>
                  </w:rPr>
                </w:pPr>
                <w:r>
                  <w:rPr>
                    <w:rFonts w:cs="Times New Roman"/>
                    <w:sz w:val="18"/>
                    <w:szCs w:val="18"/>
                  </w:rPr>
                  <w:t>4,074,395.15</w:t>
                </w:r>
              </w:p>
            </w:tc>
            <w:tc>
              <w:tcPr>
                <w:tcW w:w="809" w:type="pct"/>
                <w:tcBorders>
                  <w:top w:val="single" w:color="auto" w:sz="4" w:space="0"/>
                  <w:left w:val="single" w:color="auto" w:sz="4" w:space="0"/>
                  <w:bottom w:val="single" w:color="auto" w:sz="4" w:space="0"/>
                  <w:right w:val="single" w:color="auto" w:sz="4" w:space="0"/>
                </w:tcBorders>
                <w:vAlign w:val="center"/>
              </w:tcPr>
              <w:p w14:paraId="4A9F4AF1">
                <w:pPr>
                  <w:autoSpaceDE w:val="0"/>
                  <w:autoSpaceDN w:val="0"/>
                  <w:adjustRightInd w:val="0"/>
                  <w:jc w:val="right"/>
                  <w:rPr>
                    <w:rFonts w:cs="Times New Roman"/>
                    <w:sz w:val="18"/>
                    <w:szCs w:val="18"/>
                  </w:rPr>
                </w:pPr>
                <w:r>
                  <w:rPr>
                    <w:rFonts w:cs="Times New Roman"/>
                    <w:sz w:val="18"/>
                    <w:szCs w:val="18"/>
                  </w:rPr>
                  <w:t>12,701,429.99</w:t>
                </w:r>
              </w:p>
            </w:tc>
            <w:tc>
              <w:tcPr>
                <w:tcW w:w="678" w:type="pct"/>
                <w:tcBorders>
                  <w:top w:val="single" w:color="auto" w:sz="4" w:space="0"/>
                  <w:left w:val="single" w:color="auto" w:sz="4" w:space="0"/>
                  <w:bottom w:val="single" w:color="auto" w:sz="4" w:space="0"/>
                  <w:right w:val="single" w:color="auto" w:sz="4" w:space="0"/>
                </w:tcBorders>
                <w:vAlign w:val="center"/>
              </w:tcPr>
              <w:p w14:paraId="38E4F080">
                <w:pPr>
                  <w:autoSpaceDE w:val="0"/>
                  <w:autoSpaceDN w:val="0"/>
                  <w:adjustRightInd w:val="0"/>
                  <w:jc w:val="right"/>
                  <w:rPr>
                    <w:rFonts w:cs="Times New Roman"/>
                    <w:sz w:val="18"/>
                    <w:szCs w:val="18"/>
                  </w:rPr>
                </w:pPr>
                <w:r>
                  <w:rPr>
                    <w:rFonts w:cs="Times New Roman"/>
                    <w:sz w:val="18"/>
                    <w:szCs w:val="18"/>
                  </w:rPr>
                  <w:t>4,074,395.15</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091853693"/>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4F8C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0864125D">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35D2D69A">
                <w:pPr>
                  <w:autoSpaceDE w:val="0"/>
                  <w:autoSpaceDN w:val="0"/>
                  <w:adjustRightInd w:val="0"/>
                  <w:rPr>
                    <w:rFonts w:cs="Times New Roman"/>
                    <w:sz w:val="20"/>
                    <w:szCs w:val="20"/>
                  </w:rPr>
                </w:pPr>
                <w:r>
                  <w:rPr>
                    <w:rFonts w:cs="Times New Roman"/>
                    <w:sz w:val="20"/>
                    <w:szCs w:val="20"/>
                  </w:rPr>
                  <w:t>新兴际华应急产业有限公司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561D8F7E">
                <w:pPr>
                  <w:autoSpaceDE w:val="0"/>
                  <w:autoSpaceDN w:val="0"/>
                  <w:adjustRightInd w:val="0"/>
                  <w:jc w:val="right"/>
                  <w:rPr>
                    <w:rFonts w:cs="Times New Roman"/>
                    <w:sz w:val="18"/>
                    <w:szCs w:val="18"/>
                  </w:rPr>
                </w:pPr>
                <w:r>
                  <w:rPr>
                    <w:rFonts w:cs="Times New Roman"/>
                    <w:sz w:val="18"/>
                    <w:szCs w:val="18"/>
                  </w:rPr>
                  <w:t>11,252,807.45</w:t>
                </w:r>
              </w:p>
            </w:tc>
            <w:tc>
              <w:tcPr>
                <w:tcW w:w="724" w:type="pct"/>
                <w:tcBorders>
                  <w:top w:val="single" w:color="auto" w:sz="4" w:space="0"/>
                  <w:left w:val="single" w:color="auto" w:sz="4" w:space="0"/>
                  <w:bottom w:val="single" w:color="auto" w:sz="4" w:space="0"/>
                  <w:right w:val="single" w:color="auto" w:sz="4" w:space="0"/>
                </w:tcBorders>
                <w:vAlign w:val="center"/>
              </w:tcPr>
              <w:p w14:paraId="1613F7A5">
                <w:pPr>
                  <w:autoSpaceDE w:val="0"/>
                  <w:autoSpaceDN w:val="0"/>
                  <w:adjustRightInd w:val="0"/>
                  <w:jc w:val="right"/>
                  <w:rPr>
                    <w:rFonts w:cs="Times New Roman"/>
                    <w:sz w:val="18"/>
                    <w:szCs w:val="18"/>
                  </w:rPr>
                </w:pPr>
                <w:r>
                  <w:rPr>
                    <w:rFonts w:cs="Times New Roman"/>
                    <w:sz w:val="18"/>
                    <w:szCs w:val="18"/>
                  </w:rPr>
                  <w:t>1,794,605.71</w:t>
                </w:r>
              </w:p>
            </w:tc>
            <w:tc>
              <w:tcPr>
                <w:tcW w:w="809" w:type="pct"/>
                <w:tcBorders>
                  <w:top w:val="single" w:color="auto" w:sz="4" w:space="0"/>
                  <w:left w:val="single" w:color="auto" w:sz="4" w:space="0"/>
                  <w:bottom w:val="single" w:color="auto" w:sz="4" w:space="0"/>
                  <w:right w:val="single" w:color="auto" w:sz="4" w:space="0"/>
                </w:tcBorders>
                <w:vAlign w:val="center"/>
              </w:tcPr>
              <w:p w14:paraId="1C937BBB">
                <w:pPr>
                  <w:autoSpaceDE w:val="0"/>
                  <w:autoSpaceDN w:val="0"/>
                  <w:adjustRightInd w:val="0"/>
                  <w:jc w:val="right"/>
                  <w:rPr>
                    <w:rFonts w:cs="Times New Roman"/>
                    <w:sz w:val="18"/>
                    <w:szCs w:val="18"/>
                  </w:rPr>
                </w:pPr>
                <w:r>
                  <w:rPr>
                    <w:rFonts w:cs="Times New Roman"/>
                    <w:sz w:val="18"/>
                    <w:szCs w:val="18"/>
                  </w:rPr>
                  <w:t>9,289,778.56</w:t>
                </w:r>
              </w:p>
            </w:tc>
            <w:tc>
              <w:tcPr>
                <w:tcW w:w="678" w:type="pct"/>
                <w:tcBorders>
                  <w:top w:val="single" w:color="auto" w:sz="4" w:space="0"/>
                  <w:left w:val="single" w:color="auto" w:sz="4" w:space="0"/>
                  <w:bottom w:val="single" w:color="auto" w:sz="4" w:space="0"/>
                  <w:right w:val="single" w:color="auto" w:sz="4" w:space="0"/>
                </w:tcBorders>
                <w:vAlign w:val="center"/>
              </w:tcPr>
              <w:p w14:paraId="76E67091">
                <w:pPr>
                  <w:autoSpaceDE w:val="0"/>
                  <w:autoSpaceDN w:val="0"/>
                  <w:adjustRightInd w:val="0"/>
                  <w:jc w:val="right"/>
                  <w:rPr>
                    <w:rFonts w:cs="Times New Roman"/>
                    <w:sz w:val="18"/>
                    <w:szCs w:val="18"/>
                  </w:rPr>
                </w:pPr>
                <w:r>
                  <w:rPr>
                    <w:rFonts w:cs="Times New Roman"/>
                    <w:sz w:val="18"/>
                    <w:szCs w:val="18"/>
                  </w:rPr>
                  <w:t>1,712,161.30</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329438520"/>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2DD8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079BFB8C">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3B017945">
                <w:pPr>
                  <w:autoSpaceDE w:val="0"/>
                  <w:autoSpaceDN w:val="0"/>
                  <w:adjustRightInd w:val="0"/>
                  <w:rPr>
                    <w:rFonts w:cs="Times New Roman"/>
                    <w:sz w:val="20"/>
                    <w:szCs w:val="20"/>
                  </w:rPr>
                </w:pPr>
                <w:r>
                  <w:rPr>
                    <w:rFonts w:cs="Times New Roman"/>
                    <w:sz w:val="20"/>
                    <w:szCs w:val="20"/>
                  </w:rPr>
                  <w:t>新兴际华应急装备技术有限公司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7DA05145">
                <w:pPr>
                  <w:autoSpaceDE w:val="0"/>
                  <w:autoSpaceDN w:val="0"/>
                  <w:adjustRightInd w:val="0"/>
                  <w:jc w:val="right"/>
                  <w:rPr>
                    <w:rFonts w:cs="Times New Roman"/>
                    <w:sz w:val="18"/>
                    <w:szCs w:val="18"/>
                  </w:rPr>
                </w:pPr>
                <w:r>
                  <w:rPr>
                    <w:rFonts w:cs="Times New Roman"/>
                    <w:sz w:val="18"/>
                    <w:szCs w:val="18"/>
                  </w:rPr>
                  <w:t>4,013,890.20</w:t>
                </w:r>
              </w:p>
            </w:tc>
            <w:tc>
              <w:tcPr>
                <w:tcW w:w="724" w:type="pct"/>
                <w:tcBorders>
                  <w:top w:val="single" w:color="auto" w:sz="4" w:space="0"/>
                  <w:left w:val="single" w:color="auto" w:sz="4" w:space="0"/>
                  <w:bottom w:val="single" w:color="auto" w:sz="4" w:space="0"/>
                  <w:right w:val="single" w:color="auto" w:sz="4" w:space="0"/>
                </w:tcBorders>
                <w:vAlign w:val="center"/>
              </w:tcPr>
              <w:p w14:paraId="02816904">
                <w:pPr>
                  <w:autoSpaceDE w:val="0"/>
                  <w:autoSpaceDN w:val="0"/>
                  <w:adjustRightInd w:val="0"/>
                  <w:jc w:val="right"/>
                  <w:rPr>
                    <w:rFonts w:cs="Times New Roman"/>
                    <w:sz w:val="18"/>
                    <w:szCs w:val="18"/>
                  </w:rPr>
                </w:pPr>
                <w:r>
                  <w:rPr>
                    <w:rFonts w:cs="Times New Roman"/>
                    <w:sz w:val="18"/>
                    <w:szCs w:val="18"/>
                  </w:rPr>
                  <w:t>162,634.68</w:t>
                </w:r>
              </w:p>
            </w:tc>
            <w:tc>
              <w:tcPr>
                <w:tcW w:w="809" w:type="pct"/>
                <w:tcBorders>
                  <w:top w:val="single" w:color="auto" w:sz="4" w:space="0"/>
                  <w:left w:val="single" w:color="auto" w:sz="4" w:space="0"/>
                  <w:bottom w:val="single" w:color="auto" w:sz="4" w:space="0"/>
                  <w:right w:val="single" w:color="auto" w:sz="4" w:space="0"/>
                </w:tcBorders>
                <w:vAlign w:val="center"/>
              </w:tcPr>
              <w:p w14:paraId="1246B780">
                <w:pPr>
                  <w:autoSpaceDE w:val="0"/>
                  <w:autoSpaceDN w:val="0"/>
                  <w:adjustRightInd w:val="0"/>
                  <w:jc w:val="right"/>
                  <w:rPr>
                    <w:rFonts w:cs="Times New Roman"/>
                    <w:sz w:val="18"/>
                    <w:szCs w:val="18"/>
                  </w:rPr>
                </w:pPr>
                <w:r>
                  <w:rPr>
                    <w:rFonts w:cs="Times New Roman"/>
                    <w:sz w:val="18"/>
                    <w:szCs w:val="18"/>
                  </w:rPr>
                  <w:t>3,426,191.20</w:t>
                </w:r>
              </w:p>
            </w:tc>
            <w:tc>
              <w:tcPr>
                <w:tcW w:w="678" w:type="pct"/>
                <w:tcBorders>
                  <w:top w:val="single" w:color="auto" w:sz="4" w:space="0"/>
                  <w:left w:val="single" w:color="auto" w:sz="4" w:space="0"/>
                  <w:bottom w:val="single" w:color="auto" w:sz="4" w:space="0"/>
                  <w:right w:val="single" w:color="auto" w:sz="4" w:space="0"/>
                </w:tcBorders>
                <w:vAlign w:val="center"/>
              </w:tcPr>
              <w:p w14:paraId="77FA17B6">
                <w:pPr>
                  <w:autoSpaceDE w:val="0"/>
                  <w:autoSpaceDN w:val="0"/>
                  <w:adjustRightInd w:val="0"/>
                  <w:jc w:val="right"/>
                  <w:rPr>
                    <w:rFonts w:cs="Times New Roman"/>
                    <w:sz w:val="18"/>
                    <w:szCs w:val="18"/>
                  </w:rPr>
                </w:pPr>
                <w:r>
                  <w:rPr>
                    <w:rFonts w:cs="Times New Roman"/>
                    <w:sz w:val="18"/>
                    <w:szCs w:val="18"/>
                  </w:rPr>
                  <w:t>142,735.38</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2083674859"/>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5F89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51609CB5">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297DED9F">
                <w:pPr>
                  <w:autoSpaceDE w:val="0"/>
                  <w:autoSpaceDN w:val="0"/>
                  <w:adjustRightInd w:val="0"/>
                  <w:rPr>
                    <w:rFonts w:cs="Times New Roman"/>
                    <w:sz w:val="20"/>
                    <w:szCs w:val="20"/>
                  </w:rPr>
                </w:pPr>
                <w:r>
                  <w:rPr>
                    <w:rFonts w:cs="Times New Roman"/>
                    <w:sz w:val="20"/>
                    <w:szCs w:val="20"/>
                  </w:rPr>
                  <w:t>新兴铸管（埃及）股份有限公司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0DA778DF">
                <w:pPr>
                  <w:autoSpaceDE w:val="0"/>
                  <w:autoSpaceDN w:val="0"/>
                  <w:adjustRightInd w:val="0"/>
                  <w:jc w:val="right"/>
                  <w:rPr>
                    <w:rFonts w:cs="Times New Roman"/>
                    <w:sz w:val="18"/>
                    <w:szCs w:val="18"/>
                  </w:rPr>
                </w:pPr>
                <w:r>
                  <w:rPr>
                    <w:rFonts w:cs="Times New Roman"/>
                    <w:sz w:val="18"/>
                    <w:szCs w:val="18"/>
                  </w:rPr>
                  <w:t>3,594,596.00</w:t>
                </w:r>
              </w:p>
            </w:tc>
            <w:tc>
              <w:tcPr>
                <w:tcW w:w="724" w:type="pct"/>
                <w:tcBorders>
                  <w:top w:val="single" w:color="auto" w:sz="4" w:space="0"/>
                  <w:left w:val="single" w:color="auto" w:sz="4" w:space="0"/>
                  <w:bottom w:val="single" w:color="auto" w:sz="4" w:space="0"/>
                  <w:right w:val="single" w:color="auto" w:sz="4" w:space="0"/>
                </w:tcBorders>
                <w:vAlign w:val="center"/>
              </w:tcPr>
              <w:p w14:paraId="2DA53C49">
                <w:pPr>
                  <w:autoSpaceDE w:val="0"/>
                  <w:autoSpaceDN w:val="0"/>
                  <w:adjustRightInd w:val="0"/>
                  <w:jc w:val="right"/>
                  <w:rPr>
                    <w:rFonts w:cs="Times New Roman"/>
                    <w:sz w:val="18"/>
                    <w:szCs w:val="18"/>
                  </w:rPr>
                </w:pPr>
                <w:r>
                  <w:rPr>
                    <w:rFonts w:cs="Times New Roman"/>
                    <w:sz w:val="18"/>
                    <w:szCs w:val="18"/>
                  </w:rPr>
                  <w:t>145,645.73</w:t>
                </w:r>
              </w:p>
            </w:tc>
            <w:tc>
              <w:tcPr>
                <w:tcW w:w="809" w:type="pct"/>
                <w:tcBorders>
                  <w:top w:val="single" w:color="auto" w:sz="4" w:space="0"/>
                  <w:left w:val="single" w:color="auto" w:sz="4" w:space="0"/>
                  <w:bottom w:val="single" w:color="auto" w:sz="4" w:space="0"/>
                  <w:right w:val="single" w:color="auto" w:sz="4" w:space="0"/>
                </w:tcBorders>
                <w:vAlign w:val="center"/>
              </w:tcPr>
              <w:p w14:paraId="09F6D5F2">
                <w:pPr>
                  <w:autoSpaceDE w:val="0"/>
                  <w:autoSpaceDN w:val="0"/>
                  <w:adjustRightInd w:val="0"/>
                  <w:jc w:val="right"/>
                  <w:rPr>
                    <w:rFonts w:cs="Times New Roman"/>
                    <w:sz w:val="18"/>
                    <w:szCs w:val="18"/>
                  </w:rPr>
                </w:pPr>
              </w:p>
            </w:tc>
            <w:tc>
              <w:tcPr>
                <w:tcW w:w="678" w:type="pct"/>
                <w:tcBorders>
                  <w:top w:val="single" w:color="auto" w:sz="4" w:space="0"/>
                  <w:left w:val="single" w:color="auto" w:sz="4" w:space="0"/>
                  <w:bottom w:val="single" w:color="auto" w:sz="4" w:space="0"/>
                  <w:right w:val="single" w:color="auto" w:sz="4" w:space="0"/>
                </w:tcBorders>
                <w:vAlign w:val="center"/>
              </w:tcPr>
              <w:p w14:paraId="31C0F165">
                <w:pPr>
                  <w:autoSpaceDE w:val="0"/>
                  <w:autoSpaceDN w:val="0"/>
                  <w:adjustRightInd w:val="0"/>
                  <w:jc w:val="right"/>
                  <w:rPr>
                    <w:rFonts w:cs="Times New Roman"/>
                    <w:sz w:val="18"/>
                    <w:szCs w:val="18"/>
                  </w:rPr>
                </w:pP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990240012"/>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5757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53E3115A">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2BDBF284">
                <w:pPr>
                  <w:autoSpaceDE w:val="0"/>
                  <w:autoSpaceDN w:val="0"/>
                  <w:adjustRightInd w:val="0"/>
                  <w:rPr>
                    <w:rFonts w:cs="Times New Roman"/>
                    <w:sz w:val="20"/>
                    <w:szCs w:val="20"/>
                  </w:rPr>
                </w:pPr>
                <w:r>
                  <w:rPr>
                    <w:rFonts w:cs="Times New Roman"/>
                    <w:sz w:val="20"/>
                    <w:szCs w:val="20"/>
                  </w:rPr>
                  <w:t>聚联智汇水务科技有限公司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0D714012">
                <w:pPr>
                  <w:autoSpaceDE w:val="0"/>
                  <w:autoSpaceDN w:val="0"/>
                  <w:adjustRightInd w:val="0"/>
                  <w:jc w:val="right"/>
                  <w:rPr>
                    <w:rFonts w:cs="Times New Roman"/>
                    <w:sz w:val="18"/>
                    <w:szCs w:val="18"/>
                  </w:rPr>
                </w:pPr>
                <w:r>
                  <w:rPr>
                    <w:rFonts w:cs="Times New Roman"/>
                    <w:sz w:val="18"/>
                    <w:szCs w:val="18"/>
                  </w:rPr>
                  <w:t>2,931,412.91</w:t>
                </w:r>
              </w:p>
            </w:tc>
            <w:tc>
              <w:tcPr>
                <w:tcW w:w="724" w:type="pct"/>
                <w:tcBorders>
                  <w:top w:val="single" w:color="auto" w:sz="4" w:space="0"/>
                  <w:left w:val="single" w:color="auto" w:sz="4" w:space="0"/>
                  <w:bottom w:val="single" w:color="auto" w:sz="4" w:space="0"/>
                  <w:right w:val="single" w:color="auto" w:sz="4" w:space="0"/>
                </w:tcBorders>
                <w:vAlign w:val="center"/>
              </w:tcPr>
              <w:p w14:paraId="6F541993">
                <w:pPr>
                  <w:autoSpaceDE w:val="0"/>
                  <w:autoSpaceDN w:val="0"/>
                  <w:adjustRightInd w:val="0"/>
                  <w:jc w:val="right"/>
                  <w:rPr>
                    <w:rFonts w:cs="Times New Roman"/>
                    <w:sz w:val="18"/>
                    <w:szCs w:val="18"/>
                  </w:rPr>
                </w:pPr>
                <w:r>
                  <w:rPr>
                    <w:rFonts w:cs="Times New Roman"/>
                    <w:sz w:val="18"/>
                    <w:szCs w:val="18"/>
                  </w:rPr>
                  <w:t>118,774.90</w:t>
                </w:r>
              </w:p>
            </w:tc>
            <w:tc>
              <w:tcPr>
                <w:tcW w:w="809" w:type="pct"/>
                <w:tcBorders>
                  <w:top w:val="single" w:color="auto" w:sz="4" w:space="0"/>
                  <w:left w:val="single" w:color="auto" w:sz="4" w:space="0"/>
                  <w:bottom w:val="single" w:color="auto" w:sz="4" w:space="0"/>
                  <w:right w:val="single" w:color="auto" w:sz="4" w:space="0"/>
                </w:tcBorders>
                <w:vAlign w:val="center"/>
              </w:tcPr>
              <w:p w14:paraId="76415478">
                <w:pPr>
                  <w:autoSpaceDE w:val="0"/>
                  <w:autoSpaceDN w:val="0"/>
                  <w:adjustRightInd w:val="0"/>
                  <w:jc w:val="right"/>
                  <w:rPr>
                    <w:rFonts w:cs="Times New Roman"/>
                    <w:sz w:val="18"/>
                    <w:szCs w:val="18"/>
                  </w:rPr>
                </w:pPr>
                <w:r>
                  <w:rPr>
                    <w:rFonts w:cs="Times New Roman"/>
                    <w:sz w:val="18"/>
                    <w:szCs w:val="18"/>
                  </w:rPr>
                  <w:t>5,018,296.35</w:t>
                </w:r>
              </w:p>
            </w:tc>
            <w:tc>
              <w:tcPr>
                <w:tcW w:w="678" w:type="pct"/>
                <w:tcBorders>
                  <w:top w:val="single" w:color="auto" w:sz="4" w:space="0"/>
                  <w:left w:val="single" w:color="auto" w:sz="4" w:space="0"/>
                  <w:bottom w:val="single" w:color="auto" w:sz="4" w:space="0"/>
                  <w:right w:val="single" w:color="auto" w:sz="4" w:space="0"/>
                </w:tcBorders>
                <w:vAlign w:val="center"/>
              </w:tcPr>
              <w:p w14:paraId="6F2DB8D4">
                <w:pPr>
                  <w:autoSpaceDE w:val="0"/>
                  <w:autoSpaceDN w:val="0"/>
                  <w:adjustRightInd w:val="0"/>
                  <w:jc w:val="right"/>
                  <w:rPr>
                    <w:rFonts w:cs="Times New Roman"/>
                    <w:sz w:val="18"/>
                    <w:szCs w:val="18"/>
                  </w:rPr>
                </w:pPr>
                <w:r>
                  <w:rPr>
                    <w:rFonts w:cs="Times New Roman"/>
                    <w:sz w:val="18"/>
                    <w:szCs w:val="18"/>
                  </w:rPr>
                  <w:t>203,331.18</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532116909"/>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48C5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30E668F6">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03FA63C5">
                <w:pPr>
                  <w:autoSpaceDE w:val="0"/>
                  <w:autoSpaceDN w:val="0"/>
                  <w:adjustRightInd w:val="0"/>
                  <w:rPr>
                    <w:rFonts w:cs="Times New Roman"/>
                    <w:sz w:val="20"/>
                    <w:szCs w:val="20"/>
                  </w:rPr>
                </w:pPr>
                <w:r>
                  <w:rPr>
                    <w:rFonts w:cs="Times New Roman"/>
                    <w:sz w:val="20"/>
                    <w:szCs w:val="20"/>
                  </w:rPr>
                  <w:t>秦皇岛际华三五四四鞋业有限公司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49EE44BD">
                <w:pPr>
                  <w:autoSpaceDE w:val="0"/>
                  <w:autoSpaceDN w:val="0"/>
                  <w:adjustRightInd w:val="0"/>
                  <w:jc w:val="right"/>
                  <w:rPr>
                    <w:rFonts w:cs="Times New Roman"/>
                    <w:sz w:val="18"/>
                    <w:szCs w:val="18"/>
                  </w:rPr>
                </w:pPr>
                <w:r>
                  <w:rPr>
                    <w:rFonts w:cs="Times New Roman"/>
                    <w:sz w:val="18"/>
                    <w:szCs w:val="18"/>
                  </w:rPr>
                  <w:t>1,985,745.05</w:t>
                </w:r>
              </w:p>
            </w:tc>
            <w:tc>
              <w:tcPr>
                <w:tcW w:w="724" w:type="pct"/>
                <w:tcBorders>
                  <w:top w:val="single" w:color="auto" w:sz="4" w:space="0"/>
                  <w:left w:val="single" w:color="auto" w:sz="4" w:space="0"/>
                  <w:bottom w:val="single" w:color="auto" w:sz="4" w:space="0"/>
                  <w:right w:val="single" w:color="auto" w:sz="4" w:space="0"/>
                </w:tcBorders>
                <w:vAlign w:val="center"/>
              </w:tcPr>
              <w:p w14:paraId="01939B92">
                <w:pPr>
                  <w:autoSpaceDE w:val="0"/>
                  <w:autoSpaceDN w:val="0"/>
                  <w:adjustRightInd w:val="0"/>
                  <w:jc w:val="right"/>
                  <w:rPr>
                    <w:rFonts w:cs="Times New Roman"/>
                    <w:sz w:val="18"/>
                    <w:szCs w:val="18"/>
                  </w:rPr>
                </w:pPr>
                <w:r>
                  <w:rPr>
                    <w:rFonts w:cs="Times New Roman"/>
                    <w:sz w:val="18"/>
                    <w:szCs w:val="18"/>
                  </w:rPr>
                  <w:t>756,692.75</w:t>
                </w:r>
              </w:p>
            </w:tc>
            <w:tc>
              <w:tcPr>
                <w:tcW w:w="809" w:type="pct"/>
                <w:tcBorders>
                  <w:top w:val="single" w:color="auto" w:sz="4" w:space="0"/>
                  <w:left w:val="single" w:color="auto" w:sz="4" w:space="0"/>
                  <w:bottom w:val="single" w:color="auto" w:sz="4" w:space="0"/>
                  <w:right w:val="single" w:color="auto" w:sz="4" w:space="0"/>
                </w:tcBorders>
                <w:vAlign w:val="center"/>
              </w:tcPr>
              <w:p w14:paraId="3756B7CA">
                <w:pPr>
                  <w:autoSpaceDE w:val="0"/>
                  <w:autoSpaceDN w:val="0"/>
                  <w:adjustRightInd w:val="0"/>
                  <w:jc w:val="right"/>
                  <w:rPr>
                    <w:rFonts w:cs="Times New Roman"/>
                    <w:sz w:val="18"/>
                    <w:szCs w:val="18"/>
                  </w:rPr>
                </w:pPr>
                <w:r>
                  <w:rPr>
                    <w:rFonts w:cs="Times New Roman"/>
                    <w:sz w:val="18"/>
                    <w:szCs w:val="18"/>
                  </w:rPr>
                  <w:t>1,985,745.05</w:t>
                </w:r>
              </w:p>
            </w:tc>
            <w:tc>
              <w:tcPr>
                <w:tcW w:w="678" w:type="pct"/>
                <w:tcBorders>
                  <w:top w:val="single" w:color="auto" w:sz="4" w:space="0"/>
                  <w:left w:val="single" w:color="auto" w:sz="4" w:space="0"/>
                  <w:bottom w:val="single" w:color="auto" w:sz="4" w:space="0"/>
                  <w:right w:val="single" w:color="auto" w:sz="4" w:space="0"/>
                </w:tcBorders>
                <w:vAlign w:val="center"/>
              </w:tcPr>
              <w:p w14:paraId="43259359">
                <w:pPr>
                  <w:autoSpaceDE w:val="0"/>
                  <w:autoSpaceDN w:val="0"/>
                  <w:adjustRightInd w:val="0"/>
                  <w:jc w:val="right"/>
                  <w:rPr>
                    <w:rFonts w:cs="Times New Roman"/>
                    <w:sz w:val="18"/>
                    <w:szCs w:val="18"/>
                  </w:rPr>
                </w:pPr>
                <w:r>
                  <w:rPr>
                    <w:rFonts w:cs="Times New Roman"/>
                    <w:sz w:val="18"/>
                    <w:szCs w:val="18"/>
                  </w:rPr>
                  <w:t>756,692.75</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332072199"/>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515E4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22DC4F4B">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30D3627F">
                <w:pPr>
                  <w:autoSpaceDE w:val="0"/>
                  <w:autoSpaceDN w:val="0"/>
                  <w:adjustRightInd w:val="0"/>
                  <w:rPr>
                    <w:rFonts w:cs="Times New Roman"/>
                    <w:sz w:val="20"/>
                    <w:szCs w:val="20"/>
                  </w:rPr>
                </w:pPr>
                <w:r>
                  <w:rPr>
                    <w:rFonts w:cs="Times New Roman"/>
                    <w:sz w:val="20"/>
                    <w:szCs w:val="20"/>
                  </w:rPr>
                  <w:t>新兴际华（北京）应急救援科技有限公司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66C29764">
                <w:pPr>
                  <w:autoSpaceDE w:val="0"/>
                  <w:autoSpaceDN w:val="0"/>
                  <w:adjustRightInd w:val="0"/>
                  <w:jc w:val="right"/>
                  <w:rPr>
                    <w:rFonts w:cs="Times New Roman"/>
                    <w:sz w:val="18"/>
                    <w:szCs w:val="18"/>
                  </w:rPr>
                </w:pPr>
                <w:r>
                  <w:rPr>
                    <w:rFonts w:cs="Times New Roman"/>
                    <w:sz w:val="18"/>
                    <w:szCs w:val="18"/>
                  </w:rPr>
                  <w:t>1,659,360.00</w:t>
                </w:r>
              </w:p>
            </w:tc>
            <w:tc>
              <w:tcPr>
                <w:tcW w:w="724" w:type="pct"/>
                <w:tcBorders>
                  <w:top w:val="single" w:color="auto" w:sz="4" w:space="0"/>
                  <w:left w:val="single" w:color="auto" w:sz="4" w:space="0"/>
                  <w:bottom w:val="single" w:color="auto" w:sz="4" w:space="0"/>
                  <w:right w:val="single" w:color="auto" w:sz="4" w:space="0"/>
                </w:tcBorders>
                <w:vAlign w:val="center"/>
              </w:tcPr>
              <w:p w14:paraId="5DD20624">
                <w:pPr>
                  <w:autoSpaceDE w:val="0"/>
                  <w:autoSpaceDN w:val="0"/>
                  <w:adjustRightInd w:val="0"/>
                  <w:jc w:val="right"/>
                  <w:rPr>
                    <w:rFonts w:cs="Times New Roman"/>
                    <w:sz w:val="18"/>
                    <w:szCs w:val="18"/>
                  </w:rPr>
                </w:pPr>
                <w:r>
                  <w:rPr>
                    <w:rFonts w:cs="Times New Roman"/>
                    <w:sz w:val="18"/>
                    <w:szCs w:val="18"/>
                  </w:rPr>
                  <w:t>303,650.94</w:t>
                </w:r>
              </w:p>
            </w:tc>
            <w:tc>
              <w:tcPr>
                <w:tcW w:w="809" w:type="pct"/>
                <w:tcBorders>
                  <w:top w:val="single" w:color="auto" w:sz="4" w:space="0"/>
                  <w:left w:val="single" w:color="auto" w:sz="4" w:space="0"/>
                  <w:bottom w:val="single" w:color="auto" w:sz="4" w:space="0"/>
                  <w:right w:val="single" w:color="auto" w:sz="4" w:space="0"/>
                </w:tcBorders>
                <w:vAlign w:val="center"/>
              </w:tcPr>
              <w:p w14:paraId="575CF9E7">
                <w:pPr>
                  <w:autoSpaceDE w:val="0"/>
                  <w:autoSpaceDN w:val="0"/>
                  <w:adjustRightInd w:val="0"/>
                  <w:jc w:val="right"/>
                  <w:rPr>
                    <w:rFonts w:cs="Times New Roman"/>
                    <w:sz w:val="18"/>
                    <w:szCs w:val="18"/>
                  </w:rPr>
                </w:pPr>
                <w:r>
                  <w:rPr>
                    <w:rFonts w:cs="Times New Roman"/>
                    <w:sz w:val="18"/>
                    <w:szCs w:val="18"/>
                  </w:rPr>
                  <w:t>1,659,360.00</w:t>
                </w:r>
              </w:p>
            </w:tc>
            <w:tc>
              <w:tcPr>
                <w:tcW w:w="678" w:type="pct"/>
                <w:tcBorders>
                  <w:top w:val="single" w:color="auto" w:sz="4" w:space="0"/>
                  <w:left w:val="single" w:color="auto" w:sz="4" w:space="0"/>
                  <w:bottom w:val="single" w:color="auto" w:sz="4" w:space="0"/>
                  <w:right w:val="single" w:color="auto" w:sz="4" w:space="0"/>
                </w:tcBorders>
                <w:vAlign w:val="center"/>
              </w:tcPr>
              <w:p w14:paraId="6D551821">
                <w:pPr>
                  <w:autoSpaceDE w:val="0"/>
                  <w:autoSpaceDN w:val="0"/>
                  <w:adjustRightInd w:val="0"/>
                  <w:jc w:val="right"/>
                  <w:rPr>
                    <w:rFonts w:cs="Times New Roman"/>
                    <w:sz w:val="18"/>
                    <w:szCs w:val="18"/>
                  </w:rPr>
                </w:pPr>
                <w:r>
                  <w:rPr>
                    <w:rFonts w:cs="Times New Roman"/>
                    <w:sz w:val="18"/>
                    <w:szCs w:val="18"/>
                  </w:rPr>
                  <w:t>67,233.90</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2099859419"/>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44D37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3ADFA302">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5653192E">
                <w:pPr>
                  <w:autoSpaceDE w:val="0"/>
                  <w:autoSpaceDN w:val="0"/>
                  <w:adjustRightInd w:val="0"/>
                  <w:rPr>
                    <w:rFonts w:cs="Times New Roman"/>
                    <w:sz w:val="20"/>
                    <w:szCs w:val="20"/>
                  </w:rPr>
                </w:pPr>
                <w:r>
                  <w:rPr>
                    <w:rFonts w:cs="Times New Roman"/>
                    <w:sz w:val="20"/>
                    <w:szCs w:val="20"/>
                  </w:rPr>
                  <w:t>济南泰山鞋厂</w:t>
                </w:r>
              </w:p>
            </w:tc>
            <w:tc>
              <w:tcPr>
                <w:tcW w:w="778" w:type="pct"/>
                <w:tcBorders>
                  <w:top w:val="single" w:color="auto" w:sz="4" w:space="0"/>
                  <w:left w:val="single" w:color="auto" w:sz="4" w:space="0"/>
                  <w:bottom w:val="single" w:color="auto" w:sz="4" w:space="0"/>
                  <w:right w:val="single" w:color="auto" w:sz="4" w:space="0"/>
                </w:tcBorders>
                <w:vAlign w:val="center"/>
              </w:tcPr>
              <w:p w14:paraId="57D066E6">
                <w:pPr>
                  <w:autoSpaceDE w:val="0"/>
                  <w:autoSpaceDN w:val="0"/>
                  <w:adjustRightInd w:val="0"/>
                  <w:jc w:val="right"/>
                  <w:rPr>
                    <w:rFonts w:cs="Times New Roman"/>
                    <w:sz w:val="18"/>
                    <w:szCs w:val="18"/>
                  </w:rPr>
                </w:pPr>
                <w:r>
                  <w:rPr>
                    <w:rFonts w:cs="Times New Roman"/>
                    <w:sz w:val="18"/>
                    <w:szCs w:val="18"/>
                  </w:rPr>
                  <w:t>1,620,892.33</w:t>
                </w:r>
              </w:p>
            </w:tc>
            <w:tc>
              <w:tcPr>
                <w:tcW w:w="724" w:type="pct"/>
                <w:tcBorders>
                  <w:top w:val="single" w:color="auto" w:sz="4" w:space="0"/>
                  <w:left w:val="single" w:color="auto" w:sz="4" w:space="0"/>
                  <w:bottom w:val="single" w:color="auto" w:sz="4" w:space="0"/>
                  <w:right w:val="single" w:color="auto" w:sz="4" w:space="0"/>
                </w:tcBorders>
                <w:vAlign w:val="center"/>
              </w:tcPr>
              <w:p w14:paraId="3762BC90">
                <w:pPr>
                  <w:autoSpaceDE w:val="0"/>
                  <w:autoSpaceDN w:val="0"/>
                  <w:adjustRightInd w:val="0"/>
                  <w:jc w:val="right"/>
                  <w:rPr>
                    <w:rFonts w:cs="Times New Roman"/>
                    <w:sz w:val="18"/>
                    <w:szCs w:val="18"/>
                  </w:rPr>
                </w:pPr>
                <w:r>
                  <w:rPr>
                    <w:rFonts w:cs="Times New Roman"/>
                    <w:sz w:val="18"/>
                    <w:szCs w:val="18"/>
                  </w:rPr>
                  <w:t>1,620,892.33</w:t>
                </w:r>
              </w:p>
            </w:tc>
            <w:tc>
              <w:tcPr>
                <w:tcW w:w="809" w:type="pct"/>
                <w:tcBorders>
                  <w:top w:val="single" w:color="auto" w:sz="4" w:space="0"/>
                  <w:left w:val="single" w:color="auto" w:sz="4" w:space="0"/>
                  <w:bottom w:val="single" w:color="auto" w:sz="4" w:space="0"/>
                  <w:right w:val="single" w:color="auto" w:sz="4" w:space="0"/>
                </w:tcBorders>
                <w:vAlign w:val="center"/>
              </w:tcPr>
              <w:p w14:paraId="49794420">
                <w:pPr>
                  <w:autoSpaceDE w:val="0"/>
                  <w:autoSpaceDN w:val="0"/>
                  <w:adjustRightInd w:val="0"/>
                  <w:jc w:val="right"/>
                  <w:rPr>
                    <w:rFonts w:cs="Times New Roman"/>
                    <w:sz w:val="18"/>
                    <w:szCs w:val="18"/>
                  </w:rPr>
                </w:pPr>
                <w:r>
                  <w:rPr>
                    <w:rFonts w:cs="Times New Roman"/>
                    <w:sz w:val="18"/>
                    <w:szCs w:val="18"/>
                  </w:rPr>
                  <w:t>1,620,892.33</w:t>
                </w:r>
              </w:p>
            </w:tc>
            <w:tc>
              <w:tcPr>
                <w:tcW w:w="678" w:type="pct"/>
                <w:tcBorders>
                  <w:top w:val="single" w:color="auto" w:sz="4" w:space="0"/>
                  <w:left w:val="single" w:color="auto" w:sz="4" w:space="0"/>
                  <w:bottom w:val="single" w:color="auto" w:sz="4" w:space="0"/>
                  <w:right w:val="single" w:color="auto" w:sz="4" w:space="0"/>
                </w:tcBorders>
                <w:vAlign w:val="center"/>
              </w:tcPr>
              <w:p w14:paraId="59CE1091">
                <w:pPr>
                  <w:autoSpaceDE w:val="0"/>
                  <w:autoSpaceDN w:val="0"/>
                  <w:adjustRightInd w:val="0"/>
                  <w:jc w:val="right"/>
                  <w:rPr>
                    <w:rFonts w:cs="Times New Roman"/>
                    <w:sz w:val="18"/>
                    <w:szCs w:val="18"/>
                  </w:rPr>
                </w:pPr>
                <w:r>
                  <w:rPr>
                    <w:rFonts w:cs="Times New Roman"/>
                    <w:sz w:val="18"/>
                    <w:szCs w:val="18"/>
                  </w:rPr>
                  <w:t>1,620,892.33</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868454740"/>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2271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2DDD9808">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2553C168">
                <w:pPr>
                  <w:autoSpaceDE w:val="0"/>
                  <w:autoSpaceDN w:val="0"/>
                  <w:adjustRightInd w:val="0"/>
                  <w:rPr>
                    <w:rFonts w:cs="Times New Roman"/>
                    <w:sz w:val="20"/>
                    <w:szCs w:val="20"/>
                  </w:rPr>
                </w:pPr>
                <w:r>
                  <w:rPr>
                    <w:rFonts w:cs="Times New Roman"/>
                    <w:sz w:val="20"/>
                    <w:szCs w:val="20"/>
                  </w:rPr>
                  <w:t>际华洁能（天津）环保科技发展有限公司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71D1D57D">
                <w:pPr>
                  <w:autoSpaceDE w:val="0"/>
                  <w:autoSpaceDN w:val="0"/>
                  <w:adjustRightInd w:val="0"/>
                  <w:jc w:val="right"/>
                  <w:rPr>
                    <w:rFonts w:cs="Times New Roman"/>
                    <w:sz w:val="18"/>
                    <w:szCs w:val="18"/>
                  </w:rPr>
                </w:pPr>
                <w:r>
                  <w:rPr>
                    <w:rFonts w:cs="Times New Roman"/>
                    <w:sz w:val="18"/>
                    <w:szCs w:val="18"/>
                  </w:rPr>
                  <w:t>1,097,374.75</w:t>
                </w:r>
              </w:p>
            </w:tc>
            <w:tc>
              <w:tcPr>
                <w:tcW w:w="724" w:type="pct"/>
                <w:tcBorders>
                  <w:top w:val="single" w:color="auto" w:sz="4" w:space="0"/>
                  <w:left w:val="single" w:color="auto" w:sz="4" w:space="0"/>
                  <w:bottom w:val="single" w:color="auto" w:sz="4" w:space="0"/>
                  <w:right w:val="single" w:color="auto" w:sz="4" w:space="0"/>
                </w:tcBorders>
                <w:vAlign w:val="center"/>
              </w:tcPr>
              <w:p w14:paraId="1E5CE2E8">
                <w:pPr>
                  <w:autoSpaceDE w:val="0"/>
                  <w:autoSpaceDN w:val="0"/>
                  <w:adjustRightInd w:val="0"/>
                  <w:jc w:val="right"/>
                  <w:rPr>
                    <w:rFonts w:cs="Times New Roman"/>
                    <w:sz w:val="18"/>
                    <w:szCs w:val="18"/>
                  </w:rPr>
                </w:pPr>
                <w:r>
                  <w:rPr>
                    <w:rFonts w:cs="Times New Roman"/>
                    <w:sz w:val="18"/>
                    <w:szCs w:val="18"/>
                  </w:rPr>
                  <w:t>1,097,374.75</w:t>
                </w:r>
              </w:p>
            </w:tc>
            <w:tc>
              <w:tcPr>
                <w:tcW w:w="809" w:type="pct"/>
                <w:tcBorders>
                  <w:top w:val="single" w:color="auto" w:sz="4" w:space="0"/>
                  <w:left w:val="single" w:color="auto" w:sz="4" w:space="0"/>
                  <w:bottom w:val="single" w:color="auto" w:sz="4" w:space="0"/>
                  <w:right w:val="single" w:color="auto" w:sz="4" w:space="0"/>
                </w:tcBorders>
                <w:vAlign w:val="center"/>
              </w:tcPr>
              <w:p w14:paraId="644832BC">
                <w:pPr>
                  <w:autoSpaceDE w:val="0"/>
                  <w:autoSpaceDN w:val="0"/>
                  <w:adjustRightInd w:val="0"/>
                  <w:jc w:val="right"/>
                  <w:rPr>
                    <w:rFonts w:cs="Times New Roman"/>
                    <w:sz w:val="18"/>
                    <w:szCs w:val="18"/>
                  </w:rPr>
                </w:pPr>
                <w:r>
                  <w:rPr>
                    <w:rFonts w:cs="Times New Roman"/>
                    <w:sz w:val="18"/>
                    <w:szCs w:val="18"/>
                  </w:rPr>
                  <w:t>1,097,374.75</w:t>
                </w:r>
              </w:p>
            </w:tc>
            <w:tc>
              <w:tcPr>
                <w:tcW w:w="678" w:type="pct"/>
                <w:tcBorders>
                  <w:top w:val="single" w:color="auto" w:sz="4" w:space="0"/>
                  <w:left w:val="single" w:color="auto" w:sz="4" w:space="0"/>
                  <w:bottom w:val="single" w:color="auto" w:sz="4" w:space="0"/>
                  <w:right w:val="single" w:color="auto" w:sz="4" w:space="0"/>
                </w:tcBorders>
                <w:vAlign w:val="center"/>
              </w:tcPr>
              <w:p w14:paraId="5E3BD80C">
                <w:pPr>
                  <w:autoSpaceDE w:val="0"/>
                  <w:autoSpaceDN w:val="0"/>
                  <w:adjustRightInd w:val="0"/>
                  <w:jc w:val="right"/>
                  <w:rPr>
                    <w:rFonts w:cs="Times New Roman"/>
                    <w:sz w:val="18"/>
                    <w:szCs w:val="18"/>
                  </w:rPr>
                </w:pPr>
                <w:r>
                  <w:rPr>
                    <w:rFonts w:cs="Times New Roman"/>
                    <w:sz w:val="18"/>
                    <w:szCs w:val="18"/>
                  </w:rPr>
                  <w:t>1,097,374.75</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653497323"/>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3AC01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3DE1ADF5">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30FF31AF">
                <w:pPr>
                  <w:autoSpaceDE w:val="0"/>
                  <w:autoSpaceDN w:val="0"/>
                  <w:adjustRightInd w:val="0"/>
                  <w:rPr>
                    <w:rFonts w:cs="Times New Roman"/>
                    <w:sz w:val="20"/>
                    <w:szCs w:val="20"/>
                  </w:rPr>
                </w:pPr>
                <w:r>
                  <w:rPr>
                    <w:rFonts w:cs="Times New Roman"/>
                    <w:sz w:val="20"/>
                    <w:szCs w:val="20"/>
                  </w:rPr>
                  <w:t>际华五三零三服装有限公司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076EB508">
                <w:pPr>
                  <w:autoSpaceDE w:val="0"/>
                  <w:autoSpaceDN w:val="0"/>
                  <w:adjustRightInd w:val="0"/>
                  <w:jc w:val="right"/>
                  <w:rPr>
                    <w:rFonts w:cs="Times New Roman"/>
                    <w:sz w:val="18"/>
                    <w:szCs w:val="18"/>
                  </w:rPr>
                </w:pPr>
                <w:r>
                  <w:rPr>
                    <w:rFonts w:cs="Times New Roman"/>
                    <w:sz w:val="18"/>
                    <w:szCs w:val="18"/>
                  </w:rPr>
                  <w:t>930,959.46</w:t>
                </w:r>
              </w:p>
            </w:tc>
            <w:tc>
              <w:tcPr>
                <w:tcW w:w="724" w:type="pct"/>
                <w:tcBorders>
                  <w:top w:val="single" w:color="auto" w:sz="4" w:space="0"/>
                  <w:left w:val="single" w:color="auto" w:sz="4" w:space="0"/>
                  <w:bottom w:val="single" w:color="auto" w:sz="4" w:space="0"/>
                  <w:right w:val="single" w:color="auto" w:sz="4" w:space="0"/>
                </w:tcBorders>
                <w:vAlign w:val="center"/>
              </w:tcPr>
              <w:p w14:paraId="2BBFCA8B">
                <w:pPr>
                  <w:autoSpaceDE w:val="0"/>
                  <w:autoSpaceDN w:val="0"/>
                  <w:adjustRightInd w:val="0"/>
                  <w:jc w:val="right"/>
                  <w:rPr>
                    <w:rFonts w:cs="Times New Roman"/>
                    <w:sz w:val="18"/>
                    <w:szCs w:val="18"/>
                  </w:rPr>
                </w:pPr>
                <w:r>
                  <w:rPr>
                    <w:rFonts w:cs="Times New Roman"/>
                    <w:sz w:val="18"/>
                    <w:szCs w:val="18"/>
                  </w:rPr>
                  <w:t>733,470.83</w:t>
                </w:r>
              </w:p>
            </w:tc>
            <w:tc>
              <w:tcPr>
                <w:tcW w:w="809" w:type="pct"/>
                <w:tcBorders>
                  <w:top w:val="single" w:color="auto" w:sz="4" w:space="0"/>
                  <w:left w:val="single" w:color="auto" w:sz="4" w:space="0"/>
                  <w:bottom w:val="single" w:color="auto" w:sz="4" w:space="0"/>
                  <w:right w:val="single" w:color="auto" w:sz="4" w:space="0"/>
                </w:tcBorders>
                <w:vAlign w:val="center"/>
              </w:tcPr>
              <w:p w14:paraId="356DB323">
                <w:pPr>
                  <w:autoSpaceDE w:val="0"/>
                  <w:autoSpaceDN w:val="0"/>
                  <w:adjustRightInd w:val="0"/>
                  <w:jc w:val="right"/>
                  <w:rPr>
                    <w:rFonts w:cs="Times New Roman"/>
                    <w:sz w:val="18"/>
                    <w:szCs w:val="18"/>
                  </w:rPr>
                </w:pPr>
                <w:r>
                  <w:rPr>
                    <w:rFonts w:cs="Times New Roman"/>
                    <w:sz w:val="18"/>
                    <w:szCs w:val="18"/>
                  </w:rPr>
                  <w:t>930,959.46</w:t>
                </w:r>
              </w:p>
            </w:tc>
            <w:tc>
              <w:tcPr>
                <w:tcW w:w="678" w:type="pct"/>
                <w:tcBorders>
                  <w:top w:val="single" w:color="auto" w:sz="4" w:space="0"/>
                  <w:left w:val="single" w:color="auto" w:sz="4" w:space="0"/>
                  <w:bottom w:val="single" w:color="auto" w:sz="4" w:space="0"/>
                  <w:right w:val="single" w:color="auto" w:sz="4" w:space="0"/>
                </w:tcBorders>
                <w:vAlign w:val="center"/>
              </w:tcPr>
              <w:p w14:paraId="35739A1B">
                <w:pPr>
                  <w:autoSpaceDE w:val="0"/>
                  <w:autoSpaceDN w:val="0"/>
                  <w:adjustRightInd w:val="0"/>
                  <w:jc w:val="right"/>
                  <w:rPr>
                    <w:rFonts w:cs="Times New Roman"/>
                    <w:sz w:val="18"/>
                    <w:szCs w:val="18"/>
                  </w:rPr>
                </w:pPr>
                <w:r>
                  <w:rPr>
                    <w:rFonts w:cs="Times New Roman"/>
                    <w:sz w:val="18"/>
                    <w:szCs w:val="18"/>
                  </w:rPr>
                  <w:t>733,470.83</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18962323"/>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16D9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19F38A8B">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205E37DF">
                <w:pPr>
                  <w:autoSpaceDE w:val="0"/>
                  <w:autoSpaceDN w:val="0"/>
                  <w:adjustRightInd w:val="0"/>
                  <w:rPr>
                    <w:rFonts w:cs="Times New Roman"/>
                    <w:sz w:val="20"/>
                    <w:szCs w:val="20"/>
                  </w:rPr>
                </w:pPr>
                <w:r>
                  <w:rPr>
                    <w:rFonts w:cs="Times New Roman"/>
                    <w:sz w:val="20"/>
                    <w:szCs w:val="20"/>
                  </w:rPr>
                  <w:t>河北新兴能源科技股份有限公司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01BC5931">
                <w:pPr>
                  <w:autoSpaceDE w:val="0"/>
                  <w:autoSpaceDN w:val="0"/>
                  <w:adjustRightInd w:val="0"/>
                  <w:jc w:val="right"/>
                  <w:rPr>
                    <w:rFonts w:cs="Times New Roman"/>
                    <w:sz w:val="18"/>
                    <w:szCs w:val="18"/>
                  </w:rPr>
                </w:pPr>
                <w:r>
                  <w:rPr>
                    <w:rFonts w:cs="Times New Roman"/>
                    <w:sz w:val="18"/>
                    <w:szCs w:val="18"/>
                  </w:rPr>
                  <w:t>295,824.00</w:t>
                </w:r>
              </w:p>
            </w:tc>
            <w:tc>
              <w:tcPr>
                <w:tcW w:w="724" w:type="pct"/>
                <w:tcBorders>
                  <w:top w:val="single" w:color="auto" w:sz="4" w:space="0"/>
                  <w:left w:val="single" w:color="auto" w:sz="4" w:space="0"/>
                  <w:bottom w:val="single" w:color="auto" w:sz="4" w:space="0"/>
                  <w:right w:val="single" w:color="auto" w:sz="4" w:space="0"/>
                </w:tcBorders>
                <w:vAlign w:val="center"/>
              </w:tcPr>
              <w:p w14:paraId="77EACCC3">
                <w:pPr>
                  <w:autoSpaceDE w:val="0"/>
                  <w:autoSpaceDN w:val="0"/>
                  <w:adjustRightInd w:val="0"/>
                  <w:jc w:val="right"/>
                  <w:rPr>
                    <w:rFonts w:cs="Times New Roman"/>
                    <w:sz w:val="18"/>
                    <w:szCs w:val="18"/>
                  </w:rPr>
                </w:pPr>
                <w:r>
                  <w:rPr>
                    <w:rFonts w:cs="Times New Roman"/>
                    <w:sz w:val="18"/>
                    <w:szCs w:val="18"/>
                  </w:rPr>
                  <w:t>80,096.53</w:t>
                </w:r>
              </w:p>
            </w:tc>
            <w:tc>
              <w:tcPr>
                <w:tcW w:w="809" w:type="pct"/>
                <w:tcBorders>
                  <w:top w:val="single" w:color="auto" w:sz="4" w:space="0"/>
                  <w:left w:val="single" w:color="auto" w:sz="4" w:space="0"/>
                  <w:bottom w:val="single" w:color="auto" w:sz="4" w:space="0"/>
                  <w:right w:val="single" w:color="auto" w:sz="4" w:space="0"/>
                </w:tcBorders>
                <w:vAlign w:val="center"/>
              </w:tcPr>
              <w:p w14:paraId="3010CA38">
                <w:pPr>
                  <w:autoSpaceDE w:val="0"/>
                  <w:autoSpaceDN w:val="0"/>
                  <w:adjustRightInd w:val="0"/>
                  <w:jc w:val="right"/>
                  <w:rPr>
                    <w:rFonts w:cs="Times New Roman"/>
                    <w:sz w:val="18"/>
                    <w:szCs w:val="18"/>
                  </w:rPr>
                </w:pPr>
                <w:r>
                  <w:rPr>
                    <w:rFonts w:cs="Times New Roman"/>
                    <w:sz w:val="18"/>
                    <w:szCs w:val="18"/>
                  </w:rPr>
                  <w:t>295,824.00</w:t>
                </w:r>
              </w:p>
            </w:tc>
            <w:tc>
              <w:tcPr>
                <w:tcW w:w="678" w:type="pct"/>
                <w:tcBorders>
                  <w:top w:val="single" w:color="auto" w:sz="4" w:space="0"/>
                  <w:left w:val="single" w:color="auto" w:sz="4" w:space="0"/>
                  <w:bottom w:val="single" w:color="auto" w:sz="4" w:space="0"/>
                  <w:right w:val="single" w:color="auto" w:sz="4" w:space="0"/>
                </w:tcBorders>
                <w:vAlign w:val="center"/>
              </w:tcPr>
              <w:p w14:paraId="011E3446">
                <w:pPr>
                  <w:autoSpaceDE w:val="0"/>
                  <w:autoSpaceDN w:val="0"/>
                  <w:adjustRightInd w:val="0"/>
                  <w:jc w:val="right"/>
                  <w:rPr>
                    <w:rFonts w:cs="Times New Roman"/>
                    <w:sz w:val="18"/>
                    <w:szCs w:val="18"/>
                  </w:rPr>
                </w:pPr>
                <w:r>
                  <w:rPr>
                    <w:rFonts w:cs="Times New Roman"/>
                    <w:sz w:val="18"/>
                    <w:szCs w:val="18"/>
                  </w:rPr>
                  <w:t>80,096.53</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273083225"/>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5B56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08C95F15">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6828E273">
                <w:pPr>
                  <w:autoSpaceDE w:val="0"/>
                  <w:autoSpaceDN w:val="0"/>
                  <w:adjustRightInd w:val="0"/>
                  <w:rPr>
                    <w:rFonts w:cs="Times New Roman"/>
                    <w:sz w:val="20"/>
                    <w:szCs w:val="20"/>
                  </w:rPr>
                </w:pPr>
                <w:r>
                  <w:rPr>
                    <w:rFonts w:cs="Times New Roman"/>
                    <w:sz w:val="20"/>
                    <w:szCs w:val="20"/>
                  </w:rPr>
                  <w:t>河北新兴铸管有限公司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53D7E0F1">
                <w:pPr>
                  <w:autoSpaceDE w:val="0"/>
                  <w:autoSpaceDN w:val="0"/>
                  <w:adjustRightInd w:val="0"/>
                  <w:jc w:val="right"/>
                  <w:rPr>
                    <w:rFonts w:cs="Times New Roman"/>
                    <w:sz w:val="18"/>
                    <w:szCs w:val="18"/>
                  </w:rPr>
                </w:pPr>
                <w:r>
                  <w:rPr>
                    <w:rFonts w:cs="Times New Roman"/>
                    <w:sz w:val="18"/>
                    <w:szCs w:val="18"/>
                  </w:rPr>
                  <w:t>194,900.30</w:t>
                </w:r>
              </w:p>
            </w:tc>
            <w:tc>
              <w:tcPr>
                <w:tcW w:w="724" w:type="pct"/>
                <w:tcBorders>
                  <w:top w:val="single" w:color="auto" w:sz="4" w:space="0"/>
                  <w:left w:val="single" w:color="auto" w:sz="4" w:space="0"/>
                  <w:bottom w:val="single" w:color="auto" w:sz="4" w:space="0"/>
                  <w:right w:val="single" w:color="auto" w:sz="4" w:space="0"/>
                </w:tcBorders>
                <w:vAlign w:val="center"/>
              </w:tcPr>
              <w:p w14:paraId="76548FB4">
                <w:pPr>
                  <w:autoSpaceDE w:val="0"/>
                  <w:autoSpaceDN w:val="0"/>
                  <w:adjustRightInd w:val="0"/>
                  <w:jc w:val="right"/>
                  <w:rPr>
                    <w:rFonts w:cs="Times New Roman"/>
                    <w:sz w:val="18"/>
                    <w:szCs w:val="18"/>
                  </w:rPr>
                </w:pPr>
                <w:r>
                  <w:rPr>
                    <w:rFonts w:cs="Times New Roman"/>
                    <w:sz w:val="18"/>
                    <w:szCs w:val="18"/>
                  </w:rPr>
                  <w:t>125,960.32</w:t>
                </w:r>
              </w:p>
            </w:tc>
            <w:tc>
              <w:tcPr>
                <w:tcW w:w="809" w:type="pct"/>
                <w:tcBorders>
                  <w:top w:val="single" w:color="auto" w:sz="4" w:space="0"/>
                  <w:left w:val="single" w:color="auto" w:sz="4" w:space="0"/>
                  <w:bottom w:val="single" w:color="auto" w:sz="4" w:space="0"/>
                  <w:right w:val="single" w:color="auto" w:sz="4" w:space="0"/>
                </w:tcBorders>
                <w:vAlign w:val="center"/>
              </w:tcPr>
              <w:p w14:paraId="09C21848">
                <w:pPr>
                  <w:autoSpaceDE w:val="0"/>
                  <w:autoSpaceDN w:val="0"/>
                  <w:adjustRightInd w:val="0"/>
                  <w:jc w:val="right"/>
                  <w:rPr>
                    <w:rFonts w:cs="Times New Roman"/>
                    <w:sz w:val="18"/>
                    <w:szCs w:val="18"/>
                  </w:rPr>
                </w:pPr>
                <w:r>
                  <w:rPr>
                    <w:rFonts w:cs="Times New Roman"/>
                    <w:sz w:val="18"/>
                    <w:szCs w:val="18"/>
                  </w:rPr>
                  <w:t>194,900.30</w:t>
                </w:r>
              </w:p>
            </w:tc>
            <w:tc>
              <w:tcPr>
                <w:tcW w:w="678" w:type="pct"/>
                <w:tcBorders>
                  <w:top w:val="single" w:color="auto" w:sz="4" w:space="0"/>
                  <w:left w:val="single" w:color="auto" w:sz="4" w:space="0"/>
                  <w:bottom w:val="single" w:color="auto" w:sz="4" w:space="0"/>
                  <w:right w:val="single" w:color="auto" w:sz="4" w:space="0"/>
                </w:tcBorders>
                <w:vAlign w:val="center"/>
              </w:tcPr>
              <w:p w14:paraId="5AE47426">
                <w:pPr>
                  <w:autoSpaceDE w:val="0"/>
                  <w:autoSpaceDN w:val="0"/>
                  <w:adjustRightInd w:val="0"/>
                  <w:jc w:val="right"/>
                  <w:rPr>
                    <w:rFonts w:cs="Times New Roman"/>
                    <w:sz w:val="18"/>
                    <w:szCs w:val="18"/>
                  </w:rPr>
                </w:pPr>
                <w:r>
                  <w:rPr>
                    <w:rFonts w:cs="Times New Roman"/>
                    <w:sz w:val="18"/>
                    <w:szCs w:val="18"/>
                  </w:rPr>
                  <w:t>125,960.32</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234743115"/>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4ADCD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7DB26A0E">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1B4510AF">
                <w:pPr>
                  <w:autoSpaceDE w:val="0"/>
                  <w:autoSpaceDN w:val="0"/>
                  <w:adjustRightInd w:val="0"/>
                  <w:rPr>
                    <w:rFonts w:cs="Times New Roman"/>
                    <w:sz w:val="20"/>
                    <w:szCs w:val="20"/>
                  </w:rPr>
                </w:pPr>
                <w:r>
                  <w:rPr>
                    <w:rFonts w:cs="Times New Roman"/>
                    <w:sz w:val="20"/>
                    <w:szCs w:val="20"/>
                  </w:rPr>
                  <w:t>桃江新兴管件有限责任公司</w:t>
                </w:r>
              </w:p>
            </w:tc>
            <w:tc>
              <w:tcPr>
                <w:tcW w:w="778" w:type="pct"/>
                <w:tcBorders>
                  <w:top w:val="single" w:color="auto" w:sz="4" w:space="0"/>
                  <w:left w:val="single" w:color="auto" w:sz="4" w:space="0"/>
                  <w:bottom w:val="single" w:color="auto" w:sz="4" w:space="0"/>
                  <w:right w:val="single" w:color="auto" w:sz="4" w:space="0"/>
                </w:tcBorders>
                <w:vAlign w:val="center"/>
              </w:tcPr>
              <w:p w14:paraId="4BFA81CD">
                <w:pPr>
                  <w:autoSpaceDE w:val="0"/>
                  <w:autoSpaceDN w:val="0"/>
                  <w:adjustRightInd w:val="0"/>
                  <w:jc w:val="right"/>
                  <w:rPr>
                    <w:rFonts w:cs="Times New Roman"/>
                    <w:sz w:val="18"/>
                    <w:szCs w:val="18"/>
                  </w:rPr>
                </w:pPr>
                <w:r>
                  <w:rPr>
                    <w:rFonts w:cs="Times New Roman"/>
                    <w:sz w:val="18"/>
                    <w:szCs w:val="18"/>
                  </w:rPr>
                  <w:t>170,858.44</w:t>
                </w:r>
              </w:p>
            </w:tc>
            <w:tc>
              <w:tcPr>
                <w:tcW w:w="724" w:type="pct"/>
                <w:tcBorders>
                  <w:top w:val="single" w:color="auto" w:sz="4" w:space="0"/>
                  <w:left w:val="single" w:color="auto" w:sz="4" w:space="0"/>
                  <w:bottom w:val="single" w:color="auto" w:sz="4" w:space="0"/>
                  <w:right w:val="single" w:color="auto" w:sz="4" w:space="0"/>
                </w:tcBorders>
                <w:vAlign w:val="center"/>
              </w:tcPr>
              <w:p w14:paraId="60F43A41">
                <w:pPr>
                  <w:autoSpaceDE w:val="0"/>
                  <w:autoSpaceDN w:val="0"/>
                  <w:adjustRightInd w:val="0"/>
                  <w:jc w:val="right"/>
                  <w:rPr>
                    <w:rFonts w:cs="Times New Roman"/>
                    <w:sz w:val="18"/>
                    <w:szCs w:val="18"/>
                  </w:rPr>
                </w:pPr>
                <w:r>
                  <w:rPr>
                    <w:rFonts w:cs="Times New Roman"/>
                    <w:sz w:val="18"/>
                    <w:szCs w:val="18"/>
                  </w:rPr>
                  <w:t>6,922.84</w:t>
                </w:r>
              </w:p>
            </w:tc>
            <w:tc>
              <w:tcPr>
                <w:tcW w:w="809" w:type="pct"/>
                <w:tcBorders>
                  <w:top w:val="single" w:color="auto" w:sz="4" w:space="0"/>
                  <w:left w:val="single" w:color="auto" w:sz="4" w:space="0"/>
                  <w:bottom w:val="single" w:color="auto" w:sz="4" w:space="0"/>
                  <w:right w:val="single" w:color="auto" w:sz="4" w:space="0"/>
                </w:tcBorders>
                <w:vAlign w:val="center"/>
              </w:tcPr>
              <w:p w14:paraId="5564B434">
                <w:pPr>
                  <w:autoSpaceDE w:val="0"/>
                  <w:autoSpaceDN w:val="0"/>
                  <w:adjustRightInd w:val="0"/>
                  <w:jc w:val="right"/>
                  <w:rPr>
                    <w:rFonts w:cs="Times New Roman"/>
                    <w:sz w:val="18"/>
                    <w:szCs w:val="18"/>
                  </w:rPr>
                </w:pPr>
                <w:r>
                  <w:rPr>
                    <w:rFonts w:cs="Times New Roman"/>
                    <w:sz w:val="18"/>
                    <w:szCs w:val="18"/>
                  </w:rPr>
                  <w:t>150,748.40</w:t>
                </w:r>
              </w:p>
            </w:tc>
            <w:tc>
              <w:tcPr>
                <w:tcW w:w="678" w:type="pct"/>
                <w:tcBorders>
                  <w:top w:val="single" w:color="auto" w:sz="4" w:space="0"/>
                  <w:left w:val="single" w:color="auto" w:sz="4" w:space="0"/>
                  <w:bottom w:val="single" w:color="auto" w:sz="4" w:space="0"/>
                  <w:right w:val="single" w:color="auto" w:sz="4" w:space="0"/>
                </w:tcBorders>
                <w:vAlign w:val="center"/>
              </w:tcPr>
              <w:p w14:paraId="5ED2F5E7">
                <w:pPr>
                  <w:autoSpaceDE w:val="0"/>
                  <w:autoSpaceDN w:val="0"/>
                  <w:adjustRightInd w:val="0"/>
                  <w:jc w:val="right"/>
                  <w:rPr>
                    <w:rFonts w:cs="Times New Roman"/>
                    <w:sz w:val="18"/>
                    <w:szCs w:val="18"/>
                  </w:rPr>
                </w:pPr>
                <w:r>
                  <w:rPr>
                    <w:rFonts w:cs="Times New Roman"/>
                    <w:sz w:val="18"/>
                    <w:szCs w:val="18"/>
                  </w:rPr>
                  <w:t>10,769.17</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985363408"/>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0C521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3A977F32">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2C396A69">
                <w:pPr>
                  <w:autoSpaceDE w:val="0"/>
                  <w:autoSpaceDN w:val="0"/>
                  <w:adjustRightInd w:val="0"/>
                  <w:rPr>
                    <w:rFonts w:cs="Times New Roman"/>
                    <w:sz w:val="20"/>
                    <w:szCs w:val="20"/>
                  </w:rPr>
                </w:pPr>
                <w:r>
                  <w:rPr>
                    <w:rFonts w:cs="Times New Roman"/>
                    <w:sz w:val="20"/>
                    <w:szCs w:val="20"/>
                  </w:rPr>
                  <w:t>河北玄德智能科技发展股份有限公司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12F88CE4">
                <w:pPr>
                  <w:autoSpaceDE w:val="0"/>
                  <w:autoSpaceDN w:val="0"/>
                  <w:adjustRightInd w:val="0"/>
                  <w:jc w:val="right"/>
                  <w:rPr>
                    <w:rFonts w:cs="Times New Roman"/>
                    <w:sz w:val="18"/>
                    <w:szCs w:val="18"/>
                  </w:rPr>
                </w:pPr>
                <w:r>
                  <w:rPr>
                    <w:rFonts w:cs="Times New Roman"/>
                    <w:sz w:val="18"/>
                    <w:szCs w:val="18"/>
                  </w:rPr>
                  <w:t>128,535.20</w:t>
                </w:r>
              </w:p>
            </w:tc>
            <w:tc>
              <w:tcPr>
                <w:tcW w:w="724" w:type="pct"/>
                <w:tcBorders>
                  <w:top w:val="single" w:color="auto" w:sz="4" w:space="0"/>
                  <w:left w:val="single" w:color="auto" w:sz="4" w:space="0"/>
                  <w:bottom w:val="single" w:color="auto" w:sz="4" w:space="0"/>
                  <w:right w:val="single" w:color="auto" w:sz="4" w:space="0"/>
                </w:tcBorders>
                <w:vAlign w:val="center"/>
              </w:tcPr>
              <w:p w14:paraId="1BBDBD8C">
                <w:pPr>
                  <w:autoSpaceDE w:val="0"/>
                  <w:autoSpaceDN w:val="0"/>
                  <w:adjustRightInd w:val="0"/>
                  <w:jc w:val="right"/>
                  <w:rPr>
                    <w:rFonts w:cs="Times New Roman"/>
                    <w:sz w:val="18"/>
                    <w:szCs w:val="18"/>
                  </w:rPr>
                </w:pPr>
                <w:r>
                  <w:rPr>
                    <w:rFonts w:cs="Times New Roman"/>
                    <w:sz w:val="18"/>
                    <w:szCs w:val="18"/>
                  </w:rPr>
                  <w:t>41,231.83</w:t>
                </w:r>
              </w:p>
            </w:tc>
            <w:tc>
              <w:tcPr>
                <w:tcW w:w="809" w:type="pct"/>
                <w:tcBorders>
                  <w:top w:val="single" w:color="auto" w:sz="4" w:space="0"/>
                  <w:left w:val="single" w:color="auto" w:sz="4" w:space="0"/>
                  <w:bottom w:val="single" w:color="auto" w:sz="4" w:space="0"/>
                  <w:right w:val="single" w:color="auto" w:sz="4" w:space="0"/>
                </w:tcBorders>
                <w:vAlign w:val="center"/>
              </w:tcPr>
              <w:p w14:paraId="11615906">
                <w:pPr>
                  <w:autoSpaceDE w:val="0"/>
                  <w:autoSpaceDN w:val="0"/>
                  <w:adjustRightInd w:val="0"/>
                  <w:jc w:val="right"/>
                  <w:rPr>
                    <w:rFonts w:cs="Times New Roman"/>
                    <w:sz w:val="18"/>
                    <w:szCs w:val="18"/>
                  </w:rPr>
                </w:pPr>
                <w:r>
                  <w:rPr>
                    <w:rFonts w:cs="Times New Roman"/>
                    <w:sz w:val="18"/>
                    <w:szCs w:val="18"/>
                  </w:rPr>
                  <w:t>148,535.20</w:t>
                </w:r>
              </w:p>
            </w:tc>
            <w:tc>
              <w:tcPr>
                <w:tcW w:w="678" w:type="pct"/>
                <w:tcBorders>
                  <w:top w:val="single" w:color="auto" w:sz="4" w:space="0"/>
                  <w:left w:val="single" w:color="auto" w:sz="4" w:space="0"/>
                  <w:bottom w:val="single" w:color="auto" w:sz="4" w:space="0"/>
                  <w:right w:val="single" w:color="auto" w:sz="4" w:space="0"/>
                </w:tcBorders>
                <w:vAlign w:val="center"/>
              </w:tcPr>
              <w:p w14:paraId="68EAD55F">
                <w:pPr>
                  <w:autoSpaceDE w:val="0"/>
                  <w:autoSpaceDN w:val="0"/>
                  <w:adjustRightInd w:val="0"/>
                  <w:jc w:val="right"/>
                  <w:rPr>
                    <w:rFonts w:cs="Times New Roman"/>
                    <w:sz w:val="18"/>
                    <w:szCs w:val="18"/>
                  </w:rPr>
                </w:pPr>
                <w:r>
                  <w:rPr>
                    <w:rFonts w:cs="Times New Roman"/>
                    <w:sz w:val="18"/>
                    <w:szCs w:val="18"/>
                  </w:rPr>
                  <w:t>47,647.48</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119112721"/>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6F73C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2CABDEB2">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63E0DE5B">
                <w:pPr>
                  <w:autoSpaceDE w:val="0"/>
                  <w:autoSpaceDN w:val="0"/>
                  <w:adjustRightInd w:val="0"/>
                  <w:rPr>
                    <w:rFonts w:cs="Times New Roman"/>
                    <w:sz w:val="20"/>
                    <w:szCs w:val="20"/>
                  </w:rPr>
                </w:pPr>
                <w:r>
                  <w:rPr>
                    <w:rFonts w:cs="Times New Roman"/>
                    <w:sz w:val="20"/>
                    <w:szCs w:val="20"/>
                  </w:rPr>
                  <w:t>新兴际华（北京）材料技术研究院有限公司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112486DD">
                <w:pPr>
                  <w:autoSpaceDE w:val="0"/>
                  <w:autoSpaceDN w:val="0"/>
                  <w:adjustRightInd w:val="0"/>
                  <w:jc w:val="right"/>
                  <w:rPr>
                    <w:rFonts w:cs="Times New Roman"/>
                    <w:sz w:val="18"/>
                    <w:szCs w:val="18"/>
                  </w:rPr>
                </w:pPr>
                <w:r>
                  <w:rPr>
                    <w:rFonts w:cs="Times New Roman"/>
                    <w:sz w:val="18"/>
                    <w:szCs w:val="18"/>
                  </w:rPr>
                  <w:t>123,380.00</w:t>
                </w:r>
              </w:p>
            </w:tc>
            <w:tc>
              <w:tcPr>
                <w:tcW w:w="724" w:type="pct"/>
                <w:tcBorders>
                  <w:top w:val="single" w:color="auto" w:sz="4" w:space="0"/>
                  <w:left w:val="single" w:color="auto" w:sz="4" w:space="0"/>
                  <w:bottom w:val="single" w:color="auto" w:sz="4" w:space="0"/>
                  <w:right w:val="single" w:color="auto" w:sz="4" w:space="0"/>
                </w:tcBorders>
                <w:vAlign w:val="center"/>
              </w:tcPr>
              <w:p w14:paraId="3A7DB710">
                <w:pPr>
                  <w:autoSpaceDE w:val="0"/>
                  <w:autoSpaceDN w:val="0"/>
                  <w:adjustRightInd w:val="0"/>
                  <w:jc w:val="right"/>
                  <w:rPr>
                    <w:rFonts w:cs="Times New Roman"/>
                    <w:sz w:val="18"/>
                    <w:szCs w:val="18"/>
                  </w:rPr>
                </w:pPr>
                <w:r>
                  <w:rPr>
                    <w:rFonts w:cs="Times New Roman"/>
                    <w:sz w:val="18"/>
                    <w:szCs w:val="18"/>
                  </w:rPr>
                  <w:t>4,999.11</w:t>
                </w:r>
              </w:p>
            </w:tc>
            <w:tc>
              <w:tcPr>
                <w:tcW w:w="809" w:type="pct"/>
                <w:tcBorders>
                  <w:top w:val="single" w:color="auto" w:sz="4" w:space="0"/>
                  <w:left w:val="single" w:color="auto" w:sz="4" w:space="0"/>
                  <w:bottom w:val="single" w:color="auto" w:sz="4" w:space="0"/>
                  <w:right w:val="single" w:color="auto" w:sz="4" w:space="0"/>
                </w:tcBorders>
                <w:vAlign w:val="center"/>
              </w:tcPr>
              <w:p w14:paraId="199CEBAC">
                <w:pPr>
                  <w:autoSpaceDE w:val="0"/>
                  <w:autoSpaceDN w:val="0"/>
                  <w:adjustRightInd w:val="0"/>
                  <w:jc w:val="right"/>
                  <w:rPr>
                    <w:rFonts w:cs="Times New Roman"/>
                    <w:sz w:val="18"/>
                    <w:szCs w:val="18"/>
                  </w:rPr>
                </w:pPr>
                <w:r>
                  <w:rPr>
                    <w:rFonts w:cs="Times New Roman"/>
                    <w:sz w:val="18"/>
                    <w:szCs w:val="18"/>
                  </w:rPr>
                  <w:t>17,880.00</w:t>
                </w:r>
              </w:p>
            </w:tc>
            <w:tc>
              <w:tcPr>
                <w:tcW w:w="678" w:type="pct"/>
                <w:tcBorders>
                  <w:top w:val="single" w:color="auto" w:sz="4" w:space="0"/>
                  <w:left w:val="single" w:color="auto" w:sz="4" w:space="0"/>
                  <w:bottom w:val="single" w:color="auto" w:sz="4" w:space="0"/>
                  <w:right w:val="single" w:color="auto" w:sz="4" w:space="0"/>
                </w:tcBorders>
                <w:vAlign w:val="center"/>
              </w:tcPr>
              <w:p w14:paraId="72C95300">
                <w:pPr>
                  <w:autoSpaceDE w:val="0"/>
                  <w:autoSpaceDN w:val="0"/>
                  <w:adjustRightInd w:val="0"/>
                  <w:jc w:val="right"/>
                  <w:rPr>
                    <w:rFonts w:cs="Times New Roman"/>
                    <w:sz w:val="18"/>
                    <w:szCs w:val="18"/>
                  </w:rPr>
                </w:pPr>
                <w:r>
                  <w:rPr>
                    <w:rFonts w:cs="Times New Roman"/>
                    <w:sz w:val="18"/>
                    <w:szCs w:val="18"/>
                  </w:rPr>
                  <w:t>724.46</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411392652"/>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620A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4BFD1DD5">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50533259">
                <w:pPr>
                  <w:autoSpaceDE w:val="0"/>
                  <w:autoSpaceDN w:val="0"/>
                  <w:adjustRightInd w:val="0"/>
                  <w:rPr>
                    <w:rFonts w:cs="Times New Roman"/>
                    <w:sz w:val="20"/>
                    <w:szCs w:val="20"/>
                  </w:rPr>
                </w:pPr>
                <w:r>
                  <w:rPr>
                    <w:rFonts w:cs="Times New Roman"/>
                    <w:sz w:val="20"/>
                    <w:szCs w:val="20"/>
                  </w:rPr>
                  <w:t>中新联进出口有限公司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2DD4FA40">
                <w:pPr>
                  <w:autoSpaceDE w:val="0"/>
                  <w:autoSpaceDN w:val="0"/>
                  <w:adjustRightInd w:val="0"/>
                  <w:jc w:val="right"/>
                  <w:rPr>
                    <w:rFonts w:cs="Times New Roman"/>
                    <w:sz w:val="18"/>
                    <w:szCs w:val="18"/>
                  </w:rPr>
                </w:pPr>
                <w:r>
                  <w:rPr>
                    <w:rFonts w:cs="Times New Roman"/>
                    <w:sz w:val="18"/>
                    <w:szCs w:val="18"/>
                  </w:rPr>
                  <w:t>91,845.00</w:t>
                </w:r>
              </w:p>
            </w:tc>
            <w:tc>
              <w:tcPr>
                <w:tcW w:w="724" w:type="pct"/>
                <w:tcBorders>
                  <w:top w:val="single" w:color="auto" w:sz="4" w:space="0"/>
                  <w:left w:val="single" w:color="auto" w:sz="4" w:space="0"/>
                  <w:bottom w:val="single" w:color="auto" w:sz="4" w:space="0"/>
                  <w:right w:val="single" w:color="auto" w:sz="4" w:space="0"/>
                </w:tcBorders>
                <w:vAlign w:val="center"/>
              </w:tcPr>
              <w:p w14:paraId="7D9C4C9E">
                <w:pPr>
                  <w:autoSpaceDE w:val="0"/>
                  <w:autoSpaceDN w:val="0"/>
                  <w:adjustRightInd w:val="0"/>
                  <w:jc w:val="right"/>
                  <w:rPr>
                    <w:rFonts w:cs="Times New Roman"/>
                    <w:sz w:val="18"/>
                    <w:szCs w:val="18"/>
                  </w:rPr>
                </w:pPr>
                <w:r>
                  <w:rPr>
                    <w:rFonts w:cs="Times New Roman"/>
                    <w:sz w:val="18"/>
                    <w:szCs w:val="18"/>
                  </w:rPr>
                  <w:t>91,845.00</w:t>
                </w:r>
              </w:p>
            </w:tc>
            <w:tc>
              <w:tcPr>
                <w:tcW w:w="809" w:type="pct"/>
                <w:tcBorders>
                  <w:top w:val="single" w:color="auto" w:sz="4" w:space="0"/>
                  <w:left w:val="single" w:color="auto" w:sz="4" w:space="0"/>
                  <w:bottom w:val="single" w:color="auto" w:sz="4" w:space="0"/>
                  <w:right w:val="single" w:color="auto" w:sz="4" w:space="0"/>
                </w:tcBorders>
                <w:vAlign w:val="center"/>
              </w:tcPr>
              <w:p w14:paraId="1D701AE0">
                <w:pPr>
                  <w:autoSpaceDE w:val="0"/>
                  <w:autoSpaceDN w:val="0"/>
                  <w:adjustRightInd w:val="0"/>
                  <w:jc w:val="right"/>
                  <w:rPr>
                    <w:rFonts w:cs="Times New Roman"/>
                    <w:sz w:val="18"/>
                    <w:szCs w:val="18"/>
                  </w:rPr>
                </w:pPr>
                <w:r>
                  <w:rPr>
                    <w:rFonts w:cs="Times New Roman"/>
                    <w:sz w:val="18"/>
                    <w:szCs w:val="18"/>
                  </w:rPr>
                  <w:t>91,845.00</w:t>
                </w:r>
              </w:p>
            </w:tc>
            <w:tc>
              <w:tcPr>
                <w:tcW w:w="678" w:type="pct"/>
                <w:tcBorders>
                  <w:top w:val="single" w:color="auto" w:sz="4" w:space="0"/>
                  <w:left w:val="single" w:color="auto" w:sz="4" w:space="0"/>
                  <w:bottom w:val="single" w:color="auto" w:sz="4" w:space="0"/>
                  <w:right w:val="single" w:color="auto" w:sz="4" w:space="0"/>
                </w:tcBorders>
                <w:vAlign w:val="center"/>
              </w:tcPr>
              <w:p w14:paraId="444C1245">
                <w:pPr>
                  <w:autoSpaceDE w:val="0"/>
                  <w:autoSpaceDN w:val="0"/>
                  <w:adjustRightInd w:val="0"/>
                  <w:jc w:val="right"/>
                  <w:rPr>
                    <w:rFonts w:cs="Times New Roman"/>
                    <w:sz w:val="18"/>
                    <w:szCs w:val="18"/>
                  </w:rPr>
                </w:pPr>
                <w:r>
                  <w:rPr>
                    <w:rFonts w:cs="Times New Roman"/>
                    <w:sz w:val="18"/>
                    <w:szCs w:val="18"/>
                  </w:rPr>
                  <w:t>91,845.00</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713607256"/>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05250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45157344">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6D8ECF99">
                <w:pPr>
                  <w:autoSpaceDE w:val="0"/>
                  <w:autoSpaceDN w:val="0"/>
                  <w:adjustRightInd w:val="0"/>
                  <w:rPr>
                    <w:rFonts w:cs="Times New Roman"/>
                    <w:sz w:val="20"/>
                    <w:szCs w:val="20"/>
                  </w:rPr>
                </w:pPr>
                <w:r>
                  <w:rPr>
                    <w:rFonts w:cs="Times New Roman"/>
                    <w:sz w:val="20"/>
                    <w:szCs w:val="20"/>
                  </w:rPr>
                  <w:t>大连新东昌置地有限公司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5F83BCA0">
                <w:pPr>
                  <w:autoSpaceDE w:val="0"/>
                  <w:autoSpaceDN w:val="0"/>
                  <w:adjustRightInd w:val="0"/>
                  <w:jc w:val="right"/>
                  <w:rPr>
                    <w:rFonts w:cs="Times New Roman"/>
                    <w:sz w:val="18"/>
                    <w:szCs w:val="18"/>
                  </w:rPr>
                </w:pPr>
                <w:r>
                  <w:rPr>
                    <w:rFonts w:cs="Times New Roman"/>
                    <w:sz w:val="18"/>
                    <w:szCs w:val="18"/>
                  </w:rPr>
                  <w:t>84,510.00</w:t>
                </w:r>
              </w:p>
            </w:tc>
            <w:tc>
              <w:tcPr>
                <w:tcW w:w="724" w:type="pct"/>
                <w:tcBorders>
                  <w:top w:val="single" w:color="auto" w:sz="4" w:space="0"/>
                  <w:left w:val="single" w:color="auto" w:sz="4" w:space="0"/>
                  <w:bottom w:val="single" w:color="auto" w:sz="4" w:space="0"/>
                  <w:right w:val="single" w:color="auto" w:sz="4" w:space="0"/>
                </w:tcBorders>
                <w:vAlign w:val="center"/>
              </w:tcPr>
              <w:p w14:paraId="63A5B78B">
                <w:pPr>
                  <w:autoSpaceDE w:val="0"/>
                  <w:autoSpaceDN w:val="0"/>
                  <w:adjustRightInd w:val="0"/>
                  <w:jc w:val="right"/>
                  <w:rPr>
                    <w:rFonts w:cs="Times New Roman"/>
                    <w:sz w:val="18"/>
                    <w:szCs w:val="18"/>
                  </w:rPr>
                </w:pPr>
                <w:r>
                  <w:rPr>
                    <w:rFonts w:cs="Times New Roman"/>
                    <w:sz w:val="18"/>
                    <w:szCs w:val="18"/>
                  </w:rPr>
                  <w:t>3,424.17</w:t>
                </w:r>
              </w:p>
            </w:tc>
            <w:tc>
              <w:tcPr>
                <w:tcW w:w="809" w:type="pct"/>
                <w:tcBorders>
                  <w:top w:val="single" w:color="auto" w:sz="4" w:space="0"/>
                  <w:left w:val="single" w:color="auto" w:sz="4" w:space="0"/>
                  <w:bottom w:val="single" w:color="auto" w:sz="4" w:space="0"/>
                  <w:right w:val="single" w:color="auto" w:sz="4" w:space="0"/>
                </w:tcBorders>
                <w:vAlign w:val="center"/>
              </w:tcPr>
              <w:p w14:paraId="2D102FFE">
                <w:pPr>
                  <w:autoSpaceDE w:val="0"/>
                  <w:autoSpaceDN w:val="0"/>
                  <w:adjustRightInd w:val="0"/>
                  <w:jc w:val="right"/>
                  <w:rPr>
                    <w:rFonts w:cs="Times New Roman"/>
                    <w:sz w:val="18"/>
                    <w:szCs w:val="18"/>
                  </w:rPr>
                </w:pPr>
                <w:r>
                  <w:rPr>
                    <w:rFonts w:cs="Times New Roman"/>
                    <w:sz w:val="18"/>
                    <w:szCs w:val="18"/>
                  </w:rPr>
                  <w:t>84,510.00</w:t>
                </w:r>
              </w:p>
            </w:tc>
            <w:tc>
              <w:tcPr>
                <w:tcW w:w="678" w:type="pct"/>
                <w:tcBorders>
                  <w:top w:val="single" w:color="auto" w:sz="4" w:space="0"/>
                  <w:left w:val="single" w:color="auto" w:sz="4" w:space="0"/>
                  <w:bottom w:val="single" w:color="auto" w:sz="4" w:space="0"/>
                  <w:right w:val="single" w:color="auto" w:sz="4" w:space="0"/>
                </w:tcBorders>
                <w:vAlign w:val="center"/>
              </w:tcPr>
              <w:p w14:paraId="7673DC9C">
                <w:pPr>
                  <w:autoSpaceDE w:val="0"/>
                  <w:autoSpaceDN w:val="0"/>
                  <w:adjustRightInd w:val="0"/>
                  <w:jc w:val="right"/>
                  <w:rPr>
                    <w:rFonts w:cs="Times New Roman"/>
                    <w:sz w:val="18"/>
                    <w:szCs w:val="18"/>
                  </w:rPr>
                </w:pPr>
                <w:r>
                  <w:rPr>
                    <w:rFonts w:cs="Times New Roman"/>
                    <w:sz w:val="18"/>
                    <w:szCs w:val="18"/>
                  </w:rPr>
                  <w:t>3,424.17</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914684401"/>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5011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50006239">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34880F1A">
                <w:pPr>
                  <w:autoSpaceDE w:val="0"/>
                  <w:autoSpaceDN w:val="0"/>
                  <w:adjustRightInd w:val="0"/>
                  <w:rPr>
                    <w:rFonts w:cs="Times New Roman"/>
                    <w:sz w:val="20"/>
                    <w:szCs w:val="20"/>
                  </w:rPr>
                </w:pPr>
                <w:r>
                  <w:rPr>
                    <w:rFonts w:cs="Times New Roman"/>
                    <w:sz w:val="20"/>
                    <w:szCs w:val="20"/>
                  </w:rPr>
                  <w:t>天津移山工程机械有限公司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33D520F0">
                <w:pPr>
                  <w:autoSpaceDE w:val="0"/>
                  <w:autoSpaceDN w:val="0"/>
                  <w:adjustRightInd w:val="0"/>
                  <w:jc w:val="right"/>
                  <w:rPr>
                    <w:rFonts w:cs="Times New Roman"/>
                    <w:sz w:val="18"/>
                    <w:szCs w:val="18"/>
                  </w:rPr>
                </w:pPr>
                <w:r>
                  <w:rPr>
                    <w:rFonts w:cs="Times New Roman"/>
                    <w:sz w:val="18"/>
                    <w:szCs w:val="18"/>
                  </w:rPr>
                  <w:t>49,000.00</w:t>
                </w:r>
              </w:p>
            </w:tc>
            <w:tc>
              <w:tcPr>
                <w:tcW w:w="724" w:type="pct"/>
                <w:tcBorders>
                  <w:top w:val="single" w:color="auto" w:sz="4" w:space="0"/>
                  <w:left w:val="single" w:color="auto" w:sz="4" w:space="0"/>
                  <w:bottom w:val="single" w:color="auto" w:sz="4" w:space="0"/>
                  <w:right w:val="single" w:color="auto" w:sz="4" w:space="0"/>
                </w:tcBorders>
                <w:vAlign w:val="center"/>
              </w:tcPr>
              <w:p w14:paraId="344FE95C">
                <w:pPr>
                  <w:autoSpaceDE w:val="0"/>
                  <w:autoSpaceDN w:val="0"/>
                  <w:adjustRightInd w:val="0"/>
                  <w:jc w:val="right"/>
                  <w:rPr>
                    <w:rFonts w:cs="Times New Roman"/>
                    <w:sz w:val="18"/>
                    <w:szCs w:val="18"/>
                  </w:rPr>
                </w:pPr>
                <w:r>
                  <w:rPr>
                    <w:rFonts w:cs="Times New Roman"/>
                    <w:sz w:val="18"/>
                    <w:szCs w:val="18"/>
                  </w:rPr>
                  <w:t>1,985.38</w:t>
                </w:r>
              </w:p>
            </w:tc>
            <w:tc>
              <w:tcPr>
                <w:tcW w:w="809" w:type="pct"/>
                <w:tcBorders>
                  <w:top w:val="single" w:color="auto" w:sz="4" w:space="0"/>
                  <w:left w:val="single" w:color="auto" w:sz="4" w:space="0"/>
                  <w:bottom w:val="single" w:color="auto" w:sz="4" w:space="0"/>
                  <w:right w:val="single" w:color="auto" w:sz="4" w:space="0"/>
                </w:tcBorders>
                <w:vAlign w:val="center"/>
              </w:tcPr>
              <w:p w14:paraId="5FF37688">
                <w:pPr>
                  <w:autoSpaceDE w:val="0"/>
                  <w:autoSpaceDN w:val="0"/>
                  <w:adjustRightInd w:val="0"/>
                  <w:jc w:val="right"/>
                  <w:rPr>
                    <w:rFonts w:cs="Times New Roman"/>
                    <w:sz w:val="18"/>
                    <w:szCs w:val="18"/>
                  </w:rPr>
                </w:pPr>
              </w:p>
            </w:tc>
            <w:tc>
              <w:tcPr>
                <w:tcW w:w="678" w:type="pct"/>
                <w:tcBorders>
                  <w:top w:val="single" w:color="auto" w:sz="4" w:space="0"/>
                  <w:left w:val="single" w:color="auto" w:sz="4" w:space="0"/>
                  <w:bottom w:val="single" w:color="auto" w:sz="4" w:space="0"/>
                  <w:right w:val="single" w:color="auto" w:sz="4" w:space="0"/>
                </w:tcBorders>
                <w:vAlign w:val="center"/>
              </w:tcPr>
              <w:p w14:paraId="6F00D07F">
                <w:pPr>
                  <w:autoSpaceDE w:val="0"/>
                  <w:autoSpaceDN w:val="0"/>
                  <w:adjustRightInd w:val="0"/>
                  <w:jc w:val="right"/>
                  <w:rPr>
                    <w:rFonts w:cs="Times New Roman"/>
                    <w:sz w:val="18"/>
                    <w:szCs w:val="18"/>
                  </w:rPr>
                </w:pP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711614322"/>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3EA3B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5B99420C">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2F07878B">
                <w:pPr>
                  <w:autoSpaceDE w:val="0"/>
                  <w:autoSpaceDN w:val="0"/>
                  <w:adjustRightInd w:val="0"/>
                  <w:rPr>
                    <w:rFonts w:cs="Times New Roman"/>
                    <w:sz w:val="20"/>
                    <w:szCs w:val="20"/>
                  </w:rPr>
                </w:pPr>
                <w:r>
                  <w:rPr>
                    <w:rFonts w:cs="Times New Roman"/>
                    <w:sz w:val="20"/>
                    <w:szCs w:val="20"/>
                  </w:rPr>
                  <w:t>黄石新兴管业有限公司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08515469">
                <w:pPr>
                  <w:autoSpaceDE w:val="0"/>
                  <w:autoSpaceDN w:val="0"/>
                  <w:adjustRightInd w:val="0"/>
                  <w:jc w:val="right"/>
                  <w:rPr>
                    <w:rFonts w:cs="Times New Roman"/>
                    <w:sz w:val="18"/>
                    <w:szCs w:val="18"/>
                  </w:rPr>
                </w:pPr>
                <w:r>
                  <w:rPr>
                    <w:rFonts w:cs="Times New Roman"/>
                    <w:sz w:val="18"/>
                    <w:szCs w:val="18"/>
                  </w:rPr>
                  <w:t>48,719.00</w:t>
                </w:r>
              </w:p>
            </w:tc>
            <w:tc>
              <w:tcPr>
                <w:tcW w:w="724" w:type="pct"/>
                <w:tcBorders>
                  <w:top w:val="single" w:color="auto" w:sz="4" w:space="0"/>
                  <w:left w:val="single" w:color="auto" w:sz="4" w:space="0"/>
                  <w:bottom w:val="single" w:color="auto" w:sz="4" w:space="0"/>
                  <w:right w:val="single" w:color="auto" w:sz="4" w:space="0"/>
                </w:tcBorders>
                <w:vAlign w:val="center"/>
              </w:tcPr>
              <w:p w14:paraId="1F6A4EB2">
                <w:pPr>
                  <w:autoSpaceDE w:val="0"/>
                  <w:autoSpaceDN w:val="0"/>
                  <w:adjustRightInd w:val="0"/>
                  <w:jc w:val="right"/>
                  <w:rPr>
                    <w:rFonts w:cs="Times New Roman"/>
                    <w:sz w:val="18"/>
                    <w:szCs w:val="18"/>
                  </w:rPr>
                </w:pPr>
                <w:r>
                  <w:rPr>
                    <w:rFonts w:cs="Times New Roman"/>
                    <w:sz w:val="18"/>
                    <w:szCs w:val="18"/>
                  </w:rPr>
                  <w:t>2,596.61</w:t>
                </w:r>
              </w:p>
            </w:tc>
            <w:tc>
              <w:tcPr>
                <w:tcW w:w="809" w:type="pct"/>
                <w:tcBorders>
                  <w:top w:val="single" w:color="auto" w:sz="4" w:space="0"/>
                  <w:left w:val="single" w:color="auto" w:sz="4" w:space="0"/>
                  <w:bottom w:val="single" w:color="auto" w:sz="4" w:space="0"/>
                  <w:right w:val="single" w:color="auto" w:sz="4" w:space="0"/>
                </w:tcBorders>
                <w:vAlign w:val="center"/>
              </w:tcPr>
              <w:p w14:paraId="34107809">
                <w:pPr>
                  <w:autoSpaceDE w:val="0"/>
                  <w:autoSpaceDN w:val="0"/>
                  <w:adjustRightInd w:val="0"/>
                  <w:jc w:val="right"/>
                  <w:rPr>
                    <w:rFonts w:cs="Times New Roman"/>
                    <w:sz w:val="18"/>
                    <w:szCs w:val="18"/>
                  </w:rPr>
                </w:pPr>
                <w:r>
                  <w:rPr>
                    <w:rFonts w:cs="Times New Roman"/>
                    <w:sz w:val="18"/>
                    <w:szCs w:val="18"/>
                  </w:rPr>
                  <w:t>105,119.00</w:t>
                </w:r>
              </w:p>
            </w:tc>
            <w:tc>
              <w:tcPr>
                <w:tcW w:w="678" w:type="pct"/>
                <w:tcBorders>
                  <w:top w:val="single" w:color="auto" w:sz="4" w:space="0"/>
                  <w:left w:val="single" w:color="auto" w:sz="4" w:space="0"/>
                  <w:bottom w:val="single" w:color="auto" w:sz="4" w:space="0"/>
                  <w:right w:val="single" w:color="auto" w:sz="4" w:space="0"/>
                </w:tcBorders>
                <w:vAlign w:val="center"/>
              </w:tcPr>
              <w:p w14:paraId="4032D114">
                <w:pPr>
                  <w:autoSpaceDE w:val="0"/>
                  <w:autoSpaceDN w:val="0"/>
                  <w:adjustRightInd w:val="0"/>
                  <w:jc w:val="right"/>
                  <w:rPr>
                    <w:rFonts w:cs="Times New Roman"/>
                    <w:sz w:val="18"/>
                    <w:szCs w:val="18"/>
                  </w:rPr>
                </w:pPr>
                <w:r>
                  <w:rPr>
                    <w:rFonts w:cs="Times New Roman"/>
                    <w:sz w:val="18"/>
                    <w:szCs w:val="18"/>
                  </w:rPr>
                  <w:t>4,259.21</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389992397"/>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7B91D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0ABA9821">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2270AD12">
                <w:pPr>
                  <w:autoSpaceDE w:val="0"/>
                  <w:autoSpaceDN w:val="0"/>
                  <w:adjustRightInd w:val="0"/>
                  <w:rPr>
                    <w:rFonts w:cs="Times New Roman"/>
                    <w:sz w:val="20"/>
                    <w:szCs w:val="20"/>
                  </w:rPr>
                </w:pPr>
                <w:r>
                  <w:rPr>
                    <w:rFonts w:cs="Times New Roman"/>
                    <w:sz w:val="20"/>
                    <w:szCs w:val="20"/>
                  </w:rPr>
                  <w:t>湖北新兴全力机械有限公司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78053464">
                <w:pPr>
                  <w:autoSpaceDE w:val="0"/>
                  <w:autoSpaceDN w:val="0"/>
                  <w:adjustRightInd w:val="0"/>
                  <w:jc w:val="right"/>
                  <w:rPr>
                    <w:rFonts w:cs="Times New Roman"/>
                    <w:sz w:val="18"/>
                    <w:szCs w:val="18"/>
                  </w:rPr>
                </w:pPr>
                <w:r>
                  <w:rPr>
                    <w:rFonts w:cs="Times New Roman"/>
                    <w:sz w:val="18"/>
                    <w:szCs w:val="18"/>
                  </w:rPr>
                  <w:t>40,560.00</w:t>
                </w:r>
              </w:p>
            </w:tc>
            <w:tc>
              <w:tcPr>
                <w:tcW w:w="724" w:type="pct"/>
                <w:tcBorders>
                  <w:top w:val="single" w:color="auto" w:sz="4" w:space="0"/>
                  <w:left w:val="single" w:color="auto" w:sz="4" w:space="0"/>
                  <w:bottom w:val="single" w:color="auto" w:sz="4" w:space="0"/>
                  <w:right w:val="single" w:color="auto" w:sz="4" w:space="0"/>
                </w:tcBorders>
                <w:vAlign w:val="center"/>
              </w:tcPr>
              <w:p w14:paraId="2D5D038A">
                <w:pPr>
                  <w:autoSpaceDE w:val="0"/>
                  <w:autoSpaceDN w:val="0"/>
                  <w:adjustRightInd w:val="0"/>
                  <w:jc w:val="right"/>
                  <w:rPr>
                    <w:rFonts w:cs="Times New Roman"/>
                    <w:sz w:val="18"/>
                    <w:szCs w:val="18"/>
                  </w:rPr>
                </w:pPr>
                <w:r>
                  <w:rPr>
                    <w:rFonts w:cs="Times New Roman"/>
                    <w:sz w:val="18"/>
                    <w:szCs w:val="18"/>
                  </w:rPr>
                  <w:t>1,643.41</w:t>
                </w:r>
              </w:p>
            </w:tc>
            <w:tc>
              <w:tcPr>
                <w:tcW w:w="809" w:type="pct"/>
                <w:tcBorders>
                  <w:top w:val="single" w:color="auto" w:sz="4" w:space="0"/>
                  <w:left w:val="single" w:color="auto" w:sz="4" w:space="0"/>
                  <w:bottom w:val="single" w:color="auto" w:sz="4" w:space="0"/>
                  <w:right w:val="single" w:color="auto" w:sz="4" w:space="0"/>
                </w:tcBorders>
                <w:vAlign w:val="center"/>
              </w:tcPr>
              <w:p w14:paraId="2EFBA36F">
                <w:pPr>
                  <w:autoSpaceDE w:val="0"/>
                  <w:autoSpaceDN w:val="0"/>
                  <w:adjustRightInd w:val="0"/>
                  <w:jc w:val="right"/>
                  <w:rPr>
                    <w:rFonts w:cs="Times New Roman"/>
                    <w:sz w:val="18"/>
                    <w:szCs w:val="18"/>
                  </w:rPr>
                </w:pPr>
                <w:r>
                  <w:rPr>
                    <w:rFonts w:cs="Times New Roman"/>
                    <w:sz w:val="18"/>
                    <w:szCs w:val="18"/>
                  </w:rPr>
                  <w:t>46,060.00</w:t>
                </w:r>
              </w:p>
            </w:tc>
            <w:tc>
              <w:tcPr>
                <w:tcW w:w="678" w:type="pct"/>
                <w:tcBorders>
                  <w:top w:val="single" w:color="auto" w:sz="4" w:space="0"/>
                  <w:left w:val="single" w:color="auto" w:sz="4" w:space="0"/>
                  <w:bottom w:val="single" w:color="auto" w:sz="4" w:space="0"/>
                  <w:right w:val="single" w:color="auto" w:sz="4" w:space="0"/>
                </w:tcBorders>
                <w:vAlign w:val="center"/>
              </w:tcPr>
              <w:p w14:paraId="75FD9C1F">
                <w:pPr>
                  <w:autoSpaceDE w:val="0"/>
                  <w:autoSpaceDN w:val="0"/>
                  <w:adjustRightInd w:val="0"/>
                  <w:jc w:val="right"/>
                  <w:rPr>
                    <w:rFonts w:cs="Times New Roman"/>
                    <w:sz w:val="18"/>
                    <w:szCs w:val="18"/>
                  </w:rPr>
                </w:pPr>
                <w:r>
                  <w:rPr>
                    <w:rFonts w:cs="Times New Roman"/>
                    <w:sz w:val="18"/>
                    <w:szCs w:val="18"/>
                  </w:rPr>
                  <w:t>1,866.26</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274022050"/>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206D3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2592A767">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77AB585F">
                <w:pPr>
                  <w:autoSpaceDE w:val="0"/>
                  <w:autoSpaceDN w:val="0"/>
                  <w:adjustRightInd w:val="0"/>
                  <w:rPr>
                    <w:rFonts w:cs="Times New Roman"/>
                    <w:sz w:val="20"/>
                    <w:szCs w:val="20"/>
                  </w:rPr>
                </w:pPr>
                <w:r>
                  <w:rPr>
                    <w:rFonts w:cs="Times New Roman"/>
                    <w:sz w:val="20"/>
                    <w:szCs w:val="20"/>
                  </w:rPr>
                  <w:t>北京三兴汽车有限公司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33C715E2">
                <w:pPr>
                  <w:autoSpaceDE w:val="0"/>
                  <w:autoSpaceDN w:val="0"/>
                  <w:adjustRightInd w:val="0"/>
                  <w:jc w:val="right"/>
                  <w:rPr>
                    <w:rFonts w:cs="Times New Roman"/>
                    <w:sz w:val="18"/>
                    <w:szCs w:val="18"/>
                  </w:rPr>
                </w:pPr>
                <w:r>
                  <w:rPr>
                    <w:rFonts w:cs="Times New Roman"/>
                    <w:sz w:val="18"/>
                    <w:szCs w:val="18"/>
                  </w:rPr>
                  <w:t>34,809.60</w:t>
                </w:r>
              </w:p>
            </w:tc>
            <w:tc>
              <w:tcPr>
                <w:tcW w:w="724" w:type="pct"/>
                <w:tcBorders>
                  <w:top w:val="single" w:color="auto" w:sz="4" w:space="0"/>
                  <w:left w:val="single" w:color="auto" w:sz="4" w:space="0"/>
                  <w:bottom w:val="single" w:color="auto" w:sz="4" w:space="0"/>
                  <w:right w:val="single" w:color="auto" w:sz="4" w:space="0"/>
                </w:tcBorders>
                <w:vAlign w:val="center"/>
              </w:tcPr>
              <w:p w14:paraId="3CA35322">
                <w:pPr>
                  <w:autoSpaceDE w:val="0"/>
                  <w:autoSpaceDN w:val="0"/>
                  <w:adjustRightInd w:val="0"/>
                  <w:jc w:val="right"/>
                  <w:rPr>
                    <w:rFonts w:cs="Times New Roman"/>
                    <w:sz w:val="18"/>
                    <w:szCs w:val="18"/>
                  </w:rPr>
                </w:pPr>
                <w:r>
                  <w:rPr>
                    <w:rFonts w:cs="Times New Roman"/>
                    <w:sz w:val="18"/>
                    <w:szCs w:val="18"/>
                  </w:rPr>
                  <w:t>1,410.41</w:t>
                </w:r>
              </w:p>
            </w:tc>
            <w:tc>
              <w:tcPr>
                <w:tcW w:w="809" w:type="pct"/>
                <w:tcBorders>
                  <w:top w:val="single" w:color="auto" w:sz="4" w:space="0"/>
                  <w:left w:val="single" w:color="auto" w:sz="4" w:space="0"/>
                  <w:bottom w:val="single" w:color="auto" w:sz="4" w:space="0"/>
                  <w:right w:val="single" w:color="auto" w:sz="4" w:space="0"/>
                </w:tcBorders>
                <w:vAlign w:val="center"/>
              </w:tcPr>
              <w:p w14:paraId="186224D2">
                <w:pPr>
                  <w:autoSpaceDE w:val="0"/>
                  <w:autoSpaceDN w:val="0"/>
                  <w:adjustRightInd w:val="0"/>
                  <w:jc w:val="right"/>
                  <w:rPr>
                    <w:rFonts w:cs="Times New Roman"/>
                    <w:sz w:val="18"/>
                    <w:szCs w:val="18"/>
                  </w:rPr>
                </w:pPr>
              </w:p>
            </w:tc>
            <w:tc>
              <w:tcPr>
                <w:tcW w:w="678" w:type="pct"/>
                <w:tcBorders>
                  <w:top w:val="single" w:color="auto" w:sz="4" w:space="0"/>
                  <w:left w:val="single" w:color="auto" w:sz="4" w:space="0"/>
                  <w:bottom w:val="single" w:color="auto" w:sz="4" w:space="0"/>
                  <w:right w:val="single" w:color="auto" w:sz="4" w:space="0"/>
                </w:tcBorders>
                <w:vAlign w:val="center"/>
              </w:tcPr>
              <w:p w14:paraId="65C3ABB5">
                <w:pPr>
                  <w:autoSpaceDE w:val="0"/>
                  <w:autoSpaceDN w:val="0"/>
                  <w:adjustRightInd w:val="0"/>
                  <w:jc w:val="right"/>
                  <w:rPr>
                    <w:rFonts w:cs="Times New Roman"/>
                    <w:sz w:val="18"/>
                    <w:szCs w:val="18"/>
                  </w:rPr>
                </w:pP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816920936"/>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062E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6DAB367D">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1789A30D">
                <w:pPr>
                  <w:autoSpaceDE w:val="0"/>
                  <w:autoSpaceDN w:val="0"/>
                  <w:adjustRightInd w:val="0"/>
                  <w:rPr>
                    <w:rFonts w:cs="Times New Roman"/>
                    <w:sz w:val="20"/>
                    <w:szCs w:val="20"/>
                  </w:rPr>
                </w:pPr>
                <w:r>
                  <w:rPr>
                    <w:rFonts w:cs="Times New Roman"/>
                    <w:sz w:val="20"/>
                    <w:szCs w:val="20"/>
                  </w:rPr>
                  <w:t>新兴移山（天津）重工有限公司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175F3034">
                <w:pPr>
                  <w:autoSpaceDE w:val="0"/>
                  <w:autoSpaceDN w:val="0"/>
                  <w:adjustRightInd w:val="0"/>
                  <w:jc w:val="right"/>
                  <w:rPr>
                    <w:rFonts w:cs="Times New Roman"/>
                    <w:sz w:val="18"/>
                    <w:szCs w:val="18"/>
                  </w:rPr>
                </w:pPr>
                <w:r>
                  <w:rPr>
                    <w:rFonts w:cs="Times New Roman"/>
                    <w:sz w:val="18"/>
                    <w:szCs w:val="18"/>
                  </w:rPr>
                  <w:t>26,100.00</w:t>
                </w:r>
              </w:p>
            </w:tc>
            <w:tc>
              <w:tcPr>
                <w:tcW w:w="724" w:type="pct"/>
                <w:tcBorders>
                  <w:top w:val="single" w:color="auto" w:sz="4" w:space="0"/>
                  <w:left w:val="single" w:color="auto" w:sz="4" w:space="0"/>
                  <w:bottom w:val="single" w:color="auto" w:sz="4" w:space="0"/>
                  <w:right w:val="single" w:color="auto" w:sz="4" w:space="0"/>
                </w:tcBorders>
                <w:vAlign w:val="center"/>
              </w:tcPr>
              <w:p w14:paraId="4F634DAD">
                <w:pPr>
                  <w:autoSpaceDE w:val="0"/>
                  <w:autoSpaceDN w:val="0"/>
                  <w:adjustRightInd w:val="0"/>
                  <w:jc w:val="right"/>
                  <w:rPr>
                    <w:rFonts w:cs="Times New Roman"/>
                    <w:sz w:val="18"/>
                    <w:szCs w:val="18"/>
                  </w:rPr>
                </w:pPr>
                <w:r>
                  <w:rPr>
                    <w:rFonts w:cs="Times New Roman"/>
                    <w:sz w:val="18"/>
                    <w:szCs w:val="18"/>
                  </w:rPr>
                  <w:t>14,417.88</w:t>
                </w:r>
              </w:p>
            </w:tc>
            <w:tc>
              <w:tcPr>
                <w:tcW w:w="809" w:type="pct"/>
                <w:tcBorders>
                  <w:top w:val="single" w:color="auto" w:sz="4" w:space="0"/>
                  <w:left w:val="single" w:color="auto" w:sz="4" w:space="0"/>
                  <w:bottom w:val="single" w:color="auto" w:sz="4" w:space="0"/>
                  <w:right w:val="single" w:color="auto" w:sz="4" w:space="0"/>
                </w:tcBorders>
                <w:vAlign w:val="center"/>
              </w:tcPr>
              <w:p w14:paraId="37FF30CD">
                <w:pPr>
                  <w:autoSpaceDE w:val="0"/>
                  <w:autoSpaceDN w:val="0"/>
                  <w:adjustRightInd w:val="0"/>
                  <w:jc w:val="right"/>
                  <w:rPr>
                    <w:rFonts w:cs="Times New Roman"/>
                    <w:sz w:val="18"/>
                    <w:szCs w:val="18"/>
                  </w:rPr>
                </w:pPr>
                <w:r>
                  <w:rPr>
                    <w:rFonts w:cs="Times New Roman"/>
                    <w:sz w:val="18"/>
                    <w:szCs w:val="18"/>
                  </w:rPr>
                  <w:t>26,100.00</w:t>
                </w:r>
              </w:p>
            </w:tc>
            <w:tc>
              <w:tcPr>
                <w:tcW w:w="678" w:type="pct"/>
                <w:tcBorders>
                  <w:top w:val="single" w:color="auto" w:sz="4" w:space="0"/>
                  <w:left w:val="single" w:color="auto" w:sz="4" w:space="0"/>
                  <w:bottom w:val="single" w:color="auto" w:sz="4" w:space="0"/>
                  <w:right w:val="single" w:color="auto" w:sz="4" w:space="0"/>
                </w:tcBorders>
                <w:vAlign w:val="center"/>
              </w:tcPr>
              <w:p w14:paraId="4C42C383">
                <w:pPr>
                  <w:autoSpaceDE w:val="0"/>
                  <w:autoSpaceDN w:val="0"/>
                  <w:adjustRightInd w:val="0"/>
                  <w:jc w:val="right"/>
                  <w:rPr>
                    <w:rFonts w:cs="Times New Roman"/>
                    <w:sz w:val="18"/>
                    <w:szCs w:val="18"/>
                  </w:rPr>
                </w:pPr>
                <w:r>
                  <w:rPr>
                    <w:rFonts w:cs="Times New Roman"/>
                    <w:sz w:val="18"/>
                    <w:szCs w:val="18"/>
                  </w:rPr>
                  <w:t>14,417.88</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935509021"/>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6DCB6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026A33A6">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76C9597E">
                <w:pPr>
                  <w:autoSpaceDE w:val="0"/>
                  <w:autoSpaceDN w:val="0"/>
                  <w:adjustRightInd w:val="0"/>
                  <w:rPr>
                    <w:rFonts w:cs="Times New Roman"/>
                    <w:sz w:val="20"/>
                    <w:szCs w:val="20"/>
                  </w:rPr>
                </w:pPr>
                <w:r>
                  <w:rPr>
                    <w:rFonts w:cs="Times New Roman"/>
                    <w:sz w:val="20"/>
                    <w:szCs w:val="20"/>
                  </w:rPr>
                  <w:t>新兴河北工程技术有限公司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3C6E128D">
                <w:pPr>
                  <w:autoSpaceDE w:val="0"/>
                  <w:autoSpaceDN w:val="0"/>
                  <w:adjustRightInd w:val="0"/>
                  <w:jc w:val="right"/>
                  <w:rPr>
                    <w:rFonts w:cs="Times New Roman"/>
                    <w:sz w:val="18"/>
                    <w:szCs w:val="18"/>
                  </w:rPr>
                </w:pPr>
                <w:r>
                  <w:rPr>
                    <w:rFonts w:cs="Times New Roman"/>
                    <w:sz w:val="18"/>
                    <w:szCs w:val="18"/>
                  </w:rPr>
                  <w:t>21,230.65</w:t>
                </w:r>
              </w:p>
            </w:tc>
            <w:tc>
              <w:tcPr>
                <w:tcW w:w="724" w:type="pct"/>
                <w:tcBorders>
                  <w:top w:val="single" w:color="auto" w:sz="4" w:space="0"/>
                  <w:left w:val="single" w:color="auto" w:sz="4" w:space="0"/>
                  <w:bottom w:val="single" w:color="auto" w:sz="4" w:space="0"/>
                  <w:right w:val="single" w:color="auto" w:sz="4" w:space="0"/>
                </w:tcBorders>
                <w:vAlign w:val="center"/>
              </w:tcPr>
              <w:p w14:paraId="57376706">
                <w:pPr>
                  <w:autoSpaceDE w:val="0"/>
                  <w:autoSpaceDN w:val="0"/>
                  <w:adjustRightInd w:val="0"/>
                  <w:jc w:val="right"/>
                  <w:rPr>
                    <w:rFonts w:cs="Times New Roman"/>
                    <w:sz w:val="18"/>
                    <w:szCs w:val="18"/>
                  </w:rPr>
                </w:pPr>
                <w:r>
                  <w:rPr>
                    <w:rFonts w:cs="Times New Roman"/>
                    <w:sz w:val="18"/>
                    <w:szCs w:val="18"/>
                  </w:rPr>
                  <w:t>21,230.65</w:t>
                </w:r>
              </w:p>
            </w:tc>
            <w:tc>
              <w:tcPr>
                <w:tcW w:w="809" w:type="pct"/>
                <w:tcBorders>
                  <w:top w:val="single" w:color="auto" w:sz="4" w:space="0"/>
                  <w:left w:val="single" w:color="auto" w:sz="4" w:space="0"/>
                  <w:bottom w:val="single" w:color="auto" w:sz="4" w:space="0"/>
                  <w:right w:val="single" w:color="auto" w:sz="4" w:space="0"/>
                </w:tcBorders>
                <w:vAlign w:val="center"/>
              </w:tcPr>
              <w:p w14:paraId="000841C3">
                <w:pPr>
                  <w:autoSpaceDE w:val="0"/>
                  <w:autoSpaceDN w:val="0"/>
                  <w:adjustRightInd w:val="0"/>
                  <w:jc w:val="right"/>
                  <w:rPr>
                    <w:rFonts w:cs="Times New Roman"/>
                    <w:sz w:val="18"/>
                    <w:szCs w:val="18"/>
                  </w:rPr>
                </w:pPr>
                <w:r>
                  <w:rPr>
                    <w:rFonts w:cs="Times New Roman"/>
                    <w:sz w:val="18"/>
                    <w:szCs w:val="18"/>
                  </w:rPr>
                  <w:t>21,230.65</w:t>
                </w:r>
              </w:p>
            </w:tc>
            <w:tc>
              <w:tcPr>
                <w:tcW w:w="678" w:type="pct"/>
                <w:tcBorders>
                  <w:top w:val="single" w:color="auto" w:sz="4" w:space="0"/>
                  <w:left w:val="single" w:color="auto" w:sz="4" w:space="0"/>
                  <w:bottom w:val="single" w:color="auto" w:sz="4" w:space="0"/>
                  <w:right w:val="single" w:color="auto" w:sz="4" w:space="0"/>
                </w:tcBorders>
                <w:vAlign w:val="center"/>
              </w:tcPr>
              <w:p w14:paraId="4BF1CE9A">
                <w:pPr>
                  <w:autoSpaceDE w:val="0"/>
                  <w:autoSpaceDN w:val="0"/>
                  <w:adjustRightInd w:val="0"/>
                  <w:jc w:val="right"/>
                  <w:rPr>
                    <w:rFonts w:cs="Times New Roman"/>
                    <w:sz w:val="18"/>
                    <w:szCs w:val="18"/>
                  </w:rPr>
                </w:pPr>
                <w:r>
                  <w:rPr>
                    <w:rFonts w:cs="Times New Roman"/>
                    <w:sz w:val="18"/>
                    <w:szCs w:val="18"/>
                  </w:rPr>
                  <w:t>21,230.65</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570310891"/>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4E7D9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39D6F0D3">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516FB980">
                <w:pPr>
                  <w:autoSpaceDE w:val="0"/>
                  <w:autoSpaceDN w:val="0"/>
                  <w:adjustRightInd w:val="0"/>
                  <w:rPr>
                    <w:rFonts w:cs="Times New Roman"/>
                    <w:sz w:val="20"/>
                    <w:szCs w:val="20"/>
                  </w:rPr>
                </w:pPr>
                <w:r>
                  <w:rPr>
                    <w:rFonts w:cs="Times New Roman"/>
                    <w:sz w:val="20"/>
                    <w:szCs w:val="20"/>
                  </w:rPr>
                  <w:t>新兴际华集团有限公司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52EE9591">
                <w:pPr>
                  <w:autoSpaceDE w:val="0"/>
                  <w:autoSpaceDN w:val="0"/>
                  <w:adjustRightInd w:val="0"/>
                  <w:jc w:val="right"/>
                  <w:rPr>
                    <w:rFonts w:cs="Times New Roman"/>
                    <w:sz w:val="18"/>
                    <w:szCs w:val="18"/>
                  </w:rPr>
                </w:pPr>
                <w:r>
                  <w:rPr>
                    <w:rFonts w:cs="Times New Roman"/>
                    <w:sz w:val="18"/>
                    <w:szCs w:val="18"/>
                  </w:rPr>
                  <w:t>20,456.00</w:t>
                </w:r>
              </w:p>
            </w:tc>
            <w:tc>
              <w:tcPr>
                <w:tcW w:w="724" w:type="pct"/>
                <w:tcBorders>
                  <w:top w:val="single" w:color="auto" w:sz="4" w:space="0"/>
                  <w:left w:val="single" w:color="auto" w:sz="4" w:space="0"/>
                  <w:bottom w:val="single" w:color="auto" w:sz="4" w:space="0"/>
                  <w:right w:val="single" w:color="auto" w:sz="4" w:space="0"/>
                </w:tcBorders>
                <w:vAlign w:val="center"/>
              </w:tcPr>
              <w:p w14:paraId="73A09F16">
                <w:pPr>
                  <w:autoSpaceDE w:val="0"/>
                  <w:autoSpaceDN w:val="0"/>
                  <w:adjustRightInd w:val="0"/>
                  <w:jc w:val="right"/>
                  <w:rPr>
                    <w:rFonts w:cs="Times New Roman"/>
                    <w:sz w:val="18"/>
                    <w:szCs w:val="18"/>
                  </w:rPr>
                </w:pPr>
                <w:r>
                  <w:rPr>
                    <w:rFonts w:cs="Times New Roman"/>
                    <w:sz w:val="18"/>
                    <w:szCs w:val="18"/>
                  </w:rPr>
                  <w:t>828.84</w:t>
                </w:r>
              </w:p>
            </w:tc>
            <w:tc>
              <w:tcPr>
                <w:tcW w:w="809" w:type="pct"/>
                <w:tcBorders>
                  <w:top w:val="single" w:color="auto" w:sz="4" w:space="0"/>
                  <w:left w:val="single" w:color="auto" w:sz="4" w:space="0"/>
                  <w:bottom w:val="single" w:color="auto" w:sz="4" w:space="0"/>
                  <w:right w:val="single" w:color="auto" w:sz="4" w:space="0"/>
                </w:tcBorders>
                <w:vAlign w:val="center"/>
              </w:tcPr>
              <w:p w14:paraId="6992E2DD">
                <w:pPr>
                  <w:autoSpaceDE w:val="0"/>
                  <w:autoSpaceDN w:val="0"/>
                  <w:adjustRightInd w:val="0"/>
                  <w:jc w:val="right"/>
                  <w:rPr>
                    <w:rFonts w:cs="Times New Roman"/>
                    <w:sz w:val="18"/>
                    <w:szCs w:val="18"/>
                  </w:rPr>
                </w:pPr>
              </w:p>
            </w:tc>
            <w:tc>
              <w:tcPr>
                <w:tcW w:w="678" w:type="pct"/>
                <w:tcBorders>
                  <w:top w:val="single" w:color="auto" w:sz="4" w:space="0"/>
                  <w:left w:val="single" w:color="auto" w:sz="4" w:space="0"/>
                  <w:bottom w:val="single" w:color="auto" w:sz="4" w:space="0"/>
                  <w:right w:val="single" w:color="auto" w:sz="4" w:space="0"/>
                </w:tcBorders>
                <w:vAlign w:val="center"/>
              </w:tcPr>
              <w:p w14:paraId="31320427">
                <w:pPr>
                  <w:autoSpaceDE w:val="0"/>
                  <w:autoSpaceDN w:val="0"/>
                  <w:adjustRightInd w:val="0"/>
                  <w:jc w:val="right"/>
                  <w:rPr>
                    <w:rFonts w:cs="Times New Roman"/>
                    <w:sz w:val="18"/>
                    <w:szCs w:val="18"/>
                  </w:rPr>
                </w:pP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572849193"/>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1A3E3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6C883FD1">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6226CD4F">
                <w:pPr>
                  <w:autoSpaceDE w:val="0"/>
                  <w:autoSpaceDN w:val="0"/>
                  <w:adjustRightInd w:val="0"/>
                  <w:rPr>
                    <w:rFonts w:cs="Times New Roman"/>
                    <w:sz w:val="20"/>
                    <w:szCs w:val="20"/>
                  </w:rPr>
                </w:pPr>
                <w:r>
                  <w:rPr>
                    <w:rFonts w:cs="Times New Roman"/>
                    <w:sz w:val="20"/>
                    <w:szCs w:val="20"/>
                  </w:rPr>
                  <w:t>新兴铸管集团邯郸新材料有限公司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06D28488">
                <w:pPr>
                  <w:autoSpaceDE w:val="0"/>
                  <w:autoSpaceDN w:val="0"/>
                  <w:adjustRightInd w:val="0"/>
                  <w:jc w:val="right"/>
                  <w:rPr>
                    <w:rFonts w:cs="Times New Roman"/>
                    <w:sz w:val="18"/>
                    <w:szCs w:val="18"/>
                  </w:rPr>
                </w:pPr>
                <w:r>
                  <w:rPr>
                    <w:rFonts w:cs="Times New Roman"/>
                    <w:sz w:val="18"/>
                    <w:szCs w:val="18"/>
                  </w:rPr>
                  <w:t>17,542.00</w:t>
                </w:r>
              </w:p>
            </w:tc>
            <w:tc>
              <w:tcPr>
                <w:tcW w:w="724" w:type="pct"/>
                <w:tcBorders>
                  <w:top w:val="single" w:color="auto" w:sz="4" w:space="0"/>
                  <w:left w:val="single" w:color="auto" w:sz="4" w:space="0"/>
                  <w:bottom w:val="single" w:color="auto" w:sz="4" w:space="0"/>
                  <w:right w:val="single" w:color="auto" w:sz="4" w:space="0"/>
                </w:tcBorders>
                <w:vAlign w:val="center"/>
              </w:tcPr>
              <w:p w14:paraId="522EB43A">
                <w:pPr>
                  <w:autoSpaceDE w:val="0"/>
                  <w:autoSpaceDN w:val="0"/>
                  <w:adjustRightInd w:val="0"/>
                  <w:jc w:val="right"/>
                  <w:rPr>
                    <w:rFonts w:cs="Times New Roman"/>
                    <w:sz w:val="18"/>
                    <w:szCs w:val="18"/>
                  </w:rPr>
                </w:pPr>
                <w:r>
                  <w:rPr>
                    <w:rFonts w:cs="Times New Roman"/>
                    <w:sz w:val="18"/>
                    <w:szCs w:val="18"/>
                  </w:rPr>
                  <w:t>3,210.06</w:t>
                </w:r>
              </w:p>
            </w:tc>
            <w:tc>
              <w:tcPr>
                <w:tcW w:w="809" w:type="pct"/>
                <w:tcBorders>
                  <w:top w:val="single" w:color="auto" w:sz="4" w:space="0"/>
                  <w:left w:val="single" w:color="auto" w:sz="4" w:space="0"/>
                  <w:bottom w:val="single" w:color="auto" w:sz="4" w:space="0"/>
                  <w:right w:val="single" w:color="auto" w:sz="4" w:space="0"/>
                </w:tcBorders>
                <w:vAlign w:val="center"/>
              </w:tcPr>
              <w:p w14:paraId="21CB5110">
                <w:pPr>
                  <w:autoSpaceDE w:val="0"/>
                  <w:autoSpaceDN w:val="0"/>
                  <w:adjustRightInd w:val="0"/>
                  <w:jc w:val="right"/>
                  <w:rPr>
                    <w:rFonts w:cs="Times New Roman"/>
                    <w:sz w:val="18"/>
                    <w:szCs w:val="18"/>
                  </w:rPr>
                </w:pPr>
                <w:r>
                  <w:rPr>
                    <w:rFonts w:cs="Times New Roman"/>
                    <w:sz w:val="18"/>
                    <w:szCs w:val="18"/>
                  </w:rPr>
                  <w:t>17,542.00</w:t>
                </w:r>
              </w:p>
            </w:tc>
            <w:tc>
              <w:tcPr>
                <w:tcW w:w="678" w:type="pct"/>
                <w:tcBorders>
                  <w:top w:val="single" w:color="auto" w:sz="4" w:space="0"/>
                  <w:left w:val="single" w:color="auto" w:sz="4" w:space="0"/>
                  <w:bottom w:val="single" w:color="auto" w:sz="4" w:space="0"/>
                  <w:right w:val="single" w:color="auto" w:sz="4" w:space="0"/>
                </w:tcBorders>
                <w:vAlign w:val="center"/>
              </w:tcPr>
              <w:p w14:paraId="350E415B">
                <w:pPr>
                  <w:autoSpaceDE w:val="0"/>
                  <w:autoSpaceDN w:val="0"/>
                  <w:adjustRightInd w:val="0"/>
                  <w:jc w:val="right"/>
                  <w:rPr>
                    <w:rFonts w:cs="Times New Roman"/>
                    <w:sz w:val="18"/>
                    <w:szCs w:val="18"/>
                  </w:rPr>
                </w:pPr>
                <w:r>
                  <w:rPr>
                    <w:rFonts w:cs="Times New Roman"/>
                    <w:sz w:val="18"/>
                    <w:szCs w:val="18"/>
                  </w:rPr>
                  <w:t>710.77</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629517021"/>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3F20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2D465977">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476EC870">
                <w:pPr>
                  <w:autoSpaceDE w:val="0"/>
                  <w:autoSpaceDN w:val="0"/>
                  <w:adjustRightInd w:val="0"/>
                  <w:rPr>
                    <w:rFonts w:cs="Times New Roman"/>
                    <w:sz w:val="20"/>
                    <w:szCs w:val="20"/>
                  </w:rPr>
                </w:pPr>
                <w:r>
                  <w:rPr>
                    <w:rFonts w:cs="Times New Roman"/>
                    <w:sz w:val="20"/>
                    <w:szCs w:val="20"/>
                  </w:rPr>
                  <w:t>宜昌际华仙女服饰有限公司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2323D9A1">
                <w:pPr>
                  <w:autoSpaceDE w:val="0"/>
                  <w:autoSpaceDN w:val="0"/>
                  <w:adjustRightInd w:val="0"/>
                  <w:jc w:val="right"/>
                  <w:rPr>
                    <w:rFonts w:cs="Times New Roman"/>
                    <w:sz w:val="18"/>
                    <w:szCs w:val="18"/>
                  </w:rPr>
                </w:pPr>
                <w:r>
                  <w:rPr>
                    <w:rFonts w:cs="Times New Roman"/>
                    <w:sz w:val="18"/>
                    <w:szCs w:val="18"/>
                  </w:rPr>
                  <w:t>10,289.05</w:t>
                </w:r>
              </w:p>
            </w:tc>
            <w:tc>
              <w:tcPr>
                <w:tcW w:w="724" w:type="pct"/>
                <w:tcBorders>
                  <w:top w:val="single" w:color="auto" w:sz="4" w:space="0"/>
                  <w:left w:val="single" w:color="auto" w:sz="4" w:space="0"/>
                  <w:bottom w:val="single" w:color="auto" w:sz="4" w:space="0"/>
                  <w:right w:val="single" w:color="auto" w:sz="4" w:space="0"/>
                </w:tcBorders>
                <w:vAlign w:val="center"/>
              </w:tcPr>
              <w:p w14:paraId="4AB97B25">
                <w:pPr>
                  <w:autoSpaceDE w:val="0"/>
                  <w:autoSpaceDN w:val="0"/>
                  <w:adjustRightInd w:val="0"/>
                  <w:jc w:val="right"/>
                  <w:rPr>
                    <w:rFonts w:cs="Times New Roman"/>
                    <w:sz w:val="18"/>
                    <w:szCs w:val="18"/>
                  </w:rPr>
                </w:pPr>
                <w:r>
                  <w:rPr>
                    <w:rFonts w:cs="Times New Roman"/>
                    <w:sz w:val="18"/>
                    <w:szCs w:val="18"/>
                  </w:rPr>
                  <w:t>416.89</w:t>
                </w:r>
              </w:p>
            </w:tc>
            <w:tc>
              <w:tcPr>
                <w:tcW w:w="809" w:type="pct"/>
                <w:tcBorders>
                  <w:top w:val="single" w:color="auto" w:sz="4" w:space="0"/>
                  <w:left w:val="single" w:color="auto" w:sz="4" w:space="0"/>
                  <w:bottom w:val="single" w:color="auto" w:sz="4" w:space="0"/>
                  <w:right w:val="single" w:color="auto" w:sz="4" w:space="0"/>
                </w:tcBorders>
                <w:vAlign w:val="center"/>
              </w:tcPr>
              <w:p w14:paraId="6280B3F0">
                <w:pPr>
                  <w:autoSpaceDE w:val="0"/>
                  <w:autoSpaceDN w:val="0"/>
                  <w:adjustRightInd w:val="0"/>
                  <w:jc w:val="right"/>
                  <w:rPr>
                    <w:rFonts w:cs="Times New Roman"/>
                    <w:sz w:val="18"/>
                    <w:szCs w:val="18"/>
                  </w:rPr>
                </w:pPr>
              </w:p>
            </w:tc>
            <w:tc>
              <w:tcPr>
                <w:tcW w:w="678" w:type="pct"/>
                <w:tcBorders>
                  <w:top w:val="single" w:color="auto" w:sz="4" w:space="0"/>
                  <w:left w:val="single" w:color="auto" w:sz="4" w:space="0"/>
                  <w:bottom w:val="single" w:color="auto" w:sz="4" w:space="0"/>
                  <w:right w:val="single" w:color="auto" w:sz="4" w:space="0"/>
                </w:tcBorders>
                <w:vAlign w:val="center"/>
              </w:tcPr>
              <w:p w14:paraId="151441DE">
                <w:pPr>
                  <w:autoSpaceDE w:val="0"/>
                  <w:autoSpaceDN w:val="0"/>
                  <w:adjustRightInd w:val="0"/>
                  <w:jc w:val="right"/>
                  <w:rPr>
                    <w:rFonts w:cs="Times New Roman"/>
                    <w:sz w:val="18"/>
                    <w:szCs w:val="18"/>
                  </w:rPr>
                </w:pP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845289821"/>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7D9E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5D6A5B18">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7D73FABD">
                <w:pPr>
                  <w:autoSpaceDE w:val="0"/>
                  <w:autoSpaceDN w:val="0"/>
                  <w:adjustRightInd w:val="0"/>
                  <w:rPr>
                    <w:rFonts w:cs="Times New Roman"/>
                    <w:sz w:val="20"/>
                    <w:szCs w:val="20"/>
                  </w:rPr>
                </w:pPr>
                <w:r>
                  <w:rPr>
                    <w:rFonts w:cs="Times New Roman"/>
                    <w:sz w:val="20"/>
                    <w:szCs w:val="20"/>
                  </w:rPr>
                  <w:t>新兴职业装备生产技术研究所</w:t>
                </w:r>
              </w:p>
            </w:tc>
            <w:tc>
              <w:tcPr>
                <w:tcW w:w="778" w:type="pct"/>
                <w:tcBorders>
                  <w:top w:val="single" w:color="auto" w:sz="4" w:space="0"/>
                  <w:left w:val="single" w:color="auto" w:sz="4" w:space="0"/>
                  <w:bottom w:val="single" w:color="auto" w:sz="4" w:space="0"/>
                  <w:right w:val="single" w:color="auto" w:sz="4" w:space="0"/>
                </w:tcBorders>
                <w:vAlign w:val="center"/>
              </w:tcPr>
              <w:p w14:paraId="26C5D16A">
                <w:pPr>
                  <w:autoSpaceDE w:val="0"/>
                  <w:autoSpaceDN w:val="0"/>
                  <w:adjustRightInd w:val="0"/>
                  <w:jc w:val="right"/>
                  <w:rPr>
                    <w:rFonts w:cs="Times New Roman"/>
                    <w:sz w:val="18"/>
                    <w:szCs w:val="18"/>
                  </w:rPr>
                </w:pPr>
                <w:r>
                  <w:rPr>
                    <w:rFonts w:cs="Times New Roman"/>
                    <w:sz w:val="18"/>
                    <w:szCs w:val="18"/>
                  </w:rPr>
                  <w:t>7,710.00</w:t>
                </w:r>
              </w:p>
            </w:tc>
            <w:tc>
              <w:tcPr>
                <w:tcW w:w="724" w:type="pct"/>
                <w:tcBorders>
                  <w:top w:val="single" w:color="auto" w:sz="4" w:space="0"/>
                  <w:left w:val="single" w:color="auto" w:sz="4" w:space="0"/>
                  <w:bottom w:val="single" w:color="auto" w:sz="4" w:space="0"/>
                  <w:right w:val="single" w:color="auto" w:sz="4" w:space="0"/>
                </w:tcBorders>
                <w:vAlign w:val="center"/>
              </w:tcPr>
              <w:p w14:paraId="25AF1AA3">
                <w:pPr>
                  <w:autoSpaceDE w:val="0"/>
                  <w:autoSpaceDN w:val="0"/>
                  <w:adjustRightInd w:val="0"/>
                  <w:jc w:val="right"/>
                  <w:rPr>
                    <w:rFonts w:cs="Times New Roman"/>
                    <w:sz w:val="18"/>
                    <w:szCs w:val="18"/>
                  </w:rPr>
                </w:pPr>
                <w:r>
                  <w:rPr>
                    <w:rFonts w:cs="Times New Roman"/>
                    <w:sz w:val="18"/>
                    <w:szCs w:val="18"/>
                  </w:rPr>
                  <w:t>4,259.07</w:t>
                </w:r>
              </w:p>
            </w:tc>
            <w:tc>
              <w:tcPr>
                <w:tcW w:w="809" w:type="pct"/>
                <w:tcBorders>
                  <w:top w:val="single" w:color="auto" w:sz="4" w:space="0"/>
                  <w:left w:val="single" w:color="auto" w:sz="4" w:space="0"/>
                  <w:bottom w:val="single" w:color="auto" w:sz="4" w:space="0"/>
                  <w:right w:val="single" w:color="auto" w:sz="4" w:space="0"/>
                </w:tcBorders>
                <w:vAlign w:val="center"/>
              </w:tcPr>
              <w:p w14:paraId="371F4AA4">
                <w:pPr>
                  <w:autoSpaceDE w:val="0"/>
                  <w:autoSpaceDN w:val="0"/>
                  <w:adjustRightInd w:val="0"/>
                  <w:jc w:val="right"/>
                  <w:rPr>
                    <w:rFonts w:cs="Times New Roman"/>
                    <w:sz w:val="18"/>
                    <w:szCs w:val="18"/>
                  </w:rPr>
                </w:pPr>
                <w:r>
                  <w:rPr>
                    <w:rFonts w:cs="Times New Roman"/>
                    <w:sz w:val="18"/>
                    <w:szCs w:val="18"/>
                  </w:rPr>
                  <w:t>7,710.00</w:t>
                </w:r>
              </w:p>
            </w:tc>
            <w:tc>
              <w:tcPr>
                <w:tcW w:w="678" w:type="pct"/>
                <w:tcBorders>
                  <w:top w:val="single" w:color="auto" w:sz="4" w:space="0"/>
                  <w:left w:val="single" w:color="auto" w:sz="4" w:space="0"/>
                  <w:bottom w:val="single" w:color="auto" w:sz="4" w:space="0"/>
                  <w:right w:val="single" w:color="auto" w:sz="4" w:space="0"/>
                </w:tcBorders>
                <w:vAlign w:val="center"/>
              </w:tcPr>
              <w:p w14:paraId="41777C7C">
                <w:pPr>
                  <w:autoSpaceDE w:val="0"/>
                  <w:autoSpaceDN w:val="0"/>
                  <w:adjustRightInd w:val="0"/>
                  <w:jc w:val="right"/>
                  <w:rPr>
                    <w:rFonts w:cs="Times New Roman"/>
                    <w:sz w:val="18"/>
                    <w:szCs w:val="18"/>
                  </w:rPr>
                </w:pPr>
                <w:r>
                  <w:rPr>
                    <w:rFonts w:cs="Times New Roman"/>
                    <w:sz w:val="18"/>
                    <w:szCs w:val="18"/>
                  </w:rPr>
                  <w:t>4,259.07</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523820894"/>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52A0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6DA6325A">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2F964A16">
                <w:pPr>
                  <w:autoSpaceDE w:val="0"/>
                  <w:autoSpaceDN w:val="0"/>
                  <w:adjustRightInd w:val="0"/>
                  <w:rPr>
                    <w:rFonts w:cs="Times New Roman"/>
                    <w:sz w:val="20"/>
                    <w:szCs w:val="20"/>
                  </w:rPr>
                </w:pPr>
                <w:r>
                  <w:rPr>
                    <w:rFonts w:cs="Times New Roman"/>
                    <w:sz w:val="20"/>
                    <w:szCs w:val="20"/>
                  </w:rPr>
                  <w:t>新兴重工集团有限公司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3624217B">
                <w:pPr>
                  <w:autoSpaceDE w:val="0"/>
                  <w:autoSpaceDN w:val="0"/>
                  <w:adjustRightInd w:val="0"/>
                  <w:jc w:val="right"/>
                  <w:rPr>
                    <w:rFonts w:cs="Times New Roman"/>
                    <w:sz w:val="18"/>
                    <w:szCs w:val="18"/>
                  </w:rPr>
                </w:pPr>
                <w:r>
                  <w:rPr>
                    <w:rFonts w:cs="Times New Roman"/>
                    <w:sz w:val="18"/>
                    <w:szCs w:val="18"/>
                  </w:rPr>
                  <w:t>1,440.00</w:t>
                </w:r>
              </w:p>
            </w:tc>
            <w:tc>
              <w:tcPr>
                <w:tcW w:w="724" w:type="pct"/>
                <w:tcBorders>
                  <w:top w:val="single" w:color="auto" w:sz="4" w:space="0"/>
                  <w:left w:val="single" w:color="auto" w:sz="4" w:space="0"/>
                  <w:bottom w:val="single" w:color="auto" w:sz="4" w:space="0"/>
                  <w:right w:val="single" w:color="auto" w:sz="4" w:space="0"/>
                </w:tcBorders>
                <w:vAlign w:val="center"/>
              </w:tcPr>
              <w:p w14:paraId="7EB3B80D">
                <w:pPr>
                  <w:autoSpaceDE w:val="0"/>
                  <w:autoSpaceDN w:val="0"/>
                  <w:adjustRightInd w:val="0"/>
                  <w:jc w:val="right"/>
                  <w:rPr>
                    <w:rFonts w:cs="Times New Roman"/>
                    <w:sz w:val="18"/>
                    <w:szCs w:val="18"/>
                  </w:rPr>
                </w:pPr>
                <w:r>
                  <w:rPr>
                    <w:rFonts w:cs="Times New Roman"/>
                    <w:sz w:val="18"/>
                    <w:szCs w:val="18"/>
                  </w:rPr>
                  <w:t>461.93</w:t>
                </w:r>
              </w:p>
            </w:tc>
            <w:tc>
              <w:tcPr>
                <w:tcW w:w="809" w:type="pct"/>
                <w:tcBorders>
                  <w:top w:val="single" w:color="auto" w:sz="4" w:space="0"/>
                  <w:left w:val="single" w:color="auto" w:sz="4" w:space="0"/>
                  <w:bottom w:val="single" w:color="auto" w:sz="4" w:space="0"/>
                  <w:right w:val="single" w:color="auto" w:sz="4" w:space="0"/>
                </w:tcBorders>
                <w:vAlign w:val="center"/>
              </w:tcPr>
              <w:p w14:paraId="379B1273">
                <w:pPr>
                  <w:autoSpaceDE w:val="0"/>
                  <w:autoSpaceDN w:val="0"/>
                  <w:adjustRightInd w:val="0"/>
                  <w:jc w:val="right"/>
                  <w:rPr>
                    <w:rFonts w:cs="Times New Roman"/>
                    <w:sz w:val="18"/>
                    <w:szCs w:val="18"/>
                  </w:rPr>
                </w:pPr>
                <w:r>
                  <w:rPr>
                    <w:rFonts w:cs="Times New Roman"/>
                    <w:sz w:val="18"/>
                    <w:szCs w:val="18"/>
                  </w:rPr>
                  <w:t>1,440.00</w:t>
                </w:r>
              </w:p>
            </w:tc>
            <w:tc>
              <w:tcPr>
                <w:tcW w:w="678" w:type="pct"/>
                <w:tcBorders>
                  <w:top w:val="single" w:color="auto" w:sz="4" w:space="0"/>
                  <w:left w:val="single" w:color="auto" w:sz="4" w:space="0"/>
                  <w:bottom w:val="single" w:color="auto" w:sz="4" w:space="0"/>
                  <w:right w:val="single" w:color="auto" w:sz="4" w:space="0"/>
                </w:tcBorders>
                <w:vAlign w:val="center"/>
              </w:tcPr>
              <w:p w14:paraId="5A60D9D1">
                <w:pPr>
                  <w:autoSpaceDE w:val="0"/>
                  <w:autoSpaceDN w:val="0"/>
                  <w:adjustRightInd w:val="0"/>
                  <w:jc w:val="right"/>
                  <w:rPr>
                    <w:rFonts w:cs="Times New Roman"/>
                    <w:sz w:val="18"/>
                    <w:szCs w:val="18"/>
                  </w:rPr>
                </w:pPr>
                <w:r>
                  <w:rPr>
                    <w:rFonts w:cs="Times New Roman"/>
                    <w:sz w:val="18"/>
                    <w:szCs w:val="18"/>
                  </w:rPr>
                  <w:t>461.93</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883104479"/>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1871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43BC16E1">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28CB5CE2">
                <w:pPr>
                  <w:autoSpaceDE w:val="0"/>
                  <w:autoSpaceDN w:val="0"/>
                  <w:adjustRightInd w:val="0"/>
                  <w:rPr>
                    <w:rFonts w:cs="Times New Roman"/>
                    <w:sz w:val="20"/>
                    <w:szCs w:val="20"/>
                  </w:rPr>
                </w:pPr>
                <w:r>
                  <w:rPr>
                    <w:rFonts w:cs="Times New Roman"/>
                    <w:sz w:val="20"/>
                    <w:szCs w:val="20"/>
                  </w:rPr>
                  <w:t>新兴际华投资有限公司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24B34740">
                <w:pPr>
                  <w:autoSpaceDE w:val="0"/>
                  <w:autoSpaceDN w:val="0"/>
                  <w:adjustRightInd w:val="0"/>
                  <w:jc w:val="right"/>
                  <w:rPr>
                    <w:rFonts w:cs="Times New Roman"/>
                    <w:sz w:val="18"/>
                    <w:szCs w:val="18"/>
                  </w:rPr>
                </w:pPr>
              </w:p>
            </w:tc>
            <w:tc>
              <w:tcPr>
                <w:tcW w:w="724" w:type="pct"/>
                <w:tcBorders>
                  <w:top w:val="single" w:color="auto" w:sz="4" w:space="0"/>
                  <w:left w:val="single" w:color="auto" w:sz="4" w:space="0"/>
                  <w:bottom w:val="single" w:color="auto" w:sz="4" w:space="0"/>
                  <w:right w:val="single" w:color="auto" w:sz="4" w:space="0"/>
                </w:tcBorders>
                <w:vAlign w:val="center"/>
              </w:tcPr>
              <w:p w14:paraId="6DCDF9E4">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3684C722">
                <w:pPr>
                  <w:autoSpaceDE w:val="0"/>
                  <w:autoSpaceDN w:val="0"/>
                  <w:adjustRightInd w:val="0"/>
                  <w:jc w:val="right"/>
                  <w:rPr>
                    <w:rFonts w:cs="Times New Roman"/>
                    <w:sz w:val="18"/>
                    <w:szCs w:val="18"/>
                  </w:rPr>
                </w:pPr>
                <w:r>
                  <w:rPr>
                    <w:rFonts w:cs="Times New Roman"/>
                    <w:sz w:val="18"/>
                    <w:szCs w:val="18"/>
                  </w:rPr>
                  <w:t>426,285.86</w:t>
                </w:r>
              </w:p>
            </w:tc>
            <w:tc>
              <w:tcPr>
                <w:tcW w:w="678" w:type="pct"/>
                <w:tcBorders>
                  <w:top w:val="single" w:color="auto" w:sz="4" w:space="0"/>
                  <w:left w:val="single" w:color="auto" w:sz="4" w:space="0"/>
                  <w:bottom w:val="single" w:color="auto" w:sz="4" w:space="0"/>
                  <w:right w:val="single" w:color="auto" w:sz="4" w:space="0"/>
                </w:tcBorders>
                <w:vAlign w:val="center"/>
              </w:tcPr>
              <w:p w14:paraId="3F91E7A0">
                <w:pPr>
                  <w:autoSpaceDE w:val="0"/>
                  <w:autoSpaceDN w:val="0"/>
                  <w:adjustRightInd w:val="0"/>
                  <w:jc w:val="right"/>
                  <w:rPr>
                    <w:rFonts w:cs="Times New Roman"/>
                    <w:sz w:val="18"/>
                    <w:szCs w:val="18"/>
                  </w:rPr>
                </w:pPr>
                <w:r>
                  <w:rPr>
                    <w:rFonts w:cs="Times New Roman"/>
                    <w:sz w:val="18"/>
                    <w:szCs w:val="18"/>
                  </w:rPr>
                  <w:t>406,674.05</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2036959186"/>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7CE5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4D08DE6E">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7BD7E684">
                <w:pPr>
                  <w:autoSpaceDE w:val="0"/>
                  <w:autoSpaceDN w:val="0"/>
                  <w:adjustRightInd w:val="0"/>
                  <w:rPr>
                    <w:rFonts w:cs="Times New Roman"/>
                    <w:sz w:val="20"/>
                    <w:szCs w:val="20"/>
                  </w:rPr>
                </w:pPr>
                <w:r>
                  <w:rPr>
                    <w:rFonts w:cs="Times New Roman"/>
                    <w:sz w:val="20"/>
                    <w:szCs w:val="20"/>
                  </w:rPr>
                  <w:t>天津华津制药有限公司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570D2265">
                <w:pPr>
                  <w:autoSpaceDE w:val="0"/>
                  <w:autoSpaceDN w:val="0"/>
                  <w:adjustRightInd w:val="0"/>
                  <w:jc w:val="right"/>
                  <w:rPr>
                    <w:rFonts w:cs="Times New Roman"/>
                    <w:sz w:val="18"/>
                    <w:szCs w:val="18"/>
                  </w:rPr>
                </w:pPr>
              </w:p>
            </w:tc>
            <w:tc>
              <w:tcPr>
                <w:tcW w:w="724" w:type="pct"/>
                <w:tcBorders>
                  <w:top w:val="single" w:color="auto" w:sz="4" w:space="0"/>
                  <w:left w:val="single" w:color="auto" w:sz="4" w:space="0"/>
                  <w:bottom w:val="single" w:color="auto" w:sz="4" w:space="0"/>
                  <w:right w:val="single" w:color="auto" w:sz="4" w:space="0"/>
                </w:tcBorders>
                <w:vAlign w:val="center"/>
              </w:tcPr>
              <w:p w14:paraId="756B7AAB">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7BF6C669">
                <w:pPr>
                  <w:autoSpaceDE w:val="0"/>
                  <w:autoSpaceDN w:val="0"/>
                  <w:adjustRightInd w:val="0"/>
                  <w:jc w:val="right"/>
                  <w:rPr>
                    <w:rFonts w:cs="Times New Roman"/>
                    <w:sz w:val="18"/>
                    <w:szCs w:val="18"/>
                  </w:rPr>
                </w:pPr>
                <w:r>
                  <w:rPr>
                    <w:rFonts w:cs="Times New Roman"/>
                    <w:sz w:val="18"/>
                    <w:szCs w:val="18"/>
                  </w:rPr>
                  <w:t>415,270.44</w:t>
                </w:r>
              </w:p>
            </w:tc>
            <w:tc>
              <w:tcPr>
                <w:tcW w:w="678" w:type="pct"/>
                <w:tcBorders>
                  <w:top w:val="single" w:color="auto" w:sz="4" w:space="0"/>
                  <w:left w:val="single" w:color="auto" w:sz="4" w:space="0"/>
                  <w:bottom w:val="single" w:color="auto" w:sz="4" w:space="0"/>
                  <w:right w:val="single" w:color="auto" w:sz="4" w:space="0"/>
                </w:tcBorders>
                <w:vAlign w:val="center"/>
              </w:tcPr>
              <w:p w14:paraId="309866AF">
                <w:pPr>
                  <w:autoSpaceDE w:val="0"/>
                  <w:autoSpaceDN w:val="0"/>
                  <w:adjustRightInd w:val="0"/>
                  <w:jc w:val="right"/>
                  <w:rPr>
                    <w:rFonts w:cs="Times New Roman"/>
                    <w:sz w:val="18"/>
                    <w:szCs w:val="18"/>
                  </w:rPr>
                </w:pPr>
                <w:r>
                  <w:rPr>
                    <w:rFonts w:cs="Times New Roman"/>
                    <w:sz w:val="18"/>
                    <w:szCs w:val="18"/>
                  </w:rPr>
                  <w:t>415,270.44</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550314990"/>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685F6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3ACBC4D9">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1020AA0D">
                <w:pPr>
                  <w:autoSpaceDE w:val="0"/>
                  <w:autoSpaceDN w:val="0"/>
                  <w:adjustRightInd w:val="0"/>
                  <w:rPr>
                    <w:rFonts w:cs="Times New Roman"/>
                    <w:sz w:val="20"/>
                    <w:szCs w:val="20"/>
                  </w:rPr>
                </w:pPr>
                <w:r>
                  <w:rPr>
                    <w:rFonts w:cs="Times New Roman"/>
                    <w:sz w:val="20"/>
                    <w:szCs w:val="20"/>
                  </w:rPr>
                  <w:t>芜湖新兴铸管有限责任公司</w:t>
                </w:r>
              </w:p>
            </w:tc>
            <w:tc>
              <w:tcPr>
                <w:tcW w:w="778" w:type="pct"/>
                <w:tcBorders>
                  <w:top w:val="single" w:color="auto" w:sz="4" w:space="0"/>
                  <w:left w:val="single" w:color="auto" w:sz="4" w:space="0"/>
                  <w:bottom w:val="single" w:color="auto" w:sz="4" w:space="0"/>
                  <w:right w:val="single" w:color="auto" w:sz="4" w:space="0"/>
                </w:tcBorders>
                <w:vAlign w:val="center"/>
              </w:tcPr>
              <w:p w14:paraId="169F0A8E">
                <w:pPr>
                  <w:autoSpaceDE w:val="0"/>
                  <w:autoSpaceDN w:val="0"/>
                  <w:adjustRightInd w:val="0"/>
                  <w:jc w:val="right"/>
                  <w:rPr>
                    <w:rFonts w:cs="Times New Roman"/>
                    <w:sz w:val="18"/>
                    <w:szCs w:val="18"/>
                  </w:rPr>
                </w:pPr>
              </w:p>
            </w:tc>
            <w:tc>
              <w:tcPr>
                <w:tcW w:w="724" w:type="pct"/>
                <w:tcBorders>
                  <w:top w:val="single" w:color="auto" w:sz="4" w:space="0"/>
                  <w:left w:val="single" w:color="auto" w:sz="4" w:space="0"/>
                  <w:bottom w:val="single" w:color="auto" w:sz="4" w:space="0"/>
                  <w:right w:val="single" w:color="auto" w:sz="4" w:space="0"/>
                </w:tcBorders>
                <w:vAlign w:val="center"/>
              </w:tcPr>
              <w:p w14:paraId="68183E9C">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6140B090">
                <w:pPr>
                  <w:autoSpaceDE w:val="0"/>
                  <w:autoSpaceDN w:val="0"/>
                  <w:adjustRightInd w:val="0"/>
                  <w:jc w:val="right"/>
                  <w:rPr>
                    <w:rFonts w:cs="Times New Roman"/>
                    <w:sz w:val="18"/>
                    <w:szCs w:val="18"/>
                  </w:rPr>
                </w:pPr>
                <w:r>
                  <w:rPr>
                    <w:rFonts w:cs="Times New Roman"/>
                    <w:sz w:val="18"/>
                    <w:szCs w:val="18"/>
                  </w:rPr>
                  <w:t>284,028.49</w:t>
                </w:r>
              </w:p>
            </w:tc>
            <w:tc>
              <w:tcPr>
                <w:tcW w:w="678" w:type="pct"/>
                <w:tcBorders>
                  <w:top w:val="single" w:color="auto" w:sz="4" w:space="0"/>
                  <w:left w:val="single" w:color="auto" w:sz="4" w:space="0"/>
                  <w:bottom w:val="single" w:color="auto" w:sz="4" w:space="0"/>
                  <w:right w:val="single" w:color="auto" w:sz="4" w:space="0"/>
                </w:tcBorders>
                <w:vAlign w:val="center"/>
              </w:tcPr>
              <w:p w14:paraId="7E0BA6B0">
                <w:pPr>
                  <w:autoSpaceDE w:val="0"/>
                  <w:autoSpaceDN w:val="0"/>
                  <w:adjustRightInd w:val="0"/>
                  <w:jc w:val="right"/>
                  <w:rPr>
                    <w:rFonts w:cs="Times New Roman"/>
                    <w:sz w:val="18"/>
                    <w:szCs w:val="18"/>
                  </w:rPr>
                </w:pPr>
                <w:r>
                  <w:rPr>
                    <w:rFonts w:cs="Times New Roman"/>
                    <w:sz w:val="18"/>
                    <w:szCs w:val="18"/>
                  </w:rPr>
                  <w:t>11,508.26</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44679560"/>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02C49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4407112A">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43413179">
                <w:pPr>
                  <w:autoSpaceDE w:val="0"/>
                  <w:autoSpaceDN w:val="0"/>
                  <w:adjustRightInd w:val="0"/>
                  <w:rPr>
                    <w:rFonts w:cs="Times New Roman"/>
                    <w:sz w:val="20"/>
                    <w:szCs w:val="20"/>
                  </w:rPr>
                </w:pPr>
                <w:r>
                  <w:rPr>
                    <w:rFonts w:cs="Times New Roman"/>
                    <w:sz w:val="20"/>
                    <w:szCs w:val="20"/>
                  </w:rPr>
                  <w:t>石家庄际华资产管理有限公司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511B47C2">
                <w:pPr>
                  <w:autoSpaceDE w:val="0"/>
                  <w:autoSpaceDN w:val="0"/>
                  <w:adjustRightInd w:val="0"/>
                  <w:jc w:val="right"/>
                  <w:rPr>
                    <w:rFonts w:cs="Times New Roman"/>
                    <w:sz w:val="18"/>
                    <w:szCs w:val="18"/>
                  </w:rPr>
                </w:pPr>
              </w:p>
            </w:tc>
            <w:tc>
              <w:tcPr>
                <w:tcW w:w="724" w:type="pct"/>
                <w:tcBorders>
                  <w:top w:val="single" w:color="auto" w:sz="4" w:space="0"/>
                  <w:left w:val="single" w:color="auto" w:sz="4" w:space="0"/>
                  <w:bottom w:val="single" w:color="auto" w:sz="4" w:space="0"/>
                  <w:right w:val="single" w:color="auto" w:sz="4" w:space="0"/>
                </w:tcBorders>
                <w:vAlign w:val="center"/>
              </w:tcPr>
              <w:p w14:paraId="6D73E700">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59C59EB4">
                <w:pPr>
                  <w:autoSpaceDE w:val="0"/>
                  <w:autoSpaceDN w:val="0"/>
                  <w:adjustRightInd w:val="0"/>
                  <w:jc w:val="right"/>
                  <w:rPr>
                    <w:rFonts w:cs="Times New Roman"/>
                    <w:sz w:val="18"/>
                    <w:szCs w:val="18"/>
                  </w:rPr>
                </w:pPr>
                <w:r>
                  <w:rPr>
                    <w:rFonts w:cs="Times New Roman"/>
                    <w:sz w:val="18"/>
                    <w:szCs w:val="18"/>
                  </w:rPr>
                  <w:t>33,200.00</w:t>
                </w:r>
              </w:p>
            </w:tc>
            <w:tc>
              <w:tcPr>
                <w:tcW w:w="678" w:type="pct"/>
                <w:tcBorders>
                  <w:top w:val="single" w:color="auto" w:sz="4" w:space="0"/>
                  <w:left w:val="single" w:color="auto" w:sz="4" w:space="0"/>
                  <w:bottom w:val="single" w:color="auto" w:sz="4" w:space="0"/>
                  <w:right w:val="single" w:color="auto" w:sz="4" w:space="0"/>
                </w:tcBorders>
                <w:vAlign w:val="center"/>
              </w:tcPr>
              <w:p w14:paraId="2140E4B3">
                <w:pPr>
                  <w:autoSpaceDE w:val="0"/>
                  <w:autoSpaceDN w:val="0"/>
                  <w:adjustRightInd w:val="0"/>
                  <w:jc w:val="right"/>
                  <w:rPr>
                    <w:rFonts w:cs="Times New Roman"/>
                    <w:sz w:val="18"/>
                    <w:szCs w:val="18"/>
                  </w:rPr>
                </w:pPr>
                <w:r>
                  <w:rPr>
                    <w:rFonts w:cs="Times New Roman"/>
                    <w:sz w:val="18"/>
                    <w:szCs w:val="18"/>
                  </w:rPr>
                  <w:t>1,345.20</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825665560"/>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2355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3BBD3336">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1DC8AD12">
                <w:pPr>
                  <w:autoSpaceDE w:val="0"/>
                  <w:autoSpaceDN w:val="0"/>
                  <w:adjustRightInd w:val="0"/>
                  <w:rPr>
                    <w:rFonts w:cs="Times New Roman"/>
                    <w:sz w:val="20"/>
                    <w:szCs w:val="20"/>
                  </w:rPr>
                </w:pPr>
                <w:r>
                  <w:rPr>
                    <w:rFonts w:cs="Times New Roman"/>
                    <w:sz w:val="20"/>
                    <w:szCs w:val="20"/>
                  </w:rPr>
                  <w:t>广东新兴铸管有限公司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528E8E2B">
                <w:pPr>
                  <w:autoSpaceDE w:val="0"/>
                  <w:autoSpaceDN w:val="0"/>
                  <w:adjustRightInd w:val="0"/>
                  <w:jc w:val="right"/>
                  <w:rPr>
                    <w:rFonts w:cs="Times New Roman"/>
                    <w:sz w:val="18"/>
                    <w:szCs w:val="18"/>
                  </w:rPr>
                </w:pPr>
              </w:p>
            </w:tc>
            <w:tc>
              <w:tcPr>
                <w:tcW w:w="724" w:type="pct"/>
                <w:tcBorders>
                  <w:top w:val="single" w:color="auto" w:sz="4" w:space="0"/>
                  <w:left w:val="single" w:color="auto" w:sz="4" w:space="0"/>
                  <w:bottom w:val="single" w:color="auto" w:sz="4" w:space="0"/>
                  <w:right w:val="single" w:color="auto" w:sz="4" w:space="0"/>
                </w:tcBorders>
                <w:vAlign w:val="center"/>
              </w:tcPr>
              <w:p w14:paraId="1857EB1B">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706DE82E">
                <w:pPr>
                  <w:autoSpaceDE w:val="0"/>
                  <w:autoSpaceDN w:val="0"/>
                  <w:adjustRightInd w:val="0"/>
                  <w:jc w:val="right"/>
                  <w:rPr>
                    <w:rFonts w:cs="Times New Roman"/>
                    <w:sz w:val="18"/>
                    <w:szCs w:val="18"/>
                  </w:rPr>
                </w:pPr>
                <w:r>
                  <w:rPr>
                    <w:rFonts w:cs="Times New Roman"/>
                    <w:sz w:val="18"/>
                    <w:szCs w:val="18"/>
                  </w:rPr>
                  <w:t>24,640.00</w:t>
                </w:r>
              </w:p>
            </w:tc>
            <w:tc>
              <w:tcPr>
                <w:tcW w:w="678" w:type="pct"/>
                <w:tcBorders>
                  <w:top w:val="single" w:color="auto" w:sz="4" w:space="0"/>
                  <w:left w:val="single" w:color="auto" w:sz="4" w:space="0"/>
                  <w:bottom w:val="single" w:color="auto" w:sz="4" w:space="0"/>
                  <w:right w:val="single" w:color="auto" w:sz="4" w:space="0"/>
                </w:tcBorders>
                <w:vAlign w:val="center"/>
              </w:tcPr>
              <w:p w14:paraId="25F07B9C">
                <w:pPr>
                  <w:autoSpaceDE w:val="0"/>
                  <w:autoSpaceDN w:val="0"/>
                  <w:adjustRightInd w:val="0"/>
                  <w:jc w:val="right"/>
                  <w:rPr>
                    <w:rFonts w:cs="Times New Roman"/>
                    <w:sz w:val="18"/>
                    <w:szCs w:val="18"/>
                  </w:rPr>
                </w:pPr>
                <w:r>
                  <w:rPr>
                    <w:rFonts w:cs="Times New Roman"/>
                    <w:sz w:val="18"/>
                    <w:szCs w:val="18"/>
                  </w:rPr>
                  <w:t>998.36</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561866778"/>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720E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161FC2AC">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0FF632A1">
                <w:pPr>
                  <w:autoSpaceDE w:val="0"/>
                  <w:autoSpaceDN w:val="0"/>
                  <w:adjustRightInd w:val="0"/>
                  <w:rPr>
                    <w:rFonts w:cs="Times New Roman"/>
                    <w:sz w:val="20"/>
                    <w:szCs w:val="20"/>
                  </w:rPr>
                </w:pPr>
                <w:r>
                  <w:rPr>
                    <w:rFonts w:cs="Times New Roman"/>
                    <w:sz w:val="20"/>
                    <w:szCs w:val="20"/>
                  </w:rPr>
                  <w:t>广州新星投资发展有限公司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3A40B093">
                <w:pPr>
                  <w:autoSpaceDE w:val="0"/>
                  <w:autoSpaceDN w:val="0"/>
                  <w:adjustRightInd w:val="0"/>
                  <w:jc w:val="right"/>
                  <w:rPr>
                    <w:rFonts w:cs="Times New Roman"/>
                    <w:sz w:val="18"/>
                    <w:szCs w:val="18"/>
                  </w:rPr>
                </w:pPr>
              </w:p>
            </w:tc>
            <w:tc>
              <w:tcPr>
                <w:tcW w:w="724" w:type="pct"/>
                <w:tcBorders>
                  <w:top w:val="single" w:color="auto" w:sz="4" w:space="0"/>
                  <w:left w:val="single" w:color="auto" w:sz="4" w:space="0"/>
                  <w:bottom w:val="single" w:color="auto" w:sz="4" w:space="0"/>
                  <w:right w:val="single" w:color="auto" w:sz="4" w:space="0"/>
                </w:tcBorders>
                <w:vAlign w:val="center"/>
              </w:tcPr>
              <w:p w14:paraId="47C8BFFD">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01BC89D2">
                <w:pPr>
                  <w:autoSpaceDE w:val="0"/>
                  <w:autoSpaceDN w:val="0"/>
                  <w:adjustRightInd w:val="0"/>
                  <w:jc w:val="right"/>
                  <w:rPr>
                    <w:rFonts w:cs="Times New Roman"/>
                    <w:sz w:val="18"/>
                    <w:szCs w:val="18"/>
                  </w:rPr>
                </w:pPr>
                <w:r>
                  <w:rPr>
                    <w:rFonts w:cs="Times New Roman"/>
                    <w:sz w:val="18"/>
                    <w:szCs w:val="18"/>
                  </w:rPr>
                  <w:t>10,101.70</w:t>
                </w:r>
              </w:p>
            </w:tc>
            <w:tc>
              <w:tcPr>
                <w:tcW w:w="678" w:type="pct"/>
                <w:tcBorders>
                  <w:top w:val="single" w:color="auto" w:sz="4" w:space="0"/>
                  <w:left w:val="single" w:color="auto" w:sz="4" w:space="0"/>
                  <w:bottom w:val="single" w:color="auto" w:sz="4" w:space="0"/>
                  <w:right w:val="single" w:color="auto" w:sz="4" w:space="0"/>
                </w:tcBorders>
                <w:vAlign w:val="center"/>
              </w:tcPr>
              <w:p w14:paraId="6478AA04">
                <w:pPr>
                  <w:autoSpaceDE w:val="0"/>
                  <w:autoSpaceDN w:val="0"/>
                  <w:adjustRightInd w:val="0"/>
                  <w:jc w:val="right"/>
                  <w:rPr>
                    <w:rFonts w:cs="Times New Roman"/>
                    <w:sz w:val="18"/>
                    <w:szCs w:val="18"/>
                  </w:rPr>
                </w:pPr>
                <w:r>
                  <w:rPr>
                    <w:rFonts w:cs="Times New Roman"/>
                    <w:sz w:val="18"/>
                    <w:szCs w:val="18"/>
                  </w:rPr>
                  <w:t>10,101.70</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370411229"/>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6F04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45155BB2">
                <w:pPr>
                  <w:autoSpaceDE w:val="0"/>
                  <w:autoSpaceDN w:val="0"/>
                  <w:adjustRightInd w:val="0"/>
                  <w:rPr>
                    <w:rFonts w:cs="Times New Roman"/>
                    <w:sz w:val="20"/>
                    <w:szCs w:val="20"/>
                  </w:rPr>
                </w:pPr>
                <w:r>
                  <w:rPr>
                    <w:rFonts w:cs="Times New Roman"/>
                    <w:sz w:val="20"/>
                    <w:szCs w:val="20"/>
                  </w:rPr>
                  <w:t>应收账款</w:t>
                </w:r>
              </w:p>
            </w:tc>
            <w:tc>
              <w:tcPr>
                <w:tcW w:w="1208" w:type="pct"/>
                <w:tcBorders>
                  <w:top w:val="single" w:color="auto" w:sz="4" w:space="0"/>
                  <w:left w:val="single" w:color="auto" w:sz="4" w:space="0"/>
                  <w:bottom w:val="single" w:color="auto" w:sz="4" w:space="0"/>
                  <w:right w:val="single" w:color="auto" w:sz="4" w:space="0"/>
                </w:tcBorders>
                <w:vAlign w:val="center"/>
              </w:tcPr>
              <w:p w14:paraId="4B156AC9">
                <w:pPr>
                  <w:autoSpaceDE w:val="0"/>
                  <w:autoSpaceDN w:val="0"/>
                  <w:adjustRightInd w:val="0"/>
                  <w:rPr>
                    <w:rFonts w:cs="Times New Roman"/>
                    <w:sz w:val="20"/>
                    <w:szCs w:val="20"/>
                  </w:rPr>
                </w:pPr>
                <w:r>
                  <w:rPr>
                    <w:rFonts w:cs="Times New Roman"/>
                    <w:sz w:val="20"/>
                    <w:szCs w:val="20"/>
                  </w:rPr>
                  <w:t>上海三五一六置业有限公司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493EF062">
                <w:pPr>
                  <w:autoSpaceDE w:val="0"/>
                  <w:autoSpaceDN w:val="0"/>
                  <w:adjustRightInd w:val="0"/>
                  <w:jc w:val="right"/>
                  <w:rPr>
                    <w:rFonts w:cs="Times New Roman"/>
                    <w:sz w:val="18"/>
                    <w:szCs w:val="18"/>
                  </w:rPr>
                </w:pPr>
              </w:p>
            </w:tc>
            <w:tc>
              <w:tcPr>
                <w:tcW w:w="724" w:type="pct"/>
                <w:tcBorders>
                  <w:top w:val="single" w:color="auto" w:sz="4" w:space="0"/>
                  <w:left w:val="single" w:color="auto" w:sz="4" w:space="0"/>
                  <w:bottom w:val="single" w:color="auto" w:sz="4" w:space="0"/>
                  <w:right w:val="single" w:color="auto" w:sz="4" w:space="0"/>
                </w:tcBorders>
                <w:vAlign w:val="center"/>
              </w:tcPr>
              <w:p w14:paraId="0BEC435E">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29244E63">
                <w:pPr>
                  <w:autoSpaceDE w:val="0"/>
                  <w:autoSpaceDN w:val="0"/>
                  <w:adjustRightInd w:val="0"/>
                  <w:jc w:val="right"/>
                  <w:rPr>
                    <w:rFonts w:cs="Times New Roman"/>
                    <w:sz w:val="18"/>
                    <w:szCs w:val="18"/>
                  </w:rPr>
                </w:pPr>
                <w:r>
                  <w:rPr>
                    <w:rFonts w:cs="Times New Roman"/>
                    <w:sz w:val="18"/>
                    <w:szCs w:val="18"/>
                  </w:rPr>
                  <w:t>28,305.00</w:t>
                </w:r>
              </w:p>
            </w:tc>
            <w:tc>
              <w:tcPr>
                <w:tcW w:w="678" w:type="pct"/>
                <w:tcBorders>
                  <w:top w:val="single" w:color="auto" w:sz="4" w:space="0"/>
                  <w:left w:val="single" w:color="auto" w:sz="4" w:space="0"/>
                  <w:bottom w:val="single" w:color="auto" w:sz="4" w:space="0"/>
                  <w:right w:val="single" w:color="auto" w:sz="4" w:space="0"/>
                </w:tcBorders>
                <w:vAlign w:val="center"/>
              </w:tcPr>
              <w:p w14:paraId="7E7F817F">
                <w:pPr>
                  <w:autoSpaceDE w:val="0"/>
                  <w:autoSpaceDN w:val="0"/>
                  <w:adjustRightInd w:val="0"/>
                  <w:jc w:val="right"/>
                  <w:rPr>
                    <w:rFonts w:cs="Times New Roman"/>
                    <w:sz w:val="18"/>
                    <w:szCs w:val="18"/>
                  </w:rPr>
                </w:pPr>
                <w:r>
                  <w:rPr>
                    <w:rFonts w:cs="Times New Roman"/>
                    <w:sz w:val="18"/>
                    <w:szCs w:val="18"/>
                  </w:rPr>
                  <w:t>28,305.00</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449751779"/>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77C1B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7E9E8108">
                <w:pPr>
                  <w:autoSpaceDE w:val="0"/>
                  <w:autoSpaceDN w:val="0"/>
                  <w:adjustRightInd w:val="0"/>
                  <w:rPr>
                    <w:rFonts w:cs="Times New Roman"/>
                    <w:sz w:val="20"/>
                    <w:szCs w:val="20"/>
                  </w:rPr>
                </w:pPr>
                <w:r>
                  <w:rPr>
                    <w:rFonts w:cs="Times New Roman"/>
                    <w:sz w:val="20"/>
                    <w:szCs w:val="20"/>
                  </w:rPr>
                  <w:t>预付款项</w:t>
                </w:r>
              </w:p>
            </w:tc>
            <w:tc>
              <w:tcPr>
                <w:tcW w:w="1208" w:type="pct"/>
                <w:tcBorders>
                  <w:top w:val="single" w:color="auto" w:sz="4" w:space="0"/>
                  <w:left w:val="single" w:color="auto" w:sz="4" w:space="0"/>
                  <w:bottom w:val="single" w:color="auto" w:sz="4" w:space="0"/>
                  <w:right w:val="single" w:color="auto" w:sz="4" w:space="0"/>
                </w:tcBorders>
                <w:vAlign w:val="center"/>
              </w:tcPr>
              <w:p w14:paraId="1375F5F8">
                <w:pPr>
                  <w:autoSpaceDE w:val="0"/>
                  <w:autoSpaceDN w:val="0"/>
                  <w:adjustRightInd w:val="0"/>
                  <w:rPr>
                    <w:rFonts w:cs="Times New Roman"/>
                    <w:sz w:val="20"/>
                    <w:szCs w:val="20"/>
                  </w:rPr>
                </w:pPr>
              </w:p>
            </w:tc>
            <w:tc>
              <w:tcPr>
                <w:tcW w:w="778" w:type="pct"/>
                <w:tcBorders>
                  <w:top w:val="single" w:color="auto" w:sz="4" w:space="0"/>
                  <w:left w:val="single" w:color="auto" w:sz="4" w:space="0"/>
                  <w:bottom w:val="single" w:color="auto" w:sz="4" w:space="0"/>
                  <w:right w:val="single" w:color="auto" w:sz="4" w:space="0"/>
                </w:tcBorders>
                <w:vAlign w:val="center"/>
              </w:tcPr>
              <w:p w14:paraId="53099FD2">
                <w:pPr>
                  <w:autoSpaceDE w:val="0"/>
                  <w:autoSpaceDN w:val="0"/>
                  <w:adjustRightInd w:val="0"/>
                  <w:jc w:val="right"/>
                  <w:rPr>
                    <w:rFonts w:cs="Times New Roman"/>
                    <w:sz w:val="18"/>
                    <w:szCs w:val="18"/>
                  </w:rPr>
                </w:pPr>
              </w:p>
            </w:tc>
            <w:tc>
              <w:tcPr>
                <w:tcW w:w="724" w:type="pct"/>
                <w:tcBorders>
                  <w:top w:val="single" w:color="auto" w:sz="4" w:space="0"/>
                  <w:left w:val="single" w:color="auto" w:sz="4" w:space="0"/>
                  <w:bottom w:val="single" w:color="auto" w:sz="4" w:space="0"/>
                  <w:right w:val="single" w:color="auto" w:sz="4" w:space="0"/>
                </w:tcBorders>
                <w:vAlign w:val="center"/>
              </w:tcPr>
              <w:p w14:paraId="64732E4F">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1A841E16">
                <w:pPr>
                  <w:autoSpaceDE w:val="0"/>
                  <w:autoSpaceDN w:val="0"/>
                  <w:adjustRightInd w:val="0"/>
                  <w:jc w:val="right"/>
                  <w:rPr>
                    <w:rFonts w:cs="Times New Roman"/>
                    <w:sz w:val="18"/>
                    <w:szCs w:val="18"/>
                  </w:rPr>
                </w:pPr>
              </w:p>
            </w:tc>
            <w:tc>
              <w:tcPr>
                <w:tcW w:w="678" w:type="pct"/>
                <w:tcBorders>
                  <w:top w:val="single" w:color="auto" w:sz="4" w:space="0"/>
                  <w:left w:val="single" w:color="auto" w:sz="4" w:space="0"/>
                  <w:bottom w:val="single" w:color="auto" w:sz="4" w:space="0"/>
                  <w:right w:val="single" w:color="auto" w:sz="4" w:space="0"/>
                </w:tcBorders>
                <w:vAlign w:val="center"/>
              </w:tcPr>
              <w:p w14:paraId="4A74DF98">
                <w:pPr>
                  <w:autoSpaceDE w:val="0"/>
                  <w:autoSpaceDN w:val="0"/>
                  <w:adjustRightInd w:val="0"/>
                  <w:jc w:val="right"/>
                  <w:rPr>
                    <w:rFonts w:cs="Times New Roman"/>
                    <w:sz w:val="18"/>
                    <w:szCs w:val="18"/>
                  </w:rPr>
                </w:pP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436343843"/>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2DF3E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7BF8E936">
                <w:pPr>
                  <w:autoSpaceDE w:val="0"/>
                  <w:autoSpaceDN w:val="0"/>
                  <w:adjustRightInd w:val="0"/>
                  <w:rPr>
                    <w:rFonts w:cs="Times New Roman"/>
                    <w:sz w:val="20"/>
                    <w:szCs w:val="20"/>
                  </w:rPr>
                </w:pPr>
                <w:r>
                  <w:rPr>
                    <w:rFonts w:cs="Times New Roman"/>
                    <w:sz w:val="20"/>
                    <w:szCs w:val="20"/>
                  </w:rPr>
                  <w:t>预付款项</w:t>
                </w:r>
              </w:p>
            </w:tc>
            <w:tc>
              <w:tcPr>
                <w:tcW w:w="1208" w:type="pct"/>
                <w:tcBorders>
                  <w:top w:val="single" w:color="auto" w:sz="4" w:space="0"/>
                  <w:left w:val="single" w:color="auto" w:sz="4" w:space="0"/>
                  <w:bottom w:val="single" w:color="auto" w:sz="4" w:space="0"/>
                  <w:right w:val="single" w:color="auto" w:sz="4" w:space="0"/>
                </w:tcBorders>
                <w:vAlign w:val="center"/>
              </w:tcPr>
              <w:p w14:paraId="0BEC2188">
                <w:pPr>
                  <w:autoSpaceDE w:val="0"/>
                  <w:autoSpaceDN w:val="0"/>
                  <w:adjustRightInd w:val="0"/>
                  <w:rPr>
                    <w:rFonts w:cs="Times New Roman"/>
                    <w:sz w:val="20"/>
                    <w:szCs w:val="20"/>
                  </w:rPr>
                </w:pPr>
                <w:r>
                  <w:rPr>
                    <w:rFonts w:cs="Times New Roman"/>
                    <w:sz w:val="20"/>
                    <w:szCs w:val="20"/>
                  </w:rPr>
                  <w:t>北京三五零一服装厂有限公司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0A873217">
                <w:pPr>
                  <w:autoSpaceDE w:val="0"/>
                  <w:autoSpaceDN w:val="0"/>
                  <w:adjustRightInd w:val="0"/>
                  <w:jc w:val="right"/>
                  <w:rPr>
                    <w:rFonts w:cs="Times New Roman"/>
                    <w:sz w:val="18"/>
                    <w:szCs w:val="18"/>
                  </w:rPr>
                </w:pPr>
                <w:r>
                  <w:rPr>
                    <w:rFonts w:cs="Times New Roman"/>
                    <w:sz w:val="18"/>
                    <w:szCs w:val="18"/>
                  </w:rPr>
                  <w:t>154,845.15</w:t>
                </w:r>
              </w:p>
            </w:tc>
            <w:tc>
              <w:tcPr>
                <w:tcW w:w="724" w:type="pct"/>
                <w:tcBorders>
                  <w:top w:val="single" w:color="auto" w:sz="4" w:space="0"/>
                  <w:left w:val="single" w:color="auto" w:sz="4" w:space="0"/>
                  <w:bottom w:val="single" w:color="auto" w:sz="4" w:space="0"/>
                  <w:right w:val="single" w:color="auto" w:sz="4" w:space="0"/>
                </w:tcBorders>
                <w:vAlign w:val="center"/>
              </w:tcPr>
              <w:p w14:paraId="2E8048C3">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41B33972">
                <w:pPr>
                  <w:autoSpaceDE w:val="0"/>
                  <w:autoSpaceDN w:val="0"/>
                  <w:adjustRightInd w:val="0"/>
                  <w:jc w:val="right"/>
                  <w:rPr>
                    <w:rFonts w:cs="Times New Roman"/>
                    <w:sz w:val="18"/>
                    <w:szCs w:val="18"/>
                  </w:rPr>
                </w:pPr>
                <w:r>
                  <w:rPr>
                    <w:rFonts w:cs="Times New Roman"/>
                    <w:sz w:val="18"/>
                    <w:szCs w:val="18"/>
                  </w:rPr>
                  <w:t>154,845.15</w:t>
                </w:r>
              </w:p>
            </w:tc>
            <w:tc>
              <w:tcPr>
                <w:tcW w:w="678" w:type="pct"/>
                <w:tcBorders>
                  <w:top w:val="single" w:color="auto" w:sz="4" w:space="0"/>
                  <w:left w:val="single" w:color="auto" w:sz="4" w:space="0"/>
                  <w:bottom w:val="single" w:color="auto" w:sz="4" w:space="0"/>
                  <w:right w:val="single" w:color="auto" w:sz="4" w:space="0"/>
                </w:tcBorders>
                <w:vAlign w:val="center"/>
              </w:tcPr>
              <w:p w14:paraId="0B53DA39">
                <w:pPr>
                  <w:autoSpaceDE w:val="0"/>
                  <w:autoSpaceDN w:val="0"/>
                  <w:adjustRightInd w:val="0"/>
                  <w:jc w:val="right"/>
                  <w:rPr>
                    <w:rFonts w:cs="Times New Roman"/>
                    <w:sz w:val="18"/>
                    <w:szCs w:val="18"/>
                  </w:rPr>
                </w:pP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878698442"/>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5C47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5FFF17C7">
                <w:pPr>
                  <w:autoSpaceDE w:val="0"/>
                  <w:autoSpaceDN w:val="0"/>
                  <w:adjustRightInd w:val="0"/>
                  <w:rPr>
                    <w:rFonts w:cs="Times New Roman"/>
                    <w:sz w:val="20"/>
                    <w:szCs w:val="20"/>
                  </w:rPr>
                </w:pPr>
                <w:r>
                  <w:rPr>
                    <w:rFonts w:cs="Times New Roman"/>
                    <w:sz w:val="20"/>
                    <w:szCs w:val="20"/>
                  </w:rPr>
                  <w:t>预付款项</w:t>
                </w:r>
              </w:p>
            </w:tc>
            <w:tc>
              <w:tcPr>
                <w:tcW w:w="1208" w:type="pct"/>
                <w:tcBorders>
                  <w:top w:val="single" w:color="auto" w:sz="4" w:space="0"/>
                  <w:left w:val="single" w:color="auto" w:sz="4" w:space="0"/>
                  <w:bottom w:val="single" w:color="auto" w:sz="4" w:space="0"/>
                  <w:right w:val="single" w:color="auto" w:sz="4" w:space="0"/>
                </w:tcBorders>
                <w:vAlign w:val="center"/>
              </w:tcPr>
              <w:p w14:paraId="175B8700">
                <w:pPr>
                  <w:autoSpaceDE w:val="0"/>
                  <w:autoSpaceDN w:val="0"/>
                  <w:adjustRightInd w:val="0"/>
                  <w:rPr>
                    <w:rFonts w:cs="Times New Roman"/>
                    <w:sz w:val="20"/>
                    <w:szCs w:val="20"/>
                  </w:rPr>
                </w:pPr>
                <w:r>
                  <w:rPr>
                    <w:rFonts w:cs="Times New Roman"/>
                    <w:sz w:val="20"/>
                    <w:szCs w:val="20"/>
                  </w:rPr>
                  <w:t>新兴际华（上海）工程科技研究院有限公司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54284C90">
                <w:pPr>
                  <w:autoSpaceDE w:val="0"/>
                  <w:autoSpaceDN w:val="0"/>
                  <w:adjustRightInd w:val="0"/>
                  <w:jc w:val="right"/>
                  <w:rPr>
                    <w:rFonts w:cs="Times New Roman"/>
                    <w:sz w:val="18"/>
                    <w:szCs w:val="18"/>
                  </w:rPr>
                </w:pPr>
              </w:p>
            </w:tc>
            <w:tc>
              <w:tcPr>
                <w:tcW w:w="724" w:type="pct"/>
                <w:tcBorders>
                  <w:top w:val="single" w:color="auto" w:sz="4" w:space="0"/>
                  <w:left w:val="single" w:color="auto" w:sz="4" w:space="0"/>
                  <w:bottom w:val="single" w:color="auto" w:sz="4" w:space="0"/>
                  <w:right w:val="single" w:color="auto" w:sz="4" w:space="0"/>
                </w:tcBorders>
                <w:vAlign w:val="center"/>
              </w:tcPr>
              <w:p w14:paraId="51C91E3B">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489CD4FF">
                <w:pPr>
                  <w:autoSpaceDE w:val="0"/>
                  <w:autoSpaceDN w:val="0"/>
                  <w:adjustRightInd w:val="0"/>
                  <w:jc w:val="right"/>
                  <w:rPr>
                    <w:rFonts w:cs="Times New Roman"/>
                    <w:sz w:val="18"/>
                    <w:szCs w:val="18"/>
                  </w:rPr>
                </w:pPr>
                <w:r>
                  <w:rPr>
                    <w:rFonts w:cs="Times New Roman"/>
                    <w:sz w:val="18"/>
                    <w:szCs w:val="18"/>
                  </w:rPr>
                  <w:t>358.94</w:t>
                </w:r>
              </w:p>
            </w:tc>
            <w:tc>
              <w:tcPr>
                <w:tcW w:w="678" w:type="pct"/>
                <w:tcBorders>
                  <w:top w:val="single" w:color="auto" w:sz="4" w:space="0"/>
                  <w:left w:val="single" w:color="auto" w:sz="4" w:space="0"/>
                  <w:bottom w:val="single" w:color="auto" w:sz="4" w:space="0"/>
                  <w:right w:val="single" w:color="auto" w:sz="4" w:space="0"/>
                </w:tcBorders>
                <w:vAlign w:val="center"/>
              </w:tcPr>
              <w:p w14:paraId="20E61A17">
                <w:pPr>
                  <w:autoSpaceDE w:val="0"/>
                  <w:autoSpaceDN w:val="0"/>
                  <w:adjustRightInd w:val="0"/>
                  <w:jc w:val="right"/>
                  <w:rPr>
                    <w:rFonts w:cs="Times New Roman"/>
                    <w:sz w:val="18"/>
                    <w:szCs w:val="18"/>
                  </w:rPr>
                </w:pP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78674937"/>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60E2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75C83E78">
                <w:pPr>
                  <w:autoSpaceDE w:val="0"/>
                  <w:autoSpaceDN w:val="0"/>
                  <w:adjustRightInd w:val="0"/>
                  <w:rPr>
                    <w:rFonts w:cs="Times New Roman"/>
                    <w:sz w:val="20"/>
                    <w:szCs w:val="20"/>
                  </w:rPr>
                </w:pPr>
                <w:r>
                  <w:rPr>
                    <w:rFonts w:cs="Times New Roman"/>
                    <w:sz w:val="20"/>
                    <w:szCs w:val="20"/>
                  </w:rPr>
                  <w:t>预付款项</w:t>
                </w:r>
              </w:p>
            </w:tc>
            <w:tc>
              <w:tcPr>
                <w:tcW w:w="1208" w:type="pct"/>
                <w:tcBorders>
                  <w:top w:val="single" w:color="auto" w:sz="4" w:space="0"/>
                  <w:left w:val="single" w:color="auto" w:sz="4" w:space="0"/>
                  <w:bottom w:val="single" w:color="auto" w:sz="4" w:space="0"/>
                  <w:right w:val="single" w:color="auto" w:sz="4" w:space="0"/>
                </w:tcBorders>
                <w:vAlign w:val="center"/>
              </w:tcPr>
              <w:p w14:paraId="4D4B8CCA">
                <w:pPr>
                  <w:autoSpaceDE w:val="0"/>
                  <w:autoSpaceDN w:val="0"/>
                  <w:adjustRightInd w:val="0"/>
                  <w:rPr>
                    <w:rFonts w:cs="Times New Roman"/>
                    <w:sz w:val="20"/>
                    <w:szCs w:val="20"/>
                  </w:rPr>
                </w:pPr>
                <w:r>
                  <w:rPr>
                    <w:rFonts w:cs="Times New Roman"/>
                    <w:sz w:val="20"/>
                    <w:szCs w:val="20"/>
                  </w:rPr>
                  <w:t>石家庄际华资产管理有限公司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676BA6A6">
                <w:pPr>
                  <w:autoSpaceDE w:val="0"/>
                  <w:autoSpaceDN w:val="0"/>
                  <w:adjustRightInd w:val="0"/>
                  <w:jc w:val="right"/>
                  <w:rPr>
                    <w:rFonts w:cs="Times New Roman"/>
                    <w:sz w:val="18"/>
                    <w:szCs w:val="18"/>
                  </w:rPr>
                </w:pPr>
                <w:r>
                  <w:rPr>
                    <w:rFonts w:cs="Times New Roman"/>
                    <w:sz w:val="18"/>
                    <w:szCs w:val="18"/>
                  </w:rPr>
                  <w:t>284,296.68</w:t>
                </w:r>
              </w:p>
            </w:tc>
            <w:tc>
              <w:tcPr>
                <w:tcW w:w="724" w:type="pct"/>
                <w:tcBorders>
                  <w:top w:val="single" w:color="auto" w:sz="4" w:space="0"/>
                  <w:left w:val="single" w:color="auto" w:sz="4" w:space="0"/>
                  <w:bottom w:val="single" w:color="auto" w:sz="4" w:space="0"/>
                  <w:right w:val="single" w:color="auto" w:sz="4" w:space="0"/>
                </w:tcBorders>
                <w:vAlign w:val="center"/>
              </w:tcPr>
              <w:p w14:paraId="2B8C78E1">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4C5CEAC4">
                <w:pPr>
                  <w:autoSpaceDE w:val="0"/>
                  <w:autoSpaceDN w:val="0"/>
                  <w:adjustRightInd w:val="0"/>
                  <w:jc w:val="right"/>
                  <w:rPr>
                    <w:rFonts w:cs="Times New Roman"/>
                    <w:sz w:val="18"/>
                    <w:szCs w:val="18"/>
                  </w:rPr>
                </w:pPr>
              </w:p>
            </w:tc>
            <w:tc>
              <w:tcPr>
                <w:tcW w:w="678" w:type="pct"/>
                <w:tcBorders>
                  <w:top w:val="single" w:color="auto" w:sz="4" w:space="0"/>
                  <w:left w:val="single" w:color="auto" w:sz="4" w:space="0"/>
                  <w:bottom w:val="single" w:color="auto" w:sz="4" w:space="0"/>
                  <w:right w:val="single" w:color="auto" w:sz="4" w:space="0"/>
                </w:tcBorders>
                <w:vAlign w:val="center"/>
              </w:tcPr>
              <w:p w14:paraId="7C663703">
                <w:pPr>
                  <w:autoSpaceDE w:val="0"/>
                  <w:autoSpaceDN w:val="0"/>
                  <w:adjustRightInd w:val="0"/>
                  <w:jc w:val="right"/>
                  <w:rPr>
                    <w:rFonts w:cs="Times New Roman"/>
                    <w:sz w:val="18"/>
                    <w:szCs w:val="18"/>
                  </w:rPr>
                </w:pP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392005732"/>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0BDAF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7FF0D06F">
                <w:pPr>
                  <w:autoSpaceDE w:val="0"/>
                  <w:autoSpaceDN w:val="0"/>
                  <w:adjustRightInd w:val="0"/>
                  <w:rPr>
                    <w:rFonts w:cs="Times New Roman"/>
                    <w:sz w:val="20"/>
                    <w:szCs w:val="20"/>
                  </w:rPr>
                </w:pPr>
                <w:r>
                  <w:rPr>
                    <w:rFonts w:cs="Times New Roman"/>
                    <w:sz w:val="20"/>
                    <w:szCs w:val="20"/>
                  </w:rPr>
                  <w:t>预付款项</w:t>
                </w:r>
              </w:p>
            </w:tc>
            <w:tc>
              <w:tcPr>
                <w:tcW w:w="1208" w:type="pct"/>
                <w:tcBorders>
                  <w:top w:val="single" w:color="auto" w:sz="4" w:space="0"/>
                  <w:left w:val="single" w:color="auto" w:sz="4" w:space="0"/>
                  <w:bottom w:val="single" w:color="auto" w:sz="4" w:space="0"/>
                  <w:right w:val="single" w:color="auto" w:sz="4" w:space="0"/>
                </w:tcBorders>
                <w:vAlign w:val="center"/>
              </w:tcPr>
              <w:p w14:paraId="6D4B3241">
                <w:pPr>
                  <w:autoSpaceDE w:val="0"/>
                  <w:autoSpaceDN w:val="0"/>
                  <w:adjustRightInd w:val="0"/>
                  <w:rPr>
                    <w:rFonts w:cs="Times New Roman"/>
                    <w:sz w:val="20"/>
                    <w:szCs w:val="20"/>
                  </w:rPr>
                </w:pPr>
                <w:r>
                  <w:rPr>
                    <w:rFonts w:cs="Times New Roman"/>
                    <w:sz w:val="20"/>
                    <w:szCs w:val="20"/>
                  </w:rPr>
                  <w:t>荷原置地控股有限公司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4CC022B9">
                <w:pPr>
                  <w:autoSpaceDE w:val="0"/>
                  <w:autoSpaceDN w:val="0"/>
                  <w:adjustRightInd w:val="0"/>
                  <w:jc w:val="right"/>
                  <w:rPr>
                    <w:rFonts w:cs="Times New Roman"/>
                    <w:sz w:val="18"/>
                    <w:szCs w:val="18"/>
                  </w:rPr>
                </w:pPr>
                <w:r>
                  <w:rPr>
                    <w:rFonts w:cs="Times New Roman"/>
                    <w:sz w:val="18"/>
                    <w:szCs w:val="18"/>
                  </w:rPr>
                  <w:t>600,000.00</w:t>
                </w:r>
              </w:p>
            </w:tc>
            <w:tc>
              <w:tcPr>
                <w:tcW w:w="724" w:type="pct"/>
                <w:tcBorders>
                  <w:top w:val="single" w:color="auto" w:sz="4" w:space="0"/>
                  <w:left w:val="single" w:color="auto" w:sz="4" w:space="0"/>
                  <w:bottom w:val="single" w:color="auto" w:sz="4" w:space="0"/>
                  <w:right w:val="single" w:color="auto" w:sz="4" w:space="0"/>
                </w:tcBorders>
                <w:vAlign w:val="center"/>
              </w:tcPr>
              <w:p w14:paraId="7622443B">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0E691276">
                <w:pPr>
                  <w:autoSpaceDE w:val="0"/>
                  <w:autoSpaceDN w:val="0"/>
                  <w:adjustRightInd w:val="0"/>
                  <w:jc w:val="right"/>
                  <w:rPr>
                    <w:rFonts w:cs="Times New Roman"/>
                    <w:sz w:val="18"/>
                    <w:szCs w:val="18"/>
                  </w:rPr>
                </w:pPr>
              </w:p>
            </w:tc>
            <w:tc>
              <w:tcPr>
                <w:tcW w:w="678" w:type="pct"/>
                <w:tcBorders>
                  <w:top w:val="single" w:color="auto" w:sz="4" w:space="0"/>
                  <w:left w:val="single" w:color="auto" w:sz="4" w:space="0"/>
                  <w:bottom w:val="single" w:color="auto" w:sz="4" w:space="0"/>
                  <w:right w:val="single" w:color="auto" w:sz="4" w:space="0"/>
                </w:tcBorders>
                <w:vAlign w:val="center"/>
              </w:tcPr>
              <w:p w14:paraId="5E4D8CD6">
                <w:pPr>
                  <w:autoSpaceDE w:val="0"/>
                  <w:autoSpaceDN w:val="0"/>
                  <w:adjustRightInd w:val="0"/>
                  <w:jc w:val="right"/>
                  <w:rPr>
                    <w:rFonts w:cs="Times New Roman"/>
                    <w:sz w:val="18"/>
                    <w:szCs w:val="18"/>
                  </w:rPr>
                </w:pP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728583181"/>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45CCF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1AFFE829">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250B3D15">
                <w:pPr>
                  <w:autoSpaceDE w:val="0"/>
                  <w:autoSpaceDN w:val="0"/>
                  <w:adjustRightInd w:val="0"/>
                  <w:rPr>
                    <w:rFonts w:cs="Times New Roman"/>
                    <w:sz w:val="20"/>
                    <w:szCs w:val="20"/>
                  </w:rPr>
                </w:pPr>
              </w:p>
            </w:tc>
            <w:tc>
              <w:tcPr>
                <w:tcW w:w="778" w:type="pct"/>
                <w:tcBorders>
                  <w:top w:val="single" w:color="auto" w:sz="4" w:space="0"/>
                  <w:left w:val="single" w:color="auto" w:sz="4" w:space="0"/>
                  <w:bottom w:val="single" w:color="auto" w:sz="4" w:space="0"/>
                  <w:right w:val="single" w:color="auto" w:sz="4" w:space="0"/>
                </w:tcBorders>
                <w:vAlign w:val="center"/>
              </w:tcPr>
              <w:p w14:paraId="2E69E764">
                <w:pPr>
                  <w:autoSpaceDE w:val="0"/>
                  <w:autoSpaceDN w:val="0"/>
                  <w:adjustRightInd w:val="0"/>
                  <w:jc w:val="right"/>
                  <w:rPr>
                    <w:rFonts w:cs="Times New Roman"/>
                    <w:sz w:val="18"/>
                    <w:szCs w:val="18"/>
                  </w:rPr>
                </w:pPr>
              </w:p>
            </w:tc>
            <w:tc>
              <w:tcPr>
                <w:tcW w:w="724" w:type="pct"/>
                <w:tcBorders>
                  <w:top w:val="single" w:color="auto" w:sz="4" w:space="0"/>
                  <w:left w:val="single" w:color="auto" w:sz="4" w:space="0"/>
                  <w:bottom w:val="single" w:color="auto" w:sz="4" w:space="0"/>
                  <w:right w:val="single" w:color="auto" w:sz="4" w:space="0"/>
                </w:tcBorders>
                <w:vAlign w:val="center"/>
              </w:tcPr>
              <w:p w14:paraId="4356E44A">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1D7C200B">
                <w:pPr>
                  <w:autoSpaceDE w:val="0"/>
                  <w:autoSpaceDN w:val="0"/>
                  <w:adjustRightInd w:val="0"/>
                  <w:jc w:val="right"/>
                  <w:rPr>
                    <w:rFonts w:cs="Times New Roman"/>
                    <w:sz w:val="18"/>
                    <w:szCs w:val="18"/>
                  </w:rPr>
                </w:pPr>
              </w:p>
            </w:tc>
            <w:tc>
              <w:tcPr>
                <w:tcW w:w="678" w:type="pct"/>
                <w:tcBorders>
                  <w:top w:val="single" w:color="auto" w:sz="4" w:space="0"/>
                  <w:left w:val="single" w:color="auto" w:sz="4" w:space="0"/>
                  <w:bottom w:val="single" w:color="auto" w:sz="4" w:space="0"/>
                  <w:right w:val="single" w:color="auto" w:sz="4" w:space="0"/>
                </w:tcBorders>
                <w:vAlign w:val="center"/>
              </w:tcPr>
              <w:p w14:paraId="0AD1EA78">
                <w:pPr>
                  <w:autoSpaceDE w:val="0"/>
                  <w:autoSpaceDN w:val="0"/>
                  <w:adjustRightInd w:val="0"/>
                  <w:jc w:val="right"/>
                  <w:rPr>
                    <w:rFonts w:cs="Times New Roman"/>
                    <w:sz w:val="18"/>
                    <w:szCs w:val="18"/>
                  </w:rPr>
                </w:pP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493724947"/>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4B63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31816C92">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25FBCF76">
                <w:pPr>
                  <w:autoSpaceDE w:val="0"/>
                  <w:autoSpaceDN w:val="0"/>
                  <w:adjustRightInd w:val="0"/>
                  <w:rPr>
                    <w:rFonts w:cs="Times New Roman"/>
                    <w:sz w:val="20"/>
                    <w:szCs w:val="20"/>
                  </w:rPr>
                </w:pPr>
                <w:r>
                  <w:rPr>
                    <w:rFonts w:cs="Times New Roman"/>
                    <w:sz w:val="20"/>
                    <w:szCs w:val="20"/>
                  </w:rPr>
                  <w:t>际华洁能（天津）环保科技发展有限公司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59284CDA">
                <w:pPr>
                  <w:jc w:val="right"/>
                  <w:textAlignment w:val="bottom"/>
                  <w:rPr>
                    <w:rFonts w:cs="Times New Roman"/>
                    <w:sz w:val="18"/>
                    <w:szCs w:val="18"/>
                  </w:rPr>
                </w:pPr>
                <w:r>
                  <w:rPr>
                    <w:rFonts w:eastAsia="Arial Narrow" w:cs="Times New Roman"/>
                    <w:color w:val="000000"/>
                    <w:sz w:val="18"/>
                    <w:szCs w:val="18"/>
                    <w:lang w:bidi="ar"/>
                  </w:rPr>
                  <w:t>103,786,567.99</w:t>
                </w:r>
              </w:p>
            </w:tc>
            <w:tc>
              <w:tcPr>
                <w:tcW w:w="724" w:type="pct"/>
                <w:tcBorders>
                  <w:top w:val="single" w:color="auto" w:sz="4" w:space="0"/>
                  <w:left w:val="single" w:color="auto" w:sz="4" w:space="0"/>
                  <w:bottom w:val="single" w:color="auto" w:sz="4" w:space="0"/>
                  <w:right w:val="single" w:color="auto" w:sz="4" w:space="0"/>
                </w:tcBorders>
                <w:vAlign w:val="center"/>
              </w:tcPr>
              <w:p w14:paraId="0C22D5A8">
                <w:pPr>
                  <w:jc w:val="right"/>
                  <w:textAlignment w:val="bottom"/>
                  <w:rPr>
                    <w:rFonts w:cs="Times New Roman"/>
                    <w:sz w:val="18"/>
                    <w:szCs w:val="18"/>
                  </w:rPr>
                </w:pPr>
                <w:r>
                  <w:rPr>
                    <w:rFonts w:eastAsia="Arial Narrow" w:cs="Times New Roman"/>
                    <w:color w:val="000000"/>
                    <w:sz w:val="18"/>
                    <w:szCs w:val="18"/>
                    <w:lang w:bidi="ar"/>
                  </w:rPr>
                  <w:t>103,786,567.99</w:t>
                </w:r>
              </w:p>
            </w:tc>
            <w:tc>
              <w:tcPr>
                <w:tcW w:w="809" w:type="pct"/>
                <w:tcBorders>
                  <w:top w:val="single" w:color="auto" w:sz="4" w:space="0"/>
                  <w:left w:val="single" w:color="auto" w:sz="4" w:space="0"/>
                  <w:bottom w:val="single" w:color="auto" w:sz="4" w:space="0"/>
                  <w:right w:val="single" w:color="auto" w:sz="4" w:space="0"/>
                </w:tcBorders>
                <w:vAlign w:val="center"/>
              </w:tcPr>
              <w:p w14:paraId="60119C01">
                <w:pPr>
                  <w:autoSpaceDE w:val="0"/>
                  <w:autoSpaceDN w:val="0"/>
                  <w:adjustRightInd w:val="0"/>
                  <w:jc w:val="right"/>
                  <w:rPr>
                    <w:rFonts w:cs="Times New Roman"/>
                    <w:sz w:val="18"/>
                    <w:szCs w:val="18"/>
                  </w:rPr>
                </w:pPr>
                <w:r>
                  <w:rPr>
                    <w:rFonts w:cs="Times New Roman"/>
                    <w:sz w:val="18"/>
                    <w:szCs w:val="18"/>
                  </w:rPr>
                  <w:t>103,786,567.99</w:t>
                </w:r>
              </w:p>
            </w:tc>
            <w:tc>
              <w:tcPr>
                <w:tcW w:w="678" w:type="pct"/>
                <w:tcBorders>
                  <w:top w:val="single" w:color="auto" w:sz="4" w:space="0"/>
                  <w:left w:val="single" w:color="auto" w:sz="4" w:space="0"/>
                  <w:bottom w:val="single" w:color="auto" w:sz="4" w:space="0"/>
                  <w:right w:val="single" w:color="auto" w:sz="4" w:space="0"/>
                </w:tcBorders>
                <w:vAlign w:val="center"/>
              </w:tcPr>
              <w:p w14:paraId="1122BA50">
                <w:pPr>
                  <w:autoSpaceDE w:val="0"/>
                  <w:autoSpaceDN w:val="0"/>
                  <w:adjustRightInd w:val="0"/>
                  <w:jc w:val="right"/>
                  <w:rPr>
                    <w:rFonts w:cs="Times New Roman"/>
                    <w:sz w:val="18"/>
                    <w:szCs w:val="18"/>
                  </w:rPr>
                </w:pPr>
                <w:r>
                  <w:rPr>
                    <w:rFonts w:cs="Times New Roman"/>
                    <w:sz w:val="18"/>
                    <w:szCs w:val="18"/>
                  </w:rPr>
                  <w:t>103,786,567.99</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905988223"/>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69358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34AE0810">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11256AF3">
                <w:pPr>
                  <w:autoSpaceDE w:val="0"/>
                  <w:autoSpaceDN w:val="0"/>
                  <w:adjustRightInd w:val="0"/>
                  <w:rPr>
                    <w:rFonts w:cs="Times New Roman"/>
                    <w:sz w:val="20"/>
                    <w:szCs w:val="20"/>
                  </w:rPr>
                </w:pPr>
                <w:r>
                  <w:rPr>
                    <w:rFonts w:cs="Times New Roman"/>
                    <w:sz w:val="20"/>
                    <w:szCs w:val="20"/>
                  </w:rPr>
                  <w:t>邢台诚达房地产开发有限公司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35DC04E8">
                <w:pPr>
                  <w:jc w:val="right"/>
                  <w:textAlignment w:val="bottom"/>
                  <w:rPr>
                    <w:rFonts w:cs="Times New Roman"/>
                    <w:sz w:val="18"/>
                    <w:szCs w:val="18"/>
                  </w:rPr>
                </w:pPr>
                <w:r>
                  <w:rPr>
                    <w:rFonts w:eastAsia="Arial Narrow" w:cs="Times New Roman"/>
                    <w:color w:val="000000"/>
                    <w:sz w:val="18"/>
                    <w:szCs w:val="18"/>
                    <w:lang w:bidi="ar"/>
                  </w:rPr>
                  <w:t>39,661,746.49</w:t>
                </w:r>
              </w:p>
            </w:tc>
            <w:tc>
              <w:tcPr>
                <w:tcW w:w="724" w:type="pct"/>
                <w:tcBorders>
                  <w:top w:val="single" w:color="auto" w:sz="4" w:space="0"/>
                  <w:left w:val="single" w:color="auto" w:sz="4" w:space="0"/>
                  <w:bottom w:val="single" w:color="auto" w:sz="4" w:space="0"/>
                  <w:right w:val="single" w:color="auto" w:sz="4" w:space="0"/>
                </w:tcBorders>
                <w:vAlign w:val="center"/>
              </w:tcPr>
              <w:p w14:paraId="640FE234">
                <w:pPr>
                  <w:jc w:val="right"/>
                  <w:textAlignment w:val="bottom"/>
                  <w:rPr>
                    <w:rFonts w:cs="Times New Roman"/>
                    <w:sz w:val="18"/>
                    <w:szCs w:val="18"/>
                  </w:rPr>
                </w:pPr>
                <w:r>
                  <w:rPr>
                    <w:rFonts w:eastAsia="Arial Narrow" w:cs="Times New Roman"/>
                    <w:color w:val="000000"/>
                    <w:sz w:val="18"/>
                    <w:szCs w:val="18"/>
                    <w:lang w:bidi="ar"/>
                  </w:rPr>
                  <w:t>13,220,582.16</w:t>
                </w:r>
              </w:p>
            </w:tc>
            <w:tc>
              <w:tcPr>
                <w:tcW w:w="809" w:type="pct"/>
                <w:tcBorders>
                  <w:top w:val="single" w:color="auto" w:sz="4" w:space="0"/>
                  <w:left w:val="single" w:color="auto" w:sz="4" w:space="0"/>
                  <w:bottom w:val="single" w:color="auto" w:sz="4" w:space="0"/>
                  <w:right w:val="single" w:color="auto" w:sz="4" w:space="0"/>
                </w:tcBorders>
                <w:vAlign w:val="center"/>
              </w:tcPr>
              <w:p w14:paraId="66A4A358">
                <w:pPr>
                  <w:autoSpaceDE w:val="0"/>
                  <w:autoSpaceDN w:val="0"/>
                  <w:adjustRightInd w:val="0"/>
                  <w:jc w:val="right"/>
                  <w:rPr>
                    <w:rFonts w:cs="Times New Roman"/>
                    <w:sz w:val="18"/>
                    <w:szCs w:val="18"/>
                  </w:rPr>
                </w:pPr>
                <w:r>
                  <w:rPr>
                    <w:rFonts w:cs="Times New Roman"/>
                    <w:sz w:val="18"/>
                    <w:szCs w:val="18"/>
                  </w:rPr>
                  <w:t>39,661,746.49</w:t>
                </w:r>
              </w:p>
            </w:tc>
            <w:tc>
              <w:tcPr>
                <w:tcW w:w="678" w:type="pct"/>
                <w:tcBorders>
                  <w:top w:val="single" w:color="auto" w:sz="4" w:space="0"/>
                  <w:left w:val="single" w:color="auto" w:sz="4" w:space="0"/>
                  <w:bottom w:val="single" w:color="auto" w:sz="4" w:space="0"/>
                  <w:right w:val="single" w:color="auto" w:sz="4" w:space="0"/>
                </w:tcBorders>
                <w:vAlign w:val="center"/>
              </w:tcPr>
              <w:p w14:paraId="1B423AF4">
                <w:pPr>
                  <w:autoSpaceDE w:val="0"/>
                  <w:autoSpaceDN w:val="0"/>
                  <w:adjustRightInd w:val="0"/>
                  <w:jc w:val="right"/>
                  <w:rPr>
                    <w:rFonts w:cs="Times New Roman"/>
                    <w:sz w:val="18"/>
                    <w:szCs w:val="18"/>
                  </w:rPr>
                </w:pPr>
                <w:r>
                  <w:rPr>
                    <w:rFonts w:cs="Times New Roman"/>
                    <w:sz w:val="18"/>
                    <w:szCs w:val="18"/>
                  </w:rPr>
                  <w:t>12,739,026.70</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308094801"/>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4AB9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220268E8">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2A677651">
                <w:pPr>
                  <w:autoSpaceDE w:val="0"/>
                  <w:autoSpaceDN w:val="0"/>
                  <w:adjustRightInd w:val="0"/>
                  <w:rPr>
                    <w:rFonts w:cs="Times New Roman"/>
                    <w:sz w:val="20"/>
                    <w:szCs w:val="20"/>
                  </w:rPr>
                </w:pPr>
                <w:r>
                  <w:rPr>
                    <w:rFonts w:cs="Times New Roman"/>
                    <w:sz w:val="20"/>
                    <w:szCs w:val="20"/>
                  </w:rPr>
                  <w:t>辽宁际华三五二三特种装备有限公司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40C2EF4D">
                <w:pPr>
                  <w:jc w:val="right"/>
                  <w:textAlignment w:val="bottom"/>
                  <w:rPr>
                    <w:rFonts w:cs="Times New Roman"/>
                    <w:sz w:val="18"/>
                    <w:szCs w:val="18"/>
                  </w:rPr>
                </w:pPr>
                <w:r>
                  <w:rPr>
                    <w:rFonts w:eastAsia="Arial Narrow" w:cs="Times New Roman"/>
                    <w:color w:val="000000"/>
                    <w:sz w:val="18"/>
                    <w:szCs w:val="18"/>
                    <w:lang w:bidi="ar"/>
                  </w:rPr>
                  <w:t>28,850,951.84</w:t>
                </w:r>
              </w:p>
            </w:tc>
            <w:tc>
              <w:tcPr>
                <w:tcW w:w="724" w:type="pct"/>
                <w:tcBorders>
                  <w:top w:val="single" w:color="auto" w:sz="4" w:space="0"/>
                  <w:left w:val="single" w:color="auto" w:sz="4" w:space="0"/>
                  <w:bottom w:val="single" w:color="auto" w:sz="4" w:space="0"/>
                  <w:right w:val="single" w:color="auto" w:sz="4" w:space="0"/>
                </w:tcBorders>
                <w:vAlign w:val="center"/>
              </w:tcPr>
              <w:p w14:paraId="630D96BA">
                <w:pPr>
                  <w:jc w:val="right"/>
                  <w:textAlignment w:val="bottom"/>
                  <w:rPr>
                    <w:rFonts w:cs="Times New Roman"/>
                    <w:sz w:val="18"/>
                    <w:szCs w:val="18"/>
                  </w:rPr>
                </w:pPr>
                <w:r>
                  <w:rPr>
                    <w:rFonts w:eastAsia="Arial Narrow" w:cs="Times New Roman"/>
                    <w:color w:val="000000"/>
                    <w:sz w:val="18"/>
                    <w:szCs w:val="18"/>
                    <w:lang w:bidi="ar"/>
                  </w:rPr>
                  <w:t>9,616,983.95</w:t>
                </w:r>
              </w:p>
            </w:tc>
            <w:tc>
              <w:tcPr>
                <w:tcW w:w="809" w:type="pct"/>
                <w:tcBorders>
                  <w:top w:val="single" w:color="auto" w:sz="4" w:space="0"/>
                  <w:left w:val="single" w:color="auto" w:sz="4" w:space="0"/>
                  <w:bottom w:val="single" w:color="auto" w:sz="4" w:space="0"/>
                  <w:right w:val="single" w:color="auto" w:sz="4" w:space="0"/>
                </w:tcBorders>
                <w:vAlign w:val="center"/>
              </w:tcPr>
              <w:p w14:paraId="48E10342">
                <w:pPr>
                  <w:autoSpaceDE w:val="0"/>
                  <w:autoSpaceDN w:val="0"/>
                  <w:adjustRightInd w:val="0"/>
                  <w:jc w:val="right"/>
                  <w:rPr>
                    <w:rFonts w:cs="Times New Roman"/>
                    <w:sz w:val="18"/>
                    <w:szCs w:val="18"/>
                  </w:rPr>
                </w:pPr>
                <w:r>
                  <w:rPr>
                    <w:rFonts w:cs="Times New Roman"/>
                    <w:sz w:val="18"/>
                    <w:szCs w:val="18"/>
                  </w:rPr>
                  <w:t>28,850,951.84</w:t>
                </w:r>
              </w:p>
            </w:tc>
            <w:tc>
              <w:tcPr>
                <w:tcW w:w="678" w:type="pct"/>
                <w:tcBorders>
                  <w:top w:val="single" w:color="auto" w:sz="4" w:space="0"/>
                  <w:left w:val="single" w:color="auto" w:sz="4" w:space="0"/>
                  <w:bottom w:val="single" w:color="auto" w:sz="4" w:space="0"/>
                  <w:right w:val="single" w:color="auto" w:sz="4" w:space="0"/>
                </w:tcBorders>
                <w:vAlign w:val="center"/>
              </w:tcPr>
              <w:p w14:paraId="63A9F524">
                <w:pPr>
                  <w:autoSpaceDE w:val="0"/>
                  <w:autoSpaceDN w:val="0"/>
                  <w:adjustRightInd w:val="0"/>
                  <w:jc w:val="right"/>
                  <w:rPr>
                    <w:rFonts w:cs="Times New Roman"/>
                    <w:sz w:val="18"/>
                    <w:szCs w:val="18"/>
                  </w:rPr>
                </w:pPr>
                <w:r>
                  <w:rPr>
                    <w:rFonts w:cs="Times New Roman"/>
                    <w:sz w:val="18"/>
                    <w:szCs w:val="18"/>
                  </w:rPr>
                  <w:t>9,616,983.95</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350232377"/>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7EEC6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4D2ECDAE">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53694AAA">
                <w:pPr>
                  <w:autoSpaceDE w:val="0"/>
                  <w:autoSpaceDN w:val="0"/>
                  <w:adjustRightInd w:val="0"/>
                  <w:rPr>
                    <w:rFonts w:cs="Times New Roman"/>
                    <w:sz w:val="20"/>
                    <w:szCs w:val="20"/>
                  </w:rPr>
                </w:pPr>
                <w:r>
                  <w:rPr>
                    <w:rFonts w:cs="Times New Roman"/>
                    <w:sz w:val="20"/>
                    <w:szCs w:val="20"/>
                  </w:rPr>
                  <w:t>际华（天津）智能热力有限公司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17F33473">
                <w:pPr>
                  <w:jc w:val="right"/>
                  <w:textAlignment w:val="bottom"/>
                  <w:rPr>
                    <w:rFonts w:cs="Times New Roman"/>
                    <w:sz w:val="18"/>
                    <w:szCs w:val="18"/>
                  </w:rPr>
                </w:pPr>
                <w:r>
                  <w:rPr>
                    <w:rFonts w:eastAsia="Arial Narrow" w:cs="Times New Roman"/>
                    <w:color w:val="000000"/>
                    <w:sz w:val="18"/>
                    <w:szCs w:val="18"/>
                    <w:lang w:bidi="ar"/>
                  </w:rPr>
                  <w:t>22,920,000.00</w:t>
                </w:r>
              </w:p>
            </w:tc>
            <w:tc>
              <w:tcPr>
                <w:tcW w:w="724" w:type="pct"/>
                <w:tcBorders>
                  <w:top w:val="single" w:color="auto" w:sz="4" w:space="0"/>
                  <w:left w:val="single" w:color="auto" w:sz="4" w:space="0"/>
                  <w:bottom w:val="single" w:color="auto" w:sz="4" w:space="0"/>
                  <w:right w:val="single" w:color="auto" w:sz="4" w:space="0"/>
                </w:tcBorders>
                <w:vAlign w:val="center"/>
              </w:tcPr>
              <w:p w14:paraId="41926101">
                <w:pPr>
                  <w:jc w:val="right"/>
                  <w:textAlignment w:val="bottom"/>
                  <w:rPr>
                    <w:rFonts w:cs="Times New Roman"/>
                    <w:sz w:val="18"/>
                    <w:szCs w:val="18"/>
                  </w:rPr>
                </w:pPr>
                <w:r>
                  <w:rPr>
                    <w:rFonts w:eastAsia="Arial Narrow" w:cs="Times New Roman"/>
                    <w:color w:val="000000"/>
                    <w:sz w:val="18"/>
                    <w:szCs w:val="18"/>
                    <w:lang w:bidi="ar"/>
                  </w:rPr>
                  <w:t>22,920,000.00</w:t>
                </w:r>
              </w:p>
            </w:tc>
            <w:tc>
              <w:tcPr>
                <w:tcW w:w="809" w:type="pct"/>
                <w:tcBorders>
                  <w:top w:val="single" w:color="auto" w:sz="4" w:space="0"/>
                  <w:left w:val="single" w:color="auto" w:sz="4" w:space="0"/>
                  <w:bottom w:val="single" w:color="auto" w:sz="4" w:space="0"/>
                  <w:right w:val="single" w:color="auto" w:sz="4" w:space="0"/>
                </w:tcBorders>
                <w:vAlign w:val="center"/>
              </w:tcPr>
              <w:p w14:paraId="4499E825">
                <w:pPr>
                  <w:autoSpaceDE w:val="0"/>
                  <w:autoSpaceDN w:val="0"/>
                  <w:adjustRightInd w:val="0"/>
                  <w:jc w:val="right"/>
                  <w:rPr>
                    <w:rFonts w:cs="Times New Roman"/>
                    <w:sz w:val="18"/>
                    <w:szCs w:val="18"/>
                  </w:rPr>
                </w:pPr>
                <w:r>
                  <w:rPr>
                    <w:rFonts w:cs="Times New Roman"/>
                    <w:sz w:val="18"/>
                    <w:szCs w:val="18"/>
                  </w:rPr>
                  <w:t>22,920,000.00</w:t>
                </w:r>
              </w:p>
            </w:tc>
            <w:tc>
              <w:tcPr>
                <w:tcW w:w="678" w:type="pct"/>
                <w:tcBorders>
                  <w:top w:val="single" w:color="auto" w:sz="4" w:space="0"/>
                  <w:left w:val="single" w:color="auto" w:sz="4" w:space="0"/>
                  <w:bottom w:val="single" w:color="auto" w:sz="4" w:space="0"/>
                  <w:right w:val="single" w:color="auto" w:sz="4" w:space="0"/>
                </w:tcBorders>
                <w:vAlign w:val="center"/>
              </w:tcPr>
              <w:p w14:paraId="69CE35F6">
                <w:pPr>
                  <w:autoSpaceDE w:val="0"/>
                  <w:autoSpaceDN w:val="0"/>
                  <w:adjustRightInd w:val="0"/>
                  <w:jc w:val="right"/>
                  <w:rPr>
                    <w:rFonts w:cs="Times New Roman"/>
                    <w:sz w:val="18"/>
                    <w:szCs w:val="18"/>
                  </w:rPr>
                </w:pPr>
                <w:r>
                  <w:rPr>
                    <w:rFonts w:cs="Times New Roman"/>
                    <w:sz w:val="18"/>
                    <w:szCs w:val="18"/>
                  </w:rPr>
                  <w:t>22,920,000.00</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286701468"/>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0E52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4EBC40EB">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4A87CFC4">
                <w:pPr>
                  <w:autoSpaceDE w:val="0"/>
                  <w:autoSpaceDN w:val="0"/>
                  <w:adjustRightInd w:val="0"/>
                  <w:rPr>
                    <w:rFonts w:cs="Times New Roman"/>
                    <w:sz w:val="20"/>
                    <w:szCs w:val="20"/>
                  </w:rPr>
                </w:pPr>
                <w:r>
                  <w:rPr>
                    <w:rFonts w:cs="Times New Roman"/>
                    <w:sz w:val="20"/>
                    <w:szCs w:val="20"/>
                  </w:rPr>
                  <w:t>宜昌际华仙女服饰有限公司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0BA5E49F">
                <w:pPr>
                  <w:jc w:val="right"/>
                  <w:textAlignment w:val="bottom"/>
                  <w:rPr>
                    <w:rFonts w:cs="Times New Roman"/>
                    <w:sz w:val="18"/>
                    <w:szCs w:val="18"/>
                  </w:rPr>
                </w:pPr>
                <w:r>
                  <w:rPr>
                    <w:rFonts w:eastAsia="Arial Narrow" w:cs="Times New Roman"/>
                    <w:color w:val="000000"/>
                    <w:sz w:val="18"/>
                    <w:szCs w:val="18"/>
                    <w:lang w:bidi="ar"/>
                  </w:rPr>
                  <w:t>21,759,832.30</w:t>
                </w:r>
              </w:p>
            </w:tc>
            <w:tc>
              <w:tcPr>
                <w:tcW w:w="724" w:type="pct"/>
                <w:tcBorders>
                  <w:top w:val="single" w:color="auto" w:sz="4" w:space="0"/>
                  <w:left w:val="single" w:color="auto" w:sz="4" w:space="0"/>
                  <w:bottom w:val="single" w:color="auto" w:sz="4" w:space="0"/>
                  <w:right w:val="single" w:color="auto" w:sz="4" w:space="0"/>
                </w:tcBorders>
                <w:vAlign w:val="center"/>
              </w:tcPr>
              <w:p w14:paraId="55EE76A2">
                <w:pPr>
                  <w:jc w:val="right"/>
                  <w:textAlignment w:val="bottom"/>
                  <w:rPr>
                    <w:rFonts w:cs="Times New Roman"/>
                    <w:sz w:val="18"/>
                    <w:szCs w:val="18"/>
                  </w:rPr>
                </w:pPr>
                <w:r>
                  <w:rPr>
                    <w:rFonts w:eastAsia="Arial Narrow" w:cs="Times New Roman"/>
                    <w:color w:val="000000"/>
                    <w:sz w:val="18"/>
                    <w:szCs w:val="18"/>
                    <w:lang w:bidi="ar"/>
                  </w:rPr>
                  <w:t>21,759,832.30</w:t>
                </w:r>
              </w:p>
            </w:tc>
            <w:tc>
              <w:tcPr>
                <w:tcW w:w="809" w:type="pct"/>
                <w:tcBorders>
                  <w:top w:val="single" w:color="auto" w:sz="4" w:space="0"/>
                  <w:left w:val="single" w:color="auto" w:sz="4" w:space="0"/>
                  <w:bottom w:val="single" w:color="auto" w:sz="4" w:space="0"/>
                  <w:right w:val="single" w:color="auto" w:sz="4" w:space="0"/>
                </w:tcBorders>
                <w:vAlign w:val="center"/>
              </w:tcPr>
              <w:p w14:paraId="24F74120">
                <w:pPr>
                  <w:autoSpaceDE w:val="0"/>
                  <w:autoSpaceDN w:val="0"/>
                  <w:adjustRightInd w:val="0"/>
                  <w:jc w:val="right"/>
                  <w:rPr>
                    <w:rFonts w:cs="Times New Roman"/>
                    <w:sz w:val="18"/>
                    <w:szCs w:val="18"/>
                  </w:rPr>
                </w:pPr>
                <w:r>
                  <w:rPr>
                    <w:rFonts w:cs="Times New Roman"/>
                    <w:sz w:val="18"/>
                    <w:szCs w:val="18"/>
                  </w:rPr>
                  <w:t>21,332,832.34</w:t>
                </w:r>
              </w:p>
            </w:tc>
            <w:tc>
              <w:tcPr>
                <w:tcW w:w="678" w:type="pct"/>
                <w:tcBorders>
                  <w:top w:val="single" w:color="auto" w:sz="4" w:space="0"/>
                  <w:left w:val="single" w:color="auto" w:sz="4" w:space="0"/>
                  <w:bottom w:val="single" w:color="auto" w:sz="4" w:space="0"/>
                  <w:right w:val="single" w:color="auto" w:sz="4" w:space="0"/>
                </w:tcBorders>
                <w:vAlign w:val="center"/>
              </w:tcPr>
              <w:p w14:paraId="51E82829">
                <w:pPr>
                  <w:autoSpaceDE w:val="0"/>
                  <w:autoSpaceDN w:val="0"/>
                  <w:adjustRightInd w:val="0"/>
                  <w:jc w:val="right"/>
                  <w:rPr>
                    <w:rFonts w:cs="Times New Roman"/>
                    <w:sz w:val="18"/>
                    <w:szCs w:val="18"/>
                  </w:rPr>
                </w:pPr>
                <w:r>
                  <w:rPr>
                    <w:rFonts w:cs="Times New Roman"/>
                    <w:sz w:val="18"/>
                    <w:szCs w:val="18"/>
                  </w:rPr>
                  <w:t>21,332,832.34</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899565742"/>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43ACB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005EF79C">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03FCF380">
                <w:pPr>
                  <w:autoSpaceDE w:val="0"/>
                  <w:autoSpaceDN w:val="0"/>
                  <w:adjustRightInd w:val="0"/>
                  <w:rPr>
                    <w:rFonts w:cs="Times New Roman"/>
                    <w:sz w:val="20"/>
                    <w:szCs w:val="20"/>
                  </w:rPr>
                </w:pPr>
                <w:r>
                  <w:rPr>
                    <w:rFonts w:cs="Times New Roman"/>
                    <w:sz w:val="20"/>
                    <w:szCs w:val="20"/>
                  </w:rPr>
                  <w:t>湖北际华置业有限公司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6C65E493">
                <w:pPr>
                  <w:jc w:val="right"/>
                  <w:textAlignment w:val="bottom"/>
                  <w:rPr>
                    <w:rFonts w:cs="Times New Roman"/>
                    <w:sz w:val="18"/>
                    <w:szCs w:val="18"/>
                  </w:rPr>
                </w:pPr>
                <w:r>
                  <w:rPr>
                    <w:rFonts w:eastAsia="Arial Narrow" w:cs="Times New Roman"/>
                    <w:color w:val="000000"/>
                    <w:sz w:val="18"/>
                    <w:szCs w:val="18"/>
                    <w:lang w:bidi="ar"/>
                  </w:rPr>
                  <w:t>12,390,000.00</w:t>
                </w:r>
              </w:p>
            </w:tc>
            <w:tc>
              <w:tcPr>
                <w:tcW w:w="724" w:type="pct"/>
                <w:tcBorders>
                  <w:top w:val="single" w:color="auto" w:sz="4" w:space="0"/>
                  <w:left w:val="single" w:color="auto" w:sz="4" w:space="0"/>
                  <w:bottom w:val="single" w:color="auto" w:sz="4" w:space="0"/>
                  <w:right w:val="single" w:color="auto" w:sz="4" w:space="0"/>
                </w:tcBorders>
                <w:vAlign w:val="center"/>
              </w:tcPr>
              <w:p w14:paraId="18721178">
                <w:pPr>
                  <w:jc w:val="right"/>
                  <w:textAlignment w:val="bottom"/>
                  <w:rPr>
                    <w:rFonts w:cs="Times New Roman"/>
                    <w:sz w:val="18"/>
                    <w:szCs w:val="18"/>
                  </w:rPr>
                </w:pPr>
                <w:r>
                  <w:rPr>
                    <w:rFonts w:eastAsia="Arial Narrow" w:cs="Times New Roman"/>
                    <w:color w:val="000000"/>
                    <w:sz w:val="18"/>
                    <w:szCs w:val="18"/>
                    <w:lang w:bidi="ar"/>
                  </w:rPr>
                  <w:t>2,676,736.39</w:t>
                </w:r>
              </w:p>
            </w:tc>
            <w:tc>
              <w:tcPr>
                <w:tcW w:w="809" w:type="pct"/>
                <w:tcBorders>
                  <w:top w:val="single" w:color="auto" w:sz="4" w:space="0"/>
                  <w:left w:val="single" w:color="auto" w:sz="4" w:space="0"/>
                  <w:bottom w:val="single" w:color="auto" w:sz="4" w:space="0"/>
                  <w:right w:val="single" w:color="auto" w:sz="4" w:space="0"/>
                </w:tcBorders>
                <w:vAlign w:val="center"/>
              </w:tcPr>
              <w:p w14:paraId="49BEDE35">
                <w:pPr>
                  <w:autoSpaceDE w:val="0"/>
                  <w:autoSpaceDN w:val="0"/>
                  <w:adjustRightInd w:val="0"/>
                  <w:jc w:val="right"/>
                  <w:rPr>
                    <w:rFonts w:cs="Times New Roman"/>
                    <w:sz w:val="18"/>
                    <w:szCs w:val="18"/>
                  </w:rPr>
                </w:pPr>
                <w:r>
                  <w:rPr>
                    <w:rFonts w:cs="Times New Roman"/>
                    <w:sz w:val="18"/>
                    <w:szCs w:val="18"/>
                  </w:rPr>
                  <w:t>12,390,000.00</w:t>
                </w:r>
              </w:p>
            </w:tc>
            <w:tc>
              <w:tcPr>
                <w:tcW w:w="678" w:type="pct"/>
                <w:tcBorders>
                  <w:top w:val="single" w:color="auto" w:sz="4" w:space="0"/>
                  <w:left w:val="single" w:color="auto" w:sz="4" w:space="0"/>
                  <w:bottom w:val="single" w:color="auto" w:sz="4" w:space="0"/>
                  <w:right w:val="single" w:color="auto" w:sz="4" w:space="0"/>
                </w:tcBorders>
                <w:vAlign w:val="center"/>
              </w:tcPr>
              <w:p w14:paraId="7CE2D559">
                <w:pPr>
                  <w:autoSpaceDE w:val="0"/>
                  <w:autoSpaceDN w:val="0"/>
                  <w:adjustRightInd w:val="0"/>
                  <w:jc w:val="right"/>
                  <w:rPr>
                    <w:rFonts w:cs="Times New Roman"/>
                    <w:sz w:val="18"/>
                    <w:szCs w:val="18"/>
                  </w:rPr>
                </w:pPr>
                <w:r>
                  <w:rPr>
                    <w:rFonts w:cs="Times New Roman"/>
                    <w:sz w:val="18"/>
                    <w:szCs w:val="18"/>
                  </w:rPr>
                  <w:t>2,676,736.39</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676346971"/>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3E933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603A2076">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206E9EFF">
                <w:pPr>
                  <w:autoSpaceDE w:val="0"/>
                  <w:autoSpaceDN w:val="0"/>
                  <w:adjustRightInd w:val="0"/>
                  <w:rPr>
                    <w:rFonts w:cs="Times New Roman"/>
                    <w:sz w:val="20"/>
                    <w:szCs w:val="20"/>
                  </w:rPr>
                </w:pPr>
                <w:r>
                  <w:rPr>
                    <w:rFonts w:cs="Times New Roman"/>
                    <w:sz w:val="20"/>
                    <w:szCs w:val="20"/>
                  </w:rPr>
                  <w:t>秦皇岛际华三五四四鞋业有限公司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3AB2EEAC">
                <w:pPr>
                  <w:jc w:val="right"/>
                  <w:textAlignment w:val="bottom"/>
                  <w:rPr>
                    <w:rFonts w:cs="Times New Roman"/>
                    <w:sz w:val="18"/>
                    <w:szCs w:val="18"/>
                  </w:rPr>
                </w:pPr>
                <w:r>
                  <w:rPr>
                    <w:rFonts w:eastAsia="Arial Narrow" w:cs="Times New Roman"/>
                    <w:color w:val="000000"/>
                    <w:sz w:val="18"/>
                    <w:szCs w:val="18"/>
                    <w:lang w:bidi="ar"/>
                  </w:rPr>
                  <w:t>3,794,925.67</w:t>
                </w:r>
              </w:p>
            </w:tc>
            <w:tc>
              <w:tcPr>
                <w:tcW w:w="724" w:type="pct"/>
                <w:tcBorders>
                  <w:top w:val="single" w:color="auto" w:sz="4" w:space="0"/>
                  <w:left w:val="single" w:color="auto" w:sz="4" w:space="0"/>
                  <w:bottom w:val="single" w:color="auto" w:sz="4" w:space="0"/>
                  <w:right w:val="single" w:color="auto" w:sz="4" w:space="0"/>
                </w:tcBorders>
                <w:vAlign w:val="center"/>
              </w:tcPr>
              <w:p w14:paraId="3BE77095">
                <w:pPr>
                  <w:jc w:val="right"/>
                  <w:textAlignment w:val="bottom"/>
                  <w:rPr>
                    <w:rFonts w:cs="Times New Roman"/>
                    <w:sz w:val="18"/>
                    <w:szCs w:val="18"/>
                  </w:rPr>
                </w:pPr>
                <w:r>
                  <w:rPr>
                    <w:rFonts w:eastAsia="Arial Narrow" w:cs="Times New Roman"/>
                    <w:color w:val="000000"/>
                    <w:sz w:val="18"/>
                    <w:szCs w:val="18"/>
                    <w:lang w:bidi="ar"/>
                  </w:rPr>
                  <w:t>1,099,923.97</w:t>
                </w:r>
              </w:p>
            </w:tc>
            <w:tc>
              <w:tcPr>
                <w:tcW w:w="809" w:type="pct"/>
                <w:tcBorders>
                  <w:top w:val="single" w:color="auto" w:sz="4" w:space="0"/>
                  <w:left w:val="single" w:color="auto" w:sz="4" w:space="0"/>
                  <w:bottom w:val="single" w:color="auto" w:sz="4" w:space="0"/>
                  <w:right w:val="single" w:color="auto" w:sz="4" w:space="0"/>
                </w:tcBorders>
                <w:vAlign w:val="center"/>
              </w:tcPr>
              <w:p w14:paraId="3627884C">
                <w:pPr>
                  <w:autoSpaceDE w:val="0"/>
                  <w:autoSpaceDN w:val="0"/>
                  <w:adjustRightInd w:val="0"/>
                  <w:jc w:val="right"/>
                  <w:rPr>
                    <w:rFonts w:cs="Times New Roman"/>
                    <w:sz w:val="18"/>
                    <w:szCs w:val="18"/>
                  </w:rPr>
                </w:pPr>
                <w:r>
                  <w:rPr>
                    <w:rFonts w:cs="Times New Roman"/>
                    <w:sz w:val="18"/>
                    <w:szCs w:val="18"/>
                  </w:rPr>
                  <w:t>3,794,925.67</w:t>
                </w:r>
              </w:p>
            </w:tc>
            <w:tc>
              <w:tcPr>
                <w:tcW w:w="678" w:type="pct"/>
                <w:tcBorders>
                  <w:top w:val="single" w:color="auto" w:sz="4" w:space="0"/>
                  <w:left w:val="single" w:color="auto" w:sz="4" w:space="0"/>
                  <w:bottom w:val="single" w:color="auto" w:sz="4" w:space="0"/>
                  <w:right w:val="single" w:color="auto" w:sz="4" w:space="0"/>
                </w:tcBorders>
                <w:vAlign w:val="center"/>
              </w:tcPr>
              <w:p w14:paraId="543AF273">
                <w:pPr>
                  <w:autoSpaceDE w:val="0"/>
                  <w:autoSpaceDN w:val="0"/>
                  <w:adjustRightInd w:val="0"/>
                  <w:jc w:val="right"/>
                  <w:rPr>
                    <w:rFonts w:cs="Times New Roman"/>
                    <w:sz w:val="18"/>
                    <w:szCs w:val="18"/>
                  </w:rPr>
                </w:pPr>
                <w:r>
                  <w:rPr>
                    <w:rFonts w:cs="Times New Roman"/>
                    <w:sz w:val="18"/>
                    <w:szCs w:val="18"/>
                  </w:rPr>
                  <w:t>808,985.80</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514296867"/>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2267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2E92C908">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2B41F9B1">
                <w:pPr>
                  <w:autoSpaceDE w:val="0"/>
                  <w:autoSpaceDN w:val="0"/>
                  <w:adjustRightInd w:val="0"/>
                  <w:rPr>
                    <w:rFonts w:cs="Times New Roman"/>
                    <w:sz w:val="20"/>
                    <w:szCs w:val="20"/>
                  </w:rPr>
                </w:pPr>
                <w:r>
                  <w:rPr>
                    <w:rFonts w:cs="Times New Roman"/>
                    <w:sz w:val="20"/>
                    <w:szCs w:val="20"/>
                  </w:rPr>
                  <w:t>天津双鹿大厦有限公司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374DACC9">
                <w:pPr>
                  <w:jc w:val="right"/>
                  <w:textAlignment w:val="bottom"/>
                  <w:rPr>
                    <w:rFonts w:cs="Times New Roman"/>
                    <w:sz w:val="18"/>
                    <w:szCs w:val="18"/>
                  </w:rPr>
                </w:pPr>
                <w:r>
                  <w:rPr>
                    <w:rFonts w:eastAsia="Arial Narrow" w:cs="Times New Roman"/>
                    <w:color w:val="000000"/>
                    <w:sz w:val="18"/>
                    <w:szCs w:val="18"/>
                    <w:lang w:bidi="ar"/>
                  </w:rPr>
                  <w:t>2,880,349.27</w:t>
                </w:r>
              </w:p>
            </w:tc>
            <w:tc>
              <w:tcPr>
                <w:tcW w:w="724" w:type="pct"/>
                <w:tcBorders>
                  <w:top w:val="single" w:color="auto" w:sz="4" w:space="0"/>
                  <w:left w:val="single" w:color="auto" w:sz="4" w:space="0"/>
                  <w:bottom w:val="single" w:color="auto" w:sz="4" w:space="0"/>
                  <w:right w:val="single" w:color="auto" w:sz="4" w:space="0"/>
                </w:tcBorders>
                <w:vAlign w:val="center"/>
              </w:tcPr>
              <w:p w14:paraId="0D396178">
                <w:pPr>
                  <w:jc w:val="right"/>
                  <w:textAlignment w:val="bottom"/>
                  <w:rPr>
                    <w:rFonts w:cs="Times New Roman"/>
                    <w:sz w:val="18"/>
                    <w:szCs w:val="18"/>
                  </w:rPr>
                </w:pPr>
                <w:r>
                  <w:rPr>
                    <w:rFonts w:eastAsia="Arial Narrow" w:cs="Times New Roman"/>
                    <w:color w:val="000000"/>
                    <w:sz w:val="18"/>
                    <w:szCs w:val="18"/>
                    <w:lang w:bidi="ar"/>
                  </w:rPr>
                  <w:t>544,084.43</w:t>
                </w:r>
              </w:p>
            </w:tc>
            <w:tc>
              <w:tcPr>
                <w:tcW w:w="809" w:type="pct"/>
                <w:tcBorders>
                  <w:top w:val="single" w:color="auto" w:sz="4" w:space="0"/>
                  <w:left w:val="single" w:color="auto" w:sz="4" w:space="0"/>
                  <w:bottom w:val="single" w:color="auto" w:sz="4" w:space="0"/>
                  <w:right w:val="single" w:color="auto" w:sz="4" w:space="0"/>
                </w:tcBorders>
                <w:vAlign w:val="center"/>
              </w:tcPr>
              <w:p w14:paraId="20AD1F3D">
                <w:pPr>
                  <w:autoSpaceDE w:val="0"/>
                  <w:autoSpaceDN w:val="0"/>
                  <w:adjustRightInd w:val="0"/>
                  <w:jc w:val="right"/>
                  <w:rPr>
                    <w:rFonts w:cs="Times New Roman"/>
                    <w:sz w:val="18"/>
                    <w:szCs w:val="18"/>
                  </w:rPr>
                </w:pPr>
                <w:r>
                  <w:rPr>
                    <w:rFonts w:cs="Times New Roman"/>
                    <w:sz w:val="18"/>
                    <w:szCs w:val="18"/>
                  </w:rPr>
                  <w:t>2,399,836.35</w:t>
                </w:r>
              </w:p>
            </w:tc>
            <w:tc>
              <w:tcPr>
                <w:tcW w:w="678" w:type="pct"/>
                <w:tcBorders>
                  <w:top w:val="single" w:color="auto" w:sz="4" w:space="0"/>
                  <w:left w:val="single" w:color="auto" w:sz="4" w:space="0"/>
                  <w:bottom w:val="single" w:color="auto" w:sz="4" w:space="0"/>
                  <w:right w:val="single" w:color="auto" w:sz="4" w:space="0"/>
                </w:tcBorders>
                <w:vAlign w:val="center"/>
              </w:tcPr>
              <w:p w14:paraId="06A5652E">
                <w:pPr>
                  <w:autoSpaceDE w:val="0"/>
                  <w:autoSpaceDN w:val="0"/>
                  <w:adjustRightInd w:val="0"/>
                  <w:jc w:val="right"/>
                  <w:rPr>
                    <w:rFonts w:cs="Times New Roman"/>
                    <w:sz w:val="18"/>
                    <w:szCs w:val="18"/>
                  </w:rPr>
                </w:pPr>
                <w:r>
                  <w:rPr>
                    <w:rFonts w:cs="Times New Roman"/>
                    <w:sz w:val="18"/>
                    <w:szCs w:val="18"/>
                  </w:rPr>
                  <w:t>455,410.99</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297693747"/>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17B77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0249AB9A">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75EECAE1">
                <w:pPr>
                  <w:autoSpaceDE w:val="0"/>
                  <w:autoSpaceDN w:val="0"/>
                  <w:adjustRightInd w:val="0"/>
                  <w:rPr>
                    <w:rFonts w:cs="Times New Roman"/>
                    <w:sz w:val="20"/>
                    <w:szCs w:val="20"/>
                  </w:rPr>
                </w:pPr>
                <w:r>
                  <w:rPr>
                    <w:rFonts w:cs="Times New Roman"/>
                    <w:sz w:val="20"/>
                    <w:szCs w:val="20"/>
                  </w:rPr>
                  <w:t>武汉汉江资产运营有限公司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74F39E80">
                <w:pPr>
                  <w:jc w:val="right"/>
                  <w:textAlignment w:val="bottom"/>
                  <w:rPr>
                    <w:rFonts w:cs="Times New Roman"/>
                    <w:sz w:val="18"/>
                    <w:szCs w:val="18"/>
                  </w:rPr>
                </w:pPr>
                <w:r>
                  <w:rPr>
                    <w:rFonts w:eastAsia="Arial Narrow" w:cs="Times New Roman"/>
                    <w:color w:val="000000"/>
                    <w:sz w:val="18"/>
                    <w:szCs w:val="18"/>
                    <w:lang w:bidi="ar"/>
                  </w:rPr>
                  <w:t>2,261,649.69</w:t>
                </w:r>
              </w:p>
            </w:tc>
            <w:tc>
              <w:tcPr>
                <w:tcW w:w="724" w:type="pct"/>
                <w:tcBorders>
                  <w:top w:val="single" w:color="auto" w:sz="4" w:space="0"/>
                  <w:left w:val="single" w:color="auto" w:sz="4" w:space="0"/>
                  <w:bottom w:val="single" w:color="auto" w:sz="4" w:space="0"/>
                  <w:right w:val="single" w:color="auto" w:sz="4" w:space="0"/>
                </w:tcBorders>
                <w:vAlign w:val="center"/>
              </w:tcPr>
              <w:p w14:paraId="7C41A416">
                <w:pPr>
                  <w:jc w:val="right"/>
                  <w:textAlignment w:val="bottom"/>
                  <w:rPr>
                    <w:rFonts w:cs="Times New Roman"/>
                    <w:sz w:val="18"/>
                    <w:szCs w:val="18"/>
                  </w:rPr>
                </w:pPr>
                <w:r>
                  <w:rPr>
                    <w:rFonts w:eastAsia="Arial Narrow" w:cs="Times New Roman"/>
                    <w:color w:val="000000"/>
                    <w:sz w:val="18"/>
                    <w:szCs w:val="18"/>
                    <w:lang w:bidi="ar"/>
                  </w:rPr>
                  <w:t>423,776.25</w:t>
                </w:r>
              </w:p>
            </w:tc>
            <w:tc>
              <w:tcPr>
                <w:tcW w:w="809" w:type="pct"/>
                <w:tcBorders>
                  <w:top w:val="single" w:color="auto" w:sz="4" w:space="0"/>
                  <w:left w:val="single" w:color="auto" w:sz="4" w:space="0"/>
                  <w:bottom w:val="single" w:color="auto" w:sz="4" w:space="0"/>
                  <w:right w:val="single" w:color="auto" w:sz="4" w:space="0"/>
                </w:tcBorders>
                <w:vAlign w:val="center"/>
              </w:tcPr>
              <w:p w14:paraId="2ECF6BC4">
                <w:pPr>
                  <w:autoSpaceDE w:val="0"/>
                  <w:autoSpaceDN w:val="0"/>
                  <w:adjustRightInd w:val="0"/>
                  <w:jc w:val="right"/>
                  <w:rPr>
                    <w:rFonts w:cs="Times New Roman"/>
                    <w:sz w:val="18"/>
                    <w:szCs w:val="18"/>
                  </w:rPr>
                </w:pPr>
              </w:p>
            </w:tc>
            <w:tc>
              <w:tcPr>
                <w:tcW w:w="678" w:type="pct"/>
                <w:tcBorders>
                  <w:top w:val="single" w:color="auto" w:sz="4" w:space="0"/>
                  <w:left w:val="single" w:color="auto" w:sz="4" w:space="0"/>
                  <w:bottom w:val="single" w:color="auto" w:sz="4" w:space="0"/>
                  <w:right w:val="single" w:color="auto" w:sz="4" w:space="0"/>
                </w:tcBorders>
                <w:vAlign w:val="center"/>
              </w:tcPr>
              <w:p w14:paraId="71685171">
                <w:pPr>
                  <w:autoSpaceDE w:val="0"/>
                  <w:autoSpaceDN w:val="0"/>
                  <w:adjustRightInd w:val="0"/>
                  <w:jc w:val="right"/>
                  <w:rPr>
                    <w:rFonts w:cs="Times New Roman"/>
                    <w:sz w:val="18"/>
                    <w:szCs w:val="18"/>
                  </w:rPr>
                </w:pP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456521346"/>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79AFB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64F681EC">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3670A2FB">
                <w:pPr>
                  <w:autoSpaceDE w:val="0"/>
                  <w:autoSpaceDN w:val="0"/>
                  <w:adjustRightInd w:val="0"/>
                  <w:rPr>
                    <w:rFonts w:cs="Times New Roman"/>
                    <w:sz w:val="20"/>
                    <w:szCs w:val="20"/>
                  </w:rPr>
                </w:pPr>
                <w:r>
                  <w:rPr>
                    <w:rFonts w:cs="Times New Roman"/>
                    <w:sz w:val="20"/>
                    <w:szCs w:val="20"/>
                  </w:rPr>
                  <w:t>聚联智汇水务科技有限公司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0E7B0F88">
                <w:pPr>
                  <w:jc w:val="right"/>
                  <w:textAlignment w:val="bottom"/>
                  <w:rPr>
                    <w:rFonts w:cs="Times New Roman"/>
                    <w:sz w:val="18"/>
                    <w:szCs w:val="18"/>
                  </w:rPr>
                </w:pPr>
                <w:r>
                  <w:rPr>
                    <w:rFonts w:eastAsia="Arial Narrow" w:cs="Times New Roman"/>
                    <w:color w:val="000000"/>
                    <w:sz w:val="18"/>
                    <w:szCs w:val="18"/>
                    <w:lang w:bidi="ar"/>
                  </w:rPr>
                  <w:t>900,000.00</w:t>
                </w:r>
              </w:p>
            </w:tc>
            <w:tc>
              <w:tcPr>
                <w:tcW w:w="724" w:type="pct"/>
                <w:tcBorders>
                  <w:top w:val="single" w:color="auto" w:sz="4" w:space="0"/>
                  <w:left w:val="single" w:color="auto" w:sz="4" w:space="0"/>
                  <w:bottom w:val="single" w:color="auto" w:sz="4" w:space="0"/>
                  <w:right w:val="single" w:color="auto" w:sz="4" w:space="0"/>
                </w:tcBorders>
                <w:vAlign w:val="center"/>
              </w:tcPr>
              <w:p w14:paraId="7FFDC5F8">
                <w:pPr>
                  <w:jc w:val="right"/>
                  <w:textAlignment w:val="bottom"/>
                  <w:rPr>
                    <w:rFonts w:cs="Times New Roman"/>
                    <w:sz w:val="18"/>
                    <w:szCs w:val="18"/>
                  </w:rPr>
                </w:pPr>
                <w:r>
                  <w:rPr>
                    <w:rFonts w:eastAsia="Arial Narrow" w:cs="Times New Roman"/>
                    <w:color w:val="000000"/>
                    <w:sz w:val="18"/>
                    <w:szCs w:val="18"/>
                    <w:lang w:bidi="ar"/>
                  </w:rPr>
                  <w:t>218,099.81</w:t>
                </w:r>
              </w:p>
            </w:tc>
            <w:tc>
              <w:tcPr>
                <w:tcW w:w="809" w:type="pct"/>
                <w:tcBorders>
                  <w:top w:val="single" w:color="auto" w:sz="4" w:space="0"/>
                  <w:left w:val="single" w:color="auto" w:sz="4" w:space="0"/>
                  <w:bottom w:val="single" w:color="auto" w:sz="4" w:space="0"/>
                  <w:right w:val="single" w:color="auto" w:sz="4" w:space="0"/>
                </w:tcBorders>
                <w:vAlign w:val="center"/>
              </w:tcPr>
              <w:p w14:paraId="56927A3B">
                <w:pPr>
                  <w:autoSpaceDE w:val="0"/>
                  <w:autoSpaceDN w:val="0"/>
                  <w:adjustRightInd w:val="0"/>
                  <w:jc w:val="right"/>
                  <w:rPr>
                    <w:rFonts w:cs="Times New Roman"/>
                    <w:sz w:val="18"/>
                    <w:szCs w:val="18"/>
                  </w:rPr>
                </w:pPr>
                <w:r>
                  <w:rPr>
                    <w:rFonts w:cs="Times New Roman"/>
                    <w:sz w:val="18"/>
                    <w:szCs w:val="18"/>
                  </w:rPr>
                  <w:t>900,000.00</w:t>
                </w:r>
              </w:p>
            </w:tc>
            <w:tc>
              <w:tcPr>
                <w:tcW w:w="678" w:type="pct"/>
                <w:tcBorders>
                  <w:top w:val="single" w:color="auto" w:sz="4" w:space="0"/>
                  <w:left w:val="single" w:color="auto" w:sz="4" w:space="0"/>
                  <w:bottom w:val="single" w:color="auto" w:sz="4" w:space="0"/>
                  <w:right w:val="single" w:color="auto" w:sz="4" w:space="0"/>
                </w:tcBorders>
                <w:vAlign w:val="center"/>
              </w:tcPr>
              <w:p w14:paraId="66F05E13">
                <w:pPr>
                  <w:autoSpaceDE w:val="0"/>
                  <w:autoSpaceDN w:val="0"/>
                  <w:adjustRightInd w:val="0"/>
                  <w:jc w:val="right"/>
                  <w:rPr>
                    <w:rFonts w:cs="Times New Roman"/>
                    <w:sz w:val="18"/>
                    <w:szCs w:val="18"/>
                  </w:rPr>
                </w:pPr>
                <w:r>
                  <w:rPr>
                    <w:rFonts w:cs="Times New Roman"/>
                    <w:sz w:val="18"/>
                    <w:szCs w:val="18"/>
                  </w:rPr>
                  <w:t>218,099.81</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887400140"/>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1A7C2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42076C0F">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67BEDB5B">
                <w:pPr>
                  <w:autoSpaceDE w:val="0"/>
                  <w:autoSpaceDN w:val="0"/>
                  <w:adjustRightInd w:val="0"/>
                  <w:rPr>
                    <w:rFonts w:cs="Times New Roman"/>
                    <w:sz w:val="20"/>
                    <w:szCs w:val="20"/>
                  </w:rPr>
                </w:pPr>
                <w:r>
                  <w:rPr>
                    <w:rFonts w:cs="Times New Roman"/>
                    <w:sz w:val="20"/>
                    <w:szCs w:val="20"/>
                  </w:rPr>
                  <w:t>新兴铸管股份有限公司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2D7E99A1">
                <w:pPr>
                  <w:jc w:val="right"/>
                  <w:textAlignment w:val="bottom"/>
                  <w:rPr>
                    <w:rFonts w:cs="Times New Roman"/>
                    <w:sz w:val="18"/>
                    <w:szCs w:val="18"/>
                  </w:rPr>
                </w:pPr>
                <w:r>
                  <w:rPr>
                    <w:rFonts w:eastAsia="Arial Narrow" w:cs="Times New Roman"/>
                    <w:color w:val="000000"/>
                    <w:sz w:val="18"/>
                    <w:szCs w:val="18"/>
                    <w:lang w:bidi="ar"/>
                  </w:rPr>
                  <w:t>670,000.00</w:t>
                </w:r>
              </w:p>
            </w:tc>
            <w:tc>
              <w:tcPr>
                <w:tcW w:w="724" w:type="pct"/>
                <w:tcBorders>
                  <w:top w:val="single" w:color="auto" w:sz="4" w:space="0"/>
                  <w:left w:val="single" w:color="auto" w:sz="4" w:space="0"/>
                  <w:bottom w:val="single" w:color="auto" w:sz="4" w:space="0"/>
                  <w:right w:val="single" w:color="auto" w:sz="4" w:space="0"/>
                </w:tcBorders>
                <w:vAlign w:val="center"/>
              </w:tcPr>
              <w:p w14:paraId="6C494546">
                <w:pPr>
                  <w:jc w:val="right"/>
                  <w:textAlignment w:val="bottom"/>
                  <w:rPr>
                    <w:rFonts w:cs="Times New Roman"/>
                    <w:sz w:val="18"/>
                    <w:szCs w:val="18"/>
                  </w:rPr>
                </w:pPr>
                <w:r>
                  <w:rPr>
                    <w:rFonts w:eastAsia="Arial Narrow" w:cs="Times New Roman"/>
                    <w:color w:val="000000"/>
                    <w:sz w:val="18"/>
                    <w:szCs w:val="18"/>
                    <w:lang w:bidi="ar"/>
                  </w:rPr>
                  <w:t>127,000.72</w:t>
                </w:r>
              </w:p>
            </w:tc>
            <w:tc>
              <w:tcPr>
                <w:tcW w:w="809" w:type="pct"/>
                <w:tcBorders>
                  <w:top w:val="single" w:color="auto" w:sz="4" w:space="0"/>
                  <w:left w:val="single" w:color="auto" w:sz="4" w:space="0"/>
                  <w:bottom w:val="single" w:color="auto" w:sz="4" w:space="0"/>
                  <w:right w:val="single" w:color="auto" w:sz="4" w:space="0"/>
                </w:tcBorders>
                <w:vAlign w:val="center"/>
              </w:tcPr>
              <w:p w14:paraId="4AF10982">
                <w:pPr>
                  <w:autoSpaceDE w:val="0"/>
                  <w:autoSpaceDN w:val="0"/>
                  <w:adjustRightInd w:val="0"/>
                  <w:jc w:val="right"/>
                  <w:rPr>
                    <w:rFonts w:cs="Times New Roman"/>
                    <w:sz w:val="18"/>
                    <w:szCs w:val="18"/>
                  </w:rPr>
                </w:pPr>
                <w:r>
                  <w:rPr>
                    <w:rFonts w:cs="Times New Roman"/>
                    <w:sz w:val="18"/>
                    <w:szCs w:val="18"/>
                  </w:rPr>
                  <w:t>310,000.00</w:t>
                </w:r>
              </w:p>
            </w:tc>
            <w:tc>
              <w:tcPr>
                <w:tcW w:w="678" w:type="pct"/>
                <w:tcBorders>
                  <w:top w:val="single" w:color="auto" w:sz="4" w:space="0"/>
                  <w:left w:val="single" w:color="auto" w:sz="4" w:space="0"/>
                  <w:bottom w:val="single" w:color="auto" w:sz="4" w:space="0"/>
                  <w:right w:val="single" w:color="auto" w:sz="4" w:space="0"/>
                </w:tcBorders>
                <w:vAlign w:val="center"/>
              </w:tcPr>
              <w:p w14:paraId="79B5362B">
                <w:pPr>
                  <w:autoSpaceDE w:val="0"/>
                  <w:autoSpaceDN w:val="0"/>
                  <w:adjustRightInd w:val="0"/>
                  <w:jc w:val="right"/>
                  <w:rPr>
                    <w:rFonts w:cs="Times New Roman"/>
                    <w:sz w:val="18"/>
                    <w:szCs w:val="18"/>
                  </w:rPr>
                </w:pPr>
                <w:r>
                  <w:rPr>
                    <w:rFonts w:cs="Times New Roman"/>
                    <w:sz w:val="18"/>
                    <w:szCs w:val="18"/>
                  </w:rPr>
                  <w:t>59,545.79</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529842590"/>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71E1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2FF7269D">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7E8C069B">
                <w:pPr>
                  <w:autoSpaceDE w:val="0"/>
                  <w:autoSpaceDN w:val="0"/>
                  <w:adjustRightInd w:val="0"/>
                  <w:rPr>
                    <w:rFonts w:cs="Times New Roman"/>
                    <w:sz w:val="20"/>
                    <w:szCs w:val="20"/>
                  </w:rPr>
                </w:pPr>
                <w:r>
                  <w:rPr>
                    <w:rFonts w:cs="Times New Roman"/>
                    <w:sz w:val="20"/>
                    <w:szCs w:val="20"/>
                  </w:rPr>
                  <w:t>南京三五〇三投资发展有限公司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06FA137A">
                <w:pPr>
                  <w:jc w:val="right"/>
                  <w:textAlignment w:val="bottom"/>
                  <w:rPr>
                    <w:rFonts w:cs="Times New Roman"/>
                    <w:sz w:val="18"/>
                    <w:szCs w:val="18"/>
                  </w:rPr>
                </w:pPr>
                <w:r>
                  <w:rPr>
                    <w:rFonts w:eastAsia="Arial Narrow" w:cs="Times New Roman"/>
                    <w:color w:val="000000"/>
                    <w:sz w:val="18"/>
                    <w:szCs w:val="18"/>
                    <w:lang w:bidi="ar"/>
                  </w:rPr>
                  <w:t>487,608.81</w:t>
                </w:r>
              </w:p>
            </w:tc>
            <w:tc>
              <w:tcPr>
                <w:tcW w:w="724" w:type="pct"/>
                <w:tcBorders>
                  <w:top w:val="single" w:color="auto" w:sz="4" w:space="0"/>
                  <w:left w:val="single" w:color="auto" w:sz="4" w:space="0"/>
                  <w:bottom w:val="single" w:color="auto" w:sz="4" w:space="0"/>
                  <w:right w:val="single" w:color="auto" w:sz="4" w:space="0"/>
                </w:tcBorders>
                <w:vAlign w:val="center"/>
              </w:tcPr>
              <w:p w14:paraId="0BD404F8">
                <w:pPr>
                  <w:jc w:val="right"/>
                  <w:textAlignment w:val="bottom"/>
                  <w:rPr>
                    <w:rFonts w:cs="Times New Roman"/>
                    <w:sz w:val="18"/>
                    <w:szCs w:val="18"/>
                  </w:rPr>
                </w:pPr>
                <w:r>
                  <w:rPr>
                    <w:rFonts w:eastAsia="Arial Narrow" w:cs="Times New Roman"/>
                    <w:color w:val="000000"/>
                    <w:sz w:val="18"/>
                    <w:szCs w:val="18"/>
                    <w:lang w:bidi="ar"/>
                  </w:rPr>
                  <w:t>359,531.29</w:t>
                </w:r>
              </w:p>
            </w:tc>
            <w:tc>
              <w:tcPr>
                <w:tcW w:w="809" w:type="pct"/>
                <w:tcBorders>
                  <w:top w:val="single" w:color="auto" w:sz="4" w:space="0"/>
                  <w:left w:val="single" w:color="auto" w:sz="4" w:space="0"/>
                  <w:bottom w:val="single" w:color="auto" w:sz="4" w:space="0"/>
                  <w:right w:val="single" w:color="auto" w:sz="4" w:space="0"/>
                </w:tcBorders>
                <w:vAlign w:val="center"/>
              </w:tcPr>
              <w:p w14:paraId="438B6790">
                <w:pPr>
                  <w:autoSpaceDE w:val="0"/>
                  <w:autoSpaceDN w:val="0"/>
                  <w:adjustRightInd w:val="0"/>
                  <w:jc w:val="right"/>
                  <w:rPr>
                    <w:rFonts w:cs="Times New Roman"/>
                    <w:sz w:val="18"/>
                    <w:szCs w:val="18"/>
                  </w:rPr>
                </w:pPr>
                <w:r>
                  <w:rPr>
                    <w:rFonts w:cs="Times New Roman"/>
                    <w:sz w:val="18"/>
                    <w:szCs w:val="18"/>
                  </w:rPr>
                  <w:t>487,608.81</w:t>
                </w:r>
              </w:p>
            </w:tc>
            <w:tc>
              <w:tcPr>
                <w:tcW w:w="678" w:type="pct"/>
                <w:tcBorders>
                  <w:top w:val="single" w:color="auto" w:sz="4" w:space="0"/>
                  <w:left w:val="single" w:color="auto" w:sz="4" w:space="0"/>
                  <w:bottom w:val="single" w:color="auto" w:sz="4" w:space="0"/>
                  <w:right w:val="single" w:color="auto" w:sz="4" w:space="0"/>
                </w:tcBorders>
                <w:vAlign w:val="center"/>
              </w:tcPr>
              <w:p w14:paraId="0C8728A5">
                <w:pPr>
                  <w:autoSpaceDE w:val="0"/>
                  <w:autoSpaceDN w:val="0"/>
                  <w:adjustRightInd w:val="0"/>
                  <w:jc w:val="right"/>
                  <w:rPr>
                    <w:rFonts w:cs="Times New Roman"/>
                    <w:sz w:val="18"/>
                    <w:szCs w:val="18"/>
                  </w:rPr>
                </w:pPr>
                <w:r>
                  <w:rPr>
                    <w:rFonts w:cs="Times New Roman"/>
                    <w:sz w:val="18"/>
                    <w:szCs w:val="18"/>
                  </w:rPr>
                  <w:t>333,725.26</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566001807"/>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6C23B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6D57ECB5">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24993436">
                <w:pPr>
                  <w:autoSpaceDE w:val="0"/>
                  <w:autoSpaceDN w:val="0"/>
                  <w:adjustRightInd w:val="0"/>
                  <w:rPr>
                    <w:rFonts w:cs="Times New Roman"/>
                    <w:sz w:val="20"/>
                    <w:szCs w:val="20"/>
                  </w:rPr>
                </w:pPr>
                <w:r>
                  <w:rPr>
                    <w:rFonts w:cs="Times New Roman"/>
                    <w:sz w:val="20"/>
                    <w:szCs w:val="20"/>
                  </w:rPr>
                  <w:t>新兴铸管集团资源投资发展有限公司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133A1761">
                <w:pPr>
                  <w:jc w:val="right"/>
                  <w:textAlignment w:val="bottom"/>
                  <w:rPr>
                    <w:rFonts w:cs="Times New Roman"/>
                    <w:sz w:val="18"/>
                    <w:szCs w:val="18"/>
                  </w:rPr>
                </w:pPr>
                <w:r>
                  <w:rPr>
                    <w:rFonts w:eastAsia="Arial Narrow" w:cs="Times New Roman"/>
                    <w:color w:val="000000"/>
                    <w:sz w:val="18"/>
                    <w:szCs w:val="18"/>
                    <w:lang w:bidi="ar"/>
                  </w:rPr>
                  <w:t>400,000.00</w:t>
                </w:r>
              </w:p>
            </w:tc>
            <w:tc>
              <w:tcPr>
                <w:tcW w:w="724" w:type="pct"/>
                <w:tcBorders>
                  <w:top w:val="single" w:color="auto" w:sz="4" w:space="0"/>
                  <w:left w:val="single" w:color="auto" w:sz="4" w:space="0"/>
                  <w:bottom w:val="single" w:color="auto" w:sz="4" w:space="0"/>
                  <w:right w:val="single" w:color="auto" w:sz="4" w:space="0"/>
                </w:tcBorders>
                <w:vAlign w:val="center"/>
              </w:tcPr>
              <w:p w14:paraId="1203E76E">
                <w:pPr>
                  <w:jc w:val="right"/>
                  <w:textAlignment w:val="bottom"/>
                  <w:rPr>
                    <w:rFonts w:cs="Times New Roman"/>
                    <w:sz w:val="18"/>
                    <w:szCs w:val="18"/>
                  </w:rPr>
                </w:pPr>
                <w:r>
                  <w:rPr>
                    <w:rFonts w:eastAsia="Arial Narrow" w:cs="Times New Roman"/>
                    <w:color w:val="000000"/>
                    <w:sz w:val="18"/>
                    <w:szCs w:val="18"/>
                    <w:lang w:bidi="ar"/>
                  </w:rPr>
                  <w:t>74,949.94</w:t>
                </w:r>
              </w:p>
            </w:tc>
            <w:tc>
              <w:tcPr>
                <w:tcW w:w="809" w:type="pct"/>
                <w:tcBorders>
                  <w:top w:val="single" w:color="auto" w:sz="4" w:space="0"/>
                  <w:left w:val="single" w:color="auto" w:sz="4" w:space="0"/>
                  <w:bottom w:val="single" w:color="auto" w:sz="4" w:space="0"/>
                  <w:right w:val="single" w:color="auto" w:sz="4" w:space="0"/>
                </w:tcBorders>
                <w:vAlign w:val="center"/>
              </w:tcPr>
              <w:p w14:paraId="0B352AB1">
                <w:pPr>
                  <w:autoSpaceDE w:val="0"/>
                  <w:autoSpaceDN w:val="0"/>
                  <w:adjustRightInd w:val="0"/>
                  <w:jc w:val="right"/>
                  <w:rPr>
                    <w:rFonts w:cs="Times New Roman"/>
                    <w:sz w:val="18"/>
                    <w:szCs w:val="18"/>
                  </w:rPr>
                </w:pPr>
              </w:p>
            </w:tc>
            <w:tc>
              <w:tcPr>
                <w:tcW w:w="678" w:type="pct"/>
                <w:tcBorders>
                  <w:top w:val="single" w:color="auto" w:sz="4" w:space="0"/>
                  <w:left w:val="single" w:color="auto" w:sz="4" w:space="0"/>
                  <w:bottom w:val="single" w:color="auto" w:sz="4" w:space="0"/>
                  <w:right w:val="single" w:color="auto" w:sz="4" w:space="0"/>
                </w:tcBorders>
                <w:vAlign w:val="center"/>
              </w:tcPr>
              <w:p w14:paraId="56F2502E">
                <w:pPr>
                  <w:autoSpaceDE w:val="0"/>
                  <w:autoSpaceDN w:val="0"/>
                  <w:adjustRightInd w:val="0"/>
                  <w:jc w:val="right"/>
                  <w:rPr>
                    <w:rFonts w:cs="Times New Roman"/>
                    <w:sz w:val="18"/>
                    <w:szCs w:val="18"/>
                  </w:rPr>
                </w:pP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226263933"/>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56609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64BD68F8">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1D80ACF3">
                <w:pPr>
                  <w:autoSpaceDE w:val="0"/>
                  <w:autoSpaceDN w:val="0"/>
                  <w:adjustRightInd w:val="0"/>
                  <w:rPr>
                    <w:rFonts w:cs="Times New Roman"/>
                    <w:sz w:val="20"/>
                    <w:szCs w:val="20"/>
                  </w:rPr>
                </w:pPr>
                <w:r>
                  <w:rPr>
                    <w:rFonts w:cs="Times New Roman"/>
                    <w:sz w:val="20"/>
                    <w:szCs w:val="20"/>
                  </w:rPr>
                  <w:t>上海际华物流有限公司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2BAEB8E5">
                <w:pPr>
                  <w:jc w:val="right"/>
                  <w:textAlignment w:val="bottom"/>
                  <w:rPr>
                    <w:rFonts w:cs="Times New Roman"/>
                    <w:sz w:val="18"/>
                    <w:szCs w:val="18"/>
                  </w:rPr>
                </w:pPr>
                <w:r>
                  <w:rPr>
                    <w:rFonts w:eastAsia="Arial Narrow" w:cs="Times New Roman"/>
                    <w:color w:val="000000"/>
                    <w:sz w:val="18"/>
                    <w:szCs w:val="18"/>
                    <w:lang w:bidi="ar"/>
                  </w:rPr>
                  <w:t>173,208.49</w:t>
                </w:r>
              </w:p>
            </w:tc>
            <w:tc>
              <w:tcPr>
                <w:tcW w:w="724" w:type="pct"/>
                <w:tcBorders>
                  <w:top w:val="single" w:color="auto" w:sz="4" w:space="0"/>
                  <w:left w:val="single" w:color="auto" w:sz="4" w:space="0"/>
                  <w:bottom w:val="single" w:color="auto" w:sz="4" w:space="0"/>
                  <w:right w:val="single" w:color="auto" w:sz="4" w:space="0"/>
                </w:tcBorders>
                <w:vAlign w:val="center"/>
              </w:tcPr>
              <w:p w14:paraId="3F84FD08">
                <w:pPr>
                  <w:jc w:val="right"/>
                  <w:textAlignment w:val="bottom"/>
                  <w:rPr>
                    <w:rFonts w:cs="Times New Roman"/>
                    <w:sz w:val="18"/>
                    <w:szCs w:val="18"/>
                  </w:rPr>
                </w:pPr>
                <w:r>
                  <w:rPr>
                    <w:rFonts w:eastAsia="Arial Narrow" w:cs="Times New Roman"/>
                    <w:color w:val="000000"/>
                    <w:sz w:val="18"/>
                    <w:szCs w:val="18"/>
                    <w:lang w:bidi="ar"/>
                  </w:rPr>
                  <w:t>32,454.91</w:t>
                </w:r>
              </w:p>
            </w:tc>
            <w:tc>
              <w:tcPr>
                <w:tcW w:w="809" w:type="pct"/>
                <w:tcBorders>
                  <w:top w:val="single" w:color="auto" w:sz="4" w:space="0"/>
                  <w:left w:val="single" w:color="auto" w:sz="4" w:space="0"/>
                  <w:bottom w:val="single" w:color="auto" w:sz="4" w:space="0"/>
                  <w:right w:val="single" w:color="auto" w:sz="4" w:space="0"/>
                </w:tcBorders>
                <w:vAlign w:val="center"/>
              </w:tcPr>
              <w:p w14:paraId="6333D594">
                <w:pPr>
                  <w:autoSpaceDE w:val="0"/>
                  <w:autoSpaceDN w:val="0"/>
                  <w:adjustRightInd w:val="0"/>
                  <w:jc w:val="right"/>
                  <w:rPr>
                    <w:rFonts w:cs="Times New Roman"/>
                    <w:sz w:val="18"/>
                    <w:szCs w:val="18"/>
                  </w:rPr>
                </w:pPr>
                <w:r>
                  <w:rPr>
                    <w:rFonts w:cs="Times New Roman"/>
                    <w:sz w:val="18"/>
                    <w:szCs w:val="18"/>
                  </w:rPr>
                  <w:t>173,208.49</w:t>
                </w:r>
              </w:p>
            </w:tc>
            <w:tc>
              <w:tcPr>
                <w:tcW w:w="678" w:type="pct"/>
                <w:tcBorders>
                  <w:top w:val="single" w:color="auto" w:sz="4" w:space="0"/>
                  <w:left w:val="single" w:color="auto" w:sz="4" w:space="0"/>
                  <w:bottom w:val="single" w:color="auto" w:sz="4" w:space="0"/>
                  <w:right w:val="single" w:color="auto" w:sz="4" w:space="0"/>
                </w:tcBorders>
                <w:vAlign w:val="center"/>
              </w:tcPr>
              <w:p w14:paraId="262A7EC4">
                <w:pPr>
                  <w:autoSpaceDE w:val="0"/>
                  <w:autoSpaceDN w:val="0"/>
                  <w:adjustRightInd w:val="0"/>
                  <w:jc w:val="right"/>
                  <w:rPr>
                    <w:rFonts w:cs="Times New Roman"/>
                    <w:sz w:val="18"/>
                    <w:szCs w:val="18"/>
                  </w:rPr>
                </w:pPr>
                <w:r>
                  <w:rPr>
                    <w:rFonts w:cs="Times New Roman"/>
                    <w:sz w:val="18"/>
                    <w:szCs w:val="18"/>
                  </w:rPr>
                  <w:t>32,454.91</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05043694"/>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1A37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21F37FAE">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284A1539">
                <w:pPr>
                  <w:autoSpaceDE w:val="0"/>
                  <w:autoSpaceDN w:val="0"/>
                  <w:adjustRightInd w:val="0"/>
                  <w:rPr>
                    <w:rFonts w:cs="Times New Roman"/>
                    <w:sz w:val="20"/>
                    <w:szCs w:val="20"/>
                  </w:rPr>
                </w:pPr>
                <w:r>
                  <w:rPr>
                    <w:rFonts w:cs="Times New Roman"/>
                    <w:sz w:val="20"/>
                    <w:szCs w:val="20"/>
                  </w:rPr>
                  <w:t>石家庄际华资产管理有限公司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1FE65CF0">
                <w:pPr>
                  <w:jc w:val="right"/>
                  <w:textAlignment w:val="bottom"/>
                  <w:rPr>
                    <w:rFonts w:cs="Times New Roman"/>
                    <w:sz w:val="18"/>
                    <w:szCs w:val="18"/>
                  </w:rPr>
                </w:pPr>
                <w:r>
                  <w:rPr>
                    <w:rFonts w:eastAsia="Arial Narrow" w:cs="Times New Roman"/>
                    <w:color w:val="000000"/>
                    <w:sz w:val="18"/>
                    <w:szCs w:val="18"/>
                    <w:lang w:bidi="ar"/>
                  </w:rPr>
                  <w:t>131,761.11</w:t>
                </w:r>
              </w:p>
            </w:tc>
            <w:tc>
              <w:tcPr>
                <w:tcW w:w="724" w:type="pct"/>
                <w:tcBorders>
                  <w:top w:val="single" w:color="auto" w:sz="4" w:space="0"/>
                  <w:left w:val="single" w:color="auto" w:sz="4" w:space="0"/>
                  <w:bottom w:val="single" w:color="auto" w:sz="4" w:space="0"/>
                  <w:right w:val="single" w:color="auto" w:sz="4" w:space="0"/>
                </w:tcBorders>
                <w:vAlign w:val="center"/>
              </w:tcPr>
              <w:p w14:paraId="0D252B6A">
                <w:pPr>
                  <w:jc w:val="right"/>
                  <w:textAlignment w:val="bottom"/>
                  <w:rPr>
                    <w:rFonts w:cs="Times New Roman"/>
                    <w:sz w:val="18"/>
                    <w:szCs w:val="18"/>
                  </w:rPr>
                </w:pPr>
                <w:r>
                  <w:rPr>
                    <w:rFonts w:eastAsia="Arial Narrow" w:cs="Times New Roman"/>
                    <w:color w:val="000000"/>
                    <w:sz w:val="18"/>
                    <w:szCs w:val="18"/>
                    <w:lang w:bidi="ar"/>
                  </w:rPr>
                  <w:t>24,688.72</w:t>
                </w:r>
              </w:p>
            </w:tc>
            <w:tc>
              <w:tcPr>
                <w:tcW w:w="809" w:type="pct"/>
                <w:tcBorders>
                  <w:top w:val="single" w:color="auto" w:sz="4" w:space="0"/>
                  <w:left w:val="single" w:color="auto" w:sz="4" w:space="0"/>
                  <w:bottom w:val="single" w:color="auto" w:sz="4" w:space="0"/>
                  <w:right w:val="single" w:color="auto" w:sz="4" w:space="0"/>
                </w:tcBorders>
                <w:vAlign w:val="center"/>
              </w:tcPr>
              <w:p w14:paraId="42A4D57A">
                <w:pPr>
                  <w:autoSpaceDE w:val="0"/>
                  <w:autoSpaceDN w:val="0"/>
                  <w:adjustRightInd w:val="0"/>
                  <w:jc w:val="right"/>
                  <w:rPr>
                    <w:rFonts w:cs="Times New Roman"/>
                    <w:sz w:val="18"/>
                    <w:szCs w:val="18"/>
                  </w:rPr>
                </w:pPr>
              </w:p>
            </w:tc>
            <w:tc>
              <w:tcPr>
                <w:tcW w:w="678" w:type="pct"/>
                <w:tcBorders>
                  <w:top w:val="single" w:color="auto" w:sz="4" w:space="0"/>
                  <w:left w:val="single" w:color="auto" w:sz="4" w:space="0"/>
                  <w:bottom w:val="single" w:color="auto" w:sz="4" w:space="0"/>
                  <w:right w:val="single" w:color="auto" w:sz="4" w:space="0"/>
                </w:tcBorders>
                <w:vAlign w:val="center"/>
              </w:tcPr>
              <w:p w14:paraId="3622BD31">
                <w:pPr>
                  <w:autoSpaceDE w:val="0"/>
                  <w:autoSpaceDN w:val="0"/>
                  <w:adjustRightInd w:val="0"/>
                  <w:jc w:val="right"/>
                  <w:rPr>
                    <w:rFonts w:cs="Times New Roman"/>
                    <w:sz w:val="18"/>
                    <w:szCs w:val="18"/>
                  </w:rPr>
                </w:pP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621301857"/>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1E84A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34FD8B6C">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319CC84C">
                <w:pPr>
                  <w:autoSpaceDE w:val="0"/>
                  <w:autoSpaceDN w:val="0"/>
                  <w:adjustRightInd w:val="0"/>
                  <w:rPr>
                    <w:rFonts w:cs="Times New Roman"/>
                    <w:sz w:val="20"/>
                    <w:szCs w:val="20"/>
                  </w:rPr>
                </w:pPr>
                <w:r>
                  <w:rPr>
                    <w:rFonts w:cs="Times New Roman"/>
                    <w:sz w:val="20"/>
                    <w:szCs w:val="20"/>
                  </w:rPr>
                  <w:t>新兴河北工程技术有限公司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7693E704">
                <w:pPr>
                  <w:jc w:val="right"/>
                  <w:textAlignment w:val="bottom"/>
                  <w:rPr>
                    <w:rFonts w:cs="Times New Roman"/>
                    <w:sz w:val="18"/>
                    <w:szCs w:val="18"/>
                  </w:rPr>
                </w:pPr>
                <w:r>
                  <w:rPr>
                    <w:rFonts w:eastAsia="Arial Narrow" w:cs="Times New Roman"/>
                    <w:color w:val="000000"/>
                    <w:sz w:val="18"/>
                    <w:szCs w:val="18"/>
                    <w:lang w:bidi="ar"/>
                  </w:rPr>
                  <w:t>30,000.00</w:t>
                </w:r>
              </w:p>
            </w:tc>
            <w:tc>
              <w:tcPr>
                <w:tcW w:w="724" w:type="pct"/>
                <w:tcBorders>
                  <w:top w:val="single" w:color="auto" w:sz="4" w:space="0"/>
                  <w:left w:val="single" w:color="auto" w:sz="4" w:space="0"/>
                  <w:bottom w:val="single" w:color="auto" w:sz="4" w:space="0"/>
                  <w:right w:val="single" w:color="auto" w:sz="4" w:space="0"/>
                </w:tcBorders>
                <w:vAlign w:val="center"/>
              </w:tcPr>
              <w:p w14:paraId="13F9A380">
                <w:pPr>
                  <w:jc w:val="right"/>
                  <w:textAlignment w:val="bottom"/>
                  <w:rPr>
                    <w:rFonts w:cs="Times New Roman"/>
                    <w:sz w:val="18"/>
                    <w:szCs w:val="18"/>
                  </w:rPr>
                </w:pPr>
                <w:r>
                  <w:rPr>
                    <w:rFonts w:eastAsia="Arial Narrow" w:cs="Times New Roman"/>
                    <w:color w:val="000000"/>
                    <w:sz w:val="18"/>
                    <w:szCs w:val="18"/>
                    <w:lang w:bidi="ar"/>
                  </w:rPr>
                  <w:t>30,000.00</w:t>
                </w:r>
              </w:p>
            </w:tc>
            <w:tc>
              <w:tcPr>
                <w:tcW w:w="809" w:type="pct"/>
                <w:tcBorders>
                  <w:top w:val="single" w:color="auto" w:sz="4" w:space="0"/>
                  <w:left w:val="single" w:color="auto" w:sz="4" w:space="0"/>
                  <w:bottom w:val="single" w:color="auto" w:sz="4" w:space="0"/>
                  <w:right w:val="single" w:color="auto" w:sz="4" w:space="0"/>
                </w:tcBorders>
                <w:vAlign w:val="center"/>
              </w:tcPr>
              <w:p w14:paraId="0E4E0631">
                <w:pPr>
                  <w:autoSpaceDE w:val="0"/>
                  <w:autoSpaceDN w:val="0"/>
                  <w:adjustRightInd w:val="0"/>
                  <w:jc w:val="right"/>
                  <w:rPr>
                    <w:rFonts w:cs="Times New Roman"/>
                    <w:sz w:val="18"/>
                    <w:szCs w:val="18"/>
                  </w:rPr>
                </w:pPr>
                <w:r>
                  <w:rPr>
                    <w:rFonts w:cs="Times New Roman"/>
                    <w:sz w:val="18"/>
                    <w:szCs w:val="18"/>
                  </w:rPr>
                  <w:t>30,000.00</w:t>
                </w:r>
              </w:p>
            </w:tc>
            <w:tc>
              <w:tcPr>
                <w:tcW w:w="678" w:type="pct"/>
                <w:tcBorders>
                  <w:top w:val="single" w:color="auto" w:sz="4" w:space="0"/>
                  <w:left w:val="single" w:color="auto" w:sz="4" w:space="0"/>
                  <w:bottom w:val="single" w:color="auto" w:sz="4" w:space="0"/>
                  <w:right w:val="single" w:color="auto" w:sz="4" w:space="0"/>
                </w:tcBorders>
                <w:vAlign w:val="center"/>
              </w:tcPr>
              <w:p w14:paraId="0AC09B38">
                <w:pPr>
                  <w:autoSpaceDE w:val="0"/>
                  <w:autoSpaceDN w:val="0"/>
                  <w:adjustRightInd w:val="0"/>
                  <w:jc w:val="right"/>
                  <w:rPr>
                    <w:rFonts w:cs="Times New Roman"/>
                    <w:sz w:val="18"/>
                    <w:szCs w:val="18"/>
                  </w:rPr>
                </w:pPr>
                <w:r>
                  <w:rPr>
                    <w:rFonts w:cs="Times New Roman"/>
                    <w:sz w:val="18"/>
                    <w:szCs w:val="18"/>
                  </w:rPr>
                  <w:t>30,000.00</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144662195"/>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04C5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1E752846">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261538CB">
                <w:pPr>
                  <w:autoSpaceDE w:val="0"/>
                  <w:autoSpaceDN w:val="0"/>
                  <w:adjustRightInd w:val="0"/>
                  <w:rPr>
                    <w:rFonts w:cs="Times New Roman"/>
                    <w:sz w:val="20"/>
                    <w:szCs w:val="20"/>
                  </w:rPr>
                </w:pPr>
                <w:r>
                  <w:rPr>
                    <w:rFonts w:cs="Times New Roman"/>
                    <w:sz w:val="20"/>
                    <w:szCs w:val="20"/>
                  </w:rPr>
                  <w:t>武汉际华园投资建设有限公司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2974E5AC">
                <w:pPr>
                  <w:jc w:val="right"/>
                  <w:textAlignment w:val="bottom"/>
                  <w:rPr>
                    <w:rFonts w:cs="Times New Roman"/>
                    <w:sz w:val="18"/>
                    <w:szCs w:val="18"/>
                  </w:rPr>
                </w:pPr>
                <w:r>
                  <w:rPr>
                    <w:rFonts w:eastAsia="Arial Narrow" w:cs="Times New Roman"/>
                    <w:color w:val="000000"/>
                    <w:sz w:val="18"/>
                    <w:szCs w:val="18"/>
                    <w:lang w:bidi="ar"/>
                  </w:rPr>
                  <w:t>14,266.34</w:t>
                </w:r>
              </w:p>
            </w:tc>
            <w:tc>
              <w:tcPr>
                <w:tcW w:w="724" w:type="pct"/>
                <w:tcBorders>
                  <w:top w:val="single" w:color="auto" w:sz="4" w:space="0"/>
                  <w:left w:val="single" w:color="auto" w:sz="4" w:space="0"/>
                  <w:bottom w:val="single" w:color="auto" w:sz="4" w:space="0"/>
                  <w:right w:val="single" w:color="auto" w:sz="4" w:space="0"/>
                </w:tcBorders>
                <w:vAlign w:val="center"/>
              </w:tcPr>
              <w:p w14:paraId="0487A764">
                <w:pPr>
                  <w:jc w:val="right"/>
                  <w:textAlignment w:val="bottom"/>
                  <w:rPr>
                    <w:rFonts w:cs="Times New Roman"/>
                    <w:sz w:val="18"/>
                    <w:szCs w:val="18"/>
                  </w:rPr>
                </w:pPr>
                <w:r>
                  <w:rPr>
                    <w:rFonts w:eastAsia="Arial Narrow" w:cs="Times New Roman"/>
                    <w:color w:val="000000"/>
                    <w:sz w:val="18"/>
                    <w:szCs w:val="18"/>
                    <w:lang w:bidi="ar"/>
                  </w:rPr>
                  <w:t>2,673.15</w:t>
                </w:r>
              </w:p>
            </w:tc>
            <w:tc>
              <w:tcPr>
                <w:tcW w:w="809" w:type="pct"/>
                <w:tcBorders>
                  <w:top w:val="single" w:color="auto" w:sz="4" w:space="0"/>
                  <w:left w:val="single" w:color="auto" w:sz="4" w:space="0"/>
                  <w:bottom w:val="single" w:color="auto" w:sz="4" w:space="0"/>
                  <w:right w:val="single" w:color="auto" w:sz="4" w:space="0"/>
                </w:tcBorders>
                <w:vAlign w:val="center"/>
              </w:tcPr>
              <w:p w14:paraId="190E7F01">
                <w:pPr>
                  <w:autoSpaceDE w:val="0"/>
                  <w:autoSpaceDN w:val="0"/>
                  <w:adjustRightInd w:val="0"/>
                  <w:jc w:val="right"/>
                  <w:rPr>
                    <w:rFonts w:cs="Times New Roman"/>
                    <w:sz w:val="18"/>
                    <w:szCs w:val="18"/>
                  </w:rPr>
                </w:pPr>
                <w:r>
                  <w:rPr>
                    <w:rFonts w:cs="Times New Roman"/>
                    <w:sz w:val="18"/>
                    <w:szCs w:val="18"/>
                  </w:rPr>
                  <w:t>0.48</w:t>
                </w:r>
              </w:p>
            </w:tc>
            <w:tc>
              <w:tcPr>
                <w:tcW w:w="678" w:type="pct"/>
                <w:tcBorders>
                  <w:top w:val="single" w:color="auto" w:sz="4" w:space="0"/>
                  <w:left w:val="single" w:color="auto" w:sz="4" w:space="0"/>
                  <w:bottom w:val="single" w:color="auto" w:sz="4" w:space="0"/>
                  <w:right w:val="single" w:color="auto" w:sz="4" w:space="0"/>
                </w:tcBorders>
                <w:vAlign w:val="center"/>
              </w:tcPr>
              <w:p w14:paraId="587B20A9">
                <w:pPr>
                  <w:autoSpaceDE w:val="0"/>
                  <w:autoSpaceDN w:val="0"/>
                  <w:adjustRightInd w:val="0"/>
                  <w:jc w:val="right"/>
                  <w:rPr>
                    <w:rFonts w:cs="Times New Roman"/>
                    <w:sz w:val="18"/>
                    <w:szCs w:val="18"/>
                  </w:rPr>
                </w:pPr>
                <w:r>
                  <w:rPr>
                    <w:rFonts w:cs="Times New Roman"/>
                    <w:sz w:val="18"/>
                    <w:szCs w:val="18"/>
                  </w:rPr>
                  <w:t>0.09</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15880747"/>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04D1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59D5C549">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6717AA5F">
                <w:pPr>
                  <w:autoSpaceDE w:val="0"/>
                  <w:autoSpaceDN w:val="0"/>
                  <w:adjustRightInd w:val="0"/>
                  <w:rPr>
                    <w:rFonts w:cs="Times New Roman"/>
                    <w:sz w:val="20"/>
                    <w:szCs w:val="20"/>
                  </w:rPr>
                </w:pPr>
                <w:r>
                  <w:rPr>
                    <w:rFonts w:cs="Times New Roman"/>
                    <w:sz w:val="20"/>
                    <w:szCs w:val="20"/>
                  </w:rPr>
                  <w:t>陕西际华园开发建设有限公司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54FF7D32">
                <w:pPr>
                  <w:jc w:val="right"/>
                  <w:textAlignment w:val="bottom"/>
                  <w:rPr>
                    <w:rFonts w:cs="Times New Roman"/>
                    <w:sz w:val="18"/>
                    <w:szCs w:val="18"/>
                  </w:rPr>
                </w:pPr>
                <w:r>
                  <w:rPr>
                    <w:rFonts w:eastAsia="Arial Narrow" w:cs="Times New Roman"/>
                    <w:color w:val="000000"/>
                    <w:sz w:val="18"/>
                    <w:szCs w:val="18"/>
                    <w:lang w:bidi="ar"/>
                  </w:rPr>
                  <w:t>9,686.74</w:t>
                </w:r>
              </w:p>
            </w:tc>
            <w:tc>
              <w:tcPr>
                <w:tcW w:w="724" w:type="pct"/>
                <w:tcBorders>
                  <w:top w:val="single" w:color="auto" w:sz="4" w:space="0"/>
                  <w:left w:val="single" w:color="auto" w:sz="4" w:space="0"/>
                  <w:bottom w:val="single" w:color="auto" w:sz="4" w:space="0"/>
                  <w:right w:val="single" w:color="auto" w:sz="4" w:space="0"/>
                </w:tcBorders>
                <w:vAlign w:val="center"/>
              </w:tcPr>
              <w:p w14:paraId="0C5C041F">
                <w:pPr>
                  <w:jc w:val="right"/>
                  <w:textAlignment w:val="bottom"/>
                  <w:rPr>
                    <w:rFonts w:cs="Times New Roman"/>
                    <w:sz w:val="18"/>
                    <w:szCs w:val="18"/>
                  </w:rPr>
                </w:pPr>
                <w:r>
                  <w:rPr>
                    <w:rFonts w:eastAsia="Arial Narrow" w:cs="Times New Roman"/>
                    <w:color w:val="000000"/>
                    <w:sz w:val="18"/>
                    <w:szCs w:val="18"/>
                    <w:lang w:bidi="ar"/>
                  </w:rPr>
                  <w:t>1,815.05</w:t>
                </w:r>
              </w:p>
            </w:tc>
            <w:tc>
              <w:tcPr>
                <w:tcW w:w="809" w:type="pct"/>
                <w:tcBorders>
                  <w:top w:val="single" w:color="auto" w:sz="4" w:space="0"/>
                  <w:left w:val="single" w:color="auto" w:sz="4" w:space="0"/>
                  <w:bottom w:val="single" w:color="auto" w:sz="4" w:space="0"/>
                  <w:right w:val="single" w:color="auto" w:sz="4" w:space="0"/>
                </w:tcBorders>
                <w:vAlign w:val="center"/>
              </w:tcPr>
              <w:p w14:paraId="03F4CCD9">
                <w:pPr>
                  <w:autoSpaceDE w:val="0"/>
                  <w:autoSpaceDN w:val="0"/>
                  <w:adjustRightInd w:val="0"/>
                  <w:jc w:val="right"/>
                  <w:rPr>
                    <w:rFonts w:cs="Times New Roman"/>
                    <w:sz w:val="18"/>
                    <w:szCs w:val="18"/>
                  </w:rPr>
                </w:pPr>
                <w:r>
                  <w:rPr>
                    <w:rFonts w:cs="Times New Roman"/>
                    <w:sz w:val="18"/>
                    <w:szCs w:val="18"/>
                  </w:rPr>
                  <w:t>59,116.86</w:t>
                </w:r>
              </w:p>
            </w:tc>
            <w:tc>
              <w:tcPr>
                <w:tcW w:w="678" w:type="pct"/>
                <w:tcBorders>
                  <w:top w:val="single" w:color="auto" w:sz="4" w:space="0"/>
                  <w:left w:val="single" w:color="auto" w:sz="4" w:space="0"/>
                  <w:bottom w:val="single" w:color="auto" w:sz="4" w:space="0"/>
                  <w:right w:val="single" w:color="auto" w:sz="4" w:space="0"/>
                </w:tcBorders>
                <w:vAlign w:val="center"/>
              </w:tcPr>
              <w:p w14:paraId="74C351A6">
                <w:pPr>
                  <w:autoSpaceDE w:val="0"/>
                  <w:autoSpaceDN w:val="0"/>
                  <w:adjustRightInd w:val="0"/>
                  <w:jc w:val="right"/>
                  <w:rPr>
                    <w:rFonts w:cs="Times New Roman"/>
                    <w:sz w:val="18"/>
                    <w:szCs w:val="18"/>
                  </w:rPr>
                </w:pPr>
                <w:r>
                  <w:rPr>
                    <w:rFonts w:cs="Times New Roman"/>
                    <w:sz w:val="18"/>
                    <w:szCs w:val="18"/>
                  </w:rPr>
                  <w:t>11,077.01</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329333555"/>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5604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52A0D6F6">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4A3E1E79">
                <w:pPr>
                  <w:autoSpaceDE w:val="0"/>
                  <w:autoSpaceDN w:val="0"/>
                  <w:adjustRightInd w:val="0"/>
                  <w:rPr>
                    <w:rFonts w:cs="Times New Roman"/>
                    <w:sz w:val="20"/>
                    <w:szCs w:val="20"/>
                  </w:rPr>
                </w:pPr>
                <w:r>
                  <w:rPr>
                    <w:rFonts w:cs="Times New Roman"/>
                    <w:sz w:val="20"/>
                    <w:szCs w:val="20"/>
                  </w:rPr>
                  <w:t>新兴际华（上海）工程科技研究院有限公司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05ED46C2">
                <w:pPr>
                  <w:jc w:val="right"/>
                  <w:textAlignment w:val="bottom"/>
                  <w:rPr>
                    <w:rFonts w:cs="Times New Roman"/>
                    <w:sz w:val="18"/>
                    <w:szCs w:val="18"/>
                  </w:rPr>
                </w:pPr>
                <w:r>
                  <w:rPr>
                    <w:rFonts w:eastAsia="Arial Narrow" w:cs="Times New Roman"/>
                    <w:color w:val="000000"/>
                    <w:sz w:val="18"/>
                    <w:szCs w:val="18"/>
                    <w:lang w:bidi="ar"/>
                  </w:rPr>
                  <w:t>9,293.00</w:t>
                </w:r>
              </w:p>
            </w:tc>
            <w:tc>
              <w:tcPr>
                <w:tcW w:w="724" w:type="pct"/>
                <w:tcBorders>
                  <w:top w:val="single" w:color="auto" w:sz="4" w:space="0"/>
                  <w:left w:val="single" w:color="auto" w:sz="4" w:space="0"/>
                  <w:bottom w:val="single" w:color="auto" w:sz="4" w:space="0"/>
                  <w:right w:val="single" w:color="auto" w:sz="4" w:space="0"/>
                </w:tcBorders>
                <w:vAlign w:val="center"/>
              </w:tcPr>
              <w:p w14:paraId="37DDB3B6">
                <w:pPr>
                  <w:jc w:val="right"/>
                  <w:textAlignment w:val="bottom"/>
                  <w:rPr>
                    <w:rFonts w:cs="Times New Roman"/>
                    <w:sz w:val="18"/>
                    <w:szCs w:val="18"/>
                  </w:rPr>
                </w:pPr>
                <w:r>
                  <w:rPr>
                    <w:rFonts w:eastAsia="Arial Narrow" w:cs="Times New Roman"/>
                    <w:color w:val="000000"/>
                    <w:sz w:val="18"/>
                    <w:szCs w:val="18"/>
                    <w:lang w:bidi="ar"/>
                  </w:rPr>
                  <w:t>1,741.27</w:t>
                </w:r>
              </w:p>
            </w:tc>
            <w:tc>
              <w:tcPr>
                <w:tcW w:w="809" w:type="pct"/>
                <w:tcBorders>
                  <w:top w:val="single" w:color="auto" w:sz="4" w:space="0"/>
                  <w:left w:val="single" w:color="auto" w:sz="4" w:space="0"/>
                  <w:bottom w:val="single" w:color="auto" w:sz="4" w:space="0"/>
                  <w:right w:val="single" w:color="auto" w:sz="4" w:space="0"/>
                </w:tcBorders>
                <w:vAlign w:val="center"/>
              </w:tcPr>
              <w:p w14:paraId="79DEAAD9">
                <w:pPr>
                  <w:autoSpaceDE w:val="0"/>
                  <w:autoSpaceDN w:val="0"/>
                  <w:adjustRightInd w:val="0"/>
                  <w:jc w:val="right"/>
                  <w:rPr>
                    <w:rFonts w:cs="Times New Roman"/>
                    <w:sz w:val="18"/>
                    <w:szCs w:val="18"/>
                  </w:rPr>
                </w:pPr>
                <w:r>
                  <w:rPr>
                    <w:rFonts w:cs="Times New Roman"/>
                    <w:sz w:val="18"/>
                    <w:szCs w:val="18"/>
                  </w:rPr>
                  <w:t>9,889.00</w:t>
                </w:r>
              </w:p>
            </w:tc>
            <w:tc>
              <w:tcPr>
                <w:tcW w:w="678" w:type="pct"/>
                <w:tcBorders>
                  <w:top w:val="single" w:color="auto" w:sz="4" w:space="0"/>
                  <w:left w:val="single" w:color="auto" w:sz="4" w:space="0"/>
                  <w:bottom w:val="single" w:color="auto" w:sz="4" w:space="0"/>
                  <w:right w:val="single" w:color="auto" w:sz="4" w:space="0"/>
                </w:tcBorders>
                <w:vAlign w:val="center"/>
              </w:tcPr>
              <w:p w14:paraId="6DE63216">
                <w:pPr>
                  <w:autoSpaceDE w:val="0"/>
                  <w:autoSpaceDN w:val="0"/>
                  <w:adjustRightInd w:val="0"/>
                  <w:jc w:val="right"/>
                  <w:rPr>
                    <w:rFonts w:cs="Times New Roman"/>
                    <w:sz w:val="18"/>
                    <w:szCs w:val="18"/>
                  </w:rPr>
                </w:pPr>
                <w:r>
                  <w:rPr>
                    <w:rFonts w:cs="Times New Roman"/>
                    <w:sz w:val="18"/>
                    <w:szCs w:val="18"/>
                  </w:rPr>
                  <w:t>1,852.95</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316791557"/>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6FD0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1AD20F38">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089AA130">
                <w:pPr>
                  <w:autoSpaceDE w:val="0"/>
                  <w:autoSpaceDN w:val="0"/>
                  <w:adjustRightInd w:val="0"/>
                  <w:rPr>
                    <w:rFonts w:cs="Times New Roman"/>
                    <w:sz w:val="20"/>
                    <w:szCs w:val="20"/>
                  </w:rPr>
                </w:pPr>
                <w:r>
                  <w:rPr>
                    <w:rFonts w:cs="Times New Roman"/>
                    <w:sz w:val="20"/>
                    <w:szCs w:val="20"/>
                  </w:rPr>
                  <w:t>北京三五零一服装厂有限公司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2CE76D3C">
                <w:pPr>
                  <w:jc w:val="right"/>
                  <w:textAlignment w:val="bottom"/>
                  <w:rPr>
                    <w:rFonts w:cs="Times New Roman"/>
                    <w:sz w:val="18"/>
                    <w:szCs w:val="18"/>
                  </w:rPr>
                </w:pPr>
                <w:r>
                  <w:rPr>
                    <w:rFonts w:eastAsia="Arial Narrow" w:cs="Times New Roman"/>
                    <w:color w:val="000000"/>
                    <w:sz w:val="18"/>
                    <w:szCs w:val="18"/>
                    <w:lang w:bidi="ar"/>
                  </w:rPr>
                  <w:t>7,814.25</w:t>
                </w:r>
              </w:p>
            </w:tc>
            <w:tc>
              <w:tcPr>
                <w:tcW w:w="724" w:type="pct"/>
                <w:tcBorders>
                  <w:top w:val="single" w:color="auto" w:sz="4" w:space="0"/>
                  <w:left w:val="single" w:color="auto" w:sz="4" w:space="0"/>
                  <w:bottom w:val="single" w:color="auto" w:sz="4" w:space="0"/>
                  <w:right w:val="single" w:color="auto" w:sz="4" w:space="0"/>
                </w:tcBorders>
                <w:vAlign w:val="center"/>
              </w:tcPr>
              <w:p w14:paraId="7BF9748A">
                <w:pPr>
                  <w:jc w:val="right"/>
                  <w:textAlignment w:val="bottom"/>
                  <w:rPr>
                    <w:rFonts w:cs="Times New Roman"/>
                    <w:sz w:val="18"/>
                    <w:szCs w:val="18"/>
                  </w:rPr>
                </w:pPr>
                <w:r>
                  <w:rPr>
                    <w:rFonts w:eastAsia="Arial Narrow" w:cs="Times New Roman"/>
                    <w:color w:val="000000"/>
                    <w:sz w:val="18"/>
                    <w:szCs w:val="18"/>
                    <w:lang w:bidi="ar"/>
                  </w:rPr>
                  <w:t>2,509.87</w:t>
                </w:r>
              </w:p>
            </w:tc>
            <w:tc>
              <w:tcPr>
                <w:tcW w:w="809" w:type="pct"/>
                <w:tcBorders>
                  <w:top w:val="single" w:color="auto" w:sz="4" w:space="0"/>
                  <w:left w:val="single" w:color="auto" w:sz="4" w:space="0"/>
                  <w:bottom w:val="single" w:color="auto" w:sz="4" w:space="0"/>
                  <w:right w:val="single" w:color="auto" w:sz="4" w:space="0"/>
                </w:tcBorders>
                <w:vAlign w:val="center"/>
              </w:tcPr>
              <w:p w14:paraId="219C0628">
                <w:pPr>
                  <w:autoSpaceDE w:val="0"/>
                  <w:autoSpaceDN w:val="0"/>
                  <w:adjustRightInd w:val="0"/>
                  <w:jc w:val="right"/>
                  <w:rPr>
                    <w:rFonts w:cs="Times New Roman"/>
                    <w:sz w:val="18"/>
                    <w:szCs w:val="18"/>
                  </w:rPr>
                </w:pPr>
                <w:r>
                  <w:rPr>
                    <w:rFonts w:cs="Times New Roman"/>
                    <w:sz w:val="18"/>
                    <w:szCs w:val="18"/>
                  </w:rPr>
                  <w:t>7,814.25</w:t>
                </w:r>
              </w:p>
            </w:tc>
            <w:tc>
              <w:tcPr>
                <w:tcW w:w="678" w:type="pct"/>
                <w:tcBorders>
                  <w:top w:val="single" w:color="auto" w:sz="4" w:space="0"/>
                  <w:left w:val="single" w:color="auto" w:sz="4" w:space="0"/>
                  <w:bottom w:val="single" w:color="auto" w:sz="4" w:space="0"/>
                  <w:right w:val="single" w:color="auto" w:sz="4" w:space="0"/>
                </w:tcBorders>
                <w:vAlign w:val="center"/>
              </w:tcPr>
              <w:p w14:paraId="347117E2">
                <w:pPr>
                  <w:autoSpaceDE w:val="0"/>
                  <w:autoSpaceDN w:val="0"/>
                  <w:adjustRightInd w:val="0"/>
                  <w:jc w:val="right"/>
                  <w:rPr>
                    <w:rFonts w:cs="Times New Roman"/>
                    <w:sz w:val="18"/>
                    <w:szCs w:val="18"/>
                  </w:rPr>
                </w:pPr>
                <w:r>
                  <w:rPr>
                    <w:rFonts w:cs="Times New Roman"/>
                    <w:sz w:val="18"/>
                    <w:szCs w:val="18"/>
                  </w:rPr>
                  <w:t>1,688.19</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618445621"/>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4B36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4EC79227">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080FC929">
                <w:pPr>
                  <w:autoSpaceDE w:val="0"/>
                  <w:autoSpaceDN w:val="0"/>
                  <w:adjustRightInd w:val="0"/>
                  <w:rPr>
                    <w:rFonts w:cs="Times New Roman"/>
                    <w:sz w:val="20"/>
                    <w:szCs w:val="20"/>
                  </w:rPr>
                </w:pPr>
                <w:r>
                  <w:rPr>
                    <w:rFonts w:cs="Times New Roman"/>
                    <w:sz w:val="20"/>
                    <w:szCs w:val="20"/>
                  </w:rPr>
                  <w:t>新兴职业装备生产技术研究所</w:t>
                </w:r>
              </w:p>
            </w:tc>
            <w:tc>
              <w:tcPr>
                <w:tcW w:w="778" w:type="pct"/>
                <w:tcBorders>
                  <w:top w:val="single" w:color="auto" w:sz="4" w:space="0"/>
                  <w:left w:val="single" w:color="auto" w:sz="4" w:space="0"/>
                  <w:bottom w:val="single" w:color="auto" w:sz="4" w:space="0"/>
                  <w:right w:val="single" w:color="auto" w:sz="4" w:space="0"/>
                </w:tcBorders>
                <w:vAlign w:val="center"/>
              </w:tcPr>
              <w:p w14:paraId="64B6E43E">
                <w:pPr>
                  <w:jc w:val="right"/>
                  <w:textAlignment w:val="bottom"/>
                  <w:rPr>
                    <w:rFonts w:cs="Times New Roman"/>
                    <w:sz w:val="18"/>
                    <w:szCs w:val="18"/>
                  </w:rPr>
                </w:pPr>
                <w:r>
                  <w:rPr>
                    <w:rFonts w:eastAsia="Arial Narrow" w:cs="Times New Roman"/>
                    <w:color w:val="000000"/>
                    <w:sz w:val="18"/>
                    <w:szCs w:val="18"/>
                    <w:lang w:bidi="ar"/>
                  </w:rPr>
                  <w:t>2,700.00</w:t>
                </w:r>
              </w:p>
            </w:tc>
            <w:tc>
              <w:tcPr>
                <w:tcW w:w="724" w:type="pct"/>
                <w:tcBorders>
                  <w:top w:val="single" w:color="auto" w:sz="4" w:space="0"/>
                  <w:left w:val="single" w:color="auto" w:sz="4" w:space="0"/>
                  <w:bottom w:val="single" w:color="auto" w:sz="4" w:space="0"/>
                  <w:right w:val="single" w:color="auto" w:sz="4" w:space="0"/>
                </w:tcBorders>
                <w:vAlign w:val="center"/>
              </w:tcPr>
              <w:p w14:paraId="7E031205">
                <w:pPr>
                  <w:jc w:val="right"/>
                  <w:textAlignment w:val="bottom"/>
                  <w:rPr>
                    <w:rFonts w:cs="Times New Roman"/>
                    <w:sz w:val="18"/>
                    <w:szCs w:val="18"/>
                  </w:rPr>
                </w:pPr>
                <w:r>
                  <w:rPr>
                    <w:rFonts w:eastAsia="Arial Narrow" w:cs="Times New Roman"/>
                    <w:color w:val="000000"/>
                    <w:sz w:val="18"/>
                    <w:szCs w:val="18"/>
                    <w:lang w:bidi="ar"/>
                  </w:rPr>
                  <w:t>2,700.00</w:t>
                </w:r>
              </w:p>
            </w:tc>
            <w:tc>
              <w:tcPr>
                <w:tcW w:w="809" w:type="pct"/>
                <w:tcBorders>
                  <w:top w:val="single" w:color="auto" w:sz="4" w:space="0"/>
                  <w:left w:val="single" w:color="auto" w:sz="4" w:space="0"/>
                  <w:bottom w:val="single" w:color="auto" w:sz="4" w:space="0"/>
                  <w:right w:val="single" w:color="auto" w:sz="4" w:space="0"/>
                </w:tcBorders>
                <w:vAlign w:val="center"/>
              </w:tcPr>
              <w:p w14:paraId="212151F0">
                <w:pPr>
                  <w:autoSpaceDE w:val="0"/>
                  <w:autoSpaceDN w:val="0"/>
                  <w:adjustRightInd w:val="0"/>
                  <w:jc w:val="right"/>
                  <w:rPr>
                    <w:rFonts w:cs="Times New Roman"/>
                    <w:sz w:val="18"/>
                    <w:szCs w:val="18"/>
                  </w:rPr>
                </w:pPr>
                <w:r>
                  <w:rPr>
                    <w:rFonts w:cs="Times New Roman"/>
                    <w:sz w:val="18"/>
                    <w:szCs w:val="18"/>
                  </w:rPr>
                  <w:t>2,700.00</w:t>
                </w:r>
              </w:p>
            </w:tc>
            <w:tc>
              <w:tcPr>
                <w:tcW w:w="678" w:type="pct"/>
                <w:tcBorders>
                  <w:top w:val="single" w:color="auto" w:sz="4" w:space="0"/>
                  <w:left w:val="single" w:color="auto" w:sz="4" w:space="0"/>
                  <w:bottom w:val="single" w:color="auto" w:sz="4" w:space="0"/>
                  <w:right w:val="single" w:color="auto" w:sz="4" w:space="0"/>
                </w:tcBorders>
                <w:vAlign w:val="center"/>
              </w:tcPr>
              <w:p w14:paraId="59549266">
                <w:pPr>
                  <w:autoSpaceDE w:val="0"/>
                  <w:autoSpaceDN w:val="0"/>
                  <w:adjustRightInd w:val="0"/>
                  <w:jc w:val="right"/>
                  <w:rPr>
                    <w:rFonts w:cs="Times New Roman"/>
                    <w:sz w:val="18"/>
                    <w:szCs w:val="18"/>
                  </w:rPr>
                </w:pPr>
                <w:r>
                  <w:rPr>
                    <w:rFonts w:cs="Times New Roman"/>
                    <w:sz w:val="18"/>
                    <w:szCs w:val="18"/>
                  </w:rPr>
                  <w:t>2,700.00</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317847930"/>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688A2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47A0590F">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1527AA8C">
                <w:pPr>
                  <w:autoSpaceDE w:val="0"/>
                  <w:autoSpaceDN w:val="0"/>
                  <w:adjustRightInd w:val="0"/>
                  <w:rPr>
                    <w:rFonts w:cs="Times New Roman"/>
                    <w:sz w:val="20"/>
                    <w:szCs w:val="20"/>
                  </w:rPr>
                </w:pPr>
                <w:r>
                  <w:rPr>
                    <w:rFonts w:cs="Times New Roman"/>
                    <w:sz w:val="20"/>
                    <w:szCs w:val="20"/>
                  </w:rPr>
                  <w:t>贵州际华三五三五商贸有限公司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3F454DCB">
                <w:pPr>
                  <w:jc w:val="right"/>
                  <w:textAlignment w:val="bottom"/>
                  <w:rPr>
                    <w:rFonts w:cs="Times New Roman"/>
                    <w:sz w:val="18"/>
                    <w:szCs w:val="18"/>
                  </w:rPr>
                </w:pPr>
                <w:r>
                  <w:rPr>
                    <w:rFonts w:eastAsia="Arial Narrow" w:cs="Times New Roman"/>
                    <w:color w:val="000000"/>
                    <w:sz w:val="18"/>
                    <w:szCs w:val="18"/>
                    <w:lang w:bidi="ar"/>
                  </w:rPr>
                  <w:t>446.00</w:t>
                </w:r>
              </w:p>
            </w:tc>
            <w:tc>
              <w:tcPr>
                <w:tcW w:w="724" w:type="pct"/>
                <w:tcBorders>
                  <w:top w:val="single" w:color="auto" w:sz="4" w:space="0"/>
                  <w:left w:val="single" w:color="auto" w:sz="4" w:space="0"/>
                  <w:bottom w:val="single" w:color="auto" w:sz="4" w:space="0"/>
                  <w:right w:val="single" w:color="auto" w:sz="4" w:space="0"/>
                </w:tcBorders>
                <w:vAlign w:val="center"/>
              </w:tcPr>
              <w:p w14:paraId="0BE7AFDB">
                <w:pPr>
                  <w:jc w:val="right"/>
                  <w:textAlignment w:val="bottom"/>
                  <w:rPr>
                    <w:rFonts w:cs="Times New Roman"/>
                    <w:sz w:val="18"/>
                    <w:szCs w:val="18"/>
                  </w:rPr>
                </w:pPr>
                <w:r>
                  <w:rPr>
                    <w:rFonts w:eastAsia="Arial Narrow" w:cs="Times New Roman"/>
                    <w:color w:val="000000"/>
                    <w:sz w:val="18"/>
                    <w:szCs w:val="18"/>
                    <w:lang w:bidi="ar"/>
                  </w:rPr>
                  <w:t>84.64</w:t>
                </w:r>
              </w:p>
            </w:tc>
            <w:tc>
              <w:tcPr>
                <w:tcW w:w="809" w:type="pct"/>
                <w:tcBorders>
                  <w:top w:val="single" w:color="auto" w:sz="4" w:space="0"/>
                  <w:left w:val="single" w:color="auto" w:sz="4" w:space="0"/>
                  <w:bottom w:val="single" w:color="auto" w:sz="4" w:space="0"/>
                  <w:right w:val="single" w:color="auto" w:sz="4" w:space="0"/>
                </w:tcBorders>
                <w:vAlign w:val="center"/>
              </w:tcPr>
              <w:p w14:paraId="1C404365">
                <w:pPr>
                  <w:autoSpaceDE w:val="0"/>
                  <w:autoSpaceDN w:val="0"/>
                  <w:adjustRightInd w:val="0"/>
                  <w:jc w:val="right"/>
                  <w:rPr>
                    <w:rFonts w:cs="Times New Roman"/>
                    <w:sz w:val="18"/>
                    <w:szCs w:val="18"/>
                  </w:rPr>
                </w:pPr>
                <w:r>
                  <w:rPr>
                    <w:rFonts w:cs="Times New Roman"/>
                    <w:sz w:val="18"/>
                    <w:szCs w:val="18"/>
                  </w:rPr>
                  <w:t>446.00</w:t>
                </w:r>
              </w:p>
            </w:tc>
            <w:tc>
              <w:tcPr>
                <w:tcW w:w="678" w:type="pct"/>
                <w:tcBorders>
                  <w:top w:val="single" w:color="auto" w:sz="4" w:space="0"/>
                  <w:left w:val="single" w:color="auto" w:sz="4" w:space="0"/>
                  <w:bottom w:val="single" w:color="auto" w:sz="4" w:space="0"/>
                  <w:right w:val="single" w:color="auto" w:sz="4" w:space="0"/>
                </w:tcBorders>
                <w:vAlign w:val="center"/>
              </w:tcPr>
              <w:p w14:paraId="15E7AE23">
                <w:pPr>
                  <w:autoSpaceDE w:val="0"/>
                  <w:autoSpaceDN w:val="0"/>
                  <w:adjustRightInd w:val="0"/>
                  <w:jc w:val="right"/>
                  <w:rPr>
                    <w:rFonts w:cs="Times New Roman"/>
                    <w:sz w:val="18"/>
                    <w:szCs w:val="18"/>
                  </w:rPr>
                </w:pPr>
                <w:r>
                  <w:rPr>
                    <w:rFonts w:cs="Times New Roman"/>
                    <w:sz w:val="18"/>
                    <w:szCs w:val="18"/>
                  </w:rPr>
                  <w:t>84.64</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787172133"/>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66BF8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1D950CB3">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03524850">
                <w:pPr>
                  <w:autoSpaceDE w:val="0"/>
                  <w:autoSpaceDN w:val="0"/>
                  <w:adjustRightInd w:val="0"/>
                  <w:rPr>
                    <w:rFonts w:cs="Times New Roman"/>
                    <w:sz w:val="20"/>
                    <w:szCs w:val="20"/>
                  </w:rPr>
                </w:pPr>
                <w:r>
                  <w:rPr>
                    <w:rFonts w:cs="Times New Roman"/>
                    <w:sz w:val="20"/>
                    <w:szCs w:val="20"/>
                  </w:rPr>
                  <w:t>汉川际华三五零九置业有限公司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0D66DC0E">
                <w:pPr>
                  <w:jc w:val="right"/>
                  <w:textAlignment w:val="bottom"/>
                  <w:rPr>
                    <w:rFonts w:cs="Times New Roman"/>
                    <w:sz w:val="18"/>
                    <w:szCs w:val="18"/>
                  </w:rPr>
                </w:pPr>
                <w:r>
                  <w:rPr>
                    <w:rFonts w:eastAsia="Arial Narrow" w:cs="Times New Roman"/>
                    <w:color w:val="000000"/>
                    <w:sz w:val="18"/>
                    <w:szCs w:val="18"/>
                    <w:lang w:bidi="ar"/>
                  </w:rPr>
                  <w:t>308.38</w:t>
                </w:r>
              </w:p>
            </w:tc>
            <w:tc>
              <w:tcPr>
                <w:tcW w:w="724" w:type="pct"/>
                <w:tcBorders>
                  <w:top w:val="single" w:color="auto" w:sz="4" w:space="0"/>
                  <w:left w:val="single" w:color="auto" w:sz="4" w:space="0"/>
                  <w:bottom w:val="single" w:color="auto" w:sz="4" w:space="0"/>
                  <w:right w:val="single" w:color="auto" w:sz="4" w:space="0"/>
                </w:tcBorders>
                <w:vAlign w:val="center"/>
              </w:tcPr>
              <w:p w14:paraId="631BAF51">
                <w:pPr>
                  <w:jc w:val="right"/>
                  <w:textAlignment w:val="bottom"/>
                  <w:rPr>
                    <w:rFonts w:cs="Times New Roman"/>
                    <w:sz w:val="18"/>
                    <w:szCs w:val="18"/>
                  </w:rPr>
                </w:pPr>
                <w:r>
                  <w:rPr>
                    <w:rFonts w:eastAsia="Arial Narrow" w:cs="Times New Roman"/>
                    <w:color w:val="000000"/>
                    <w:sz w:val="18"/>
                    <w:szCs w:val="18"/>
                    <w:lang w:bidi="ar"/>
                  </w:rPr>
                  <w:t>58.52</w:t>
                </w:r>
              </w:p>
            </w:tc>
            <w:tc>
              <w:tcPr>
                <w:tcW w:w="809" w:type="pct"/>
                <w:tcBorders>
                  <w:top w:val="single" w:color="auto" w:sz="4" w:space="0"/>
                  <w:left w:val="single" w:color="auto" w:sz="4" w:space="0"/>
                  <w:bottom w:val="single" w:color="auto" w:sz="4" w:space="0"/>
                  <w:right w:val="single" w:color="auto" w:sz="4" w:space="0"/>
                </w:tcBorders>
                <w:vAlign w:val="center"/>
              </w:tcPr>
              <w:p w14:paraId="13852C52">
                <w:pPr>
                  <w:autoSpaceDE w:val="0"/>
                  <w:autoSpaceDN w:val="0"/>
                  <w:adjustRightInd w:val="0"/>
                  <w:jc w:val="right"/>
                  <w:rPr>
                    <w:rFonts w:cs="Times New Roman"/>
                    <w:sz w:val="18"/>
                    <w:szCs w:val="18"/>
                  </w:rPr>
                </w:pPr>
                <w:r>
                  <w:rPr>
                    <w:rFonts w:cs="Times New Roman"/>
                    <w:sz w:val="18"/>
                    <w:szCs w:val="18"/>
                  </w:rPr>
                  <w:t>308.38</w:t>
                </w:r>
              </w:p>
            </w:tc>
            <w:tc>
              <w:tcPr>
                <w:tcW w:w="678" w:type="pct"/>
                <w:tcBorders>
                  <w:top w:val="single" w:color="auto" w:sz="4" w:space="0"/>
                  <w:left w:val="single" w:color="auto" w:sz="4" w:space="0"/>
                  <w:bottom w:val="single" w:color="auto" w:sz="4" w:space="0"/>
                  <w:right w:val="single" w:color="auto" w:sz="4" w:space="0"/>
                </w:tcBorders>
                <w:vAlign w:val="center"/>
              </w:tcPr>
              <w:p w14:paraId="6F15358E">
                <w:pPr>
                  <w:autoSpaceDE w:val="0"/>
                  <w:autoSpaceDN w:val="0"/>
                  <w:adjustRightInd w:val="0"/>
                  <w:jc w:val="right"/>
                  <w:rPr>
                    <w:rFonts w:cs="Times New Roman"/>
                    <w:sz w:val="18"/>
                    <w:szCs w:val="18"/>
                  </w:rPr>
                </w:pPr>
                <w:r>
                  <w:rPr>
                    <w:rFonts w:cs="Times New Roman"/>
                    <w:sz w:val="18"/>
                    <w:szCs w:val="18"/>
                  </w:rPr>
                  <w:t>58.52</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528305276"/>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0048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6CD65660">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2EB6B984">
                <w:pPr>
                  <w:autoSpaceDE w:val="0"/>
                  <w:autoSpaceDN w:val="0"/>
                  <w:adjustRightInd w:val="0"/>
                  <w:rPr>
                    <w:rFonts w:cs="Times New Roman"/>
                    <w:sz w:val="20"/>
                    <w:szCs w:val="20"/>
                  </w:rPr>
                </w:pPr>
                <w:r>
                  <w:rPr>
                    <w:rFonts w:cs="Times New Roman"/>
                    <w:sz w:val="20"/>
                    <w:szCs w:val="20"/>
                  </w:rPr>
                  <w:t>广东新兴铸管有限公司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79510F04">
                <w:pPr>
                  <w:autoSpaceDE w:val="0"/>
                  <w:autoSpaceDN w:val="0"/>
                  <w:adjustRightInd w:val="0"/>
                  <w:jc w:val="right"/>
                  <w:rPr>
                    <w:rFonts w:cs="Times New Roman"/>
                    <w:sz w:val="18"/>
                    <w:szCs w:val="18"/>
                  </w:rPr>
                </w:pPr>
              </w:p>
            </w:tc>
            <w:tc>
              <w:tcPr>
                <w:tcW w:w="724" w:type="pct"/>
                <w:tcBorders>
                  <w:top w:val="single" w:color="auto" w:sz="4" w:space="0"/>
                  <w:left w:val="single" w:color="auto" w:sz="4" w:space="0"/>
                  <w:bottom w:val="single" w:color="auto" w:sz="4" w:space="0"/>
                  <w:right w:val="single" w:color="auto" w:sz="4" w:space="0"/>
                </w:tcBorders>
                <w:vAlign w:val="center"/>
              </w:tcPr>
              <w:p w14:paraId="4BCEF198">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4F49B5AD">
                <w:pPr>
                  <w:autoSpaceDE w:val="0"/>
                  <w:autoSpaceDN w:val="0"/>
                  <w:adjustRightInd w:val="0"/>
                  <w:jc w:val="right"/>
                  <w:rPr>
                    <w:rFonts w:cs="Times New Roman"/>
                    <w:sz w:val="18"/>
                    <w:szCs w:val="18"/>
                  </w:rPr>
                </w:pPr>
                <w:r>
                  <w:rPr>
                    <w:rFonts w:cs="Times New Roman"/>
                    <w:sz w:val="18"/>
                    <w:szCs w:val="18"/>
                  </w:rPr>
                  <w:t>52,440.00</w:t>
                </w:r>
              </w:p>
            </w:tc>
            <w:tc>
              <w:tcPr>
                <w:tcW w:w="678" w:type="pct"/>
                <w:tcBorders>
                  <w:top w:val="single" w:color="auto" w:sz="4" w:space="0"/>
                  <w:left w:val="single" w:color="auto" w:sz="4" w:space="0"/>
                  <w:bottom w:val="single" w:color="auto" w:sz="4" w:space="0"/>
                  <w:right w:val="single" w:color="auto" w:sz="4" w:space="0"/>
                </w:tcBorders>
                <w:vAlign w:val="center"/>
              </w:tcPr>
              <w:p w14:paraId="56BAF471">
                <w:pPr>
                  <w:autoSpaceDE w:val="0"/>
                  <w:autoSpaceDN w:val="0"/>
                  <w:adjustRightInd w:val="0"/>
                  <w:jc w:val="right"/>
                  <w:rPr>
                    <w:rFonts w:cs="Times New Roman"/>
                    <w:sz w:val="18"/>
                    <w:szCs w:val="18"/>
                  </w:rPr>
                </w:pPr>
                <w:r>
                  <w:rPr>
                    <w:rFonts w:cs="Times New Roman"/>
                    <w:sz w:val="18"/>
                    <w:szCs w:val="18"/>
                  </w:rPr>
                  <w:t>9,825.94</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880847384"/>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50DD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1AD29DC5">
                <w:pPr>
                  <w:autoSpaceDE w:val="0"/>
                  <w:autoSpaceDN w:val="0"/>
                  <w:adjustRightInd w:val="0"/>
                  <w:rPr>
                    <w:rFonts w:cs="Times New Roman"/>
                    <w:sz w:val="20"/>
                    <w:szCs w:val="20"/>
                  </w:rPr>
                </w:pPr>
                <w:r>
                  <w:rPr>
                    <w:rFonts w:cs="Times New Roman"/>
                    <w:sz w:val="20"/>
                    <w:szCs w:val="20"/>
                  </w:rPr>
                  <w:t>其他应收款</w:t>
                </w:r>
              </w:p>
            </w:tc>
            <w:tc>
              <w:tcPr>
                <w:tcW w:w="1208" w:type="pct"/>
                <w:tcBorders>
                  <w:top w:val="single" w:color="auto" w:sz="4" w:space="0"/>
                  <w:left w:val="single" w:color="auto" w:sz="4" w:space="0"/>
                  <w:bottom w:val="single" w:color="auto" w:sz="4" w:space="0"/>
                  <w:right w:val="single" w:color="auto" w:sz="4" w:space="0"/>
                </w:tcBorders>
                <w:vAlign w:val="center"/>
              </w:tcPr>
              <w:p w14:paraId="2F66FA17">
                <w:pPr>
                  <w:autoSpaceDE w:val="0"/>
                  <w:autoSpaceDN w:val="0"/>
                  <w:adjustRightInd w:val="0"/>
                  <w:rPr>
                    <w:rFonts w:cs="Times New Roman"/>
                    <w:sz w:val="20"/>
                    <w:szCs w:val="20"/>
                  </w:rPr>
                </w:pPr>
                <w:r>
                  <w:rPr>
                    <w:rFonts w:cs="Times New Roman"/>
                    <w:sz w:val="20"/>
                    <w:szCs w:val="20"/>
                  </w:rPr>
                  <w:t>新兴际华资产经营管理有限公司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2AFE69AF">
                <w:pPr>
                  <w:autoSpaceDE w:val="0"/>
                  <w:autoSpaceDN w:val="0"/>
                  <w:adjustRightInd w:val="0"/>
                  <w:jc w:val="right"/>
                  <w:rPr>
                    <w:rFonts w:cs="Times New Roman"/>
                    <w:sz w:val="18"/>
                    <w:szCs w:val="18"/>
                  </w:rPr>
                </w:pPr>
              </w:p>
            </w:tc>
            <w:tc>
              <w:tcPr>
                <w:tcW w:w="724" w:type="pct"/>
                <w:tcBorders>
                  <w:top w:val="single" w:color="auto" w:sz="4" w:space="0"/>
                  <w:left w:val="single" w:color="auto" w:sz="4" w:space="0"/>
                  <w:bottom w:val="single" w:color="auto" w:sz="4" w:space="0"/>
                  <w:right w:val="single" w:color="auto" w:sz="4" w:space="0"/>
                </w:tcBorders>
                <w:vAlign w:val="center"/>
              </w:tcPr>
              <w:p w14:paraId="5E29E0FE">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769CB7AE">
                <w:pPr>
                  <w:autoSpaceDE w:val="0"/>
                  <w:autoSpaceDN w:val="0"/>
                  <w:adjustRightInd w:val="0"/>
                  <w:jc w:val="right"/>
                  <w:rPr>
                    <w:rFonts w:cs="Times New Roman"/>
                    <w:sz w:val="18"/>
                    <w:szCs w:val="18"/>
                  </w:rPr>
                </w:pPr>
                <w:r>
                  <w:rPr>
                    <w:rFonts w:cs="Times New Roman"/>
                    <w:sz w:val="18"/>
                    <w:szCs w:val="18"/>
                  </w:rPr>
                  <w:t>23,940.00</w:t>
                </w:r>
              </w:p>
            </w:tc>
            <w:tc>
              <w:tcPr>
                <w:tcW w:w="678" w:type="pct"/>
                <w:tcBorders>
                  <w:top w:val="single" w:color="auto" w:sz="4" w:space="0"/>
                  <w:left w:val="single" w:color="auto" w:sz="4" w:space="0"/>
                  <w:bottom w:val="single" w:color="auto" w:sz="4" w:space="0"/>
                  <w:right w:val="single" w:color="auto" w:sz="4" w:space="0"/>
                </w:tcBorders>
                <w:vAlign w:val="center"/>
              </w:tcPr>
              <w:p w14:paraId="141C25B0">
                <w:pPr>
                  <w:autoSpaceDE w:val="0"/>
                  <w:autoSpaceDN w:val="0"/>
                  <w:adjustRightInd w:val="0"/>
                  <w:jc w:val="right"/>
                  <w:rPr>
                    <w:rFonts w:cs="Times New Roman"/>
                    <w:sz w:val="18"/>
                    <w:szCs w:val="18"/>
                  </w:rPr>
                </w:pPr>
                <w:r>
                  <w:rPr>
                    <w:rFonts w:cs="Times New Roman"/>
                    <w:sz w:val="18"/>
                    <w:szCs w:val="18"/>
                  </w:rPr>
                  <w:t>4,485.75</w:t>
                </w: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405134432"/>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6AE13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018E41A4">
                <w:pPr>
                  <w:autoSpaceDE w:val="0"/>
                  <w:autoSpaceDN w:val="0"/>
                  <w:adjustRightInd w:val="0"/>
                  <w:rPr>
                    <w:rFonts w:cs="Times New Roman"/>
                    <w:sz w:val="20"/>
                    <w:szCs w:val="20"/>
                  </w:rPr>
                </w:pPr>
                <w:r>
                  <w:rPr>
                    <w:rFonts w:cs="Times New Roman"/>
                    <w:sz w:val="20"/>
                    <w:szCs w:val="20"/>
                  </w:rPr>
                  <w:t>应收股利</w:t>
                </w:r>
              </w:p>
            </w:tc>
            <w:tc>
              <w:tcPr>
                <w:tcW w:w="1208" w:type="pct"/>
                <w:tcBorders>
                  <w:top w:val="single" w:color="auto" w:sz="4" w:space="0"/>
                  <w:left w:val="single" w:color="auto" w:sz="4" w:space="0"/>
                  <w:bottom w:val="single" w:color="auto" w:sz="4" w:space="0"/>
                  <w:right w:val="single" w:color="auto" w:sz="4" w:space="0"/>
                </w:tcBorders>
                <w:vAlign w:val="center"/>
              </w:tcPr>
              <w:p w14:paraId="090F2413">
                <w:pPr>
                  <w:autoSpaceDE w:val="0"/>
                  <w:autoSpaceDN w:val="0"/>
                  <w:adjustRightInd w:val="0"/>
                  <w:rPr>
                    <w:rFonts w:cs="Times New Roman"/>
                    <w:sz w:val="20"/>
                    <w:szCs w:val="20"/>
                  </w:rPr>
                </w:pPr>
              </w:p>
            </w:tc>
            <w:tc>
              <w:tcPr>
                <w:tcW w:w="778" w:type="pct"/>
                <w:tcBorders>
                  <w:top w:val="single" w:color="auto" w:sz="4" w:space="0"/>
                  <w:left w:val="single" w:color="auto" w:sz="4" w:space="0"/>
                  <w:bottom w:val="single" w:color="auto" w:sz="4" w:space="0"/>
                  <w:right w:val="single" w:color="auto" w:sz="4" w:space="0"/>
                </w:tcBorders>
                <w:vAlign w:val="center"/>
              </w:tcPr>
              <w:p w14:paraId="4734A854">
                <w:pPr>
                  <w:autoSpaceDE w:val="0"/>
                  <w:autoSpaceDN w:val="0"/>
                  <w:adjustRightInd w:val="0"/>
                  <w:jc w:val="right"/>
                  <w:rPr>
                    <w:rFonts w:cs="Times New Roman"/>
                    <w:sz w:val="18"/>
                    <w:szCs w:val="18"/>
                  </w:rPr>
                </w:pPr>
              </w:p>
            </w:tc>
            <w:tc>
              <w:tcPr>
                <w:tcW w:w="724" w:type="pct"/>
                <w:tcBorders>
                  <w:top w:val="single" w:color="auto" w:sz="4" w:space="0"/>
                  <w:left w:val="single" w:color="auto" w:sz="4" w:space="0"/>
                  <w:bottom w:val="single" w:color="auto" w:sz="4" w:space="0"/>
                  <w:right w:val="single" w:color="auto" w:sz="4" w:space="0"/>
                </w:tcBorders>
                <w:vAlign w:val="center"/>
              </w:tcPr>
              <w:p w14:paraId="34C52B31">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012BB73B">
                <w:pPr>
                  <w:autoSpaceDE w:val="0"/>
                  <w:autoSpaceDN w:val="0"/>
                  <w:adjustRightInd w:val="0"/>
                  <w:jc w:val="right"/>
                  <w:rPr>
                    <w:rFonts w:cs="Times New Roman"/>
                    <w:sz w:val="18"/>
                    <w:szCs w:val="18"/>
                  </w:rPr>
                </w:pPr>
              </w:p>
            </w:tc>
            <w:tc>
              <w:tcPr>
                <w:tcW w:w="678" w:type="pct"/>
                <w:tcBorders>
                  <w:top w:val="single" w:color="auto" w:sz="4" w:space="0"/>
                  <w:left w:val="single" w:color="auto" w:sz="4" w:space="0"/>
                  <w:bottom w:val="single" w:color="auto" w:sz="4" w:space="0"/>
                  <w:right w:val="single" w:color="auto" w:sz="4" w:space="0"/>
                </w:tcBorders>
                <w:vAlign w:val="center"/>
              </w:tcPr>
              <w:p w14:paraId="760A5D3F">
                <w:pPr>
                  <w:autoSpaceDE w:val="0"/>
                  <w:autoSpaceDN w:val="0"/>
                  <w:adjustRightInd w:val="0"/>
                  <w:jc w:val="right"/>
                  <w:rPr>
                    <w:rFonts w:cs="Times New Roman"/>
                    <w:sz w:val="18"/>
                    <w:szCs w:val="18"/>
                  </w:rPr>
                </w:pPr>
              </w:p>
            </w:tc>
          </w:tr>
        </w:sdtContent>
      </w:sdt>
      <w:sdt>
        <w:sdtPr>
          <w:rPr>
            <w:rFonts w:cs="Times New Roman"/>
            <w:color w:val="000000" w:themeColor="text1"/>
            <w:sz w:val="20"/>
            <w:szCs w:val="20"/>
            <w14:textFill>
              <w14:solidFill>
                <w14:schemeClr w14:val="tx1"/>
              </w14:solidFill>
            </w14:textFill>
          </w:rPr>
          <w:alias w:val="上市公司应收关联方款项明细"/>
          <w:tag w:val="_GBC_203fd12dc6be4a978fe2a9d9f5ad1070"/>
          <w:id w:val="-1524012443"/>
          <w:placeholder>
            <w:docPart w:val="{2103f560-d9c2-456c-b39e-efce37321a20}"/>
          </w:placeholder>
        </w:sdtPr>
        <w:sdtEndPr>
          <w:rPr>
            <w:rFonts w:cs="Times New Roman"/>
            <w:color w:val="000000" w:themeColor="text1"/>
            <w:sz w:val="18"/>
            <w:szCs w:val="18"/>
            <w14:textFill>
              <w14:solidFill>
                <w14:schemeClr w14:val="tx1"/>
              </w14:solidFill>
            </w14:textFill>
          </w:rPr>
        </w:sdtEndPr>
        <w:sdtContent>
          <w:tr w14:paraId="12E1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0" w:type="pct"/>
                <w:tcBorders>
                  <w:top w:val="single" w:color="auto" w:sz="4" w:space="0"/>
                  <w:left w:val="single" w:color="auto" w:sz="4" w:space="0"/>
                  <w:bottom w:val="single" w:color="auto" w:sz="4" w:space="0"/>
                  <w:right w:val="single" w:color="auto" w:sz="4" w:space="0"/>
                </w:tcBorders>
                <w:vAlign w:val="center"/>
              </w:tcPr>
              <w:p w14:paraId="0F80DFF9">
                <w:pPr>
                  <w:autoSpaceDE w:val="0"/>
                  <w:autoSpaceDN w:val="0"/>
                  <w:adjustRightInd w:val="0"/>
                  <w:rPr>
                    <w:rFonts w:cs="Times New Roman"/>
                    <w:sz w:val="20"/>
                    <w:szCs w:val="20"/>
                  </w:rPr>
                </w:pPr>
                <w:r>
                  <w:rPr>
                    <w:rFonts w:cs="Times New Roman"/>
                    <w:sz w:val="20"/>
                    <w:szCs w:val="20"/>
                  </w:rPr>
                  <w:t>应收股利</w:t>
                </w:r>
              </w:p>
            </w:tc>
            <w:tc>
              <w:tcPr>
                <w:tcW w:w="1208" w:type="pct"/>
                <w:tcBorders>
                  <w:top w:val="single" w:color="auto" w:sz="4" w:space="0"/>
                  <w:left w:val="single" w:color="auto" w:sz="4" w:space="0"/>
                  <w:bottom w:val="single" w:color="auto" w:sz="4" w:space="0"/>
                  <w:right w:val="single" w:color="auto" w:sz="4" w:space="0"/>
                </w:tcBorders>
                <w:vAlign w:val="center"/>
              </w:tcPr>
              <w:p w14:paraId="5F061EF4">
                <w:pPr>
                  <w:autoSpaceDE w:val="0"/>
                  <w:autoSpaceDN w:val="0"/>
                  <w:adjustRightInd w:val="0"/>
                  <w:rPr>
                    <w:rFonts w:cs="Times New Roman"/>
                    <w:sz w:val="20"/>
                    <w:szCs w:val="20"/>
                  </w:rPr>
                </w:pPr>
                <w:r>
                  <w:rPr>
                    <w:rFonts w:cs="Times New Roman"/>
                    <w:sz w:val="20"/>
                    <w:szCs w:val="20"/>
                  </w:rPr>
                  <w:t>新兴际华投资有限公司</w:t>
                </w:r>
              </w:p>
            </w:tc>
            <w:tc>
              <w:tcPr>
                <w:tcW w:w="778" w:type="pct"/>
                <w:tcBorders>
                  <w:top w:val="single" w:color="auto" w:sz="4" w:space="0"/>
                  <w:left w:val="single" w:color="auto" w:sz="4" w:space="0"/>
                  <w:bottom w:val="single" w:color="auto" w:sz="4" w:space="0"/>
                  <w:right w:val="single" w:color="auto" w:sz="4" w:space="0"/>
                </w:tcBorders>
                <w:vAlign w:val="center"/>
              </w:tcPr>
              <w:p w14:paraId="2B409A5A">
                <w:pPr>
                  <w:autoSpaceDE w:val="0"/>
                  <w:autoSpaceDN w:val="0"/>
                  <w:adjustRightInd w:val="0"/>
                  <w:jc w:val="right"/>
                  <w:rPr>
                    <w:rFonts w:cs="Times New Roman"/>
                    <w:sz w:val="18"/>
                    <w:szCs w:val="18"/>
                  </w:rPr>
                </w:pPr>
                <w:r>
                  <w:rPr>
                    <w:rFonts w:cs="Times New Roman"/>
                    <w:sz w:val="18"/>
                    <w:szCs w:val="18"/>
                  </w:rPr>
                  <w:t>52,107,547.75</w:t>
                </w:r>
              </w:p>
            </w:tc>
            <w:tc>
              <w:tcPr>
                <w:tcW w:w="724" w:type="pct"/>
                <w:tcBorders>
                  <w:top w:val="single" w:color="auto" w:sz="4" w:space="0"/>
                  <w:left w:val="single" w:color="auto" w:sz="4" w:space="0"/>
                  <w:bottom w:val="single" w:color="auto" w:sz="4" w:space="0"/>
                  <w:right w:val="single" w:color="auto" w:sz="4" w:space="0"/>
                </w:tcBorders>
                <w:vAlign w:val="center"/>
              </w:tcPr>
              <w:p w14:paraId="1961A85A">
                <w:pPr>
                  <w:autoSpaceDE w:val="0"/>
                  <w:autoSpaceDN w:val="0"/>
                  <w:adjustRightInd w:val="0"/>
                  <w:jc w:val="right"/>
                  <w:rPr>
                    <w:rFonts w:cs="Times New Roman"/>
                    <w:sz w:val="18"/>
                    <w:szCs w:val="18"/>
                  </w:rPr>
                </w:pPr>
              </w:p>
            </w:tc>
            <w:tc>
              <w:tcPr>
                <w:tcW w:w="809" w:type="pct"/>
                <w:tcBorders>
                  <w:top w:val="single" w:color="auto" w:sz="4" w:space="0"/>
                  <w:left w:val="single" w:color="auto" w:sz="4" w:space="0"/>
                  <w:bottom w:val="single" w:color="auto" w:sz="4" w:space="0"/>
                  <w:right w:val="single" w:color="auto" w:sz="4" w:space="0"/>
                </w:tcBorders>
                <w:vAlign w:val="center"/>
              </w:tcPr>
              <w:p w14:paraId="60FD12C3">
                <w:pPr>
                  <w:autoSpaceDE w:val="0"/>
                  <w:autoSpaceDN w:val="0"/>
                  <w:adjustRightInd w:val="0"/>
                  <w:jc w:val="right"/>
                  <w:rPr>
                    <w:rFonts w:cs="Times New Roman"/>
                    <w:sz w:val="18"/>
                    <w:szCs w:val="18"/>
                  </w:rPr>
                </w:pPr>
                <w:r>
                  <w:rPr>
                    <w:rFonts w:cs="Times New Roman"/>
                    <w:sz w:val="18"/>
                    <w:szCs w:val="18"/>
                  </w:rPr>
                  <w:t>52,107,547.75</w:t>
                </w:r>
              </w:p>
            </w:tc>
            <w:tc>
              <w:tcPr>
                <w:tcW w:w="678" w:type="pct"/>
                <w:tcBorders>
                  <w:top w:val="single" w:color="auto" w:sz="4" w:space="0"/>
                  <w:left w:val="single" w:color="auto" w:sz="4" w:space="0"/>
                  <w:bottom w:val="single" w:color="auto" w:sz="4" w:space="0"/>
                  <w:right w:val="single" w:color="auto" w:sz="4" w:space="0"/>
                </w:tcBorders>
                <w:vAlign w:val="center"/>
              </w:tcPr>
              <w:p w14:paraId="55F27C43">
                <w:pPr>
                  <w:autoSpaceDE w:val="0"/>
                  <w:autoSpaceDN w:val="0"/>
                  <w:adjustRightInd w:val="0"/>
                  <w:jc w:val="right"/>
                  <w:rPr>
                    <w:rFonts w:cs="Times New Roman"/>
                    <w:sz w:val="18"/>
                    <w:szCs w:val="18"/>
                  </w:rPr>
                </w:pPr>
              </w:p>
            </w:tc>
          </w:tr>
        </w:sdtContent>
      </w:sdt>
    </w:tbl>
    <w:p w14:paraId="126D3FD7">
      <w:pPr>
        <w:rPr>
          <w:color w:val="000000" w:themeColor="text1"/>
          <w14:textFill>
            <w14:solidFill>
              <w14:schemeClr w14:val="tx1"/>
            </w14:solidFill>
          </w14:textFill>
        </w:rPr>
      </w:pPr>
    </w:p>
    <w:p w14:paraId="69E8E0A2">
      <w:pPr>
        <w:pStyle w:val="58"/>
        <w:numPr>
          <w:ilvl w:val="0"/>
          <w:numId w:val="106"/>
        </w:numPr>
        <w:tabs>
          <w:tab w:val="left" w:pos="616"/>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应付项目</w:t>
      </w:r>
    </w:p>
    <w:p w14:paraId="016D8391">
      <w:pPr>
        <w:rPr>
          <w:color w:val="000000" w:themeColor="text1"/>
          <w14:textFill>
            <w14:solidFill>
              <w14:schemeClr w14:val="tx1"/>
            </w14:solidFill>
          </w14:textFill>
        </w:rPr>
      </w:pPr>
      <w:sdt>
        <w:sdtPr>
          <w:rPr>
            <w:rFonts w:hint="eastAsia"/>
            <w:color w:val="000000" w:themeColor="text1"/>
            <w14:textFill>
              <w14:solidFill>
                <w14:schemeClr w14:val="tx1"/>
              </w14:solidFill>
            </w14:textFill>
          </w:rPr>
          <w:alias w:val="是否适用：应付项目[双击切换]"/>
          <w:tag w:val="_GBC_9dbefb51b716471b878d2e2863524a53"/>
          <w:id w:val="147453171"/>
          <w:placeholder>
            <w:docPart w:val="GBC22222222222222222222222222222"/>
          </w:placeholder>
        </w:sdtPr>
        <w:sdtEndPr>
          <w:rPr>
            <w:rFonts w:hint="eastAsia"/>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258B3754">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上市公司应付关联方款项"/>
          <w:tag w:val="_GBC_08d04faee6a64768877db8f6ab14663e"/>
          <w:id w:val="1474620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上市公司应付关联方款项"/>
          <w:tag w:val="_GBC_124ea57c07fc4e23931a125a103e711c"/>
          <w:id w:val="1474582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496"/>
        <w:gridCol w:w="3618"/>
        <w:gridCol w:w="1930"/>
        <w:gridCol w:w="1849"/>
      </w:tblGrid>
      <w:tr w14:paraId="5CD8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blHeader/>
        </w:trPr>
        <w:sdt>
          <w:sdtPr>
            <w:rPr>
              <w:rFonts w:cs="Times New Roman"/>
            </w:rPr>
            <w:tag w:val="_PLD_cf838d28f8e94c899328f1b9cd175b08"/>
            <w:id w:val="147453903"/>
          </w:sdtPr>
          <w:sdtEndPr>
            <w:rPr>
              <w:rFonts w:cs="Times New Roman"/>
            </w:rPr>
          </w:sdtEndPr>
          <w:sdtContent>
            <w:tc>
              <w:tcPr>
                <w:tcW w:w="841" w:type="pct"/>
                <w:tcBorders>
                  <w:top w:val="single" w:color="auto" w:sz="4" w:space="0"/>
                  <w:left w:val="single" w:color="auto" w:sz="4" w:space="0"/>
                  <w:right w:val="single" w:color="auto" w:sz="4" w:space="0"/>
                </w:tcBorders>
                <w:vAlign w:val="center"/>
              </w:tcPr>
              <w:p w14:paraId="415D14D5">
                <w:pPr>
                  <w:jc w:val="center"/>
                  <w:rPr>
                    <w:rFonts w:cs="Times New Roman"/>
                    <w:color w:val="000000" w:themeColor="text1"/>
                    <w14:textFill>
                      <w14:solidFill>
                        <w14:schemeClr w14:val="tx1"/>
                      </w14:solidFill>
                    </w14:textFill>
                  </w:rPr>
                </w:pPr>
                <w:bookmarkStart w:id="414" w:name="_Hlk167976682"/>
                <w:r>
                  <w:rPr>
                    <w:rFonts w:cs="Times New Roman"/>
                    <w:color w:val="000000" w:themeColor="text1"/>
                    <w14:textFill>
                      <w14:solidFill>
                        <w14:schemeClr w14:val="tx1"/>
                      </w14:solidFill>
                    </w14:textFill>
                  </w:rPr>
                  <w:t>项目名称</w:t>
                </w:r>
              </w:p>
            </w:tc>
          </w:sdtContent>
        </w:sdt>
        <w:sdt>
          <w:sdtPr>
            <w:rPr>
              <w:rFonts w:cs="Times New Roman"/>
            </w:rPr>
            <w:tag w:val="_PLD_25173a15407f4af6adbf91389dcc2257"/>
            <w:id w:val="147470759"/>
          </w:sdtPr>
          <w:sdtEndPr>
            <w:rPr>
              <w:rFonts w:cs="Times New Roman"/>
            </w:rPr>
          </w:sdtEndPr>
          <w:sdtContent>
            <w:tc>
              <w:tcPr>
                <w:tcW w:w="2034" w:type="pct"/>
                <w:tcBorders>
                  <w:top w:val="single" w:color="auto" w:sz="4" w:space="0"/>
                  <w:left w:val="single" w:color="auto" w:sz="4" w:space="0"/>
                  <w:right w:val="single" w:color="auto" w:sz="4" w:space="0"/>
                </w:tcBorders>
                <w:vAlign w:val="center"/>
              </w:tcPr>
              <w:p w14:paraId="437BE49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关联方</w:t>
                </w:r>
              </w:p>
            </w:tc>
          </w:sdtContent>
        </w:sdt>
        <w:sdt>
          <w:sdtPr>
            <w:rPr>
              <w:rFonts w:cs="Times New Roman"/>
            </w:rPr>
            <w:tag w:val="_PLD_a8551739db0f47cab1b1a6ea0e700367"/>
            <w:id w:val="147456869"/>
          </w:sdtPr>
          <w:sdtEndPr>
            <w:rPr>
              <w:rFonts w:cs="Times New Roman"/>
            </w:rPr>
          </w:sdtEndPr>
          <w:sdtContent>
            <w:tc>
              <w:tcPr>
                <w:tcW w:w="1085" w:type="pct"/>
                <w:tcBorders>
                  <w:top w:val="single" w:color="auto" w:sz="4" w:space="0"/>
                  <w:left w:val="single" w:color="auto" w:sz="4" w:space="0"/>
                  <w:bottom w:val="single" w:color="auto" w:sz="4" w:space="0"/>
                  <w:right w:val="single" w:color="auto" w:sz="4" w:space="0"/>
                </w:tcBorders>
                <w:vAlign w:val="center"/>
              </w:tcPr>
              <w:p w14:paraId="3B67B8A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期末账面余额</w:t>
                </w:r>
              </w:p>
            </w:tc>
          </w:sdtContent>
        </w:sdt>
        <w:sdt>
          <w:sdtPr>
            <w:rPr>
              <w:rFonts w:cs="Times New Roman"/>
            </w:rPr>
            <w:tag w:val="_PLD_83bc027cb7f1401db7a26beffe77ce00"/>
            <w:id w:val="147458698"/>
          </w:sdtPr>
          <w:sdtEndPr>
            <w:rPr>
              <w:rFonts w:cs="Times New Roman"/>
            </w:rPr>
          </w:sdtEndPr>
          <w:sdtContent>
            <w:tc>
              <w:tcPr>
                <w:tcW w:w="1039" w:type="pct"/>
                <w:tcBorders>
                  <w:top w:val="single" w:color="auto" w:sz="4" w:space="0"/>
                  <w:left w:val="single" w:color="auto" w:sz="4" w:space="0"/>
                  <w:bottom w:val="single" w:color="auto" w:sz="4" w:space="0"/>
                  <w:right w:val="single" w:color="auto" w:sz="4" w:space="0"/>
                </w:tcBorders>
                <w:vAlign w:val="center"/>
              </w:tcPr>
              <w:p w14:paraId="3FCE024A">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期初账面余额</w:t>
                </w:r>
              </w:p>
            </w:tc>
          </w:sdtContent>
        </w:sdt>
      </w:tr>
      <w:tr w14:paraId="2D148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4B2402B6">
            <w:pPr>
              <w:textAlignment w:val="bottom"/>
              <w:rPr>
                <w:rFonts w:cs="Times New Roman"/>
              </w:rPr>
            </w:pPr>
            <w:r>
              <w:rPr>
                <w:rFonts w:cs="Times New Roman"/>
                <w:color w:val="000000"/>
                <w:lang w:bidi="ar"/>
              </w:rPr>
              <w:t>应付账款</w:t>
            </w:r>
          </w:p>
        </w:tc>
        <w:tc>
          <w:tcPr>
            <w:tcW w:w="2034" w:type="pct"/>
            <w:tcBorders>
              <w:top w:val="single" w:color="auto" w:sz="4" w:space="0"/>
              <w:left w:val="single" w:color="auto" w:sz="4" w:space="0"/>
              <w:bottom w:val="single" w:color="auto" w:sz="4" w:space="0"/>
              <w:right w:val="single" w:color="auto" w:sz="4" w:space="0"/>
            </w:tcBorders>
            <w:vAlign w:val="center"/>
          </w:tcPr>
          <w:p w14:paraId="0CE2C0B4">
            <w:pPr>
              <w:rPr>
                <w:rFonts w:cs="Times New Roman"/>
              </w:rPr>
            </w:pPr>
          </w:p>
        </w:tc>
        <w:tc>
          <w:tcPr>
            <w:tcW w:w="1085" w:type="pct"/>
            <w:tcBorders>
              <w:top w:val="single" w:color="auto" w:sz="4" w:space="0"/>
              <w:left w:val="single" w:color="auto" w:sz="4" w:space="0"/>
              <w:bottom w:val="single" w:color="auto" w:sz="4" w:space="0"/>
              <w:right w:val="single" w:color="auto" w:sz="4" w:space="0"/>
            </w:tcBorders>
            <w:vAlign w:val="center"/>
          </w:tcPr>
          <w:p w14:paraId="0AA5C9F6">
            <w:pPr>
              <w:jc w:val="right"/>
              <w:rPr>
                <w:rFonts w:cs="Times New Roman"/>
              </w:rPr>
            </w:pPr>
          </w:p>
        </w:tc>
        <w:tc>
          <w:tcPr>
            <w:tcW w:w="1039" w:type="pct"/>
            <w:tcBorders>
              <w:top w:val="single" w:color="auto" w:sz="4" w:space="0"/>
              <w:left w:val="single" w:color="auto" w:sz="4" w:space="0"/>
              <w:bottom w:val="single" w:color="auto" w:sz="4" w:space="0"/>
              <w:right w:val="single" w:color="auto" w:sz="4" w:space="0"/>
            </w:tcBorders>
            <w:vAlign w:val="center"/>
          </w:tcPr>
          <w:p w14:paraId="072C2087">
            <w:pPr>
              <w:jc w:val="right"/>
              <w:rPr>
                <w:rFonts w:cs="Times New Roman"/>
              </w:rPr>
            </w:pPr>
          </w:p>
        </w:tc>
      </w:tr>
      <w:tr w14:paraId="6964C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696AFDA9">
            <w:pPr>
              <w:textAlignment w:val="bottom"/>
              <w:rPr>
                <w:rFonts w:cs="Times New Roman"/>
              </w:rPr>
            </w:pPr>
            <w:r>
              <w:rPr>
                <w:rFonts w:cs="Times New Roman"/>
                <w:color w:val="000000"/>
                <w:lang w:bidi="ar"/>
              </w:rPr>
              <w:t>应付账款</w:t>
            </w:r>
          </w:p>
        </w:tc>
        <w:tc>
          <w:tcPr>
            <w:tcW w:w="2034" w:type="pct"/>
            <w:tcBorders>
              <w:top w:val="single" w:color="auto" w:sz="4" w:space="0"/>
              <w:left w:val="single" w:color="auto" w:sz="4" w:space="0"/>
              <w:bottom w:val="single" w:color="auto" w:sz="4" w:space="0"/>
              <w:right w:val="single" w:color="auto" w:sz="4" w:space="0"/>
            </w:tcBorders>
            <w:vAlign w:val="center"/>
          </w:tcPr>
          <w:p w14:paraId="1758CF82">
            <w:pPr>
              <w:textAlignment w:val="top"/>
              <w:rPr>
                <w:rFonts w:cs="Times New Roman"/>
              </w:rPr>
            </w:pPr>
            <w:r>
              <w:rPr>
                <w:rFonts w:cs="Times New Roman"/>
                <w:color w:val="000000"/>
                <w:lang w:bidi="ar"/>
              </w:rPr>
              <w:t>新兴达美（天津）投资有限公司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1A1B616A">
            <w:pPr>
              <w:jc w:val="right"/>
              <w:textAlignment w:val="bottom"/>
              <w:rPr>
                <w:rFonts w:cs="Times New Roman"/>
              </w:rPr>
            </w:pPr>
            <w:r>
              <w:rPr>
                <w:rFonts w:eastAsia="Arial Narrow" w:cs="Times New Roman"/>
                <w:color w:val="000000"/>
                <w:lang w:bidi="ar"/>
              </w:rPr>
              <w:t>13,260,789.43</w:t>
            </w:r>
          </w:p>
        </w:tc>
        <w:tc>
          <w:tcPr>
            <w:tcW w:w="1039" w:type="pct"/>
            <w:tcBorders>
              <w:top w:val="single" w:color="auto" w:sz="4" w:space="0"/>
              <w:left w:val="single" w:color="auto" w:sz="4" w:space="0"/>
              <w:bottom w:val="single" w:color="auto" w:sz="4" w:space="0"/>
              <w:right w:val="single" w:color="auto" w:sz="4" w:space="0"/>
            </w:tcBorders>
            <w:vAlign w:val="center"/>
          </w:tcPr>
          <w:p w14:paraId="79C761B3">
            <w:pPr>
              <w:jc w:val="right"/>
              <w:textAlignment w:val="bottom"/>
              <w:rPr>
                <w:rFonts w:cs="Times New Roman"/>
              </w:rPr>
            </w:pPr>
            <w:r>
              <w:rPr>
                <w:rFonts w:eastAsia="Arial Narrow" w:cs="Times New Roman"/>
                <w:color w:val="000000"/>
                <w:lang w:bidi="ar"/>
              </w:rPr>
              <w:t>13,260,789.43</w:t>
            </w:r>
          </w:p>
        </w:tc>
      </w:tr>
      <w:tr w14:paraId="0328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2FAC622D">
            <w:pPr>
              <w:textAlignment w:val="bottom"/>
              <w:rPr>
                <w:rFonts w:cs="Times New Roman"/>
              </w:rPr>
            </w:pPr>
            <w:r>
              <w:rPr>
                <w:rFonts w:cs="Times New Roman"/>
                <w:color w:val="000000"/>
                <w:lang w:bidi="ar"/>
              </w:rPr>
              <w:t>应付账款</w:t>
            </w:r>
          </w:p>
        </w:tc>
        <w:tc>
          <w:tcPr>
            <w:tcW w:w="2034" w:type="pct"/>
            <w:tcBorders>
              <w:top w:val="single" w:color="auto" w:sz="4" w:space="0"/>
              <w:left w:val="single" w:color="auto" w:sz="4" w:space="0"/>
              <w:bottom w:val="single" w:color="auto" w:sz="4" w:space="0"/>
              <w:right w:val="single" w:color="auto" w:sz="4" w:space="0"/>
            </w:tcBorders>
            <w:vAlign w:val="center"/>
          </w:tcPr>
          <w:p w14:paraId="4BFE2BD8">
            <w:pPr>
              <w:textAlignment w:val="top"/>
              <w:rPr>
                <w:rFonts w:cs="Times New Roman"/>
              </w:rPr>
            </w:pPr>
            <w:r>
              <w:rPr>
                <w:rFonts w:cs="Times New Roman"/>
                <w:color w:val="000000"/>
                <w:lang w:bidi="ar"/>
              </w:rPr>
              <w:t>湖南中晟高分子新材料有限公司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54AE5796">
            <w:pPr>
              <w:jc w:val="right"/>
              <w:textAlignment w:val="bottom"/>
              <w:rPr>
                <w:rFonts w:cs="Times New Roman"/>
              </w:rPr>
            </w:pPr>
            <w:r>
              <w:rPr>
                <w:rFonts w:eastAsia="Arial Narrow" w:cs="Times New Roman"/>
                <w:color w:val="000000"/>
                <w:lang w:bidi="ar"/>
              </w:rPr>
              <w:t>4,552,841.79</w:t>
            </w:r>
          </w:p>
        </w:tc>
        <w:tc>
          <w:tcPr>
            <w:tcW w:w="1039" w:type="pct"/>
            <w:tcBorders>
              <w:top w:val="single" w:color="auto" w:sz="4" w:space="0"/>
              <w:left w:val="single" w:color="auto" w:sz="4" w:space="0"/>
              <w:bottom w:val="single" w:color="auto" w:sz="4" w:space="0"/>
              <w:right w:val="single" w:color="auto" w:sz="4" w:space="0"/>
            </w:tcBorders>
            <w:vAlign w:val="center"/>
          </w:tcPr>
          <w:p w14:paraId="61E76782">
            <w:pPr>
              <w:jc w:val="right"/>
              <w:textAlignment w:val="bottom"/>
              <w:rPr>
                <w:rFonts w:cs="Times New Roman"/>
              </w:rPr>
            </w:pPr>
            <w:r>
              <w:rPr>
                <w:rFonts w:eastAsia="Arial Narrow" w:cs="Times New Roman"/>
                <w:color w:val="000000"/>
                <w:lang w:bidi="ar"/>
              </w:rPr>
              <w:t>7,278,432.86</w:t>
            </w:r>
          </w:p>
        </w:tc>
      </w:tr>
      <w:tr w14:paraId="3BE6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2F1C8C02">
            <w:pPr>
              <w:textAlignment w:val="bottom"/>
              <w:rPr>
                <w:rFonts w:cs="Times New Roman"/>
              </w:rPr>
            </w:pPr>
            <w:r>
              <w:rPr>
                <w:rFonts w:cs="Times New Roman"/>
                <w:color w:val="000000"/>
                <w:lang w:bidi="ar"/>
              </w:rPr>
              <w:t>应付账款</w:t>
            </w:r>
          </w:p>
        </w:tc>
        <w:tc>
          <w:tcPr>
            <w:tcW w:w="2034" w:type="pct"/>
            <w:tcBorders>
              <w:top w:val="single" w:color="auto" w:sz="4" w:space="0"/>
              <w:left w:val="single" w:color="auto" w:sz="4" w:space="0"/>
              <w:bottom w:val="single" w:color="auto" w:sz="4" w:space="0"/>
              <w:right w:val="single" w:color="auto" w:sz="4" w:space="0"/>
            </w:tcBorders>
            <w:vAlign w:val="center"/>
          </w:tcPr>
          <w:p w14:paraId="79D8A47E">
            <w:pPr>
              <w:textAlignment w:val="top"/>
              <w:rPr>
                <w:rFonts w:cs="Times New Roman"/>
              </w:rPr>
            </w:pPr>
            <w:r>
              <w:rPr>
                <w:rFonts w:cs="Times New Roman"/>
                <w:color w:val="000000"/>
                <w:lang w:bidi="ar"/>
              </w:rPr>
              <w:t>财富嘉苑（天津）置业有限公司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768C8785">
            <w:pPr>
              <w:jc w:val="right"/>
              <w:textAlignment w:val="bottom"/>
              <w:rPr>
                <w:rFonts w:cs="Times New Roman"/>
              </w:rPr>
            </w:pPr>
            <w:r>
              <w:rPr>
                <w:rFonts w:eastAsia="Arial Narrow" w:cs="Times New Roman"/>
                <w:color w:val="000000"/>
                <w:lang w:bidi="ar"/>
              </w:rPr>
              <w:t>4,492,141.39</w:t>
            </w:r>
          </w:p>
        </w:tc>
        <w:tc>
          <w:tcPr>
            <w:tcW w:w="1039" w:type="pct"/>
            <w:tcBorders>
              <w:top w:val="single" w:color="auto" w:sz="4" w:space="0"/>
              <w:left w:val="single" w:color="auto" w:sz="4" w:space="0"/>
              <w:bottom w:val="single" w:color="auto" w:sz="4" w:space="0"/>
              <w:right w:val="single" w:color="auto" w:sz="4" w:space="0"/>
            </w:tcBorders>
            <w:vAlign w:val="center"/>
          </w:tcPr>
          <w:p w14:paraId="75019624">
            <w:pPr>
              <w:jc w:val="right"/>
              <w:textAlignment w:val="bottom"/>
              <w:rPr>
                <w:rFonts w:cs="Times New Roman"/>
              </w:rPr>
            </w:pPr>
            <w:r>
              <w:rPr>
                <w:rFonts w:eastAsia="Arial Narrow" w:cs="Times New Roman"/>
                <w:color w:val="000000"/>
                <w:lang w:bidi="ar"/>
              </w:rPr>
              <w:t>5,492,141.39</w:t>
            </w:r>
          </w:p>
        </w:tc>
      </w:tr>
      <w:tr w14:paraId="43F3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3C64E524">
            <w:pPr>
              <w:textAlignment w:val="bottom"/>
              <w:rPr>
                <w:rFonts w:cs="Times New Roman"/>
              </w:rPr>
            </w:pPr>
            <w:r>
              <w:rPr>
                <w:rFonts w:cs="Times New Roman"/>
                <w:color w:val="000000"/>
                <w:lang w:bidi="ar"/>
              </w:rPr>
              <w:t>应付账款</w:t>
            </w:r>
          </w:p>
        </w:tc>
        <w:tc>
          <w:tcPr>
            <w:tcW w:w="2034" w:type="pct"/>
            <w:tcBorders>
              <w:top w:val="single" w:color="auto" w:sz="4" w:space="0"/>
              <w:left w:val="single" w:color="auto" w:sz="4" w:space="0"/>
              <w:bottom w:val="single" w:color="auto" w:sz="4" w:space="0"/>
              <w:right w:val="single" w:color="auto" w:sz="4" w:space="0"/>
            </w:tcBorders>
            <w:vAlign w:val="center"/>
          </w:tcPr>
          <w:p w14:paraId="39E10A0C">
            <w:pPr>
              <w:textAlignment w:val="top"/>
              <w:rPr>
                <w:rFonts w:cs="Times New Roman"/>
              </w:rPr>
            </w:pPr>
            <w:r>
              <w:rPr>
                <w:rFonts w:cs="Times New Roman"/>
                <w:color w:val="000000"/>
                <w:lang w:bidi="ar"/>
              </w:rPr>
              <w:t>新兴际华（北京）材料技术研究院有限公司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390A83B4">
            <w:pPr>
              <w:jc w:val="right"/>
              <w:textAlignment w:val="bottom"/>
              <w:rPr>
                <w:rFonts w:cs="Times New Roman"/>
              </w:rPr>
            </w:pPr>
            <w:r>
              <w:rPr>
                <w:rFonts w:eastAsia="Arial Narrow" w:cs="Times New Roman"/>
                <w:color w:val="000000"/>
                <w:lang w:bidi="ar"/>
              </w:rPr>
              <w:t>3,659,829.42</w:t>
            </w:r>
          </w:p>
        </w:tc>
        <w:tc>
          <w:tcPr>
            <w:tcW w:w="1039" w:type="pct"/>
            <w:tcBorders>
              <w:top w:val="single" w:color="auto" w:sz="4" w:space="0"/>
              <w:left w:val="single" w:color="auto" w:sz="4" w:space="0"/>
              <w:bottom w:val="single" w:color="auto" w:sz="4" w:space="0"/>
              <w:right w:val="single" w:color="auto" w:sz="4" w:space="0"/>
            </w:tcBorders>
            <w:vAlign w:val="center"/>
          </w:tcPr>
          <w:p w14:paraId="2B78A835">
            <w:pPr>
              <w:jc w:val="right"/>
              <w:textAlignment w:val="bottom"/>
              <w:rPr>
                <w:rFonts w:cs="Times New Roman"/>
              </w:rPr>
            </w:pPr>
            <w:r>
              <w:rPr>
                <w:rFonts w:eastAsia="Arial Narrow" w:cs="Times New Roman"/>
                <w:color w:val="000000"/>
                <w:lang w:bidi="ar"/>
              </w:rPr>
              <w:t>451,430.00</w:t>
            </w:r>
          </w:p>
        </w:tc>
      </w:tr>
      <w:tr w14:paraId="7497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3649EBF3">
            <w:pPr>
              <w:textAlignment w:val="bottom"/>
              <w:rPr>
                <w:rFonts w:cs="Times New Roman"/>
              </w:rPr>
            </w:pPr>
            <w:r>
              <w:rPr>
                <w:rFonts w:cs="Times New Roman"/>
                <w:color w:val="000000"/>
                <w:lang w:bidi="ar"/>
              </w:rPr>
              <w:t>应付账款</w:t>
            </w:r>
          </w:p>
        </w:tc>
        <w:tc>
          <w:tcPr>
            <w:tcW w:w="2034" w:type="pct"/>
            <w:tcBorders>
              <w:top w:val="single" w:color="auto" w:sz="4" w:space="0"/>
              <w:left w:val="single" w:color="auto" w:sz="4" w:space="0"/>
              <w:bottom w:val="single" w:color="auto" w:sz="4" w:space="0"/>
              <w:right w:val="single" w:color="auto" w:sz="4" w:space="0"/>
            </w:tcBorders>
            <w:vAlign w:val="center"/>
          </w:tcPr>
          <w:p w14:paraId="1753E2C2">
            <w:pPr>
              <w:textAlignment w:val="top"/>
              <w:rPr>
                <w:rFonts w:cs="Times New Roman"/>
              </w:rPr>
            </w:pPr>
            <w:r>
              <w:rPr>
                <w:rFonts w:cs="Times New Roman"/>
                <w:color w:val="000000"/>
                <w:lang w:bidi="ar"/>
              </w:rPr>
              <w:t>石家庄际华资产管理有限公司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554493A1">
            <w:pPr>
              <w:jc w:val="right"/>
              <w:textAlignment w:val="bottom"/>
              <w:rPr>
                <w:rFonts w:cs="Times New Roman"/>
              </w:rPr>
            </w:pPr>
            <w:r>
              <w:rPr>
                <w:rFonts w:eastAsia="Arial Narrow" w:cs="Times New Roman"/>
                <w:color w:val="000000"/>
                <w:lang w:bidi="ar"/>
              </w:rPr>
              <w:t>2,952,910.63</w:t>
            </w:r>
          </w:p>
        </w:tc>
        <w:tc>
          <w:tcPr>
            <w:tcW w:w="1039" w:type="pct"/>
            <w:tcBorders>
              <w:top w:val="single" w:color="auto" w:sz="4" w:space="0"/>
              <w:left w:val="single" w:color="auto" w:sz="4" w:space="0"/>
              <w:bottom w:val="single" w:color="auto" w:sz="4" w:space="0"/>
              <w:right w:val="single" w:color="auto" w:sz="4" w:space="0"/>
            </w:tcBorders>
            <w:vAlign w:val="center"/>
          </w:tcPr>
          <w:p w14:paraId="295C57D3">
            <w:pPr>
              <w:jc w:val="right"/>
              <w:textAlignment w:val="bottom"/>
              <w:rPr>
                <w:rFonts w:cs="Times New Roman"/>
              </w:rPr>
            </w:pPr>
            <w:r>
              <w:rPr>
                <w:rFonts w:eastAsia="Arial Narrow" w:cs="Times New Roman"/>
                <w:color w:val="000000"/>
                <w:lang w:bidi="ar"/>
              </w:rPr>
              <w:t>5,645,720.38</w:t>
            </w:r>
          </w:p>
        </w:tc>
      </w:tr>
      <w:tr w14:paraId="6160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5098824C">
            <w:pPr>
              <w:textAlignment w:val="bottom"/>
              <w:rPr>
                <w:rFonts w:cs="Times New Roman"/>
              </w:rPr>
            </w:pPr>
            <w:r>
              <w:rPr>
                <w:rFonts w:cs="Times New Roman"/>
                <w:color w:val="000000"/>
                <w:lang w:bidi="ar"/>
              </w:rPr>
              <w:t>应付账款</w:t>
            </w:r>
          </w:p>
        </w:tc>
        <w:tc>
          <w:tcPr>
            <w:tcW w:w="2034" w:type="pct"/>
            <w:tcBorders>
              <w:top w:val="single" w:color="auto" w:sz="4" w:space="0"/>
              <w:left w:val="single" w:color="auto" w:sz="4" w:space="0"/>
              <w:bottom w:val="single" w:color="auto" w:sz="4" w:space="0"/>
              <w:right w:val="single" w:color="auto" w:sz="4" w:space="0"/>
            </w:tcBorders>
            <w:vAlign w:val="center"/>
          </w:tcPr>
          <w:p w14:paraId="3B0598DC">
            <w:pPr>
              <w:textAlignment w:val="top"/>
              <w:rPr>
                <w:rFonts w:cs="Times New Roman"/>
              </w:rPr>
            </w:pPr>
            <w:r>
              <w:rPr>
                <w:rFonts w:cs="Times New Roman"/>
                <w:color w:val="000000"/>
                <w:lang w:bidi="ar"/>
              </w:rPr>
              <w:t>荷原置地控股有限公司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2A6179DC">
            <w:pPr>
              <w:jc w:val="right"/>
              <w:textAlignment w:val="bottom"/>
              <w:rPr>
                <w:rFonts w:cs="Times New Roman"/>
              </w:rPr>
            </w:pPr>
            <w:r>
              <w:rPr>
                <w:rFonts w:eastAsia="Arial Narrow" w:cs="Times New Roman"/>
                <w:color w:val="000000"/>
                <w:lang w:bidi="ar"/>
              </w:rPr>
              <w:t>1,088,289.36</w:t>
            </w:r>
          </w:p>
        </w:tc>
        <w:tc>
          <w:tcPr>
            <w:tcW w:w="1039" w:type="pct"/>
            <w:tcBorders>
              <w:top w:val="single" w:color="auto" w:sz="4" w:space="0"/>
              <w:left w:val="single" w:color="auto" w:sz="4" w:space="0"/>
              <w:bottom w:val="single" w:color="auto" w:sz="4" w:space="0"/>
              <w:right w:val="single" w:color="auto" w:sz="4" w:space="0"/>
            </w:tcBorders>
            <w:vAlign w:val="center"/>
          </w:tcPr>
          <w:p w14:paraId="63F8CCCF">
            <w:pPr>
              <w:jc w:val="right"/>
              <w:rPr>
                <w:rFonts w:cs="Times New Roman"/>
              </w:rPr>
            </w:pPr>
          </w:p>
        </w:tc>
      </w:tr>
      <w:tr w14:paraId="58D35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0AA87499">
            <w:pPr>
              <w:textAlignment w:val="bottom"/>
              <w:rPr>
                <w:rFonts w:cs="Times New Roman"/>
              </w:rPr>
            </w:pPr>
            <w:r>
              <w:rPr>
                <w:rFonts w:cs="Times New Roman"/>
                <w:color w:val="000000"/>
                <w:lang w:bidi="ar"/>
              </w:rPr>
              <w:t>应付账款</w:t>
            </w:r>
          </w:p>
        </w:tc>
        <w:tc>
          <w:tcPr>
            <w:tcW w:w="2034" w:type="pct"/>
            <w:tcBorders>
              <w:top w:val="single" w:color="auto" w:sz="4" w:space="0"/>
              <w:left w:val="single" w:color="auto" w:sz="4" w:space="0"/>
              <w:bottom w:val="single" w:color="auto" w:sz="4" w:space="0"/>
              <w:right w:val="single" w:color="auto" w:sz="4" w:space="0"/>
            </w:tcBorders>
            <w:vAlign w:val="center"/>
          </w:tcPr>
          <w:p w14:paraId="0D1C182A">
            <w:pPr>
              <w:textAlignment w:val="top"/>
              <w:rPr>
                <w:rFonts w:cs="Times New Roman"/>
              </w:rPr>
            </w:pPr>
            <w:r>
              <w:rPr>
                <w:rFonts w:cs="Times New Roman"/>
                <w:color w:val="000000"/>
                <w:lang w:bidi="ar"/>
              </w:rPr>
              <w:t>新兴际华（上海）工程科技研究院有限公司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0AFACE80">
            <w:pPr>
              <w:jc w:val="right"/>
              <w:textAlignment w:val="bottom"/>
              <w:rPr>
                <w:rFonts w:cs="Times New Roman"/>
              </w:rPr>
            </w:pPr>
            <w:r>
              <w:rPr>
                <w:rFonts w:eastAsia="Arial Narrow" w:cs="Times New Roman"/>
                <w:color w:val="000000"/>
                <w:lang w:bidi="ar"/>
              </w:rPr>
              <w:t>981,320.75</w:t>
            </w:r>
          </w:p>
        </w:tc>
        <w:tc>
          <w:tcPr>
            <w:tcW w:w="1039" w:type="pct"/>
            <w:tcBorders>
              <w:top w:val="single" w:color="auto" w:sz="4" w:space="0"/>
              <w:left w:val="single" w:color="auto" w:sz="4" w:space="0"/>
              <w:bottom w:val="single" w:color="auto" w:sz="4" w:space="0"/>
              <w:right w:val="single" w:color="auto" w:sz="4" w:space="0"/>
            </w:tcBorders>
            <w:vAlign w:val="center"/>
          </w:tcPr>
          <w:p w14:paraId="38211B88">
            <w:pPr>
              <w:jc w:val="right"/>
              <w:textAlignment w:val="bottom"/>
              <w:rPr>
                <w:rFonts w:cs="Times New Roman"/>
              </w:rPr>
            </w:pPr>
            <w:r>
              <w:rPr>
                <w:rFonts w:eastAsia="Arial Narrow" w:cs="Times New Roman"/>
                <w:color w:val="000000"/>
                <w:lang w:bidi="ar"/>
              </w:rPr>
              <w:t>1,962,641.50</w:t>
            </w:r>
          </w:p>
        </w:tc>
      </w:tr>
      <w:tr w14:paraId="42F00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731CF2B3">
            <w:pPr>
              <w:textAlignment w:val="bottom"/>
              <w:rPr>
                <w:rFonts w:cs="Times New Roman"/>
              </w:rPr>
            </w:pPr>
            <w:r>
              <w:rPr>
                <w:rFonts w:cs="Times New Roman"/>
                <w:color w:val="000000"/>
                <w:lang w:bidi="ar"/>
              </w:rPr>
              <w:t>应付账款</w:t>
            </w:r>
          </w:p>
        </w:tc>
        <w:tc>
          <w:tcPr>
            <w:tcW w:w="2034" w:type="pct"/>
            <w:tcBorders>
              <w:top w:val="single" w:color="auto" w:sz="4" w:space="0"/>
              <w:left w:val="single" w:color="auto" w:sz="4" w:space="0"/>
              <w:bottom w:val="single" w:color="auto" w:sz="4" w:space="0"/>
              <w:right w:val="single" w:color="auto" w:sz="4" w:space="0"/>
            </w:tcBorders>
            <w:vAlign w:val="center"/>
          </w:tcPr>
          <w:p w14:paraId="49DA4AA5">
            <w:pPr>
              <w:textAlignment w:val="top"/>
              <w:rPr>
                <w:rFonts w:cs="Times New Roman"/>
              </w:rPr>
            </w:pPr>
            <w:r>
              <w:rPr>
                <w:rFonts w:cs="Times New Roman"/>
                <w:color w:val="000000"/>
                <w:lang w:bidi="ar"/>
              </w:rPr>
              <w:t>南京英斯瑞德高分子材料股份有限公司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58C00D82">
            <w:pPr>
              <w:jc w:val="right"/>
              <w:textAlignment w:val="bottom"/>
              <w:rPr>
                <w:rFonts w:cs="Times New Roman"/>
              </w:rPr>
            </w:pPr>
            <w:r>
              <w:rPr>
                <w:rFonts w:eastAsia="Arial Narrow" w:cs="Times New Roman"/>
                <w:color w:val="000000"/>
                <w:lang w:bidi="ar"/>
              </w:rPr>
              <w:t>738,852.99</w:t>
            </w:r>
          </w:p>
        </w:tc>
        <w:tc>
          <w:tcPr>
            <w:tcW w:w="1039" w:type="pct"/>
            <w:tcBorders>
              <w:top w:val="single" w:color="auto" w:sz="4" w:space="0"/>
              <w:left w:val="single" w:color="auto" w:sz="4" w:space="0"/>
              <w:bottom w:val="single" w:color="auto" w:sz="4" w:space="0"/>
              <w:right w:val="single" w:color="auto" w:sz="4" w:space="0"/>
            </w:tcBorders>
            <w:vAlign w:val="center"/>
          </w:tcPr>
          <w:p w14:paraId="013BB326">
            <w:pPr>
              <w:jc w:val="right"/>
              <w:textAlignment w:val="bottom"/>
              <w:rPr>
                <w:rFonts w:cs="Times New Roman"/>
              </w:rPr>
            </w:pPr>
            <w:r>
              <w:rPr>
                <w:rFonts w:eastAsia="Arial Narrow" w:cs="Times New Roman"/>
                <w:color w:val="000000"/>
                <w:lang w:bidi="ar"/>
              </w:rPr>
              <w:t>3,788,593.77</w:t>
            </w:r>
          </w:p>
        </w:tc>
      </w:tr>
      <w:tr w14:paraId="357C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24D5D675">
            <w:pPr>
              <w:textAlignment w:val="bottom"/>
              <w:rPr>
                <w:rFonts w:cs="Times New Roman"/>
              </w:rPr>
            </w:pPr>
            <w:r>
              <w:rPr>
                <w:rFonts w:cs="Times New Roman"/>
                <w:color w:val="000000"/>
                <w:lang w:bidi="ar"/>
              </w:rPr>
              <w:t>应付账款</w:t>
            </w:r>
          </w:p>
        </w:tc>
        <w:tc>
          <w:tcPr>
            <w:tcW w:w="2034" w:type="pct"/>
            <w:tcBorders>
              <w:top w:val="single" w:color="auto" w:sz="4" w:space="0"/>
              <w:left w:val="single" w:color="auto" w:sz="4" w:space="0"/>
              <w:bottom w:val="single" w:color="auto" w:sz="4" w:space="0"/>
              <w:right w:val="single" w:color="auto" w:sz="4" w:space="0"/>
            </w:tcBorders>
            <w:vAlign w:val="center"/>
          </w:tcPr>
          <w:p w14:paraId="4660E66F">
            <w:pPr>
              <w:textAlignment w:val="top"/>
              <w:rPr>
                <w:rFonts w:cs="Times New Roman"/>
              </w:rPr>
            </w:pPr>
            <w:r>
              <w:rPr>
                <w:rFonts w:cs="Times New Roman"/>
                <w:color w:val="000000"/>
                <w:lang w:bidi="ar"/>
              </w:rPr>
              <w:t>辽宁际华三五二三特种装备有限公司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3EF7EEC2">
            <w:pPr>
              <w:jc w:val="right"/>
              <w:textAlignment w:val="bottom"/>
              <w:rPr>
                <w:rFonts w:cs="Times New Roman"/>
              </w:rPr>
            </w:pPr>
            <w:r>
              <w:rPr>
                <w:rFonts w:eastAsia="Arial Narrow" w:cs="Times New Roman"/>
                <w:color w:val="000000"/>
                <w:lang w:bidi="ar"/>
              </w:rPr>
              <w:t>648,089.16</w:t>
            </w:r>
          </w:p>
        </w:tc>
        <w:tc>
          <w:tcPr>
            <w:tcW w:w="1039" w:type="pct"/>
            <w:tcBorders>
              <w:top w:val="single" w:color="auto" w:sz="4" w:space="0"/>
              <w:left w:val="single" w:color="auto" w:sz="4" w:space="0"/>
              <w:bottom w:val="single" w:color="auto" w:sz="4" w:space="0"/>
              <w:right w:val="single" w:color="auto" w:sz="4" w:space="0"/>
            </w:tcBorders>
            <w:vAlign w:val="center"/>
          </w:tcPr>
          <w:p w14:paraId="014B1D28">
            <w:pPr>
              <w:jc w:val="right"/>
              <w:textAlignment w:val="bottom"/>
              <w:rPr>
                <w:rFonts w:cs="Times New Roman"/>
              </w:rPr>
            </w:pPr>
            <w:r>
              <w:rPr>
                <w:rFonts w:eastAsia="Arial Narrow" w:cs="Times New Roman"/>
                <w:color w:val="000000"/>
                <w:lang w:bidi="ar"/>
              </w:rPr>
              <w:t>1,238,021.31</w:t>
            </w:r>
          </w:p>
        </w:tc>
      </w:tr>
      <w:tr w14:paraId="3F5B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7054B4A9">
            <w:pPr>
              <w:textAlignment w:val="bottom"/>
              <w:rPr>
                <w:rFonts w:cs="Times New Roman"/>
              </w:rPr>
            </w:pPr>
            <w:r>
              <w:rPr>
                <w:rFonts w:cs="Times New Roman"/>
                <w:color w:val="000000"/>
                <w:lang w:bidi="ar"/>
              </w:rPr>
              <w:t>应付账款</w:t>
            </w:r>
          </w:p>
        </w:tc>
        <w:tc>
          <w:tcPr>
            <w:tcW w:w="2034" w:type="pct"/>
            <w:tcBorders>
              <w:top w:val="single" w:color="auto" w:sz="4" w:space="0"/>
              <w:left w:val="single" w:color="auto" w:sz="4" w:space="0"/>
              <w:bottom w:val="single" w:color="auto" w:sz="4" w:space="0"/>
              <w:right w:val="single" w:color="auto" w:sz="4" w:space="0"/>
            </w:tcBorders>
            <w:vAlign w:val="center"/>
          </w:tcPr>
          <w:p w14:paraId="4FD10D4C">
            <w:pPr>
              <w:textAlignment w:val="top"/>
              <w:rPr>
                <w:rFonts w:cs="Times New Roman"/>
              </w:rPr>
            </w:pPr>
            <w:r>
              <w:rPr>
                <w:rFonts w:cs="Times New Roman"/>
                <w:color w:val="000000"/>
                <w:lang w:bidi="ar"/>
              </w:rPr>
              <w:t>南京新际资产运营有限公司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0E475C34">
            <w:pPr>
              <w:jc w:val="right"/>
              <w:textAlignment w:val="bottom"/>
              <w:rPr>
                <w:rFonts w:cs="Times New Roman"/>
              </w:rPr>
            </w:pPr>
            <w:r>
              <w:rPr>
                <w:rFonts w:eastAsia="Arial Narrow" w:cs="Times New Roman"/>
                <w:color w:val="000000"/>
                <w:lang w:bidi="ar"/>
              </w:rPr>
              <w:t>483,911.08</w:t>
            </w:r>
          </w:p>
        </w:tc>
        <w:tc>
          <w:tcPr>
            <w:tcW w:w="1039" w:type="pct"/>
            <w:tcBorders>
              <w:top w:val="single" w:color="auto" w:sz="4" w:space="0"/>
              <w:left w:val="single" w:color="auto" w:sz="4" w:space="0"/>
              <w:bottom w:val="single" w:color="auto" w:sz="4" w:space="0"/>
              <w:right w:val="single" w:color="auto" w:sz="4" w:space="0"/>
            </w:tcBorders>
            <w:vAlign w:val="center"/>
          </w:tcPr>
          <w:p w14:paraId="4D635FE4">
            <w:pPr>
              <w:jc w:val="right"/>
              <w:textAlignment w:val="bottom"/>
              <w:rPr>
                <w:rFonts w:cs="Times New Roman"/>
              </w:rPr>
            </w:pPr>
            <w:r>
              <w:rPr>
                <w:rFonts w:eastAsia="Arial Narrow" w:cs="Times New Roman"/>
                <w:color w:val="000000"/>
                <w:lang w:bidi="ar"/>
              </w:rPr>
              <w:t>659,522.82</w:t>
            </w:r>
          </w:p>
        </w:tc>
      </w:tr>
      <w:tr w14:paraId="51E4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0B4145CE">
            <w:pPr>
              <w:textAlignment w:val="bottom"/>
              <w:rPr>
                <w:rFonts w:cs="Times New Roman"/>
              </w:rPr>
            </w:pPr>
            <w:r>
              <w:rPr>
                <w:rFonts w:cs="Times New Roman"/>
                <w:color w:val="000000"/>
                <w:lang w:bidi="ar"/>
              </w:rPr>
              <w:t>应付账款</w:t>
            </w:r>
          </w:p>
        </w:tc>
        <w:tc>
          <w:tcPr>
            <w:tcW w:w="2034" w:type="pct"/>
            <w:tcBorders>
              <w:top w:val="single" w:color="auto" w:sz="4" w:space="0"/>
              <w:left w:val="single" w:color="auto" w:sz="4" w:space="0"/>
              <w:bottom w:val="single" w:color="auto" w:sz="4" w:space="0"/>
              <w:right w:val="single" w:color="auto" w:sz="4" w:space="0"/>
            </w:tcBorders>
            <w:vAlign w:val="center"/>
          </w:tcPr>
          <w:p w14:paraId="1F6AC0B9">
            <w:pPr>
              <w:textAlignment w:val="top"/>
              <w:rPr>
                <w:rFonts w:cs="Times New Roman"/>
              </w:rPr>
            </w:pPr>
            <w:r>
              <w:rPr>
                <w:rFonts w:cs="Times New Roman"/>
                <w:color w:val="000000"/>
                <w:lang w:bidi="ar"/>
              </w:rPr>
              <w:t>际华五三零三服装有限公司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51720BAB">
            <w:pPr>
              <w:jc w:val="right"/>
              <w:textAlignment w:val="bottom"/>
              <w:rPr>
                <w:rFonts w:cs="Times New Roman"/>
              </w:rPr>
            </w:pPr>
            <w:r>
              <w:rPr>
                <w:rFonts w:eastAsia="Arial Narrow" w:cs="Times New Roman"/>
                <w:color w:val="000000"/>
                <w:lang w:bidi="ar"/>
              </w:rPr>
              <w:t>430,000.00</w:t>
            </w:r>
          </w:p>
        </w:tc>
        <w:tc>
          <w:tcPr>
            <w:tcW w:w="1039" w:type="pct"/>
            <w:tcBorders>
              <w:top w:val="single" w:color="auto" w:sz="4" w:space="0"/>
              <w:left w:val="single" w:color="auto" w:sz="4" w:space="0"/>
              <w:bottom w:val="single" w:color="auto" w:sz="4" w:space="0"/>
              <w:right w:val="single" w:color="auto" w:sz="4" w:space="0"/>
            </w:tcBorders>
            <w:vAlign w:val="center"/>
          </w:tcPr>
          <w:p w14:paraId="3DEF1C99">
            <w:pPr>
              <w:jc w:val="right"/>
              <w:textAlignment w:val="bottom"/>
              <w:rPr>
                <w:rFonts w:cs="Times New Roman"/>
              </w:rPr>
            </w:pPr>
            <w:r>
              <w:rPr>
                <w:rFonts w:eastAsia="Arial Narrow" w:cs="Times New Roman"/>
                <w:color w:val="000000"/>
                <w:lang w:bidi="ar"/>
              </w:rPr>
              <w:t>430,000.00</w:t>
            </w:r>
          </w:p>
        </w:tc>
      </w:tr>
      <w:tr w14:paraId="1F7F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2BAFB843">
            <w:pPr>
              <w:textAlignment w:val="bottom"/>
              <w:rPr>
                <w:rFonts w:cs="Times New Roman"/>
              </w:rPr>
            </w:pPr>
            <w:r>
              <w:rPr>
                <w:rFonts w:cs="Times New Roman"/>
                <w:color w:val="000000"/>
                <w:lang w:bidi="ar"/>
              </w:rPr>
              <w:t>应付账款</w:t>
            </w:r>
          </w:p>
        </w:tc>
        <w:tc>
          <w:tcPr>
            <w:tcW w:w="2034" w:type="pct"/>
            <w:tcBorders>
              <w:top w:val="single" w:color="auto" w:sz="4" w:space="0"/>
              <w:left w:val="single" w:color="auto" w:sz="4" w:space="0"/>
              <w:bottom w:val="single" w:color="auto" w:sz="4" w:space="0"/>
              <w:right w:val="single" w:color="auto" w:sz="4" w:space="0"/>
            </w:tcBorders>
            <w:vAlign w:val="center"/>
          </w:tcPr>
          <w:p w14:paraId="0E3FBE89">
            <w:pPr>
              <w:textAlignment w:val="top"/>
              <w:rPr>
                <w:rFonts w:cs="Times New Roman"/>
              </w:rPr>
            </w:pPr>
            <w:r>
              <w:rPr>
                <w:rFonts w:cs="Times New Roman"/>
                <w:color w:val="000000"/>
                <w:lang w:bidi="ar"/>
              </w:rPr>
              <w:t>新兴际华投资有限公司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0A40990F">
            <w:pPr>
              <w:jc w:val="right"/>
              <w:textAlignment w:val="bottom"/>
              <w:rPr>
                <w:rFonts w:cs="Times New Roman"/>
              </w:rPr>
            </w:pPr>
            <w:r>
              <w:rPr>
                <w:rFonts w:eastAsia="Arial Narrow" w:cs="Times New Roman"/>
                <w:color w:val="000000"/>
                <w:lang w:bidi="ar"/>
              </w:rPr>
              <w:t>258,345.76</w:t>
            </w:r>
          </w:p>
        </w:tc>
        <w:tc>
          <w:tcPr>
            <w:tcW w:w="1039" w:type="pct"/>
            <w:tcBorders>
              <w:top w:val="single" w:color="auto" w:sz="4" w:space="0"/>
              <w:left w:val="single" w:color="auto" w:sz="4" w:space="0"/>
              <w:bottom w:val="single" w:color="auto" w:sz="4" w:space="0"/>
              <w:right w:val="single" w:color="auto" w:sz="4" w:space="0"/>
            </w:tcBorders>
            <w:vAlign w:val="center"/>
          </w:tcPr>
          <w:p w14:paraId="0B56344E">
            <w:pPr>
              <w:jc w:val="right"/>
              <w:textAlignment w:val="bottom"/>
              <w:rPr>
                <w:rFonts w:cs="Times New Roman"/>
              </w:rPr>
            </w:pPr>
            <w:r>
              <w:rPr>
                <w:rFonts w:eastAsia="Arial Narrow" w:cs="Times New Roman"/>
                <w:color w:val="000000"/>
                <w:lang w:bidi="ar"/>
              </w:rPr>
              <w:t>258,345.76</w:t>
            </w:r>
          </w:p>
        </w:tc>
      </w:tr>
      <w:tr w14:paraId="19CD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6029AFFC">
            <w:pPr>
              <w:textAlignment w:val="bottom"/>
              <w:rPr>
                <w:rFonts w:cs="Times New Roman"/>
              </w:rPr>
            </w:pPr>
            <w:r>
              <w:rPr>
                <w:rFonts w:cs="Times New Roman"/>
                <w:color w:val="000000"/>
                <w:lang w:bidi="ar"/>
              </w:rPr>
              <w:t>应付账款</w:t>
            </w:r>
          </w:p>
        </w:tc>
        <w:tc>
          <w:tcPr>
            <w:tcW w:w="2034" w:type="pct"/>
            <w:tcBorders>
              <w:top w:val="single" w:color="auto" w:sz="4" w:space="0"/>
              <w:left w:val="single" w:color="auto" w:sz="4" w:space="0"/>
              <w:bottom w:val="single" w:color="auto" w:sz="4" w:space="0"/>
              <w:right w:val="single" w:color="auto" w:sz="4" w:space="0"/>
            </w:tcBorders>
            <w:vAlign w:val="center"/>
          </w:tcPr>
          <w:p w14:paraId="301622F8">
            <w:pPr>
              <w:textAlignment w:val="top"/>
              <w:rPr>
                <w:rFonts w:cs="Times New Roman"/>
              </w:rPr>
            </w:pPr>
            <w:r>
              <w:rPr>
                <w:rFonts w:cs="Times New Roman"/>
                <w:color w:val="000000"/>
                <w:lang w:bidi="ar"/>
              </w:rPr>
              <w:t>上海际华物流有限公司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27031A29">
            <w:pPr>
              <w:jc w:val="right"/>
              <w:textAlignment w:val="bottom"/>
              <w:rPr>
                <w:rFonts w:cs="Times New Roman"/>
              </w:rPr>
            </w:pPr>
            <w:r>
              <w:rPr>
                <w:rFonts w:eastAsia="Arial Narrow" w:cs="Times New Roman"/>
                <w:color w:val="000000"/>
                <w:lang w:bidi="ar"/>
              </w:rPr>
              <w:t>117,685.04</w:t>
            </w:r>
          </w:p>
        </w:tc>
        <w:tc>
          <w:tcPr>
            <w:tcW w:w="1039" w:type="pct"/>
            <w:tcBorders>
              <w:top w:val="single" w:color="auto" w:sz="4" w:space="0"/>
              <w:left w:val="single" w:color="auto" w:sz="4" w:space="0"/>
              <w:bottom w:val="single" w:color="auto" w:sz="4" w:space="0"/>
              <w:right w:val="single" w:color="auto" w:sz="4" w:space="0"/>
            </w:tcBorders>
            <w:vAlign w:val="center"/>
          </w:tcPr>
          <w:p w14:paraId="6ABA7B91">
            <w:pPr>
              <w:jc w:val="right"/>
              <w:textAlignment w:val="bottom"/>
              <w:rPr>
                <w:rFonts w:cs="Times New Roman"/>
              </w:rPr>
            </w:pPr>
            <w:r>
              <w:rPr>
                <w:rFonts w:eastAsia="Arial Narrow" w:cs="Times New Roman"/>
                <w:color w:val="000000"/>
                <w:lang w:bidi="ar"/>
              </w:rPr>
              <w:t>140,616.42</w:t>
            </w:r>
          </w:p>
        </w:tc>
      </w:tr>
      <w:tr w14:paraId="5E44B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700FA762">
            <w:pPr>
              <w:textAlignment w:val="bottom"/>
              <w:rPr>
                <w:rFonts w:cs="Times New Roman"/>
              </w:rPr>
            </w:pPr>
            <w:r>
              <w:rPr>
                <w:rFonts w:cs="Times New Roman"/>
                <w:color w:val="000000"/>
                <w:lang w:bidi="ar"/>
              </w:rPr>
              <w:t>应付账款</w:t>
            </w:r>
          </w:p>
        </w:tc>
        <w:tc>
          <w:tcPr>
            <w:tcW w:w="2034" w:type="pct"/>
            <w:tcBorders>
              <w:top w:val="single" w:color="auto" w:sz="4" w:space="0"/>
              <w:left w:val="single" w:color="auto" w:sz="4" w:space="0"/>
              <w:bottom w:val="single" w:color="auto" w:sz="4" w:space="0"/>
              <w:right w:val="single" w:color="auto" w:sz="4" w:space="0"/>
            </w:tcBorders>
            <w:vAlign w:val="center"/>
          </w:tcPr>
          <w:p w14:paraId="4EE53F96">
            <w:pPr>
              <w:textAlignment w:val="top"/>
              <w:rPr>
                <w:rFonts w:cs="Times New Roman"/>
              </w:rPr>
            </w:pPr>
            <w:r>
              <w:rPr>
                <w:rFonts w:cs="Times New Roman"/>
                <w:color w:val="000000"/>
                <w:lang w:bidi="ar"/>
              </w:rPr>
              <w:t>际华三五二三特种装备有限公司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211D417A">
            <w:pPr>
              <w:jc w:val="right"/>
              <w:textAlignment w:val="bottom"/>
              <w:rPr>
                <w:rFonts w:cs="Times New Roman"/>
              </w:rPr>
            </w:pPr>
            <w:r>
              <w:rPr>
                <w:rFonts w:eastAsia="Arial Narrow" w:cs="Times New Roman"/>
                <w:color w:val="000000"/>
                <w:lang w:bidi="ar"/>
              </w:rPr>
              <w:t>71,339.40</w:t>
            </w:r>
          </w:p>
        </w:tc>
        <w:tc>
          <w:tcPr>
            <w:tcW w:w="1039" w:type="pct"/>
            <w:tcBorders>
              <w:top w:val="single" w:color="auto" w:sz="4" w:space="0"/>
              <w:left w:val="single" w:color="auto" w:sz="4" w:space="0"/>
              <w:bottom w:val="single" w:color="auto" w:sz="4" w:space="0"/>
              <w:right w:val="single" w:color="auto" w:sz="4" w:space="0"/>
            </w:tcBorders>
            <w:vAlign w:val="center"/>
          </w:tcPr>
          <w:p w14:paraId="6065F089">
            <w:pPr>
              <w:jc w:val="right"/>
              <w:textAlignment w:val="bottom"/>
              <w:rPr>
                <w:rFonts w:cs="Times New Roman"/>
              </w:rPr>
            </w:pPr>
            <w:r>
              <w:rPr>
                <w:rFonts w:eastAsia="Arial Narrow" w:cs="Times New Roman"/>
                <w:color w:val="000000"/>
                <w:lang w:bidi="ar"/>
              </w:rPr>
              <w:t>71,339.40</w:t>
            </w:r>
          </w:p>
        </w:tc>
      </w:tr>
      <w:tr w14:paraId="1140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0D418D87">
            <w:pPr>
              <w:textAlignment w:val="bottom"/>
              <w:rPr>
                <w:rFonts w:cs="Times New Roman"/>
              </w:rPr>
            </w:pPr>
            <w:r>
              <w:rPr>
                <w:rFonts w:cs="Times New Roman"/>
                <w:color w:val="000000"/>
                <w:lang w:bidi="ar"/>
              </w:rPr>
              <w:t>应付账款</w:t>
            </w:r>
          </w:p>
        </w:tc>
        <w:tc>
          <w:tcPr>
            <w:tcW w:w="2034" w:type="pct"/>
            <w:tcBorders>
              <w:top w:val="single" w:color="auto" w:sz="4" w:space="0"/>
              <w:left w:val="single" w:color="auto" w:sz="4" w:space="0"/>
              <w:bottom w:val="single" w:color="auto" w:sz="4" w:space="0"/>
              <w:right w:val="single" w:color="auto" w:sz="4" w:space="0"/>
            </w:tcBorders>
            <w:vAlign w:val="center"/>
          </w:tcPr>
          <w:p w14:paraId="269DD95C">
            <w:pPr>
              <w:textAlignment w:val="top"/>
              <w:rPr>
                <w:rFonts w:cs="Times New Roman"/>
              </w:rPr>
            </w:pPr>
            <w:r>
              <w:rPr>
                <w:rFonts w:cs="Times New Roman"/>
                <w:color w:val="000000"/>
                <w:lang w:bidi="ar"/>
              </w:rPr>
              <w:t>新兴移山（天津）重工有限公司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51F1D70B">
            <w:pPr>
              <w:jc w:val="right"/>
              <w:textAlignment w:val="bottom"/>
              <w:rPr>
                <w:rFonts w:cs="Times New Roman"/>
              </w:rPr>
            </w:pPr>
            <w:r>
              <w:rPr>
                <w:rFonts w:eastAsia="Arial Narrow" w:cs="Times New Roman"/>
                <w:color w:val="000000"/>
                <w:lang w:bidi="ar"/>
              </w:rPr>
              <w:t>26,100.00</w:t>
            </w:r>
          </w:p>
        </w:tc>
        <w:tc>
          <w:tcPr>
            <w:tcW w:w="1039" w:type="pct"/>
            <w:tcBorders>
              <w:top w:val="single" w:color="auto" w:sz="4" w:space="0"/>
              <w:left w:val="single" w:color="auto" w:sz="4" w:space="0"/>
              <w:bottom w:val="single" w:color="auto" w:sz="4" w:space="0"/>
              <w:right w:val="single" w:color="auto" w:sz="4" w:space="0"/>
            </w:tcBorders>
            <w:vAlign w:val="center"/>
          </w:tcPr>
          <w:p w14:paraId="154B9C53">
            <w:pPr>
              <w:jc w:val="right"/>
              <w:textAlignment w:val="bottom"/>
              <w:rPr>
                <w:rFonts w:cs="Times New Roman"/>
              </w:rPr>
            </w:pPr>
            <w:r>
              <w:rPr>
                <w:rFonts w:eastAsia="Arial Narrow" w:cs="Times New Roman"/>
                <w:color w:val="000000"/>
                <w:lang w:bidi="ar"/>
              </w:rPr>
              <w:t>26,100.00</w:t>
            </w:r>
          </w:p>
        </w:tc>
      </w:tr>
      <w:tr w14:paraId="33304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44D875F3">
            <w:pPr>
              <w:textAlignment w:val="bottom"/>
              <w:rPr>
                <w:rFonts w:cs="Times New Roman"/>
              </w:rPr>
            </w:pPr>
            <w:r>
              <w:rPr>
                <w:rFonts w:cs="Times New Roman"/>
                <w:color w:val="000000"/>
                <w:lang w:bidi="ar"/>
              </w:rPr>
              <w:t>应付账款</w:t>
            </w:r>
          </w:p>
        </w:tc>
        <w:tc>
          <w:tcPr>
            <w:tcW w:w="2034" w:type="pct"/>
            <w:tcBorders>
              <w:top w:val="single" w:color="auto" w:sz="4" w:space="0"/>
              <w:left w:val="single" w:color="auto" w:sz="4" w:space="0"/>
              <w:bottom w:val="single" w:color="auto" w:sz="4" w:space="0"/>
              <w:right w:val="single" w:color="auto" w:sz="4" w:space="0"/>
            </w:tcBorders>
            <w:vAlign w:val="center"/>
          </w:tcPr>
          <w:p w14:paraId="51E1F43D">
            <w:pPr>
              <w:textAlignment w:val="top"/>
              <w:rPr>
                <w:rFonts w:cs="Times New Roman"/>
              </w:rPr>
            </w:pPr>
            <w:r>
              <w:rPr>
                <w:rFonts w:cs="Times New Roman"/>
                <w:color w:val="000000"/>
                <w:lang w:bidi="ar"/>
              </w:rPr>
              <w:t>新兴际华物业服务（北京）有限公司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194C4E34">
            <w:pPr>
              <w:jc w:val="right"/>
              <w:textAlignment w:val="bottom"/>
              <w:rPr>
                <w:rFonts w:cs="Times New Roman"/>
              </w:rPr>
            </w:pPr>
            <w:r>
              <w:rPr>
                <w:rFonts w:eastAsia="Arial Narrow" w:cs="Times New Roman"/>
                <w:color w:val="000000"/>
                <w:lang w:bidi="ar"/>
              </w:rPr>
              <w:t>12,460.70</w:t>
            </w:r>
          </w:p>
        </w:tc>
        <w:tc>
          <w:tcPr>
            <w:tcW w:w="1039" w:type="pct"/>
            <w:tcBorders>
              <w:top w:val="single" w:color="auto" w:sz="4" w:space="0"/>
              <w:left w:val="single" w:color="auto" w:sz="4" w:space="0"/>
              <w:bottom w:val="single" w:color="auto" w:sz="4" w:space="0"/>
              <w:right w:val="single" w:color="auto" w:sz="4" w:space="0"/>
            </w:tcBorders>
            <w:vAlign w:val="center"/>
          </w:tcPr>
          <w:p w14:paraId="119C6245">
            <w:pPr>
              <w:jc w:val="right"/>
              <w:textAlignment w:val="bottom"/>
              <w:rPr>
                <w:rFonts w:cs="Times New Roman"/>
              </w:rPr>
            </w:pPr>
            <w:r>
              <w:rPr>
                <w:rFonts w:eastAsia="Arial Narrow" w:cs="Times New Roman"/>
                <w:color w:val="000000"/>
                <w:lang w:bidi="ar"/>
              </w:rPr>
              <w:t>751,354.76</w:t>
            </w:r>
          </w:p>
        </w:tc>
      </w:tr>
      <w:tr w14:paraId="78AD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66F45C5A">
            <w:pPr>
              <w:textAlignment w:val="bottom"/>
              <w:rPr>
                <w:rFonts w:cs="Times New Roman"/>
              </w:rPr>
            </w:pPr>
            <w:r>
              <w:rPr>
                <w:rFonts w:cs="Times New Roman"/>
                <w:color w:val="000000"/>
                <w:lang w:bidi="ar"/>
              </w:rPr>
              <w:t>应付账款</w:t>
            </w:r>
          </w:p>
        </w:tc>
        <w:tc>
          <w:tcPr>
            <w:tcW w:w="2034" w:type="pct"/>
            <w:tcBorders>
              <w:top w:val="single" w:color="auto" w:sz="4" w:space="0"/>
              <w:left w:val="single" w:color="auto" w:sz="4" w:space="0"/>
              <w:bottom w:val="single" w:color="auto" w:sz="4" w:space="0"/>
              <w:right w:val="single" w:color="auto" w:sz="4" w:space="0"/>
            </w:tcBorders>
            <w:vAlign w:val="center"/>
          </w:tcPr>
          <w:p w14:paraId="36BE22CC">
            <w:pPr>
              <w:textAlignment w:val="top"/>
              <w:rPr>
                <w:rFonts w:cs="Times New Roman"/>
              </w:rPr>
            </w:pPr>
            <w:r>
              <w:rPr>
                <w:rFonts w:cs="Times New Roman"/>
                <w:color w:val="000000"/>
                <w:lang w:bidi="ar"/>
              </w:rPr>
              <w:t>新兴际华检验检测（北京）有限公司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142D721E">
            <w:pPr>
              <w:jc w:val="right"/>
              <w:textAlignment w:val="bottom"/>
              <w:rPr>
                <w:rFonts w:cs="Times New Roman"/>
              </w:rPr>
            </w:pPr>
            <w:r>
              <w:rPr>
                <w:rFonts w:eastAsia="Arial Narrow" w:cs="Times New Roman"/>
                <w:color w:val="000000"/>
                <w:lang w:bidi="ar"/>
              </w:rPr>
              <w:t>3,430.00</w:t>
            </w:r>
          </w:p>
        </w:tc>
        <w:tc>
          <w:tcPr>
            <w:tcW w:w="1039" w:type="pct"/>
            <w:tcBorders>
              <w:top w:val="single" w:color="auto" w:sz="4" w:space="0"/>
              <w:left w:val="single" w:color="auto" w:sz="4" w:space="0"/>
              <w:bottom w:val="single" w:color="auto" w:sz="4" w:space="0"/>
              <w:right w:val="single" w:color="auto" w:sz="4" w:space="0"/>
            </w:tcBorders>
            <w:vAlign w:val="center"/>
          </w:tcPr>
          <w:p w14:paraId="2FD69BA3">
            <w:pPr>
              <w:jc w:val="right"/>
              <w:rPr>
                <w:rFonts w:cs="Times New Roman"/>
              </w:rPr>
            </w:pPr>
          </w:p>
        </w:tc>
      </w:tr>
      <w:tr w14:paraId="304D1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00AEA3C0">
            <w:pPr>
              <w:textAlignment w:val="bottom"/>
              <w:rPr>
                <w:rFonts w:cs="Times New Roman"/>
              </w:rPr>
            </w:pPr>
            <w:r>
              <w:rPr>
                <w:rFonts w:cs="Times New Roman"/>
                <w:color w:val="000000"/>
                <w:lang w:bidi="ar"/>
              </w:rPr>
              <w:t>应付账款</w:t>
            </w:r>
          </w:p>
        </w:tc>
        <w:tc>
          <w:tcPr>
            <w:tcW w:w="2034" w:type="pct"/>
            <w:tcBorders>
              <w:top w:val="single" w:color="auto" w:sz="4" w:space="0"/>
              <w:left w:val="single" w:color="auto" w:sz="4" w:space="0"/>
              <w:bottom w:val="single" w:color="auto" w:sz="4" w:space="0"/>
              <w:right w:val="single" w:color="auto" w:sz="4" w:space="0"/>
            </w:tcBorders>
            <w:vAlign w:val="center"/>
          </w:tcPr>
          <w:p w14:paraId="0FB16AB0">
            <w:pPr>
              <w:textAlignment w:val="top"/>
              <w:rPr>
                <w:rFonts w:cs="Times New Roman"/>
              </w:rPr>
            </w:pPr>
            <w:r>
              <w:rPr>
                <w:rFonts w:cs="Times New Roman"/>
                <w:color w:val="000000"/>
                <w:lang w:bidi="ar"/>
              </w:rPr>
              <w:t>际华军研（北京）特种装备科技有限公司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1E406FCF">
            <w:pPr>
              <w:jc w:val="right"/>
              <w:textAlignment w:val="bottom"/>
              <w:rPr>
                <w:rFonts w:cs="Times New Roman"/>
              </w:rPr>
            </w:pPr>
            <w:r>
              <w:rPr>
                <w:rFonts w:eastAsia="Arial Narrow" w:cs="Times New Roman"/>
                <w:color w:val="000000"/>
                <w:lang w:bidi="ar"/>
              </w:rPr>
              <w:t>3,237.00</w:t>
            </w:r>
          </w:p>
        </w:tc>
        <w:tc>
          <w:tcPr>
            <w:tcW w:w="1039" w:type="pct"/>
            <w:tcBorders>
              <w:top w:val="single" w:color="auto" w:sz="4" w:space="0"/>
              <w:left w:val="single" w:color="auto" w:sz="4" w:space="0"/>
              <w:bottom w:val="single" w:color="auto" w:sz="4" w:space="0"/>
              <w:right w:val="single" w:color="auto" w:sz="4" w:space="0"/>
            </w:tcBorders>
            <w:vAlign w:val="center"/>
          </w:tcPr>
          <w:p w14:paraId="292248C5">
            <w:pPr>
              <w:jc w:val="right"/>
              <w:textAlignment w:val="bottom"/>
              <w:rPr>
                <w:rFonts w:cs="Times New Roman"/>
              </w:rPr>
            </w:pPr>
            <w:r>
              <w:rPr>
                <w:rFonts w:eastAsia="Arial Narrow" w:cs="Times New Roman"/>
                <w:color w:val="000000"/>
                <w:lang w:bidi="ar"/>
              </w:rPr>
              <w:t>3,237.00</w:t>
            </w:r>
          </w:p>
        </w:tc>
      </w:tr>
      <w:tr w14:paraId="4E765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453EF435">
            <w:pPr>
              <w:textAlignment w:val="bottom"/>
              <w:rPr>
                <w:rFonts w:cs="Times New Roman"/>
              </w:rPr>
            </w:pPr>
            <w:r>
              <w:rPr>
                <w:rFonts w:cs="Times New Roman"/>
                <w:color w:val="000000"/>
                <w:lang w:bidi="ar"/>
              </w:rPr>
              <w:t>应付账款</w:t>
            </w:r>
          </w:p>
        </w:tc>
        <w:tc>
          <w:tcPr>
            <w:tcW w:w="2034" w:type="pct"/>
            <w:tcBorders>
              <w:top w:val="single" w:color="auto" w:sz="4" w:space="0"/>
              <w:left w:val="single" w:color="auto" w:sz="4" w:space="0"/>
              <w:bottom w:val="single" w:color="auto" w:sz="4" w:space="0"/>
              <w:right w:val="single" w:color="auto" w:sz="4" w:space="0"/>
            </w:tcBorders>
            <w:vAlign w:val="center"/>
          </w:tcPr>
          <w:p w14:paraId="6E2F15F6">
            <w:pPr>
              <w:textAlignment w:val="top"/>
              <w:rPr>
                <w:rFonts w:cs="Times New Roman"/>
              </w:rPr>
            </w:pPr>
            <w:r>
              <w:rPr>
                <w:rFonts w:cs="Times New Roman"/>
                <w:color w:val="000000"/>
                <w:lang w:bidi="ar"/>
              </w:rPr>
              <w:t>济南泰山鞋厂</w:t>
            </w:r>
          </w:p>
        </w:tc>
        <w:tc>
          <w:tcPr>
            <w:tcW w:w="1085" w:type="pct"/>
            <w:tcBorders>
              <w:top w:val="single" w:color="auto" w:sz="4" w:space="0"/>
              <w:left w:val="single" w:color="auto" w:sz="4" w:space="0"/>
              <w:bottom w:val="single" w:color="auto" w:sz="4" w:space="0"/>
              <w:right w:val="single" w:color="auto" w:sz="4" w:space="0"/>
            </w:tcBorders>
            <w:vAlign w:val="center"/>
          </w:tcPr>
          <w:p w14:paraId="56D18171">
            <w:pPr>
              <w:jc w:val="right"/>
              <w:rPr>
                <w:rFonts w:cs="Times New Roman"/>
              </w:rPr>
            </w:pPr>
          </w:p>
        </w:tc>
        <w:tc>
          <w:tcPr>
            <w:tcW w:w="1039" w:type="pct"/>
            <w:tcBorders>
              <w:top w:val="single" w:color="auto" w:sz="4" w:space="0"/>
              <w:left w:val="single" w:color="auto" w:sz="4" w:space="0"/>
              <w:bottom w:val="single" w:color="auto" w:sz="4" w:space="0"/>
              <w:right w:val="single" w:color="auto" w:sz="4" w:space="0"/>
            </w:tcBorders>
            <w:vAlign w:val="center"/>
          </w:tcPr>
          <w:p w14:paraId="42B94F5D">
            <w:pPr>
              <w:jc w:val="right"/>
              <w:textAlignment w:val="bottom"/>
              <w:rPr>
                <w:rFonts w:cs="Times New Roman"/>
              </w:rPr>
            </w:pPr>
            <w:r>
              <w:rPr>
                <w:rFonts w:eastAsia="Arial Narrow" w:cs="Times New Roman"/>
                <w:color w:val="000000"/>
                <w:lang w:bidi="ar"/>
              </w:rPr>
              <w:t>9,810.19</w:t>
            </w:r>
          </w:p>
        </w:tc>
      </w:tr>
      <w:tr w14:paraId="4F9A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59D5D811">
            <w:pPr>
              <w:textAlignment w:val="bottom"/>
              <w:rPr>
                <w:rFonts w:cs="Times New Roman"/>
              </w:rPr>
            </w:pPr>
            <w:r>
              <w:rPr>
                <w:rFonts w:cs="Times New Roman"/>
                <w:color w:val="000000"/>
                <w:lang w:bidi="ar"/>
              </w:rPr>
              <w:t>应付账款</w:t>
            </w:r>
          </w:p>
        </w:tc>
        <w:tc>
          <w:tcPr>
            <w:tcW w:w="2034" w:type="pct"/>
            <w:tcBorders>
              <w:top w:val="single" w:color="auto" w:sz="4" w:space="0"/>
              <w:left w:val="single" w:color="auto" w:sz="4" w:space="0"/>
              <w:bottom w:val="single" w:color="auto" w:sz="4" w:space="0"/>
              <w:right w:val="single" w:color="auto" w:sz="4" w:space="0"/>
            </w:tcBorders>
            <w:vAlign w:val="center"/>
          </w:tcPr>
          <w:p w14:paraId="473F7B1A">
            <w:pPr>
              <w:textAlignment w:val="top"/>
              <w:rPr>
                <w:rFonts w:cs="Times New Roman"/>
              </w:rPr>
            </w:pPr>
            <w:r>
              <w:rPr>
                <w:rFonts w:cs="Times New Roman"/>
                <w:color w:val="000000"/>
                <w:lang w:bidi="ar"/>
              </w:rPr>
              <w:t>新兴际华应急装备技术有限公司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5DA8B3D1">
            <w:pPr>
              <w:jc w:val="right"/>
              <w:rPr>
                <w:rFonts w:cs="Times New Roman"/>
              </w:rPr>
            </w:pPr>
          </w:p>
        </w:tc>
        <w:tc>
          <w:tcPr>
            <w:tcW w:w="1039" w:type="pct"/>
            <w:tcBorders>
              <w:top w:val="single" w:color="auto" w:sz="4" w:space="0"/>
              <w:left w:val="single" w:color="auto" w:sz="4" w:space="0"/>
              <w:bottom w:val="single" w:color="auto" w:sz="4" w:space="0"/>
              <w:right w:val="single" w:color="auto" w:sz="4" w:space="0"/>
            </w:tcBorders>
            <w:vAlign w:val="center"/>
          </w:tcPr>
          <w:p w14:paraId="7A38689F">
            <w:pPr>
              <w:jc w:val="right"/>
              <w:textAlignment w:val="bottom"/>
              <w:rPr>
                <w:rFonts w:cs="Times New Roman"/>
              </w:rPr>
            </w:pPr>
            <w:r>
              <w:rPr>
                <w:rFonts w:eastAsia="Arial Narrow" w:cs="Times New Roman"/>
                <w:color w:val="000000"/>
                <w:lang w:bidi="ar"/>
              </w:rPr>
              <w:t>69,312.00</w:t>
            </w:r>
          </w:p>
        </w:tc>
      </w:tr>
      <w:tr w14:paraId="6F06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03DA075F">
            <w:pPr>
              <w:textAlignment w:val="bottom"/>
              <w:rPr>
                <w:rFonts w:cs="Times New Roman"/>
              </w:rPr>
            </w:pPr>
            <w:r>
              <w:rPr>
                <w:rFonts w:cs="Times New Roman"/>
                <w:color w:val="000000"/>
                <w:lang w:bidi="ar"/>
              </w:rPr>
              <w:t>应付账款</w:t>
            </w:r>
          </w:p>
        </w:tc>
        <w:tc>
          <w:tcPr>
            <w:tcW w:w="2034" w:type="pct"/>
            <w:tcBorders>
              <w:top w:val="single" w:color="auto" w:sz="4" w:space="0"/>
              <w:left w:val="single" w:color="auto" w:sz="4" w:space="0"/>
              <w:bottom w:val="single" w:color="auto" w:sz="4" w:space="0"/>
              <w:right w:val="single" w:color="auto" w:sz="4" w:space="0"/>
            </w:tcBorders>
            <w:vAlign w:val="center"/>
          </w:tcPr>
          <w:p w14:paraId="3DAD12A6">
            <w:pPr>
              <w:textAlignment w:val="top"/>
              <w:rPr>
                <w:rFonts w:cs="Times New Roman"/>
              </w:rPr>
            </w:pPr>
            <w:r>
              <w:rPr>
                <w:rFonts w:cs="Times New Roman"/>
                <w:color w:val="000000"/>
                <w:lang w:bidi="ar"/>
              </w:rPr>
              <w:t>河北玄德智能科技发展股份有限公司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592DF81F">
            <w:pPr>
              <w:jc w:val="right"/>
              <w:rPr>
                <w:rFonts w:cs="Times New Roman"/>
              </w:rPr>
            </w:pPr>
          </w:p>
        </w:tc>
        <w:tc>
          <w:tcPr>
            <w:tcW w:w="1039" w:type="pct"/>
            <w:tcBorders>
              <w:top w:val="single" w:color="auto" w:sz="4" w:space="0"/>
              <w:left w:val="single" w:color="auto" w:sz="4" w:space="0"/>
              <w:bottom w:val="single" w:color="auto" w:sz="4" w:space="0"/>
              <w:right w:val="single" w:color="auto" w:sz="4" w:space="0"/>
            </w:tcBorders>
            <w:vAlign w:val="center"/>
          </w:tcPr>
          <w:p w14:paraId="3E70461D">
            <w:pPr>
              <w:jc w:val="right"/>
              <w:textAlignment w:val="bottom"/>
              <w:rPr>
                <w:rFonts w:cs="Times New Roman"/>
              </w:rPr>
            </w:pPr>
            <w:r>
              <w:rPr>
                <w:rFonts w:eastAsia="Arial Narrow" w:cs="Times New Roman"/>
                <w:color w:val="000000"/>
                <w:lang w:bidi="ar"/>
              </w:rPr>
              <w:t>50,000.00</w:t>
            </w:r>
          </w:p>
        </w:tc>
      </w:tr>
      <w:tr w14:paraId="71AE1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4AE2CEF2">
            <w:pPr>
              <w:textAlignment w:val="bottom"/>
              <w:rPr>
                <w:rFonts w:cs="Times New Roman"/>
              </w:rPr>
            </w:pPr>
            <w:r>
              <w:rPr>
                <w:rFonts w:cs="Times New Roman"/>
                <w:color w:val="000000"/>
                <w:lang w:bidi="ar"/>
              </w:rPr>
              <w:t>应付票据</w:t>
            </w:r>
          </w:p>
        </w:tc>
        <w:tc>
          <w:tcPr>
            <w:tcW w:w="2034" w:type="pct"/>
            <w:tcBorders>
              <w:top w:val="single" w:color="auto" w:sz="4" w:space="0"/>
              <w:left w:val="single" w:color="auto" w:sz="4" w:space="0"/>
              <w:bottom w:val="single" w:color="auto" w:sz="4" w:space="0"/>
              <w:right w:val="single" w:color="auto" w:sz="4" w:space="0"/>
            </w:tcBorders>
            <w:vAlign w:val="center"/>
          </w:tcPr>
          <w:p w14:paraId="0503FE74">
            <w:pPr>
              <w:rPr>
                <w:rFonts w:cs="Times New Roman"/>
              </w:rPr>
            </w:pPr>
          </w:p>
        </w:tc>
        <w:tc>
          <w:tcPr>
            <w:tcW w:w="1085" w:type="pct"/>
            <w:tcBorders>
              <w:top w:val="single" w:color="auto" w:sz="4" w:space="0"/>
              <w:left w:val="single" w:color="auto" w:sz="4" w:space="0"/>
              <w:bottom w:val="single" w:color="auto" w:sz="4" w:space="0"/>
              <w:right w:val="single" w:color="auto" w:sz="4" w:space="0"/>
            </w:tcBorders>
            <w:vAlign w:val="center"/>
          </w:tcPr>
          <w:p w14:paraId="1262836B">
            <w:pPr>
              <w:jc w:val="right"/>
              <w:rPr>
                <w:rFonts w:cs="Times New Roman"/>
              </w:rPr>
            </w:pPr>
          </w:p>
        </w:tc>
        <w:tc>
          <w:tcPr>
            <w:tcW w:w="1039" w:type="pct"/>
            <w:tcBorders>
              <w:top w:val="single" w:color="auto" w:sz="4" w:space="0"/>
              <w:left w:val="single" w:color="auto" w:sz="4" w:space="0"/>
              <w:bottom w:val="single" w:color="auto" w:sz="4" w:space="0"/>
              <w:right w:val="single" w:color="auto" w:sz="4" w:space="0"/>
            </w:tcBorders>
            <w:vAlign w:val="center"/>
          </w:tcPr>
          <w:p w14:paraId="6DB388D1">
            <w:pPr>
              <w:jc w:val="right"/>
              <w:rPr>
                <w:rFonts w:cs="Times New Roman"/>
              </w:rPr>
            </w:pPr>
          </w:p>
        </w:tc>
      </w:tr>
      <w:tr w14:paraId="01F6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4EC0DDEA">
            <w:pPr>
              <w:textAlignment w:val="bottom"/>
              <w:rPr>
                <w:rFonts w:cs="Times New Roman"/>
              </w:rPr>
            </w:pPr>
            <w:r>
              <w:rPr>
                <w:rFonts w:cs="Times New Roman"/>
                <w:color w:val="000000"/>
                <w:lang w:bidi="ar"/>
              </w:rPr>
              <w:t>应付票据</w:t>
            </w:r>
          </w:p>
        </w:tc>
        <w:tc>
          <w:tcPr>
            <w:tcW w:w="2034" w:type="pct"/>
            <w:tcBorders>
              <w:top w:val="single" w:color="auto" w:sz="4" w:space="0"/>
              <w:left w:val="single" w:color="auto" w:sz="4" w:space="0"/>
              <w:bottom w:val="single" w:color="auto" w:sz="4" w:space="0"/>
              <w:right w:val="single" w:color="auto" w:sz="4" w:space="0"/>
            </w:tcBorders>
            <w:vAlign w:val="center"/>
          </w:tcPr>
          <w:p w14:paraId="643BF14B">
            <w:pPr>
              <w:textAlignment w:val="top"/>
              <w:rPr>
                <w:rFonts w:cs="Times New Roman"/>
              </w:rPr>
            </w:pPr>
            <w:r>
              <w:rPr>
                <w:rFonts w:cs="Times New Roman"/>
                <w:color w:val="000000"/>
                <w:lang w:bidi="ar"/>
              </w:rPr>
              <w:t>石家庄际华资产管理有限公司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307EB997">
            <w:pPr>
              <w:jc w:val="right"/>
              <w:textAlignment w:val="bottom"/>
              <w:rPr>
                <w:rFonts w:cs="Times New Roman"/>
              </w:rPr>
            </w:pPr>
            <w:r>
              <w:rPr>
                <w:rFonts w:eastAsia="Arial Narrow" w:cs="Times New Roman"/>
                <w:color w:val="000000"/>
                <w:lang w:bidi="ar"/>
              </w:rPr>
              <w:t>8,000,000.00</w:t>
            </w:r>
          </w:p>
        </w:tc>
        <w:tc>
          <w:tcPr>
            <w:tcW w:w="1039" w:type="pct"/>
            <w:tcBorders>
              <w:top w:val="single" w:color="auto" w:sz="4" w:space="0"/>
              <w:left w:val="single" w:color="auto" w:sz="4" w:space="0"/>
              <w:bottom w:val="single" w:color="auto" w:sz="4" w:space="0"/>
              <w:right w:val="single" w:color="auto" w:sz="4" w:space="0"/>
            </w:tcBorders>
            <w:vAlign w:val="center"/>
          </w:tcPr>
          <w:p w14:paraId="3D0A67C5">
            <w:pPr>
              <w:jc w:val="right"/>
              <w:textAlignment w:val="bottom"/>
              <w:rPr>
                <w:rFonts w:cs="Times New Roman"/>
              </w:rPr>
            </w:pPr>
            <w:r>
              <w:rPr>
                <w:rFonts w:eastAsia="Arial Narrow" w:cs="Times New Roman"/>
                <w:color w:val="000000"/>
                <w:lang w:bidi="ar"/>
              </w:rPr>
              <w:t>12,470,000.00</w:t>
            </w:r>
          </w:p>
        </w:tc>
      </w:tr>
      <w:tr w14:paraId="7082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45048726">
            <w:pPr>
              <w:textAlignment w:val="bottom"/>
              <w:rPr>
                <w:rFonts w:cs="Times New Roman"/>
              </w:rPr>
            </w:pPr>
            <w:r>
              <w:rPr>
                <w:rFonts w:cs="Times New Roman"/>
                <w:color w:val="000000"/>
                <w:lang w:bidi="ar"/>
              </w:rPr>
              <w:t>其他应付款</w:t>
            </w:r>
          </w:p>
        </w:tc>
        <w:tc>
          <w:tcPr>
            <w:tcW w:w="2034" w:type="pct"/>
            <w:tcBorders>
              <w:top w:val="single" w:color="auto" w:sz="4" w:space="0"/>
              <w:left w:val="single" w:color="auto" w:sz="4" w:space="0"/>
              <w:bottom w:val="single" w:color="auto" w:sz="4" w:space="0"/>
              <w:right w:val="single" w:color="auto" w:sz="4" w:space="0"/>
            </w:tcBorders>
            <w:vAlign w:val="center"/>
          </w:tcPr>
          <w:p w14:paraId="25FFC99F">
            <w:pPr>
              <w:rPr>
                <w:rFonts w:cs="Times New Roman"/>
              </w:rPr>
            </w:pPr>
          </w:p>
        </w:tc>
        <w:tc>
          <w:tcPr>
            <w:tcW w:w="1085" w:type="pct"/>
            <w:tcBorders>
              <w:top w:val="single" w:color="auto" w:sz="4" w:space="0"/>
              <w:left w:val="single" w:color="auto" w:sz="4" w:space="0"/>
              <w:bottom w:val="single" w:color="auto" w:sz="4" w:space="0"/>
              <w:right w:val="single" w:color="auto" w:sz="4" w:space="0"/>
            </w:tcBorders>
            <w:vAlign w:val="center"/>
          </w:tcPr>
          <w:p w14:paraId="7BCEF5A3">
            <w:pPr>
              <w:jc w:val="right"/>
              <w:rPr>
                <w:rFonts w:cs="Times New Roman"/>
              </w:rPr>
            </w:pPr>
          </w:p>
        </w:tc>
        <w:tc>
          <w:tcPr>
            <w:tcW w:w="1039" w:type="pct"/>
            <w:tcBorders>
              <w:top w:val="single" w:color="auto" w:sz="4" w:space="0"/>
              <w:left w:val="single" w:color="auto" w:sz="4" w:space="0"/>
              <w:bottom w:val="single" w:color="auto" w:sz="4" w:space="0"/>
              <w:right w:val="single" w:color="auto" w:sz="4" w:space="0"/>
            </w:tcBorders>
            <w:vAlign w:val="center"/>
          </w:tcPr>
          <w:p w14:paraId="6CAAAC3A">
            <w:pPr>
              <w:jc w:val="right"/>
              <w:rPr>
                <w:rFonts w:cs="Times New Roman"/>
              </w:rPr>
            </w:pPr>
          </w:p>
        </w:tc>
      </w:tr>
      <w:tr w14:paraId="4060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13D76CBF">
            <w:pPr>
              <w:textAlignment w:val="bottom"/>
              <w:rPr>
                <w:rFonts w:cs="Times New Roman"/>
              </w:rPr>
            </w:pPr>
            <w:r>
              <w:rPr>
                <w:rFonts w:cs="Times New Roman"/>
                <w:color w:val="000000"/>
                <w:lang w:bidi="ar"/>
              </w:rPr>
              <w:t>其他应付款</w:t>
            </w:r>
          </w:p>
        </w:tc>
        <w:tc>
          <w:tcPr>
            <w:tcW w:w="2034" w:type="pct"/>
            <w:tcBorders>
              <w:top w:val="single" w:color="auto" w:sz="4" w:space="0"/>
              <w:left w:val="single" w:color="auto" w:sz="4" w:space="0"/>
              <w:bottom w:val="single" w:color="auto" w:sz="4" w:space="0"/>
              <w:right w:val="single" w:color="auto" w:sz="4" w:space="0"/>
            </w:tcBorders>
            <w:vAlign w:val="center"/>
          </w:tcPr>
          <w:p w14:paraId="4250175D">
            <w:pPr>
              <w:textAlignment w:val="top"/>
              <w:rPr>
                <w:rFonts w:cs="Times New Roman"/>
              </w:rPr>
            </w:pPr>
            <w:r>
              <w:rPr>
                <w:rFonts w:cs="Times New Roman"/>
                <w:color w:val="000000"/>
                <w:lang w:bidi="ar"/>
              </w:rPr>
              <w:t>荷原置地控股有限公司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42D9A233">
            <w:pPr>
              <w:jc w:val="right"/>
              <w:textAlignment w:val="bottom"/>
              <w:rPr>
                <w:rFonts w:cs="Times New Roman"/>
              </w:rPr>
            </w:pPr>
            <w:r>
              <w:rPr>
                <w:rFonts w:eastAsia="Arial Narrow" w:cs="Times New Roman"/>
                <w:color w:val="000000"/>
                <w:lang w:bidi="ar"/>
              </w:rPr>
              <w:t>122,669,233.33</w:t>
            </w:r>
          </w:p>
        </w:tc>
        <w:tc>
          <w:tcPr>
            <w:tcW w:w="1039" w:type="pct"/>
            <w:tcBorders>
              <w:top w:val="single" w:color="auto" w:sz="4" w:space="0"/>
              <w:left w:val="single" w:color="auto" w:sz="4" w:space="0"/>
              <w:bottom w:val="single" w:color="auto" w:sz="4" w:space="0"/>
              <w:right w:val="single" w:color="auto" w:sz="4" w:space="0"/>
            </w:tcBorders>
            <w:vAlign w:val="center"/>
          </w:tcPr>
          <w:p w14:paraId="23714644">
            <w:pPr>
              <w:jc w:val="right"/>
              <w:textAlignment w:val="bottom"/>
              <w:rPr>
                <w:rFonts w:cs="Times New Roman"/>
              </w:rPr>
            </w:pPr>
            <w:r>
              <w:rPr>
                <w:rFonts w:eastAsia="Arial Narrow" w:cs="Times New Roman"/>
                <w:color w:val="000000"/>
                <w:lang w:bidi="ar"/>
              </w:rPr>
              <w:t>120,536,500.00</w:t>
            </w:r>
          </w:p>
        </w:tc>
      </w:tr>
      <w:tr w14:paraId="44758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682AD988">
            <w:pPr>
              <w:textAlignment w:val="bottom"/>
              <w:rPr>
                <w:rFonts w:cs="Times New Roman"/>
              </w:rPr>
            </w:pPr>
            <w:r>
              <w:rPr>
                <w:rFonts w:cs="Times New Roman"/>
                <w:color w:val="000000"/>
                <w:lang w:bidi="ar"/>
              </w:rPr>
              <w:t>其他应付款</w:t>
            </w:r>
          </w:p>
        </w:tc>
        <w:tc>
          <w:tcPr>
            <w:tcW w:w="2034" w:type="pct"/>
            <w:tcBorders>
              <w:top w:val="single" w:color="auto" w:sz="4" w:space="0"/>
              <w:left w:val="single" w:color="auto" w:sz="4" w:space="0"/>
              <w:bottom w:val="single" w:color="auto" w:sz="4" w:space="0"/>
              <w:right w:val="single" w:color="auto" w:sz="4" w:space="0"/>
            </w:tcBorders>
            <w:vAlign w:val="center"/>
          </w:tcPr>
          <w:p w14:paraId="0E865F4B">
            <w:pPr>
              <w:textAlignment w:val="top"/>
              <w:rPr>
                <w:rFonts w:cs="Times New Roman"/>
              </w:rPr>
            </w:pPr>
            <w:r>
              <w:rPr>
                <w:rFonts w:cs="Times New Roman"/>
                <w:color w:val="000000"/>
                <w:lang w:bidi="ar"/>
              </w:rPr>
              <w:t>新兴际华投资有限公司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2A7D276F">
            <w:pPr>
              <w:jc w:val="right"/>
              <w:textAlignment w:val="bottom"/>
              <w:rPr>
                <w:rFonts w:cs="Times New Roman"/>
              </w:rPr>
            </w:pPr>
            <w:r>
              <w:rPr>
                <w:rFonts w:eastAsia="Arial Narrow" w:cs="Times New Roman"/>
                <w:color w:val="000000"/>
                <w:lang w:bidi="ar"/>
              </w:rPr>
              <w:t>99,298,743.86</w:t>
            </w:r>
          </w:p>
        </w:tc>
        <w:tc>
          <w:tcPr>
            <w:tcW w:w="1039" w:type="pct"/>
            <w:tcBorders>
              <w:top w:val="single" w:color="auto" w:sz="4" w:space="0"/>
              <w:left w:val="single" w:color="auto" w:sz="4" w:space="0"/>
              <w:bottom w:val="single" w:color="auto" w:sz="4" w:space="0"/>
              <w:right w:val="single" w:color="auto" w:sz="4" w:space="0"/>
            </w:tcBorders>
            <w:vAlign w:val="center"/>
          </w:tcPr>
          <w:p w14:paraId="427141F0">
            <w:pPr>
              <w:jc w:val="right"/>
              <w:textAlignment w:val="bottom"/>
              <w:rPr>
                <w:rFonts w:cs="Times New Roman"/>
              </w:rPr>
            </w:pPr>
            <w:r>
              <w:rPr>
                <w:rFonts w:eastAsia="Arial Narrow" w:cs="Times New Roman"/>
                <w:color w:val="000000"/>
                <w:lang w:bidi="ar"/>
              </w:rPr>
              <w:t>100,643,638.62</w:t>
            </w:r>
          </w:p>
        </w:tc>
      </w:tr>
      <w:tr w14:paraId="45094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3BAEC2D0">
            <w:pPr>
              <w:textAlignment w:val="bottom"/>
              <w:rPr>
                <w:rFonts w:cs="Times New Roman"/>
              </w:rPr>
            </w:pPr>
            <w:r>
              <w:rPr>
                <w:rFonts w:cs="Times New Roman"/>
                <w:color w:val="000000"/>
                <w:lang w:bidi="ar"/>
              </w:rPr>
              <w:t>其他应付款</w:t>
            </w:r>
          </w:p>
        </w:tc>
        <w:tc>
          <w:tcPr>
            <w:tcW w:w="2034" w:type="pct"/>
            <w:tcBorders>
              <w:top w:val="single" w:color="auto" w:sz="4" w:space="0"/>
              <w:left w:val="single" w:color="auto" w:sz="4" w:space="0"/>
              <w:bottom w:val="single" w:color="auto" w:sz="4" w:space="0"/>
              <w:right w:val="single" w:color="auto" w:sz="4" w:space="0"/>
            </w:tcBorders>
            <w:vAlign w:val="center"/>
          </w:tcPr>
          <w:p w14:paraId="2D0F5543">
            <w:pPr>
              <w:textAlignment w:val="top"/>
              <w:rPr>
                <w:rFonts w:cs="Times New Roman"/>
              </w:rPr>
            </w:pPr>
            <w:r>
              <w:rPr>
                <w:rFonts w:cs="Times New Roman"/>
                <w:color w:val="000000"/>
                <w:lang w:bidi="ar"/>
              </w:rPr>
              <w:t>天津华津制药有限公司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703D5FD8">
            <w:pPr>
              <w:jc w:val="right"/>
              <w:textAlignment w:val="bottom"/>
              <w:rPr>
                <w:rFonts w:cs="Times New Roman"/>
              </w:rPr>
            </w:pPr>
            <w:r>
              <w:rPr>
                <w:rFonts w:eastAsia="Arial Narrow" w:cs="Times New Roman"/>
                <w:color w:val="000000"/>
                <w:lang w:bidi="ar"/>
              </w:rPr>
              <w:t>29,443,211.37</w:t>
            </w:r>
          </w:p>
        </w:tc>
        <w:tc>
          <w:tcPr>
            <w:tcW w:w="1039" w:type="pct"/>
            <w:tcBorders>
              <w:top w:val="single" w:color="auto" w:sz="4" w:space="0"/>
              <w:left w:val="single" w:color="auto" w:sz="4" w:space="0"/>
              <w:bottom w:val="single" w:color="auto" w:sz="4" w:space="0"/>
              <w:right w:val="single" w:color="auto" w:sz="4" w:space="0"/>
            </w:tcBorders>
            <w:vAlign w:val="center"/>
          </w:tcPr>
          <w:p w14:paraId="656B2A1D">
            <w:pPr>
              <w:jc w:val="right"/>
              <w:textAlignment w:val="bottom"/>
              <w:rPr>
                <w:rFonts w:cs="Times New Roman"/>
              </w:rPr>
            </w:pPr>
            <w:r>
              <w:rPr>
                <w:rFonts w:eastAsia="Arial Narrow" w:cs="Times New Roman"/>
                <w:color w:val="000000"/>
                <w:lang w:bidi="ar"/>
              </w:rPr>
              <w:t>25,971,509.03</w:t>
            </w:r>
          </w:p>
        </w:tc>
      </w:tr>
      <w:tr w14:paraId="5DF28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6A5961B1">
            <w:pPr>
              <w:textAlignment w:val="bottom"/>
              <w:rPr>
                <w:rFonts w:cs="Times New Roman"/>
              </w:rPr>
            </w:pPr>
            <w:r>
              <w:rPr>
                <w:rFonts w:cs="Times New Roman"/>
                <w:color w:val="000000"/>
                <w:lang w:bidi="ar"/>
              </w:rPr>
              <w:t>其他应付款</w:t>
            </w:r>
          </w:p>
        </w:tc>
        <w:tc>
          <w:tcPr>
            <w:tcW w:w="2034" w:type="pct"/>
            <w:tcBorders>
              <w:top w:val="single" w:color="auto" w:sz="4" w:space="0"/>
              <w:left w:val="single" w:color="auto" w:sz="4" w:space="0"/>
              <w:bottom w:val="single" w:color="auto" w:sz="4" w:space="0"/>
              <w:right w:val="single" w:color="auto" w:sz="4" w:space="0"/>
            </w:tcBorders>
            <w:vAlign w:val="center"/>
          </w:tcPr>
          <w:p w14:paraId="29DB8FA9">
            <w:pPr>
              <w:textAlignment w:val="top"/>
              <w:rPr>
                <w:rFonts w:cs="Times New Roman"/>
              </w:rPr>
            </w:pPr>
            <w:r>
              <w:rPr>
                <w:rFonts w:cs="Times New Roman"/>
                <w:color w:val="000000"/>
                <w:lang w:bidi="ar"/>
              </w:rPr>
              <w:t>新兴际华资产经营管理有限公司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365FDCDE">
            <w:pPr>
              <w:jc w:val="right"/>
              <w:textAlignment w:val="bottom"/>
              <w:rPr>
                <w:rFonts w:cs="Times New Roman"/>
              </w:rPr>
            </w:pPr>
            <w:r>
              <w:rPr>
                <w:rFonts w:eastAsia="Arial Narrow" w:cs="Times New Roman"/>
                <w:color w:val="000000"/>
                <w:lang w:bidi="ar"/>
              </w:rPr>
              <w:t>21,300,964.36</w:t>
            </w:r>
          </w:p>
        </w:tc>
        <w:tc>
          <w:tcPr>
            <w:tcW w:w="1039" w:type="pct"/>
            <w:tcBorders>
              <w:top w:val="single" w:color="auto" w:sz="4" w:space="0"/>
              <w:left w:val="single" w:color="auto" w:sz="4" w:space="0"/>
              <w:bottom w:val="single" w:color="auto" w:sz="4" w:space="0"/>
              <w:right w:val="single" w:color="auto" w:sz="4" w:space="0"/>
            </w:tcBorders>
            <w:vAlign w:val="center"/>
          </w:tcPr>
          <w:p w14:paraId="0387D38C">
            <w:pPr>
              <w:jc w:val="right"/>
              <w:textAlignment w:val="bottom"/>
              <w:rPr>
                <w:rFonts w:cs="Times New Roman"/>
              </w:rPr>
            </w:pPr>
            <w:r>
              <w:rPr>
                <w:rFonts w:eastAsia="Arial Narrow" w:cs="Times New Roman"/>
                <w:color w:val="000000"/>
                <w:lang w:bidi="ar"/>
              </w:rPr>
              <w:t>15,468,619.15</w:t>
            </w:r>
          </w:p>
        </w:tc>
      </w:tr>
      <w:tr w14:paraId="5A92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01849430">
            <w:pPr>
              <w:textAlignment w:val="bottom"/>
              <w:rPr>
                <w:rFonts w:cs="Times New Roman"/>
              </w:rPr>
            </w:pPr>
            <w:r>
              <w:rPr>
                <w:rFonts w:cs="Times New Roman"/>
                <w:color w:val="000000"/>
                <w:lang w:bidi="ar"/>
              </w:rPr>
              <w:t>其他应付款</w:t>
            </w:r>
          </w:p>
        </w:tc>
        <w:tc>
          <w:tcPr>
            <w:tcW w:w="2034" w:type="pct"/>
            <w:tcBorders>
              <w:top w:val="single" w:color="auto" w:sz="4" w:space="0"/>
              <w:left w:val="single" w:color="auto" w:sz="4" w:space="0"/>
              <w:bottom w:val="single" w:color="auto" w:sz="4" w:space="0"/>
              <w:right w:val="single" w:color="auto" w:sz="4" w:space="0"/>
            </w:tcBorders>
            <w:vAlign w:val="center"/>
          </w:tcPr>
          <w:p w14:paraId="25D9B009">
            <w:pPr>
              <w:textAlignment w:val="top"/>
              <w:rPr>
                <w:rFonts w:cs="Times New Roman"/>
              </w:rPr>
            </w:pPr>
            <w:r>
              <w:rPr>
                <w:rFonts w:cs="Times New Roman"/>
                <w:color w:val="000000"/>
                <w:lang w:bidi="ar"/>
              </w:rPr>
              <w:t>武汉汉江资产运营有限公司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00DD3CB3">
            <w:pPr>
              <w:jc w:val="right"/>
              <w:textAlignment w:val="bottom"/>
              <w:rPr>
                <w:rFonts w:cs="Times New Roman"/>
              </w:rPr>
            </w:pPr>
            <w:r>
              <w:rPr>
                <w:rFonts w:eastAsia="Arial Narrow" w:cs="Times New Roman"/>
                <w:color w:val="000000"/>
                <w:lang w:bidi="ar"/>
              </w:rPr>
              <w:t>15,209,819.27</w:t>
            </w:r>
          </w:p>
        </w:tc>
        <w:tc>
          <w:tcPr>
            <w:tcW w:w="1039" w:type="pct"/>
            <w:tcBorders>
              <w:top w:val="single" w:color="auto" w:sz="4" w:space="0"/>
              <w:left w:val="single" w:color="auto" w:sz="4" w:space="0"/>
              <w:bottom w:val="single" w:color="auto" w:sz="4" w:space="0"/>
              <w:right w:val="single" w:color="auto" w:sz="4" w:space="0"/>
            </w:tcBorders>
            <w:vAlign w:val="center"/>
          </w:tcPr>
          <w:p w14:paraId="4624CEB9">
            <w:pPr>
              <w:jc w:val="right"/>
              <w:textAlignment w:val="bottom"/>
              <w:rPr>
                <w:rFonts w:cs="Times New Roman"/>
              </w:rPr>
            </w:pPr>
            <w:r>
              <w:rPr>
                <w:rFonts w:eastAsia="Arial Narrow" w:cs="Times New Roman"/>
                <w:color w:val="000000"/>
                <w:lang w:bidi="ar"/>
              </w:rPr>
              <w:t>8,939,819.27</w:t>
            </w:r>
          </w:p>
        </w:tc>
      </w:tr>
      <w:tr w14:paraId="25F73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610C8382">
            <w:pPr>
              <w:textAlignment w:val="bottom"/>
              <w:rPr>
                <w:rFonts w:cs="Times New Roman"/>
              </w:rPr>
            </w:pPr>
            <w:r>
              <w:rPr>
                <w:rFonts w:cs="Times New Roman"/>
                <w:color w:val="000000"/>
                <w:lang w:bidi="ar"/>
              </w:rPr>
              <w:t>其他应付款</w:t>
            </w:r>
          </w:p>
        </w:tc>
        <w:tc>
          <w:tcPr>
            <w:tcW w:w="2034" w:type="pct"/>
            <w:tcBorders>
              <w:top w:val="single" w:color="auto" w:sz="4" w:space="0"/>
              <w:left w:val="single" w:color="auto" w:sz="4" w:space="0"/>
              <w:bottom w:val="single" w:color="auto" w:sz="4" w:space="0"/>
              <w:right w:val="single" w:color="auto" w:sz="4" w:space="0"/>
            </w:tcBorders>
            <w:vAlign w:val="center"/>
          </w:tcPr>
          <w:p w14:paraId="0AE61B1B">
            <w:pPr>
              <w:textAlignment w:val="top"/>
              <w:rPr>
                <w:rFonts w:cs="Times New Roman"/>
              </w:rPr>
            </w:pPr>
            <w:r>
              <w:rPr>
                <w:rFonts w:cs="Times New Roman"/>
                <w:color w:val="000000"/>
                <w:lang w:bidi="ar"/>
              </w:rPr>
              <w:t>新兴际华（岳阳）投资发展有限公司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5F384857">
            <w:pPr>
              <w:jc w:val="right"/>
              <w:textAlignment w:val="bottom"/>
              <w:rPr>
                <w:rFonts w:cs="Times New Roman"/>
              </w:rPr>
            </w:pPr>
            <w:r>
              <w:rPr>
                <w:rFonts w:eastAsia="Arial Narrow" w:cs="Times New Roman"/>
                <w:color w:val="000000"/>
                <w:lang w:bidi="ar"/>
              </w:rPr>
              <w:t>8,000,000.00</w:t>
            </w:r>
          </w:p>
        </w:tc>
        <w:tc>
          <w:tcPr>
            <w:tcW w:w="1039" w:type="pct"/>
            <w:tcBorders>
              <w:top w:val="single" w:color="auto" w:sz="4" w:space="0"/>
              <w:left w:val="single" w:color="auto" w:sz="4" w:space="0"/>
              <w:bottom w:val="single" w:color="auto" w:sz="4" w:space="0"/>
              <w:right w:val="single" w:color="auto" w:sz="4" w:space="0"/>
            </w:tcBorders>
            <w:vAlign w:val="center"/>
          </w:tcPr>
          <w:p w14:paraId="6943BAB9">
            <w:pPr>
              <w:jc w:val="right"/>
              <w:rPr>
                <w:rFonts w:cs="Times New Roman"/>
              </w:rPr>
            </w:pPr>
          </w:p>
        </w:tc>
      </w:tr>
      <w:tr w14:paraId="3C07D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077155BB">
            <w:pPr>
              <w:textAlignment w:val="bottom"/>
              <w:rPr>
                <w:rFonts w:cs="Times New Roman"/>
              </w:rPr>
            </w:pPr>
            <w:r>
              <w:rPr>
                <w:rFonts w:cs="Times New Roman"/>
                <w:color w:val="000000"/>
                <w:lang w:bidi="ar"/>
              </w:rPr>
              <w:t>其他应付款</w:t>
            </w:r>
          </w:p>
        </w:tc>
        <w:tc>
          <w:tcPr>
            <w:tcW w:w="2034" w:type="pct"/>
            <w:tcBorders>
              <w:top w:val="single" w:color="auto" w:sz="4" w:space="0"/>
              <w:left w:val="single" w:color="auto" w:sz="4" w:space="0"/>
              <w:bottom w:val="single" w:color="auto" w:sz="4" w:space="0"/>
              <w:right w:val="single" w:color="auto" w:sz="4" w:space="0"/>
            </w:tcBorders>
            <w:vAlign w:val="center"/>
          </w:tcPr>
          <w:p w14:paraId="107F2F2A">
            <w:pPr>
              <w:textAlignment w:val="top"/>
              <w:rPr>
                <w:rFonts w:cs="Times New Roman"/>
              </w:rPr>
            </w:pPr>
            <w:r>
              <w:rPr>
                <w:rFonts w:cs="Times New Roman"/>
                <w:color w:val="000000"/>
                <w:lang w:bidi="ar"/>
              </w:rPr>
              <w:t>咸阳际华投资发展有限公司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6BB93507">
            <w:pPr>
              <w:jc w:val="right"/>
              <w:textAlignment w:val="bottom"/>
              <w:rPr>
                <w:rFonts w:cs="Times New Roman"/>
              </w:rPr>
            </w:pPr>
            <w:r>
              <w:rPr>
                <w:rFonts w:eastAsia="Arial Narrow" w:cs="Times New Roman"/>
                <w:color w:val="000000"/>
                <w:lang w:bidi="ar"/>
              </w:rPr>
              <w:t>7,772,474.36</w:t>
            </w:r>
          </w:p>
        </w:tc>
        <w:tc>
          <w:tcPr>
            <w:tcW w:w="1039" w:type="pct"/>
            <w:tcBorders>
              <w:top w:val="single" w:color="auto" w:sz="4" w:space="0"/>
              <w:left w:val="single" w:color="auto" w:sz="4" w:space="0"/>
              <w:bottom w:val="single" w:color="auto" w:sz="4" w:space="0"/>
              <w:right w:val="single" w:color="auto" w:sz="4" w:space="0"/>
            </w:tcBorders>
            <w:vAlign w:val="center"/>
          </w:tcPr>
          <w:p w14:paraId="2E86AF19">
            <w:pPr>
              <w:jc w:val="right"/>
              <w:textAlignment w:val="bottom"/>
              <w:rPr>
                <w:rFonts w:cs="Times New Roman"/>
              </w:rPr>
            </w:pPr>
            <w:r>
              <w:rPr>
                <w:rFonts w:eastAsia="Arial Narrow" w:cs="Times New Roman"/>
                <w:color w:val="000000"/>
                <w:lang w:bidi="ar"/>
              </w:rPr>
              <w:t>8,013,656.19</w:t>
            </w:r>
          </w:p>
        </w:tc>
      </w:tr>
      <w:tr w14:paraId="6BE0D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67398DDA">
            <w:pPr>
              <w:textAlignment w:val="bottom"/>
              <w:rPr>
                <w:rFonts w:cs="Times New Roman"/>
              </w:rPr>
            </w:pPr>
            <w:r>
              <w:rPr>
                <w:rFonts w:cs="Times New Roman"/>
                <w:color w:val="000000"/>
                <w:lang w:bidi="ar"/>
              </w:rPr>
              <w:t>其他应付款</w:t>
            </w:r>
          </w:p>
        </w:tc>
        <w:tc>
          <w:tcPr>
            <w:tcW w:w="2034" w:type="pct"/>
            <w:tcBorders>
              <w:top w:val="single" w:color="auto" w:sz="4" w:space="0"/>
              <w:left w:val="single" w:color="auto" w:sz="4" w:space="0"/>
              <w:bottom w:val="single" w:color="auto" w:sz="4" w:space="0"/>
              <w:right w:val="single" w:color="auto" w:sz="4" w:space="0"/>
            </w:tcBorders>
            <w:vAlign w:val="center"/>
          </w:tcPr>
          <w:p w14:paraId="12E35FDE">
            <w:pPr>
              <w:textAlignment w:val="top"/>
              <w:rPr>
                <w:rFonts w:cs="Times New Roman"/>
              </w:rPr>
            </w:pPr>
            <w:r>
              <w:rPr>
                <w:rFonts w:cs="Times New Roman"/>
                <w:color w:val="000000"/>
                <w:lang w:bidi="ar"/>
              </w:rPr>
              <w:t>新兴际华集团有限公司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363EBB17">
            <w:pPr>
              <w:jc w:val="right"/>
              <w:textAlignment w:val="bottom"/>
              <w:rPr>
                <w:rFonts w:cs="Times New Roman"/>
              </w:rPr>
            </w:pPr>
            <w:r>
              <w:rPr>
                <w:rFonts w:eastAsia="Arial Narrow" w:cs="Times New Roman"/>
                <w:color w:val="000000"/>
                <w:lang w:bidi="ar"/>
              </w:rPr>
              <w:t>2,228,443.57</w:t>
            </w:r>
          </w:p>
        </w:tc>
        <w:tc>
          <w:tcPr>
            <w:tcW w:w="1039" w:type="pct"/>
            <w:tcBorders>
              <w:top w:val="single" w:color="auto" w:sz="4" w:space="0"/>
              <w:left w:val="single" w:color="auto" w:sz="4" w:space="0"/>
              <w:bottom w:val="single" w:color="auto" w:sz="4" w:space="0"/>
              <w:right w:val="single" w:color="auto" w:sz="4" w:space="0"/>
            </w:tcBorders>
            <w:vAlign w:val="center"/>
          </w:tcPr>
          <w:p w14:paraId="330355BB">
            <w:pPr>
              <w:jc w:val="right"/>
              <w:textAlignment w:val="bottom"/>
              <w:rPr>
                <w:rFonts w:cs="Times New Roman"/>
              </w:rPr>
            </w:pPr>
            <w:r>
              <w:rPr>
                <w:rFonts w:eastAsia="Arial Narrow" w:cs="Times New Roman"/>
                <w:color w:val="000000"/>
                <w:lang w:bidi="ar"/>
              </w:rPr>
              <w:t>565,946.87</w:t>
            </w:r>
          </w:p>
        </w:tc>
      </w:tr>
      <w:tr w14:paraId="558ED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7C3D76F0">
            <w:pPr>
              <w:textAlignment w:val="bottom"/>
              <w:rPr>
                <w:rFonts w:cs="Times New Roman"/>
              </w:rPr>
            </w:pPr>
            <w:r>
              <w:rPr>
                <w:rFonts w:cs="Times New Roman"/>
                <w:color w:val="000000"/>
                <w:lang w:bidi="ar"/>
              </w:rPr>
              <w:t>其他应付款</w:t>
            </w:r>
          </w:p>
        </w:tc>
        <w:tc>
          <w:tcPr>
            <w:tcW w:w="2034" w:type="pct"/>
            <w:tcBorders>
              <w:top w:val="single" w:color="auto" w:sz="4" w:space="0"/>
              <w:left w:val="single" w:color="auto" w:sz="4" w:space="0"/>
              <w:bottom w:val="single" w:color="auto" w:sz="4" w:space="0"/>
              <w:right w:val="single" w:color="auto" w:sz="4" w:space="0"/>
            </w:tcBorders>
            <w:vAlign w:val="center"/>
          </w:tcPr>
          <w:p w14:paraId="3C57F612">
            <w:pPr>
              <w:textAlignment w:val="top"/>
              <w:rPr>
                <w:rFonts w:cs="Times New Roman"/>
              </w:rPr>
            </w:pPr>
            <w:r>
              <w:rPr>
                <w:rFonts w:cs="Times New Roman"/>
                <w:color w:val="000000"/>
                <w:lang w:bidi="ar"/>
              </w:rPr>
              <w:t>新兴际华（北京）材料技术研究院有限公司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4149E6F5">
            <w:pPr>
              <w:jc w:val="right"/>
              <w:textAlignment w:val="bottom"/>
              <w:rPr>
                <w:rFonts w:cs="Times New Roman"/>
              </w:rPr>
            </w:pPr>
            <w:r>
              <w:rPr>
                <w:rFonts w:eastAsia="Arial Narrow" w:cs="Times New Roman"/>
                <w:color w:val="000000"/>
                <w:lang w:bidi="ar"/>
              </w:rPr>
              <w:t>1,290,000.00</w:t>
            </w:r>
          </w:p>
        </w:tc>
        <w:tc>
          <w:tcPr>
            <w:tcW w:w="1039" w:type="pct"/>
            <w:tcBorders>
              <w:top w:val="single" w:color="auto" w:sz="4" w:space="0"/>
              <w:left w:val="single" w:color="auto" w:sz="4" w:space="0"/>
              <w:bottom w:val="single" w:color="auto" w:sz="4" w:space="0"/>
              <w:right w:val="single" w:color="auto" w:sz="4" w:space="0"/>
            </w:tcBorders>
            <w:vAlign w:val="center"/>
          </w:tcPr>
          <w:p w14:paraId="29E13F77">
            <w:pPr>
              <w:jc w:val="right"/>
              <w:rPr>
                <w:rFonts w:cs="Times New Roman"/>
              </w:rPr>
            </w:pPr>
          </w:p>
        </w:tc>
      </w:tr>
      <w:tr w14:paraId="0532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2456148F">
            <w:pPr>
              <w:textAlignment w:val="bottom"/>
              <w:rPr>
                <w:rFonts w:cs="Times New Roman"/>
              </w:rPr>
            </w:pPr>
            <w:r>
              <w:rPr>
                <w:rFonts w:cs="Times New Roman"/>
                <w:color w:val="000000"/>
                <w:lang w:bidi="ar"/>
              </w:rPr>
              <w:t>其他应付款</w:t>
            </w:r>
          </w:p>
        </w:tc>
        <w:tc>
          <w:tcPr>
            <w:tcW w:w="2034" w:type="pct"/>
            <w:tcBorders>
              <w:top w:val="single" w:color="auto" w:sz="4" w:space="0"/>
              <w:left w:val="single" w:color="auto" w:sz="4" w:space="0"/>
              <w:bottom w:val="single" w:color="auto" w:sz="4" w:space="0"/>
              <w:right w:val="single" w:color="auto" w:sz="4" w:space="0"/>
            </w:tcBorders>
            <w:vAlign w:val="center"/>
          </w:tcPr>
          <w:p w14:paraId="3342AD60">
            <w:pPr>
              <w:textAlignment w:val="top"/>
              <w:rPr>
                <w:rFonts w:cs="Times New Roman"/>
              </w:rPr>
            </w:pPr>
            <w:r>
              <w:rPr>
                <w:rFonts w:cs="Times New Roman"/>
                <w:color w:val="000000"/>
                <w:lang w:bidi="ar"/>
              </w:rPr>
              <w:t>新兴际华（上海）工程科技研究院有限公司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1E3677EE">
            <w:pPr>
              <w:jc w:val="right"/>
              <w:textAlignment w:val="bottom"/>
              <w:rPr>
                <w:rFonts w:cs="Times New Roman"/>
              </w:rPr>
            </w:pPr>
            <w:r>
              <w:rPr>
                <w:rFonts w:eastAsia="Arial Narrow" w:cs="Times New Roman"/>
                <w:color w:val="000000"/>
                <w:lang w:bidi="ar"/>
              </w:rPr>
              <w:t>991,320.75</w:t>
            </w:r>
          </w:p>
        </w:tc>
        <w:tc>
          <w:tcPr>
            <w:tcW w:w="1039" w:type="pct"/>
            <w:tcBorders>
              <w:top w:val="single" w:color="auto" w:sz="4" w:space="0"/>
              <w:left w:val="single" w:color="auto" w:sz="4" w:space="0"/>
              <w:bottom w:val="single" w:color="auto" w:sz="4" w:space="0"/>
              <w:right w:val="single" w:color="auto" w:sz="4" w:space="0"/>
            </w:tcBorders>
            <w:vAlign w:val="center"/>
          </w:tcPr>
          <w:p w14:paraId="78F34D04">
            <w:pPr>
              <w:jc w:val="right"/>
              <w:rPr>
                <w:rFonts w:cs="Times New Roman"/>
              </w:rPr>
            </w:pPr>
          </w:p>
        </w:tc>
      </w:tr>
      <w:tr w14:paraId="5B14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7711B634">
            <w:pPr>
              <w:textAlignment w:val="bottom"/>
              <w:rPr>
                <w:rFonts w:cs="Times New Roman"/>
              </w:rPr>
            </w:pPr>
            <w:r>
              <w:rPr>
                <w:rFonts w:cs="Times New Roman"/>
                <w:color w:val="000000"/>
                <w:lang w:bidi="ar"/>
              </w:rPr>
              <w:t>其他应付款</w:t>
            </w:r>
          </w:p>
        </w:tc>
        <w:tc>
          <w:tcPr>
            <w:tcW w:w="2034" w:type="pct"/>
            <w:tcBorders>
              <w:top w:val="single" w:color="auto" w:sz="4" w:space="0"/>
              <w:left w:val="single" w:color="auto" w:sz="4" w:space="0"/>
              <w:bottom w:val="single" w:color="auto" w:sz="4" w:space="0"/>
              <w:right w:val="single" w:color="auto" w:sz="4" w:space="0"/>
            </w:tcBorders>
            <w:vAlign w:val="center"/>
          </w:tcPr>
          <w:p w14:paraId="66E06985">
            <w:pPr>
              <w:textAlignment w:val="top"/>
              <w:rPr>
                <w:rFonts w:cs="Times New Roman"/>
              </w:rPr>
            </w:pPr>
            <w:r>
              <w:rPr>
                <w:rFonts w:cs="Times New Roman"/>
                <w:color w:val="000000"/>
                <w:lang w:bidi="ar"/>
              </w:rPr>
              <w:t>新兴重工集团有限公司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6B36CFF9">
            <w:pPr>
              <w:jc w:val="right"/>
              <w:textAlignment w:val="bottom"/>
              <w:rPr>
                <w:rFonts w:cs="Times New Roman"/>
              </w:rPr>
            </w:pPr>
            <w:r>
              <w:rPr>
                <w:rFonts w:eastAsia="Arial Narrow" w:cs="Times New Roman"/>
                <w:color w:val="000000"/>
                <w:lang w:bidi="ar"/>
              </w:rPr>
              <w:t>650,000.00</w:t>
            </w:r>
          </w:p>
        </w:tc>
        <w:tc>
          <w:tcPr>
            <w:tcW w:w="1039" w:type="pct"/>
            <w:tcBorders>
              <w:top w:val="single" w:color="auto" w:sz="4" w:space="0"/>
              <w:left w:val="single" w:color="auto" w:sz="4" w:space="0"/>
              <w:bottom w:val="single" w:color="auto" w:sz="4" w:space="0"/>
              <w:right w:val="single" w:color="auto" w:sz="4" w:space="0"/>
            </w:tcBorders>
            <w:vAlign w:val="center"/>
          </w:tcPr>
          <w:p w14:paraId="7142E783">
            <w:pPr>
              <w:jc w:val="right"/>
              <w:textAlignment w:val="bottom"/>
              <w:rPr>
                <w:rFonts w:cs="Times New Roman"/>
              </w:rPr>
            </w:pPr>
            <w:r>
              <w:rPr>
                <w:rFonts w:eastAsia="Arial Narrow" w:cs="Times New Roman"/>
                <w:color w:val="000000"/>
                <w:lang w:bidi="ar"/>
              </w:rPr>
              <w:t>650,000.00</w:t>
            </w:r>
          </w:p>
        </w:tc>
      </w:tr>
      <w:tr w14:paraId="5D36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430CFDE6">
            <w:pPr>
              <w:textAlignment w:val="bottom"/>
              <w:rPr>
                <w:rFonts w:cs="Times New Roman"/>
              </w:rPr>
            </w:pPr>
            <w:r>
              <w:rPr>
                <w:rFonts w:cs="Times New Roman"/>
                <w:color w:val="000000"/>
                <w:lang w:bidi="ar"/>
              </w:rPr>
              <w:t>其他应付款</w:t>
            </w:r>
          </w:p>
        </w:tc>
        <w:tc>
          <w:tcPr>
            <w:tcW w:w="2034" w:type="pct"/>
            <w:tcBorders>
              <w:top w:val="single" w:color="auto" w:sz="4" w:space="0"/>
              <w:left w:val="single" w:color="auto" w:sz="4" w:space="0"/>
              <w:bottom w:val="single" w:color="auto" w:sz="4" w:space="0"/>
              <w:right w:val="single" w:color="auto" w:sz="4" w:space="0"/>
            </w:tcBorders>
            <w:vAlign w:val="center"/>
          </w:tcPr>
          <w:p w14:paraId="594780BA">
            <w:pPr>
              <w:textAlignment w:val="top"/>
              <w:rPr>
                <w:rFonts w:cs="Times New Roman"/>
              </w:rPr>
            </w:pPr>
            <w:r>
              <w:rPr>
                <w:rFonts w:cs="Times New Roman"/>
                <w:color w:val="000000"/>
                <w:lang w:bidi="ar"/>
              </w:rPr>
              <w:t>新兴际华集团财务有限公司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2244CF6A">
            <w:pPr>
              <w:jc w:val="right"/>
              <w:textAlignment w:val="bottom"/>
              <w:rPr>
                <w:rFonts w:cs="Times New Roman"/>
              </w:rPr>
            </w:pPr>
            <w:r>
              <w:rPr>
                <w:rFonts w:eastAsia="Arial Narrow" w:cs="Times New Roman"/>
                <w:color w:val="000000"/>
                <w:lang w:bidi="ar"/>
              </w:rPr>
              <w:t>287,755.55</w:t>
            </w:r>
          </w:p>
        </w:tc>
        <w:tc>
          <w:tcPr>
            <w:tcW w:w="1039" w:type="pct"/>
            <w:tcBorders>
              <w:top w:val="single" w:color="auto" w:sz="4" w:space="0"/>
              <w:left w:val="single" w:color="auto" w:sz="4" w:space="0"/>
              <w:bottom w:val="single" w:color="auto" w:sz="4" w:space="0"/>
              <w:right w:val="single" w:color="auto" w:sz="4" w:space="0"/>
            </w:tcBorders>
            <w:vAlign w:val="center"/>
          </w:tcPr>
          <w:p w14:paraId="68207AC5">
            <w:pPr>
              <w:jc w:val="right"/>
              <w:rPr>
                <w:rFonts w:cs="Times New Roman"/>
              </w:rPr>
            </w:pPr>
          </w:p>
        </w:tc>
      </w:tr>
      <w:tr w14:paraId="1752D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1BBA5A81">
            <w:pPr>
              <w:textAlignment w:val="bottom"/>
              <w:rPr>
                <w:rFonts w:cs="Times New Roman"/>
              </w:rPr>
            </w:pPr>
            <w:r>
              <w:rPr>
                <w:rFonts w:cs="Times New Roman"/>
                <w:color w:val="000000"/>
                <w:lang w:bidi="ar"/>
              </w:rPr>
              <w:t>其他应付款</w:t>
            </w:r>
          </w:p>
        </w:tc>
        <w:tc>
          <w:tcPr>
            <w:tcW w:w="2034" w:type="pct"/>
            <w:tcBorders>
              <w:top w:val="single" w:color="auto" w:sz="4" w:space="0"/>
              <w:left w:val="single" w:color="auto" w:sz="4" w:space="0"/>
              <w:bottom w:val="single" w:color="auto" w:sz="4" w:space="0"/>
              <w:right w:val="single" w:color="auto" w:sz="4" w:space="0"/>
            </w:tcBorders>
            <w:vAlign w:val="center"/>
          </w:tcPr>
          <w:p w14:paraId="523506D8">
            <w:pPr>
              <w:textAlignment w:val="top"/>
              <w:rPr>
                <w:rFonts w:cs="Times New Roman"/>
              </w:rPr>
            </w:pPr>
            <w:r>
              <w:rPr>
                <w:rFonts w:cs="Times New Roman"/>
                <w:color w:val="000000"/>
                <w:lang w:bidi="ar"/>
              </w:rPr>
              <w:t>秦皇岛际华三五四四鞋业有限公司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6AA5B0F2">
            <w:pPr>
              <w:jc w:val="right"/>
              <w:textAlignment w:val="bottom"/>
              <w:rPr>
                <w:rFonts w:cs="Times New Roman"/>
              </w:rPr>
            </w:pPr>
            <w:r>
              <w:rPr>
                <w:rFonts w:eastAsia="Arial Narrow" w:cs="Times New Roman"/>
                <w:color w:val="000000"/>
                <w:lang w:bidi="ar"/>
              </w:rPr>
              <w:t>260,761.00</w:t>
            </w:r>
          </w:p>
        </w:tc>
        <w:tc>
          <w:tcPr>
            <w:tcW w:w="1039" w:type="pct"/>
            <w:tcBorders>
              <w:top w:val="single" w:color="auto" w:sz="4" w:space="0"/>
              <w:left w:val="single" w:color="auto" w:sz="4" w:space="0"/>
              <w:bottom w:val="single" w:color="auto" w:sz="4" w:space="0"/>
              <w:right w:val="single" w:color="auto" w:sz="4" w:space="0"/>
            </w:tcBorders>
            <w:vAlign w:val="center"/>
          </w:tcPr>
          <w:p w14:paraId="18C7559B">
            <w:pPr>
              <w:jc w:val="right"/>
              <w:textAlignment w:val="bottom"/>
              <w:rPr>
                <w:rFonts w:cs="Times New Roman"/>
              </w:rPr>
            </w:pPr>
            <w:r>
              <w:rPr>
                <w:rFonts w:eastAsia="Arial Narrow" w:cs="Times New Roman"/>
                <w:color w:val="000000"/>
                <w:lang w:bidi="ar"/>
              </w:rPr>
              <w:t>260,761.00</w:t>
            </w:r>
          </w:p>
        </w:tc>
      </w:tr>
      <w:tr w14:paraId="5F48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58FC74F2">
            <w:pPr>
              <w:textAlignment w:val="bottom"/>
              <w:rPr>
                <w:rFonts w:cs="Times New Roman"/>
              </w:rPr>
            </w:pPr>
            <w:r>
              <w:rPr>
                <w:rFonts w:cs="Times New Roman"/>
                <w:color w:val="000000"/>
                <w:lang w:bidi="ar"/>
              </w:rPr>
              <w:t>其他应付款</w:t>
            </w:r>
          </w:p>
        </w:tc>
        <w:tc>
          <w:tcPr>
            <w:tcW w:w="2034" w:type="pct"/>
            <w:tcBorders>
              <w:top w:val="single" w:color="auto" w:sz="4" w:space="0"/>
              <w:left w:val="single" w:color="auto" w:sz="4" w:space="0"/>
              <w:bottom w:val="single" w:color="auto" w:sz="4" w:space="0"/>
              <w:right w:val="single" w:color="auto" w:sz="4" w:space="0"/>
            </w:tcBorders>
            <w:vAlign w:val="center"/>
          </w:tcPr>
          <w:p w14:paraId="50396FB6">
            <w:pPr>
              <w:textAlignment w:val="top"/>
              <w:rPr>
                <w:rFonts w:cs="Times New Roman"/>
              </w:rPr>
            </w:pPr>
            <w:r>
              <w:rPr>
                <w:rFonts w:cs="Times New Roman"/>
                <w:color w:val="000000"/>
                <w:lang w:bidi="ar"/>
              </w:rPr>
              <w:t>济南泰山鞋厂</w:t>
            </w:r>
          </w:p>
        </w:tc>
        <w:tc>
          <w:tcPr>
            <w:tcW w:w="1085" w:type="pct"/>
            <w:tcBorders>
              <w:top w:val="single" w:color="auto" w:sz="4" w:space="0"/>
              <w:left w:val="single" w:color="auto" w:sz="4" w:space="0"/>
              <w:bottom w:val="single" w:color="auto" w:sz="4" w:space="0"/>
              <w:right w:val="single" w:color="auto" w:sz="4" w:space="0"/>
            </w:tcBorders>
            <w:vAlign w:val="center"/>
          </w:tcPr>
          <w:p w14:paraId="699B620C">
            <w:pPr>
              <w:jc w:val="right"/>
              <w:textAlignment w:val="bottom"/>
              <w:rPr>
                <w:rFonts w:cs="Times New Roman"/>
              </w:rPr>
            </w:pPr>
            <w:r>
              <w:rPr>
                <w:rFonts w:eastAsia="Arial Narrow" w:cs="Times New Roman"/>
                <w:color w:val="000000"/>
                <w:lang w:bidi="ar"/>
              </w:rPr>
              <w:t>160,000.00</w:t>
            </w:r>
          </w:p>
        </w:tc>
        <w:tc>
          <w:tcPr>
            <w:tcW w:w="1039" w:type="pct"/>
            <w:tcBorders>
              <w:top w:val="single" w:color="auto" w:sz="4" w:space="0"/>
              <w:left w:val="single" w:color="auto" w:sz="4" w:space="0"/>
              <w:bottom w:val="single" w:color="auto" w:sz="4" w:space="0"/>
              <w:right w:val="single" w:color="auto" w:sz="4" w:space="0"/>
            </w:tcBorders>
            <w:vAlign w:val="center"/>
          </w:tcPr>
          <w:p w14:paraId="6E61E8FF">
            <w:pPr>
              <w:jc w:val="right"/>
              <w:textAlignment w:val="bottom"/>
              <w:rPr>
                <w:rFonts w:cs="Times New Roman"/>
              </w:rPr>
            </w:pPr>
            <w:r>
              <w:rPr>
                <w:rFonts w:eastAsia="Arial Narrow" w:cs="Times New Roman"/>
                <w:color w:val="000000"/>
                <w:lang w:bidi="ar"/>
              </w:rPr>
              <w:t>160,000.00</w:t>
            </w:r>
          </w:p>
        </w:tc>
      </w:tr>
      <w:tr w14:paraId="4E60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0E890B26">
            <w:pPr>
              <w:textAlignment w:val="bottom"/>
              <w:rPr>
                <w:rFonts w:cs="Times New Roman"/>
              </w:rPr>
            </w:pPr>
            <w:r>
              <w:rPr>
                <w:rFonts w:cs="Times New Roman"/>
                <w:color w:val="000000"/>
                <w:lang w:bidi="ar"/>
              </w:rPr>
              <w:t>其他应付款</w:t>
            </w:r>
          </w:p>
        </w:tc>
        <w:tc>
          <w:tcPr>
            <w:tcW w:w="2034" w:type="pct"/>
            <w:tcBorders>
              <w:top w:val="single" w:color="auto" w:sz="4" w:space="0"/>
              <w:left w:val="single" w:color="auto" w:sz="4" w:space="0"/>
              <w:bottom w:val="single" w:color="auto" w:sz="4" w:space="0"/>
              <w:right w:val="single" w:color="auto" w:sz="4" w:space="0"/>
            </w:tcBorders>
            <w:vAlign w:val="center"/>
          </w:tcPr>
          <w:p w14:paraId="09AE6261">
            <w:pPr>
              <w:textAlignment w:val="top"/>
              <w:rPr>
                <w:rFonts w:cs="Times New Roman"/>
              </w:rPr>
            </w:pPr>
            <w:r>
              <w:rPr>
                <w:rFonts w:cs="Times New Roman"/>
                <w:color w:val="000000"/>
                <w:lang w:bidi="ar"/>
              </w:rPr>
              <w:t>南京际华五三零二科技发展有限公司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7A149E51">
            <w:pPr>
              <w:jc w:val="right"/>
              <w:textAlignment w:val="bottom"/>
              <w:rPr>
                <w:rFonts w:cs="Times New Roman"/>
              </w:rPr>
            </w:pPr>
            <w:r>
              <w:rPr>
                <w:rFonts w:eastAsia="Arial Narrow" w:cs="Times New Roman"/>
                <w:color w:val="000000"/>
                <w:lang w:bidi="ar"/>
              </w:rPr>
              <w:t>85,714.26</w:t>
            </w:r>
          </w:p>
        </w:tc>
        <w:tc>
          <w:tcPr>
            <w:tcW w:w="1039" w:type="pct"/>
            <w:tcBorders>
              <w:top w:val="single" w:color="auto" w:sz="4" w:space="0"/>
              <w:left w:val="single" w:color="auto" w:sz="4" w:space="0"/>
              <w:bottom w:val="single" w:color="auto" w:sz="4" w:space="0"/>
              <w:right w:val="single" w:color="auto" w:sz="4" w:space="0"/>
            </w:tcBorders>
            <w:vAlign w:val="center"/>
          </w:tcPr>
          <w:p w14:paraId="5283288E">
            <w:pPr>
              <w:jc w:val="right"/>
              <w:textAlignment w:val="bottom"/>
              <w:rPr>
                <w:rFonts w:cs="Times New Roman"/>
              </w:rPr>
            </w:pPr>
            <w:r>
              <w:rPr>
                <w:rFonts w:eastAsia="Arial Narrow" w:cs="Times New Roman"/>
                <w:color w:val="000000"/>
                <w:lang w:bidi="ar"/>
              </w:rPr>
              <w:t>85,714.26</w:t>
            </w:r>
          </w:p>
        </w:tc>
      </w:tr>
      <w:tr w14:paraId="0E987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582DDD7D">
            <w:pPr>
              <w:textAlignment w:val="bottom"/>
              <w:rPr>
                <w:rFonts w:cs="Times New Roman"/>
              </w:rPr>
            </w:pPr>
            <w:r>
              <w:rPr>
                <w:rFonts w:cs="Times New Roman"/>
                <w:color w:val="000000"/>
                <w:lang w:bidi="ar"/>
              </w:rPr>
              <w:t>其他应付款</w:t>
            </w:r>
          </w:p>
        </w:tc>
        <w:tc>
          <w:tcPr>
            <w:tcW w:w="2034" w:type="pct"/>
            <w:tcBorders>
              <w:top w:val="single" w:color="auto" w:sz="4" w:space="0"/>
              <w:left w:val="single" w:color="auto" w:sz="4" w:space="0"/>
              <w:bottom w:val="single" w:color="auto" w:sz="4" w:space="0"/>
              <w:right w:val="single" w:color="auto" w:sz="4" w:space="0"/>
            </w:tcBorders>
            <w:vAlign w:val="center"/>
          </w:tcPr>
          <w:p w14:paraId="0735DDD7">
            <w:pPr>
              <w:textAlignment w:val="top"/>
              <w:rPr>
                <w:rFonts w:cs="Times New Roman"/>
              </w:rPr>
            </w:pPr>
            <w:r>
              <w:rPr>
                <w:rFonts w:cs="Times New Roman"/>
                <w:color w:val="000000"/>
                <w:lang w:bidi="ar"/>
              </w:rPr>
              <w:t>贵州际华三五三五商贸有限公司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3DEBD6F8">
            <w:pPr>
              <w:jc w:val="right"/>
              <w:textAlignment w:val="bottom"/>
              <w:rPr>
                <w:rFonts w:cs="Times New Roman"/>
              </w:rPr>
            </w:pPr>
            <w:r>
              <w:rPr>
                <w:rFonts w:eastAsia="Arial Narrow" w:cs="Times New Roman"/>
                <w:color w:val="000000"/>
                <w:lang w:bidi="ar"/>
              </w:rPr>
              <w:t>41,323.94</w:t>
            </w:r>
          </w:p>
        </w:tc>
        <w:tc>
          <w:tcPr>
            <w:tcW w:w="1039" w:type="pct"/>
            <w:tcBorders>
              <w:top w:val="single" w:color="auto" w:sz="4" w:space="0"/>
              <w:left w:val="single" w:color="auto" w:sz="4" w:space="0"/>
              <w:bottom w:val="single" w:color="auto" w:sz="4" w:space="0"/>
              <w:right w:val="single" w:color="auto" w:sz="4" w:space="0"/>
            </w:tcBorders>
            <w:vAlign w:val="center"/>
          </w:tcPr>
          <w:p w14:paraId="30B45F53">
            <w:pPr>
              <w:jc w:val="right"/>
              <w:textAlignment w:val="bottom"/>
              <w:rPr>
                <w:rFonts w:cs="Times New Roman"/>
              </w:rPr>
            </w:pPr>
            <w:r>
              <w:rPr>
                <w:rFonts w:eastAsia="Arial Narrow" w:cs="Times New Roman"/>
                <w:color w:val="000000"/>
                <w:lang w:bidi="ar"/>
              </w:rPr>
              <w:t>41,323.94</w:t>
            </w:r>
          </w:p>
        </w:tc>
      </w:tr>
      <w:tr w14:paraId="410F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3F2734F5">
            <w:pPr>
              <w:textAlignment w:val="bottom"/>
              <w:rPr>
                <w:rFonts w:cs="Times New Roman"/>
              </w:rPr>
            </w:pPr>
            <w:r>
              <w:rPr>
                <w:rFonts w:cs="Times New Roman"/>
                <w:color w:val="000000"/>
                <w:lang w:bidi="ar"/>
              </w:rPr>
              <w:t>其他应付款</w:t>
            </w:r>
          </w:p>
        </w:tc>
        <w:tc>
          <w:tcPr>
            <w:tcW w:w="2034" w:type="pct"/>
            <w:tcBorders>
              <w:top w:val="single" w:color="auto" w:sz="4" w:space="0"/>
              <w:left w:val="single" w:color="auto" w:sz="4" w:space="0"/>
              <w:bottom w:val="single" w:color="auto" w:sz="4" w:space="0"/>
              <w:right w:val="single" w:color="auto" w:sz="4" w:space="0"/>
            </w:tcBorders>
            <w:vAlign w:val="center"/>
          </w:tcPr>
          <w:p w14:paraId="040EC845">
            <w:pPr>
              <w:textAlignment w:val="top"/>
              <w:rPr>
                <w:rFonts w:cs="Times New Roman"/>
              </w:rPr>
            </w:pPr>
            <w:r>
              <w:rPr>
                <w:rFonts w:cs="Times New Roman"/>
                <w:color w:val="000000"/>
                <w:lang w:bidi="ar"/>
              </w:rPr>
              <w:t>新兴际华检验检测（北京）有限公司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1684D153">
            <w:pPr>
              <w:jc w:val="right"/>
              <w:textAlignment w:val="bottom"/>
              <w:rPr>
                <w:rFonts w:cs="Times New Roman"/>
              </w:rPr>
            </w:pPr>
            <w:r>
              <w:rPr>
                <w:rFonts w:eastAsia="Arial Narrow" w:cs="Times New Roman"/>
                <w:color w:val="000000"/>
                <w:lang w:bidi="ar"/>
              </w:rPr>
              <w:t>34,367.00</w:t>
            </w:r>
          </w:p>
        </w:tc>
        <w:tc>
          <w:tcPr>
            <w:tcW w:w="1039" w:type="pct"/>
            <w:tcBorders>
              <w:top w:val="single" w:color="auto" w:sz="4" w:space="0"/>
              <w:left w:val="single" w:color="auto" w:sz="4" w:space="0"/>
              <w:bottom w:val="single" w:color="auto" w:sz="4" w:space="0"/>
              <w:right w:val="single" w:color="auto" w:sz="4" w:space="0"/>
            </w:tcBorders>
            <w:vAlign w:val="center"/>
          </w:tcPr>
          <w:p w14:paraId="57F694C2">
            <w:pPr>
              <w:jc w:val="right"/>
              <w:textAlignment w:val="bottom"/>
              <w:rPr>
                <w:rFonts w:cs="Times New Roman"/>
              </w:rPr>
            </w:pPr>
            <w:r>
              <w:rPr>
                <w:rFonts w:eastAsia="Arial Narrow" w:cs="Times New Roman"/>
                <w:color w:val="000000"/>
                <w:lang w:bidi="ar"/>
              </w:rPr>
              <w:t>8,515.50</w:t>
            </w:r>
          </w:p>
        </w:tc>
      </w:tr>
      <w:tr w14:paraId="30D9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0C923489">
            <w:pPr>
              <w:textAlignment w:val="bottom"/>
              <w:rPr>
                <w:rFonts w:cs="Times New Roman"/>
              </w:rPr>
            </w:pPr>
            <w:r>
              <w:rPr>
                <w:rFonts w:cs="Times New Roman"/>
                <w:color w:val="000000"/>
                <w:lang w:bidi="ar"/>
              </w:rPr>
              <w:t>其他应付款</w:t>
            </w:r>
          </w:p>
        </w:tc>
        <w:tc>
          <w:tcPr>
            <w:tcW w:w="2034" w:type="pct"/>
            <w:tcBorders>
              <w:top w:val="single" w:color="auto" w:sz="4" w:space="0"/>
              <w:left w:val="single" w:color="auto" w:sz="4" w:space="0"/>
              <w:bottom w:val="single" w:color="auto" w:sz="4" w:space="0"/>
              <w:right w:val="single" w:color="auto" w:sz="4" w:space="0"/>
            </w:tcBorders>
            <w:vAlign w:val="center"/>
          </w:tcPr>
          <w:p w14:paraId="2C0E9309">
            <w:pPr>
              <w:textAlignment w:val="top"/>
              <w:rPr>
                <w:rFonts w:cs="Times New Roman"/>
              </w:rPr>
            </w:pPr>
            <w:r>
              <w:rPr>
                <w:rFonts w:cs="Times New Roman"/>
                <w:color w:val="000000"/>
                <w:lang w:bidi="ar"/>
              </w:rPr>
              <w:t>新兴际华伊犁农牧科技发展有限公司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0B7086F8">
            <w:pPr>
              <w:jc w:val="right"/>
              <w:textAlignment w:val="bottom"/>
              <w:rPr>
                <w:rFonts w:cs="Times New Roman"/>
              </w:rPr>
            </w:pPr>
            <w:r>
              <w:rPr>
                <w:rFonts w:eastAsia="Arial Narrow" w:cs="Times New Roman"/>
                <w:color w:val="000000"/>
                <w:lang w:bidi="ar"/>
              </w:rPr>
              <w:t>18,732.00</w:t>
            </w:r>
          </w:p>
        </w:tc>
        <w:tc>
          <w:tcPr>
            <w:tcW w:w="1039" w:type="pct"/>
            <w:tcBorders>
              <w:top w:val="single" w:color="auto" w:sz="4" w:space="0"/>
              <w:left w:val="single" w:color="auto" w:sz="4" w:space="0"/>
              <w:bottom w:val="single" w:color="auto" w:sz="4" w:space="0"/>
              <w:right w:val="single" w:color="auto" w:sz="4" w:space="0"/>
            </w:tcBorders>
            <w:vAlign w:val="center"/>
          </w:tcPr>
          <w:p w14:paraId="09D97AB7">
            <w:pPr>
              <w:jc w:val="right"/>
              <w:textAlignment w:val="bottom"/>
              <w:rPr>
                <w:rFonts w:cs="Times New Roman"/>
              </w:rPr>
            </w:pPr>
            <w:r>
              <w:rPr>
                <w:rFonts w:eastAsia="Arial Narrow" w:cs="Times New Roman"/>
                <w:color w:val="000000"/>
                <w:lang w:bidi="ar"/>
              </w:rPr>
              <w:t>18,732.00</w:t>
            </w:r>
          </w:p>
        </w:tc>
      </w:tr>
      <w:tr w14:paraId="33B2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3F44815D">
            <w:pPr>
              <w:textAlignment w:val="bottom"/>
              <w:rPr>
                <w:rFonts w:cs="Times New Roman"/>
              </w:rPr>
            </w:pPr>
            <w:r>
              <w:rPr>
                <w:rFonts w:cs="Times New Roman"/>
                <w:color w:val="000000"/>
                <w:lang w:bidi="ar"/>
              </w:rPr>
              <w:t>其他应付款</w:t>
            </w:r>
          </w:p>
        </w:tc>
        <w:tc>
          <w:tcPr>
            <w:tcW w:w="2034" w:type="pct"/>
            <w:tcBorders>
              <w:top w:val="single" w:color="auto" w:sz="4" w:space="0"/>
              <w:left w:val="single" w:color="auto" w:sz="4" w:space="0"/>
              <w:bottom w:val="single" w:color="auto" w:sz="4" w:space="0"/>
              <w:right w:val="single" w:color="auto" w:sz="4" w:space="0"/>
            </w:tcBorders>
            <w:vAlign w:val="center"/>
          </w:tcPr>
          <w:p w14:paraId="765AFB16">
            <w:pPr>
              <w:textAlignment w:val="top"/>
              <w:rPr>
                <w:rFonts w:cs="Times New Roman"/>
              </w:rPr>
            </w:pPr>
            <w:r>
              <w:rPr>
                <w:rFonts w:cs="Times New Roman"/>
                <w:color w:val="000000"/>
                <w:lang w:bidi="ar"/>
              </w:rPr>
              <w:t>上海际华物流有限公司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7F669497">
            <w:pPr>
              <w:jc w:val="right"/>
              <w:textAlignment w:val="bottom"/>
              <w:rPr>
                <w:rFonts w:cs="Times New Roman"/>
              </w:rPr>
            </w:pPr>
            <w:r>
              <w:rPr>
                <w:rFonts w:eastAsia="Arial Narrow" w:cs="Times New Roman"/>
                <w:color w:val="000000"/>
                <w:lang w:bidi="ar"/>
              </w:rPr>
              <w:t>1,500.00</w:t>
            </w:r>
          </w:p>
        </w:tc>
        <w:tc>
          <w:tcPr>
            <w:tcW w:w="1039" w:type="pct"/>
            <w:tcBorders>
              <w:top w:val="single" w:color="auto" w:sz="4" w:space="0"/>
              <w:left w:val="single" w:color="auto" w:sz="4" w:space="0"/>
              <w:bottom w:val="single" w:color="auto" w:sz="4" w:space="0"/>
              <w:right w:val="single" w:color="auto" w:sz="4" w:space="0"/>
            </w:tcBorders>
            <w:vAlign w:val="center"/>
          </w:tcPr>
          <w:p w14:paraId="1AEAE068">
            <w:pPr>
              <w:jc w:val="right"/>
              <w:textAlignment w:val="bottom"/>
              <w:rPr>
                <w:rFonts w:cs="Times New Roman"/>
              </w:rPr>
            </w:pPr>
            <w:r>
              <w:rPr>
                <w:rFonts w:eastAsia="Arial Narrow" w:cs="Times New Roman"/>
                <w:color w:val="000000"/>
                <w:lang w:bidi="ar"/>
              </w:rPr>
              <w:t>1,500.00</w:t>
            </w:r>
          </w:p>
        </w:tc>
      </w:tr>
      <w:tr w14:paraId="1327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727EB91D">
            <w:pPr>
              <w:textAlignment w:val="bottom"/>
              <w:rPr>
                <w:rFonts w:cs="Times New Roman"/>
              </w:rPr>
            </w:pPr>
            <w:r>
              <w:rPr>
                <w:rFonts w:cs="Times New Roman"/>
                <w:color w:val="000000"/>
                <w:lang w:bidi="ar"/>
              </w:rPr>
              <w:t>其他应付款</w:t>
            </w:r>
          </w:p>
        </w:tc>
        <w:tc>
          <w:tcPr>
            <w:tcW w:w="2034" w:type="pct"/>
            <w:tcBorders>
              <w:top w:val="single" w:color="auto" w:sz="4" w:space="0"/>
              <w:left w:val="single" w:color="auto" w:sz="4" w:space="0"/>
              <w:bottom w:val="single" w:color="auto" w:sz="4" w:space="0"/>
              <w:right w:val="single" w:color="auto" w:sz="4" w:space="0"/>
            </w:tcBorders>
            <w:vAlign w:val="center"/>
          </w:tcPr>
          <w:p w14:paraId="781A9759">
            <w:pPr>
              <w:textAlignment w:val="top"/>
              <w:rPr>
                <w:rFonts w:cs="Times New Roman"/>
              </w:rPr>
            </w:pPr>
            <w:r>
              <w:rPr>
                <w:rFonts w:cs="Times New Roman"/>
                <w:color w:val="000000"/>
                <w:lang w:bidi="ar"/>
              </w:rPr>
              <w:t>新兴铸管股份有限公司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6F4D8C21">
            <w:pPr>
              <w:jc w:val="right"/>
              <w:rPr>
                <w:rFonts w:cs="Times New Roman"/>
              </w:rPr>
            </w:pPr>
          </w:p>
        </w:tc>
        <w:tc>
          <w:tcPr>
            <w:tcW w:w="1039" w:type="pct"/>
            <w:tcBorders>
              <w:top w:val="single" w:color="auto" w:sz="4" w:space="0"/>
              <w:left w:val="single" w:color="auto" w:sz="4" w:space="0"/>
              <w:bottom w:val="single" w:color="auto" w:sz="4" w:space="0"/>
              <w:right w:val="single" w:color="auto" w:sz="4" w:space="0"/>
            </w:tcBorders>
            <w:vAlign w:val="center"/>
          </w:tcPr>
          <w:p w14:paraId="0E296B83">
            <w:pPr>
              <w:jc w:val="right"/>
              <w:textAlignment w:val="bottom"/>
              <w:rPr>
                <w:rFonts w:cs="Times New Roman"/>
              </w:rPr>
            </w:pPr>
            <w:r>
              <w:rPr>
                <w:rFonts w:eastAsia="Arial Narrow" w:cs="Times New Roman"/>
                <w:color w:val="000000"/>
                <w:lang w:bidi="ar"/>
              </w:rPr>
              <w:t>57,245.84</w:t>
            </w:r>
          </w:p>
        </w:tc>
      </w:tr>
      <w:tr w14:paraId="0A5D6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3720007E">
            <w:pPr>
              <w:textAlignment w:val="bottom"/>
              <w:rPr>
                <w:rFonts w:cs="Times New Roman"/>
              </w:rPr>
            </w:pPr>
            <w:r>
              <w:rPr>
                <w:rFonts w:cs="Times New Roman"/>
                <w:color w:val="000000"/>
                <w:lang w:bidi="ar"/>
              </w:rPr>
              <w:t>预收款项</w:t>
            </w:r>
          </w:p>
        </w:tc>
        <w:tc>
          <w:tcPr>
            <w:tcW w:w="2034" w:type="pct"/>
            <w:tcBorders>
              <w:top w:val="single" w:color="auto" w:sz="4" w:space="0"/>
              <w:left w:val="single" w:color="auto" w:sz="4" w:space="0"/>
              <w:bottom w:val="single" w:color="auto" w:sz="4" w:space="0"/>
              <w:right w:val="single" w:color="auto" w:sz="4" w:space="0"/>
            </w:tcBorders>
            <w:vAlign w:val="center"/>
          </w:tcPr>
          <w:p w14:paraId="60330D6A">
            <w:pPr>
              <w:rPr>
                <w:rFonts w:cs="Times New Roman"/>
              </w:rPr>
            </w:pPr>
          </w:p>
        </w:tc>
        <w:tc>
          <w:tcPr>
            <w:tcW w:w="1085" w:type="pct"/>
            <w:tcBorders>
              <w:top w:val="single" w:color="auto" w:sz="4" w:space="0"/>
              <w:left w:val="single" w:color="auto" w:sz="4" w:space="0"/>
              <w:bottom w:val="single" w:color="auto" w:sz="4" w:space="0"/>
              <w:right w:val="single" w:color="auto" w:sz="4" w:space="0"/>
            </w:tcBorders>
            <w:vAlign w:val="center"/>
          </w:tcPr>
          <w:p w14:paraId="11F0F65B">
            <w:pPr>
              <w:jc w:val="right"/>
              <w:rPr>
                <w:rFonts w:cs="Times New Roman"/>
              </w:rPr>
            </w:pPr>
          </w:p>
        </w:tc>
        <w:tc>
          <w:tcPr>
            <w:tcW w:w="1039" w:type="pct"/>
            <w:tcBorders>
              <w:top w:val="single" w:color="auto" w:sz="4" w:space="0"/>
              <w:left w:val="single" w:color="auto" w:sz="4" w:space="0"/>
              <w:bottom w:val="single" w:color="auto" w:sz="4" w:space="0"/>
              <w:right w:val="single" w:color="auto" w:sz="4" w:space="0"/>
            </w:tcBorders>
            <w:vAlign w:val="center"/>
          </w:tcPr>
          <w:p w14:paraId="0100675D">
            <w:pPr>
              <w:jc w:val="right"/>
              <w:rPr>
                <w:rFonts w:cs="Times New Roman"/>
              </w:rPr>
            </w:pPr>
          </w:p>
        </w:tc>
      </w:tr>
      <w:tr w14:paraId="6CED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2A51CAE2">
            <w:pPr>
              <w:textAlignment w:val="bottom"/>
              <w:rPr>
                <w:rFonts w:cs="Times New Roman"/>
              </w:rPr>
            </w:pPr>
            <w:r>
              <w:rPr>
                <w:rFonts w:cs="Times New Roman"/>
                <w:color w:val="000000"/>
                <w:lang w:bidi="ar"/>
              </w:rPr>
              <w:t>预收款项</w:t>
            </w:r>
          </w:p>
        </w:tc>
        <w:tc>
          <w:tcPr>
            <w:tcW w:w="2034" w:type="pct"/>
            <w:tcBorders>
              <w:top w:val="single" w:color="auto" w:sz="4" w:space="0"/>
              <w:left w:val="single" w:color="auto" w:sz="4" w:space="0"/>
              <w:bottom w:val="single" w:color="auto" w:sz="4" w:space="0"/>
              <w:right w:val="single" w:color="auto" w:sz="4" w:space="0"/>
            </w:tcBorders>
            <w:vAlign w:val="center"/>
          </w:tcPr>
          <w:p w14:paraId="3EFCC8F2">
            <w:pPr>
              <w:textAlignment w:val="top"/>
              <w:rPr>
                <w:rFonts w:cs="Times New Roman"/>
              </w:rPr>
            </w:pPr>
            <w:r>
              <w:rPr>
                <w:rFonts w:cs="Times New Roman"/>
                <w:color w:val="000000"/>
                <w:lang w:bidi="ar"/>
              </w:rPr>
              <w:t>新兴际华集团有限公司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24B9E637">
            <w:pPr>
              <w:jc w:val="right"/>
              <w:textAlignment w:val="bottom"/>
              <w:rPr>
                <w:rFonts w:cs="Times New Roman"/>
              </w:rPr>
            </w:pPr>
            <w:r>
              <w:rPr>
                <w:rFonts w:eastAsia="Arial Narrow" w:cs="Times New Roman"/>
                <w:color w:val="000000"/>
                <w:lang w:bidi="ar"/>
              </w:rPr>
              <w:t>29,380.00</w:t>
            </w:r>
          </w:p>
        </w:tc>
        <w:tc>
          <w:tcPr>
            <w:tcW w:w="1039" w:type="pct"/>
            <w:tcBorders>
              <w:top w:val="single" w:color="auto" w:sz="4" w:space="0"/>
              <w:left w:val="single" w:color="auto" w:sz="4" w:space="0"/>
              <w:bottom w:val="single" w:color="auto" w:sz="4" w:space="0"/>
              <w:right w:val="single" w:color="auto" w:sz="4" w:space="0"/>
            </w:tcBorders>
            <w:vAlign w:val="center"/>
          </w:tcPr>
          <w:p w14:paraId="2DE0A811">
            <w:pPr>
              <w:jc w:val="right"/>
              <w:rPr>
                <w:rFonts w:cs="Times New Roman"/>
              </w:rPr>
            </w:pPr>
          </w:p>
        </w:tc>
      </w:tr>
      <w:tr w14:paraId="146F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65058E6F">
            <w:pPr>
              <w:textAlignment w:val="bottom"/>
              <w:rPr>
                <w:rFonts w:cs="Times New Roman"/>
              </w:rPr>
            </w:pPr>
            <w:r>
              <w:rPr>
                <w:rFonts w:cs="Times New Roman"/>
                <w:color w:val="000000"/>
                <w:lang w:bidi="ar"/>
              </w:rPr>
              <w:t>预收款项</w:t>
            </w:r>
          </w:p>
        </w:tc>
        <w:tc>
          <w:tcPr>
            <w:tcW w:w="2034" w:type="pct"/>
            <w:tcBorders>
              <w:top w:val="single" w:color="auto" w:sz="4" w:space="0"/>
              <w:left w:val="single" w:color="auto" w:sz="4" w:space="0"/>
              <w:bottom w:val="single" w:color="auto" w:sz="4" w:space="0"/>
              <w:right w:val="single" w:color="auto" w:sz="4" w:space="0"/>
            </w:tcBorders>
            <w:vAlign w:val="center"/>
          </w:tcPr>
          <w:p w14:paraId="17AB32B0">
            <w:pPr>
              <w:textAlignment w:val="top"/>
              <w:rPr>
                <w:rFonts w:cs="Times New Roman"/>
              </w:rPr>
            </w:pPr>
            <w:r>
              <w:rPr>
                <w:rFonts w:cs="Times New Roman"/>
                <w:color w:val="000000"/>
                <w:lang w:bidi="ar"/>
              </w:rPr>
              <w:t>新兴际华物业服务（北京）有限公司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46141C23">
            <w:pPr>
              <w:jc w:val="right"/>
              <w:textAlignment w:val="bottom"/>
              <w:rPr>
                <w:rFonts w:cs="Times New Roman"/>
              </w:rPr>
            </w:pPr>
            <w:r>
              <w:rPr>
                <w:rFonts w:eastAsia="Arial Narrow" w:cs="Times New Roman"/>
                <w:color w:val="000000"/>
                <w:lang w:bidi="ar"/>
              </w:rPr>
              <w:t>28,700.00</w:t>
            </w:r>
          </w:p>
        </w:tc>
        <w:tc>
          <w:tcPr>
            <w:tcW w:w="1039" w:type="pct"/>
            <w:tcBorders>
              <w:top w:val="single" w:color="auto" w:sz="4" w:space="0"/>
              <w:left w:val="single" w:color="auto" w:sz="4" w:space="0"/>
              <w:bottom w:val="single" w:color="auto" w:sz="4" w:space="0"/>
              <w:right w:val="single" w:color="auto" w:sz="4" w:space="0"/>
            </w:tcBorders>
            <w:vAlign w:val="center"/>
          </w:tcPr>
          <w:p w14:paraId="26EDB0FA">
            <w:pPr>
              <w:jc w:val="right"/>
              <w:textAlignment w:val="bottom"/>
              <w:rPr>
                <w:rFonts w:cs="Times New Roman"/>
              </w:rPr>
            </w:pPr>
            <w:r>
              <w:rPr>
                <w:rFonts w:eastAsia="Arial Narrow" w:cs="Times New Roman"/>
                <w:color w:val="000000"/>
                <w:lang w:bidi="ar"/>
              </w:rPr>
              <w:t>28,700.00</w:t>
            </w:r>
          </w:p>
        </w:tc>
      </w:tr>
      <w:tr w14:paraId="3388B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5324D52B">
            <w:pPr>
              <w:textAlignment w:val="bottom"/>
              <w:rPr>
                <w:rFonts w:cs="Times New Roman"/>
              </w:rPr>
            </w:pPr>
            <w:r>
              <w:rPr>
                <w:rFonts w:cs="Times New Roman"/>
                <w:color w:val="000000"/>
                <w:lang w:bidi="ar"/>
              </w:rPr>
              <w:t>预收款项</w:t>
            </w:r>
          </w:p>
        </w:tc>
        <w:tc>
          <w:tcPr>
            <w:tcW w:w="2034" w:type="pct"/>
            <w:tcBorders>
              <w:top w:val="single" w:color="auto" w:sz="4" w:space="0"/>
              <w:left w:val="single" w:color="auto" w:sz="4" w:space="0"/>
              <w:bottom w:val="single" w:color="auto" w:sz="4" w:space="0"/>
              <w:right w:val="single" w:color="auto" w:sz="4" w:space="0"/>
            </w:tcBorders>
            <w:vAlign w:val="center"/>
          </w:tcPr>
          <w:p w14:paraId="5FB2800E">
            <w:pPr>
              <w:textAlignment w:val="top"/>
              <w:rPr>
                <w:rFonts w:cs="Times New Roman"/>
              </w:rPr>
            </w:pPr>
            <w:r>
              <w:rPr>
                <w:rFonts w:cs="Times New Roman"/>
                <w:color w:val="000000"/>
                <w:lang w:bidi="ar"/>
              </w:rPr>
              <w:t>荷原商业管理（北京）有限公司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29365A93">
            <w:pPr>
              <w:jc w:val="right"/>
              <w:textAlignment w:val="bottom"/>
              <w:rPr>
                <w:rFonts w:cs="Times New Roman"/>
              </w:rPr>
            </w:pPr>
            <w:r>
              <w:rPr>
                <w:rFonts w:eastAsia="Arial Narrow" w:cs="Times New Roman"/>
                <w:color w:val="000000"/>
                <w:lang w:bidi="ar"/>
              </w:rPr>
              <w:t>25,790.00</w:t>
            </w:r>
          </w:p>
        </w:tc>
        <w:tc>
          <w:tcPr>
            <w:tcW w:w="1039" w:type="pct"/>
            <w:tcBorders>
              <w:top w:val="single" w:color="auto" w:sz="4" w:space="0"/>
              <w:left w:val="single" w:color="auto" w:sz="4" w:space="0"/>
              <w:bottom w:val="single" w:color="auto" w:sz="4" w:space="0"/>
              <w:right w:val="single" w:color="auto" w:sz="4" w:space="0"/>
            </w:tcBorders>
            <w:vAlign w:val="center"/>
          </w:tcPr>
          <w:p w14:paraId="0B4D806A">
            <w:pPr>
              <w:jc w:val="right"/>
              <w:textAlignment w:val="bottom"/>
              <w:rPr>
                <w:rFonts w:cs="Times New Roman"/>
              </w:rPr>
            </w:pPr>
            <w:r>
              <w:rPr>
                <w:rFonts w:eastAsia="Arial Narrow" w:cs="Times New Roman"/>
                <w:color w:val="000000"/>
                <w:lang w:bidi="ar"/>
              </w:rPr>
              <w:t>25,790.00</w:t>
            </w:r>
          </w:p>
        </w:tc>
      </w:tr>
      <w:tr w14:paraId="4882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2F0A758A">
            <w:pPr>
              <w:textAlignment w:val="bottom"/>
              <w:rPr>
                <w:rFonts w:cs="Times New Roman"/>
              </w:rPr>
            </w:pPr>
            <w:r>
              <w:rPr>
                <w:rFonts w:cs="Times New Roman"/>
                <w:color w:val="000000"/>
                <w:lang w:bidi="ar"/>
              </w:rPr>
              <w:t>预收款项</w:t>
            </w:r>
          </w:p>
        </w:tc>
        <w:tc>
          <w:tcPr>
            <w:tcW w:w="2034" w:type="pct"/>
            <w:tcBorders>
              <w:top w:val="single" w:color="auto" w:sz="4" w:space="0"/>
              <w:left w:val="single" w:color="auto" w:sz="4" w:space="0"/>
              <w:bottom w:val="single" w:color="auto" w:sz="4" w:space="0"/>
              <w:right w:val="single" w:color="auto" w:sz="4" w:space="0"/>
            </w:tcBorders>
            <w:vAlign w:val="center"/>
          </w:tcPr>
          <w:p w14:paraId="4E1307F3">
            <w:pPr>
              <w:textAlignment w:val="top"/>
              <w:rPr>
                <w:rFonts w:cs="Times New Roman"/>
              </w:rPr>
            </w:pPr>
            <w:r>
              <w:rPr>
                <w:rFonts w:cs="Times New Roman"/>
                <w:color w:val="000000"/>
                <w:lang w:bidi="ar"/>
              </w:rPr>
              <w:t>新兴际华（北京）智能装备技术研究院有限公司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443ED0E2">
            <w:pPr>
              <w:jc w:val="right"/>
              <w:textAlignment w:val="bottom"/>
              <w:rPr>
                <w:rFonts w:cs="Times New Roman"/>
              </w:rPr>
            </w:pPr>
            <w:r>
              <w:rPr>
                <w:rFonts w:eastAsia="Arial Narrow" w:cs="Times New Roman"/>
                <w:color w:val="000000"/>
                <w:lang w:bidi="ar"/>
              </w:rPr>
              <w:t>1,802.00</w:t>
            </w:r>
          </w:p>
        </w:tc>
        <w:tc>
          <w:tcPr>
            <w:tcW w:w="1039" w:type="pct"/>
            <w:tcBorders>
              <w:top w:val="single" w:color="auto" w:sz="4" w:space="0"/>
              <w:left w:val="single" w:color="auto" w:sz="4" w:space="0"/>
              <w:bottom w:val="single" w:color="auto" w:sz="4" w:space="0"/>
              <w:right w:val="single" w:color="auto" w:sz="4" w:space="0"/>
            </w:tcBorders>
            <w:vAlign w:val="center"/>
          </w:tcPr>
          <w:p w14:paraId="0F8D1951">
            <w:pPr>
              <w:jc w:val="right"/>
              <w:rPr>
                <w:rFonts w:cs="Times New Roman"/>
              </w:rPr>
            </w:pPr>
          </w:p>
        </w:tc>
      </w:tr>
      <w:tr w14:paraId="38A5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0FAC616D">
            <w:pPr>
              <w:textAlignment w:val="bottom"/>
              <w:rPr>
                <w:rFonts w:cs="Times New Roman"/>
              </w:rPr>
            </w:pPr>
            <w:r>
              <w:rPr>
                <w:rFonts w:cs="Times New Roman"/>
                <w:color w:val="000000"/>
                <w:lang w:bidi="ar"/>
              </w:rPr>
              <w:t>预收款项</w:t>
            </w:r>
          </w:p>
        </w:tc>
        <w:tc>
          <w:tcPr>
            <w:tcW w:w="2034" w:type="pct"/>
            <w:tcBorders>
              <w:top w:val="single" w:color="auto" w:sz="4" w:space="0"/>
              <w:left w:val="single" w:color="auto" w:sz="4" w:space="0"/>
              <w:bottom w:val="single" w:color="auto" w:sz="4" w:space="0"/>
              <w:right w:val="single" w:color="auto" w:sz="4" w:space="0"/>
            </w:tcBorders>
            <w:vAlign w:val="center"/>
          </w:tcPr>
          <w:p w14:paraId="351D9298">
            <w:pPr>
              <w:textAlignment w:val="top"/>
              <w:rPr>
                <w:rFonts w:cs="Times New Roman"/>
              </w:rPr>
            </w:pPr>
            <w:r>
              <w:rPr>
                <w:rFonts w:cs="Times New Roman"/>
                <w:color w:val="000000"/>
                <w:lang w:bidi="ar"/>
              </w:rPr>
              <w:t>陕西际华园开发建设有限公司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7B3D8398">
            <w:pPr>
              <w:jc w:val="right"/>
              <w:rPr>
                <w:rFonts w:cs="Times New Roman"/>
              </w:rPr>
            </w:pPr>
          </w:p>
        </w:tc>
        <w:tc>
          <w:tcPr>
            <w:tcW w:w="1039" w:type="pct"/>
            <w:tcBorders>
              <w:top w:val="single" w:color="auto" w:sz="4" w:space="0"/>
              <w:left w:val="single" w:color="auto" w:sz="4" w:space="0"/>
              <w:bottom w:val="single" w:color="auto" w:sz="4" w:space="0"/>
              <w:right w:val="single" w:color="auto" w:sz="4" w:space="0"/>
            </w:tcBorders>
            <w:vAlign w:val="center"/>
          </w:tcPr>
          <w:p w14:paraId="4C057007">
            <w:pPr>
              <w:jc w:val="right"/>
              <w:textAlignment w:val="bottom"/>
              <w:rPr>
                <w:rFonts w:cs="Times New Roman"/>
              </w:rPr>
            </w:pPr>
            <w:r>
              <w:rPr>
                <w:rFonts w:eastAsia="Arial Narrow" w:cs="Times New Roman"/>
                <w:color w:val="000000"/>
                <w:lang w:bidi="ar"/>
              </w:rPr>
              <w:t>156,800.00</w:t>
            </w:r>
          </w:p>
        </w:tc>
      </w:tr>
      <w:tr w14:paraId="1F198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65C89A8D">
            <w:pPr>
              <w:textAlignment w:val="bottom"/>
              <w:rPr>
                <w:rFonts w:cs="Times New Roman"/>
              </w:rPr>
            </w:pPr>
            <w:r>
              <w:rPr>
                <w:rFonts w:cs="Times New Roman"/>
                <w:color w:val="000000"/>
                <w:lang w:bidi="ar"/>
              </w:rPr>
              <w:t>预收款项</w:t>
            </w:r>
          </w:p>
        </w:tc>
        <w:tc>
          <w:tcPr>
            <w:tcW w:w="2034" w:type="pct"/>
            <w:tcBorders>
              <w:top w:val="single" w:color="auto" w:sz="4" w:space="0"/>
              <w:left w:val="single" w:color="auto" w:sz="4" w:space="0"/>
              <w:bottom w:val="single" w:color="auto" w:sz="4" w:space="0"/>
              <w:right w:val="single" w:color="auto" w:sz="4" w:space="0"/>
            </w:tcBorders>
            <w:vAlign w:val="center"/>
          </w:tcPr>
          <w:p w14:paraId="182FC682">
            <w:pPr>
              <w:textAlignment w:val="top"/>
              <w:rPr>
                <w:rFonts w:cs="Times New Roman"/>
              </w:rPr>
            </w:pPr>
            <w:r>
              <w:rPr>
                <w:rFonts w:cs="Times New Roman"/>
                <w:color w:val="000000"/>
                <w:lang w:bidi="ar"/>
              </w:rPr>
              <w:t>新兴铸管（上海）金属资源有限公司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574AF761">
            <w:pPr>
              <w:jc w:val="right"/>
              <w:rPr>
                <w:rFonts w:cs="Times New Roman"/>
              </w:rPr>
            </w:pPr>
          </w:p>
        </w:tc>
        <w:tc>
          <w:tcPr>
            <w:tcW w:w="1039" w:type="pct"/>
            <w:tcBorders>
              <w:top w:val="single" w:color="auto" w:sz="4" w:space="0"/>
              <w:left w:val="single" w:color="auto" w:sz="4" w:space="0"/>
              <w:bottom w:val="single" w:color="auto" w:sz="4" w:space="0"/>
              <w:right w:val="single" w:color="auto" w:sz="4" w:space="0"/>
            </w:tcBorders>
            <w:vAlign w:val="center"/>
          </w:tcPr>
          <w:p w14:paraId="621D8845">
            <w:pPr>
              <w:jc w:val="right"/>
              <w:textAlignment w:val="bottom"/>
              <w:rPr>
                <w:rFonts w:cs="Times New Roman"/>
              </w:rPr>
            </w:pPr>
            <w:r>
              <w:rPr>
                <w:rFonts w:eastAsia="Arial Narrow" w:cs="Times New Roman"/>
                <w:color w:val="000000"/>
                <w:lang w:bidi="ar"/>
              </w:rPr>
              <w:t>440.00</w:t>
            </w:r>
          </w:p>
        </w:tc>
      </w:tr>
      <w:tr w14:paraId="7F8D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1EAFF799">
            <w:pPr>
              <w:textAlignment w:val="bottom"/>
              <w:rPr>
                <w:rFonts w:cs="Times New Roman"/>
              </w:rPr>
            </w:pPr>
            <w:r>
              <w:rPr>
                <w:rFonts w:cs="Times New Roman"/>
                <w:color w:val="000000"/>
                <w:lang w:bidi="ar"/>
              </w:rPr>
              <w:t>预收款项</w:t>
            </w:r>
          </w:p>
        </w:tc>
        <w:tc>
          <w:tcPr>
            <w:tcW w:w="2034" w:type="pct"/>
            <w:tcBorders>
              <w:top w:val="single" w:color="auto" w:sz="4" w:space="0"/>
              <w:left w:val="single" w:color="auto" w:sz="4" w:space="0"/>
              <w:bottom w:val="single" w:color="auto" w:sz="4" w:space="0"/>
              <w:right w:val="single" w:color="auto" w:sz="4" w:space="0"/>
            </w:tcBorders>
            <w:vAlign w:val="center"/>
          </w:tcPr>
          <w:p w14:paraId="0A553151">
            <w:pPr>
              <w:textAlignment w:val="top"/>
              <w:rPr>
                <w:rFonts w:cs="Times New Roman"/>
              </w:rPr>
            </w:pPr>
            <w:r>
              <w:rPr>
                <w:rFonts w:cs="Times New Roman"/>
                <w:color w:val="000000"/>
                <w:lang w:bidi="ar"/>
              </w:rPr>
              <w:t>新兴铸管国际发展有限公司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3547ACF0">
            <w:pPr>
              <w:jc w:val="right"/>
              <w:rPr>
                <w:rFonts w:cs="Times New Roman"/>
              </w:rPr>
            </w:pPr>
          </w:p>
        </w:tc>
        <w:tc>
          <w:tcPr>
            <w:tcW w:w="1039" w:type="pct"/>
            <w:tcBorders>
              <w:top w:val="single" w:color="auto" w:sz="4" w:space="0"/>
              <w:left w:val="single" w:color="auto" w:sz="4" w:space="0"/>
              <w:bottom w:val="single" w:color="auto" w:sz="4" w:space="0"/>
              <w:right w:val="single" w:color="auto" w:sz="4" w:space="0"/>
            </w:tcBorders>
            <w:vAlign w:val="center"/>
          </w:tcPr>
          <w:p w14:paraId="29C02E2B">
            <w:pPr>
              <w:jc w:val="right"/>
              <w:textAlignment w:val="bottom"/>
              <w:rPr>
                <w:rFonts w:cs="Times New Roman"/>
              </w:rPr>
            </w:pPr>
            <w:r>
              <w:rPr>
                <w:rFonts w:eastAsia="Arial Narrow" w:cs="Times New Roman"/>
                <w:color w:val="000000"/>
                <w:lang w:bidi="ar"/>
              </w:rPr>
              <w:t>1.00</w:t>
            </w:r>
          </w:p>
        </w:tc>
      </w:tr>
      <w:tr w14:paraId="0541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4E4ECDFF">
            <w:pPr>
              <w:textAlignment w:val="bottom"/>
              <w:rPr>
                <w:rFonts w:cs="Times New Roman"/>
              </w:rPr>
            </w:pPr>
            <w:r>
              <w:rPr>
                <w:rFonts w:cs="Times New Roman"/>
                <w:color w:val="000000"/>
                <w:lang w:bidi="ar"/>
              </w:rPr>
              <w:t>预收款项</w:t>
            </w:r>
          </w:p>
        </w:tc>
        <w:tc>
          <w:tcPr>
            <w:tcW w:w="2034" w:type="pct"/>
            <w:tcBorders>
              <w:top w:val="single" w:color="auto" w:sz="4" w:space="0"/>
              <w:left w:val="single" w:color="auto" w:sz="4" w:space="0"/>
              <w:bottom w:val="single" w:color="auto" w:sz="4" w:space="0"/>
              <w:right w:val="single" w:color="auto" w:sz="4" w:space="0"/>
            </w:tcBorders>
            <w:vAlign w:val="center"/>
          </w:tcPr>
          <w:p w14:paraId="5B45815C">
            <w:pPr>
              <w:textAlignment w:val="top"/>
              <w:rPr>
                <w:rFonts w:cs="Times New Roman"/>
              </w:rPr>
            </w:pPr>
            <w:r>
              <w:rPr>
                <w:rFonts w:cs="Times New Roman"/>
                <w:color w:val="000000"/>
                <w:lang w:bidi="ar"/>
              </w:rPr>
              <w:t>新兴铸管股份有限公司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66B75D89">
            <w:pPr>
              <w:jc w:val="right"/>
              <w:rPr>
                <w:rFonts w:cs="Times New Roman"/>
              </w:rPr>
            </w:pPr>
          </w:p>
        </w:tc>
        <w:tc>
          <w:tcPr>
            <w:tcW w:w="1039" w:type="pct"/>
            <w:tcBorders>
              <w:top w:val="single" w:color="auto" w:sz="4" w:space="0"/>
              <w:left w:val="single" w:color="auto" w:sz="4" w:space="0"/>
              <w:bottom w:val="single" w:color="auto" w:sz="4" w:space="0"/>
              <w:right w:val="single" w:color="auto" w:sz="4" w:space="0"/>
            </w:tcBorders>
            <w:vAlign w:val="center"/>
          </w:tcPr>
          <w:p w14:paraId="047429AE">
            <w:pPr>
              <w:jc w:val="right"/>
              <w:textAlignment w:val="bottom"/>
              <w:rPr>
                <w:rFonts w:cs="Times New Roman"/>
              </w:rPr>
            </w:pPr>
            <w:r>
              <w:rPr>
                <w:rFonts w:eastAsia="Arial Narrow" w:cs="Times New Roman"/>
                <w:color w:val="000000"/>
                <w:lang w:bidi="ar"/>
              </w:rPr>
              <w:t>0.19</w:t>
            </w:r>
          </w:p>
        </w:tc>
      </w:tr>
      <w:tr w14:paraId="748BD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7AACC88C">
            <w:pPr>
              <w:textAlignment w:val="bottom"/>
              <w:rPr>
                <w:rFonts w:cs="Times New Roman"/>
              </w:rPr>
            </w:pPr>
            <w:r>
              <w:rPr>
                <w:rFonts w:cs="Times New Roman"/>
                <w:color w:val="000000"/>
                <w:lang w:bidi="ar"/>
              </w:rPr>
              <w:t>其他流动负债</w:t>
            </w:r>
          </w:p>
        </w:tc>
        <w:tc>
          <w:tcPr>
            <w:tcW w:w="2034" w:type="pct"/>
            <w:tcBorders>
              <w:top w:val="single" w:color="auto" w:sz="4" w:space="0"/>
              <w:left w:val="single" w:color="auto" w:sz="4" w:space="0"/>
              <w:bottom w:val="single" w:color="auto" w:sz="4" w:space="0"/>
              <w:right w:val="single" w:color="auto" w:sz="4" w:space="0"/>
            </w:tcBorders>
            <w:vAlign w:val="center"/>
          </w:tcPr>
          <w:p w14:paraId="16BA2EA9">
            <w:pPr>
              <w:rPr>
                <w:rFonts w:cs="Times New Roman"/>
              </w:rPr>
            </w:pPr>
          </w:p>
        </w:tc>
        <w:tc>
          <w:tcPr>
            <w:tcW w:w="1085" w:type="pct"/>
            <w:tcBorders>
              <w:top w:val="single" w:color="auto" w:sz="4" w:space="0"/>
              <w:left w:val="single" w:color="auto" w:sz="4" w:space="0"/>
              <w:bottom w:val="single" w:color="auto" w:sz="4" w:space="0"/>
              <w:right w:val="single" w:color="auto" w:sz="4" w:space="0"/>
            </w:tcBorders>
            <w:vAlign w:val="center"/>
          </w:tcPr>
          <w:p w14:paraId="1AAA558B">
            <w:pPr>
              <w:jc w:val="right"/>
              <w:rPr>
                <w:rFonts w:cs="Times New Roman"/>
              </w:rPr>
            </w:pPr>
          </w:p>
        </w:tc>
        <w:tc>
          <w:tcPr>
            <w:tcW w:w="1039" w:type="pct"/>
            <w:tcBorders>
              <w:top w:val="single" w:color="auto" w:sz="4" w:space="0"/>
              <w:left w:val="single" w:color="auto" w:sz="4" w:space="0"/>
              <w:bottom w:val="single" w:color="auto" w:sz="4" w:space="0"/>
              <w:right w:val="single" w:color="auto" w:sz="4" w:space="0"/>
            </w:tcBorders>
            <w:vAlign w:val="center"/>
          </w:tcPr>
          <w:p w14:paraId="6DE1FD85">
            <w:pPr>
              <w:jc w:val="right"/>
              <w:rPr>
                <w:rFonts w:cs="Times New Roman"/>
              </w:rPr>
            </w:pPr>
          </w:p>
        </w:tc>
      </w:tr>
      <w:tr w14:paraId="39347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41" w:type="pct"/>
            <w:tcBorders>
              <w:top w:val="single" w:color="auto" w:sz="4" w:space="0"/>
              <w:left w:val="single" w:color="auto" w:sz="4" w:space="0"/>
              <w:bottom w:val="single" w:color="auto" w:sz="4" w:space="0"/>
              <w:right w:val="single" w:color="auto" w:sz="4" w:space="0"/>
            </w:tcBorders>
            <w:vAlign w:val="center"/>
          </w:tcPr>
          <w:p w14:paraId="22EB6E30">
            <w:pPr>
              <w:textAlignment w:val="bottom"/>
              <w:rPr>
                <w:rFonts w:cs="Times New Roman"/>
              </w:rPr>
            </w:pPr>
            <w:r>
              <w:rPr>
                <w:rFonts w:cs="Times New Roman"/>
                <w:color w:val="000000"/>
                <w:lang w:bidi="ar"/>
              </w:rPr>
              <w:t>其他流动负债</w:t>
            </w:r>
          </w:p>
        </w:tc>
        <w:tc>
          <w:tcPr>
            <w:tcW w:w="2034" w:type="pct"/>
            <w:tcBorders>
              <w:top w:val="single" w:color="auto" w:sz="4" w:space="0"/>
              <w:left w:val="single" w:color="auto" w:sz="4" w:space="0"/>
              <w:bottom w:val="single" w:color="auto" w:sz="4" w:space="0"/>
              <w:right w:val="single" w:color="auto" w:sz="4" w:space="0"/>
            </w:tcBorders>
            <w:vAlign w:val="center"/>
          </w:tcPr>
          <w:p w14:paraId="443C4692">
            <w:pPr>
              <w:textAlignment w:val="top"/>
              <w:rPr>
                <w:rFonts w:cs="Times New Roman"/>
              </w:rPr>
            </w:pPr>
            <w:r>
              <w:rPr>
                <w:rFonts w:cs="Times New Roman"/>
                <w:color w:val="000000"/>
                <w:lang w:bidi="ar"/>
              </w:rPr>
              <w:t>新兴际华集团有限公司</w:t>
            </w:r>
          </w:p>
        </w:tc>
        <w:tc>
          <w:tcPr>
            <w:tcW w:w="1085" w:type="pct"/>
            <w:tcBorders>
              <w:top w:val="single" w:color="auto" w:sz="4" w:space="0"/>
              <w:left w:val="single" w:color="auto" w:sz="4" w:space="0"/>
              <w:bottom w:val="single" w:color="auto" w:sz="4" w:space="0"/>
              <w:right w:val="single" w:color="auto" w:sz="4" w:space="0"/>
            </w:tcBorders>
            <w:vAlign w:val="center"/>
          </w:tcPr>
          <w:p w14:paraId="37FAC863">
            <w:pPr>
              <w:jc w:val="right"/>
              <w:textAlignment w:val="bottom"/>
              <w:rPr>
                <w:rFonts w:cs="Times New Roman"/>
              </w:rPr>
            </w:pPr>
            <w:r>
              <w:rPr>
                <w:rFonts w:eastAsia="Arial Narrow" w:cs="Times New Roman"/>
                <w:color w:val="000000"/>
                <w:lang w:bidi="ar"/>
              </w:rPr>
              <w:t>215,085,500.00</w:t>
            </w:r>
          </w:p>
        </w:tc>
        <w:tc>
          <w:tcPr>
            <w:tcW w:w="1039" w:type="pct"/>
            <w:tcBorders>
              <w:top w:val="single" w:color="auto" w:sz="4" w:space="0"/>
              <w:left w:val="single" w:color="auto" w:sz="4" w:space="0"/>
              <w:bottom w:val="single" w:color="auto" w:sz="4" w:space="0"/>
              <w:right w:val="single" w:color="auto" w:sz="4" w:space="0"/>
            </w:tcBorders>
            <w:vAlign w:val="center"/>
          </w:tcPr>
          <w:p w14:paraId="5E6F6FAF">
            <w:pPr>
              <w:jc w:val="right"/>
              <w:textAlignment w:val="bottom"/>
              <w:rPr>
                <w:rFonts w:cs="Times New Roman"/>
              </w:rPr>
            </w:pPr>
            <w:r>
              <w:rPr>
                <w:rFonts w:eastAsia="Arial Narrow" w:cs="Times New Roman"/>
                <w:color w:val="000000"/>
                <w:lang w:bidi="ar"/>
              </w:rPr>
              <w:t>215,000,000.00</w:t>
            </w:r>
          </w:p>
        </w:tc>
      </w:tr>
    </w:tbl>
    <w:p w14:paraId="24C14F76"/>
    <w:p w14:paraId="11656CB8">
      <w:pPr>
        <w:pStyle w:val="58"/>
        <w:numPr>
          <w:ilvl w:val="0"/>
          <w:numId w:val="106"/>
        </w:numPr>
        <w:tabs>
          <w:tab w:val="left" w:pos="616"/>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其他项目</w:t>
      </w:r>
    </w:p>
    <w:sdt>
      <w:sdtPr>
        <w:rPr>
          <w:color w:val="000000" w:themeColor="text1"/>
          <w14:textFill>
            <w14:solidFill>
              <w14:schemeClr w14:val="tx1"/>
            </w14:solidFill>
          </w14:textFill>
        </w:rPr>
        <w:alias w:val="是否适用：关联方其他未结算项目情况[双击切换]"/>
        <w:tag w:val="_GBC_459b27789b354473a02699da087a3b51"/>
        <w:id w:val="147473216"/>
        <w:placeholder>
          <w:docPart w:val="GBC22222222222222222222222222222"/>
        </w:placeholder>
      </w:sdtPr>
      <w:sdtEndPr>
        <w:rPr>
          <w:color w:val="000000" w:themeColor="text1"/>
          <w14:textFill>
            <w14:solidFill>
              <w14:schemeClr w14:val="tx1"/>
            </w14:solidFill>
          </w14:textFill>
        </w:rPr>
      </w:sdtEndPr>
      <w:sdtContent>
        <w:p w14:paraId="7701C5B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40CAC5A">
      <w:pPr>
        <w:rPr>
          <w:color w:val="000000" w:themeColor="text1"/>
          <w14:textFill>
            <w14:solidFill>
              <w14:schemeClr w14:val="tx1"/>
            </w14:solidFill>
          </w14:textFill>
        </w:rPr>
      </w:pPr>
    </w:p>
    <w:bookmarkEnd w:id="414"/>
    <w:p w14:paraId="4BB8A9E4">
      <w:pPr>
        <w:pStyle w:val="57"/>
        <w:numPr>
          <w:ilvl w:val="0"/>
          <w:numId w:val="104"/>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关联方承诺</w:t>
      </w:r>
    </w:p>
    <w:sdt>
      <w:sdtPr>
        <w:rPr>
          <w:color w:val="000000" w:themeColor="text1"/>
          <w14:textFill>
            <w14:solidFill>
              <w14:schemeClr w14:val="tx1"/>
            </w14:solidFill>
          </w14:textFill>
        </w:rPr>
        <w:alias w:val="是否适用：关联方承诺[双击切换]"/>
        <w:tag w:val="_GBC_b906cacab2e94825966fa70e345656b5"/>
        <w:id w:val="147473407"/>
        <w:placeholder>
          <w:docPart w:val="GBC22222222222222222222222222222"/>
        </w:placeholder>
      </w:sdtPr>
      <w:sdtEndPr>
        <w:rPr>
          <w:color w:val="000000" w:themeColor="text1"/>
          <w14:textFill>
            <w14:solidFill>
              <w14:schemeClr w14:val="tx1"/>
            </w14:solidFill>
          </w14:textFill>
        </w:rPr>
      </w:sdtEndPr>
      <w:sdtContent>
        <w:p w14:paraId="41D3591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60734EF">
      <w:pPr>
        <w:tabs>
          <w:tab w:val="left" w:pos="1134"/>
        </w:tabs>
        <w:rPr>
          <w:rFonts w:cs="Cambria"/>
          <w:color w:val="000000" w:themeColor="text1"/>
          <w:sz w:val="20"/>
          <w:szCs w:val="20"/>
          <w14:textFill>
            <w14:solidFill>
              <w14:schemeClr w14:val="tx1"/>
            </w14:solidFill>
          </w14:textFill>
        </w:rPr>
      </w:pPr>
    </w:p>
    <w:p w14:paraId="02062252">
      <w:pPr>
        <w:pStyle w:val="57"/>
        <w:numPr>
          <w:ilvl w:val="0"/>
          <w:numId w:val="104"/>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w:t>
      </w:r>
    </w:p>
    <w:sdt>
      <w:sdtPr>
        <w:rPr>
          <w:color w:val="000000" w:themeColor="text1"/>
          <w14:textFill>
            <w14:solidFill>
              <w14:schemeClr w14:val="tx1"/>
            </w14:solidFill>
          </w14:textFill>
        </w:rPr>
        <w:alias w:val="是否适用：关联方及关联情况的其他说明[双击切换]"/>
        <w:tag w:val="_GBC_87161343db8b4a0b9e041c62c0df5e87"/>
        <w:id w:val="147472689"/>
        <w:placeholder>
          <w:docPart w:val="GBC22222222222222222222222222222"/>
        </w:placeholder>
      </w:sdtPr>
      <w:sdtEndPr>
        <w:rPr>
          <w:color w:val="000000" w:themeColor="text1"/>
          <w14:textFill>
            <w14:solidFill>
              <w14:schemeClr w14:val="tx1"/>
            </w14:solidFill>
          </w14:textFill>
        </w:rPr>
      </w:sdtEndPr>
      <w:sdtContent>
        <w:p w14:paraId="1BD6CC1A">
          <w:pPr>
            <w:tabs>
              <w:tab w:val="left" w:pos="1134"/>
            </w:tabs>
            <w:rPr>
              <w:rFonts w:cs="Cambria"/>
              <w:color w:val="000000" w:themeColor="text1"/>
              <w:sz w:val="20"/>
              <w:szCs w:val="20"/>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E3BE9E3">
      <w:pPr>
        <w:tabs>
          <w:tab w:val="left" w:pos="1134"/>
        </w:tabs>
        <w:rPr>
          <w:rFonts w:cs="Cambria"/>
          <w:b/>
          <w:color w:val="000000" w:themeColor="text1"/>
          <w:sz w:val="20"/>
          <w:szCs w:val="20"/>
          <w14:textFill>
            <w14:solidFill>
              <w14:schemeClr w14:val="tx1"/>
            </w14:solidFill>
          </w14:textFill>
        </w:rPr>
      </w:pPr>
    </w:p>
    <w:p w14:paraId="39E15897">
      <w:pPr>
        <w:pStyle w:val="56"/>
        <w:numPr>
          <w:ilvl w:val="0"/>
          <w:numId w:val="43"/>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股份支付</w:t>
      </w:r>
    </w:p>
    <w:p w14:paraId="6569FC99">
      <w:pPr>
        <w:pStyle w:val="57"/>
        <w:numPr>
          <w:ilvl w:val="0"/>
          <w:numId w:val="107"/>
        </w:numPr>
        <w:ind w:left="420" w:hanging="420"/>
        <w:rPr>
          <w:rFonts w:ascii="宋体" w:hAnsi="宋体" w:cs="宋体"/>
          <w:color w:val="000000" w:themeColor="text1"/>
          <w:kern w:val="0"/>
          <w:szCs w:val="24"/>
          <w14:textFill>
            <w14:solidFill>
              <w14:schemeClr w14:val="tx1"/>
            </w14:solidFill>
          </w14:textFill>
        </w:rPr>
      </w:pPr>
      <w:bookmarkStart w:id="415" w:name="_Hlk168492989"/>
      <w:r>
        <w:rPr>
          <w:rFonts w:hint="eastAsia" w:ascii="宋体" w:hAnsi="宋体" w:cs="宋体"/>
          <w:color w:val="000000" w:themeColor="text1"/>
          <w:kern w:val="0"/>
          <w:szCs w:val="24"/>
          <w14:textFill>
            <w14:solidFill>
              <w14:schemeClr w14:val="tx1"/>
            </w14:solidFill>
          </w14:textFill>
        </w:rPr>
        <w:t>各项权益工具</w:t>
      </w:r>
    </w:p>
    <w:p w14:paraId="6771F62C">
      <w:pPr>
        <w:pStyle w:val="58"/>
        <w:numPr>
          <w:ilvl w:val="0"/>
          <w:numId w:val="108"/>
        </w:numPr>
      </w:pPr>
      <w:r>
        <w:rPr>
          <w:rFonts w:hint="eastAsia"/>
        </w:rPr>
        <w:t>明细情况</w:t>
      </w:r>
    </w:p>
    <w:sdt>
      <w:sdtPr>
        <w:rPr>
          <w:color w:val="000000" w:themeColor="text1"/>
          <w14:textFill>
            <w14:solidFill>
              <w14:schemeClr w14:val="tx1"/>
            </w14:solidFill>
          </w14:textFill>
        </w:rPr>
        <w:alias w:val="是否适用：各项权益工具[双击切换]"/>
        <w:tag w:val="_GBC_65abee0b78064363a3f4a058a40176bf"/>
        <w:id w:val="147455037"/>
        <w:placeholder>
          <w:docPart w:val="GBC22222222222222222222222222222"/>
        </w:placeholder>
      </w:sdtPr>
      <w:sdtEndPr>
        <w:rPr>
          <w:color w:val="000000" w:themeColor="text1"/>
          <w14:textFill>
            <w14:solidFill>
              <w14:schemeClr w14:val="tx1"/>
            </w14:solidFill>
          </w14:textFill>
        </w:rPr>
      </w:sdtEndPr>
      <w:sdtContent>
        <w:p w14:paraId="64938DC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415"/>
    <w:p w14:paraId="696ED20C">
      <w:pPr>
        <w:rPr>
          <w:color w:val="000000" w:themeColor="text1"/>
          <w14:textFill>
            <w14:solidFill>
              <w14:schemeClr w14:val="tx1"/>
            </w14:solidFill>
          </w14:textFill>
        </w:rPr>
      </w:pPr>
      <w:bookmarkStart w:id="416" w:name="_Hlk168478628"/>
      <w:bookmarkStart w:id="417" w:name="_Hlk167977283"/>
      <w:bookmarkStart w:id="418" w:name="_Hlk40787153"/>
    </w:p>
    <w:p w14:paraId="0A038505">
      <w:pPr>
        <w:pStyle w:val="58"/>
        <w:numPr>
          <w:ilvl w:val="0"/>
          <w:numId w:val="108"/>
        </w:numPr>
      </w:pPr>
      <w:r>
        <w:rPr>
          <w:rFonts w:hint="eastAsia"/>
        </w:rPr>
        <w:t>期末发行在外的股票期权或其他权益工具</w:t>
      </w:r>
    </w:p>
    <w:sdt>
      <w:sdtPr>
        <w:rPr>
          <w:color w:val="000000" w:themeColor="text1"/>
          <w14:textFill>
            <w14:solidFill>
              <w14:schemeClr w14:val="tx1"/>
            </w14:solidFill>
          </w14:textFill>
        </w:rPr>
        <w:alias w:val="是否适用：期末发行在外的股票期权或其他权益工具[双击切换]"/>
        <w:tag w:val="_GBC_f17c034d860345b98ee280169a254e4a"/>
        <w:id w:val="147459950"/>
        <w:placeholder>
          <w:docPart w:val="GBC22222222222222222222222222222"/>
        </w:placeholder>
      </w:sdtPr>
      <w:sdtEndPr>
        <w:rPr>
          <w:color w:val="000000" w:themeColor="text1"/>
          <w14:textFill>
            <w14:solidFill>
              <w14:schemeClr w14:val="tx1"/>
            </w14:solidFill>
          </w14:textFill>
        </w:rPr>
      </w:sdtEndPr>
      <w:sdtContent>
        <w:p w14:paraId="20D5AACC">
          <w:pPr>
            <w:rPr>
              <w:color w:val="000000" w:themeColor="text1"/>
              <w14:textFill>
                <w14:solidFill>
                  <w14:schemeClr w14:val="tx1"/>
                </w14:solidFill>
              </w14:textFill>
            </w:rPr>
          </w:pPr>
          <w:bookmarkStart w:id="419" w:name="_Hlk168493917"/>
          <w:bookmarkStart w:id="420" w:name="_Hlk168493896"/>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416"/>
    <w:bookmarkEnd w:id="419"/>
    <w:bookmarkEnd w:id="420"/>
    <w:p w14:paraId="3A73E03C">
      <w:pPr>
        <w:rPr>
          <w:color w:val="000000" w:themeColor="text1"/>
          <w14:textFill>
            <w14:solidFill>
              <w14:schemeClr w14:val="tx1"/>
            </w14:solidFill>
          </w14:textFill>
        </w:rPr>
      </w:pPr>
      <w:bookmarkStart w:id="421" w:name="_Hlk168487614"/>
    </w:p>
    <w:bookmarkEnd w:id="417"/>
    <w:bookmarkEnd w:id="418"/>
    <w:bookmarkEnd w:id="421"/>
    <w:p w14:paraId="3E9CD974">
      <w:pPr>
        <w:pStyle w:val="57"/>
        <w:numPr>
          <w:ilvl w:val="0"/>
          <w:numId w:val="107"/>
        </w:numPr>
        <w:ind w:left="420" w:hanging="420"/>
        <w:rPr>
          <w:rFonts w:ascii="宋体" w:hAnsi="宋体" w:cs="宋体"/>
          <w:color w:val="000000" w:themeColor="text1"/>
          <w:kern w:val="0"/>
          <w:szCs w:val="24"/>
          <w14:textFill>
            <w14:solidFill>
              <w14:schemeClr w14:val="tx1"/>
            </w14:solidFill>
          </w14:textFill>
        </w:rPr>
      </w:pPr>
      <w:bookmarkStart w:id="422" w:name="_Hlk167977424"/>
      <w:bookmarkStart w:id="423" w:name="_Hlk40787299"/>
      <w:bookmarkStart w:id="424" w:name="_Hlk40787204"/>
      <w:r>
        <w:rPr>
          <w:rFonts w:hint="eastAsia" w:ascii="宋体" w:hAnsi="宋体" w:cs="宋体"/>
          <w:color w:val="000000" w:themeColor="text1"/>
          <w:kern w:val="0"/>
          <w:szCs w:val="24"/>
          <w14:textFill>
            <w14:solidFill>
              <w14:schemeClr w14:val="tx1"/>
            </w14:solidFill>
          </w14:textFill>
        </w:rPr>
        <w:t>以权益结算的股份支付情况</w:t>
      </w:r>
    </w:p>
    <w:sdt>
      <w:sdtPr>
        <w:rPr>
          <w:color w:val="000000" w:themeColor="text1"/>
          <w14:textFill>
            <w14:solidFill>
              <w14:schemeClr w14:val="tx1"/>
            </w14:solidFill>
          </w14:textFill>
        </w:rPr>
        <w:alias w:val="是否适用：以权益结算的股份支付情况[双击切换]"/>
        <w:tag w:val="_GBC_6dde9ffab03943229cd0918c8621502d"/>
        <w:id w:val="147459039"/>
        <w:placeholder>
          <w:docPart w:val="GBC22222222222222222222222222222"/>
        </w:placeholder>
      </w:sdtPr>
      <w:sdtEndPr>
        <w:rPr>
          <w:color w:val="000000" w:themeColor="text1"/>
          <w14:textFill>
            <w14:solidFill>
              <w14:schemeClr w14:val="tx1"/>
            </w14:solidFill>
          </w14:textFill>
        </w:rPr>
      </w:sdtEndPr>
      <w:sdtContent>
        <w:p w14:paraId="4A6EB11D">
          <w:pPr>
            <w:rPr>
              <w:rFonts w:cstheme="minorBidi"/>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422"/>
    <w:bookmarkEnd w:id="423"/>
    <w:p w14:paraId="1E08C7EC">
      <w:pPr>
        <w:rPr>
          <w:color w:val="000000" w:themeColor="text1"/>
          <w14:textFill>
            <w14:solidFill>
              <w14:schemeClr w14:val="tx1"/>
            </w14:solidFill>
          </w14:textFill>
        </w:rPr>
      </w:pPr>
    </w:p>
    <w:bookmarkEnd w:id="424"/>
    <w:p w14:paraId="2FB2601D">
      <w:pPr>
        <w:pStyle w:val="57"/>
        <w:numPr>
          <w:ilvl w:val="0"/>
          <w:numId w:val="107"/>
        </w:numPr>
        <w:ind w:left="420" w:hanging="420"/>
        <w:rPr>
          <w:rFonts w:ascii="宋体" w:hAnsi="宋体" w:cs="宋体"/>
          <w:color w:val="000000" w:themeColor="text1"/>
          <w:kern w:val="0"/>
          <w:szCs w:val="24"/>
          <w14:textFill>
            <w14:solidFill>
              <w14:schemeClr w14:val="tx1"/>
            </w14:solidFill>
          </w14:textFill>
        </w:rPr>
      </w:pPr>
      <w:bookmarkStart w:id="425" w:name="_Hlk167977563"/>
      <w:r>
        <w:rPr>
          <w:rFonts w:hint="eastAsia" w:ascii="宋体" w:hAnsi="宋体" w:cs="宋体"/>
          <w:color w:val="000000" w:themeColor="text1"/>
          <w:kern w:val="0"/>
          <w:szCs w:val="24"/>
          <w14:textFill>
            <w14:solidFill>
              <w14:schemeClr w14:val="tx1"/>
            </w14:solidFill>
          </w14:textFill>
        </w:rPr>
        <w:t>以现金结算的股份支付情况</w:t>
      </w:r>
    </w:p>
    <w:sdt>
      <w:sdtPr>
        <w:rPr>
          <w:color w:val="000000" w:themeColor="text1"/>
          <w14:textFill>
            <w14:solidFill>
              <w14:schemeClr w14:val="tx1"/>
            </w14:solidFill>
          </w14:textFill>
        </w:rPr>
        <w:alias w:val="是否适用：以现金结算的股份支付情况[双击切换]"/>
        <w:tag w:val="_GBC_2a6bb5b9d8a04286865cd607e7260a60"/>
        <w:id w:val="147469198"/>
        <w:placeholder>
          <w:docPart w:val="GBC22222222222222222222222222222"/>
        </w:placeholder>
      </w:sdtPr>
      <w:sdtEndPr>
        <w:rPr>
          <w:color w:val="000000" w:themeColor="text1"/>
          <w14:textFill>
            <w14:solidFill>
              <w14:schemeClr w14:val="tx1"/>
            </w14:solidFill>
          </w14:textFill>
        </w:rPr>
      </w:sdtEndPr>
      <w:sdtContent>
        <w:p w14:paraId="07676F0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2C08299">
      <w:pPr>
        <w:rPr>
          <w:color w:val="000000" w:themeColor="text1"/>
          <w14:textFill>
            <w14:solidFill>
              <w14:schemeClr w14:val="tx1"/>
            </w14:solidFill>
          </w14:textFill>
        </w:rPr>
      </w:pPr>
    </w:p>
    <w:p w14:paraId="7E48C992">
      <w:pPr>
        <w:pStyle w:val="57"/>
        <w:numPr>
          <w:ilvl w:val="0"/>
          <w:numId w:val="107"/>
        </w:numPr>
        <w:ind w:left="420" w:hanging="420"/>
        <w:rPr>
          <w:rFonts w:ascii="宋体" w:hAnsi="宋体" w:cs="宋体"/>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本期股份支付费用</w:t>
      </w:r>
    </w:p>
    <w:sdt>
      <w:sdtPr>
        <w:rPr>
          <w:color w:val="000000" w:themeColor="text1"/>
          <w14:textFill>
            <w14:solidFill>
              <w14:schemeClr w14:val="tx1"/>
            </w14:solidFill>
          </w14:textFill>
        </w:rPr>
        <w:alias w:val="是否适用：股份支付费用[双击切换]"/>
        <w:tag w:val="_GBC_5b0304a006c7437ca2961c2d2bdf142a"/>
        <w:id w:val="147482699"/>
        <w:placeholder>
          <w:docPart w:val="GBC22222222222222222222222222222"/>
        </w:placeholder>
      </w:sdtPr>
      <w:sdtEndPr>
        <w:rPr>
          <w:color w:val="000000" w:themeColor="text1"/>
          <w14:textFill>
            <w14:solidFill>
              <w14:schemeClr w14:val="tx1"/>
            </w14:solidFill>
          </w14:textFill>
        </w:rPr>
      </w:sdtEndPr>
      <w:sdtContent>
        <w:p w14:paraId="5D744AEC">
          <w:pPr>
            <w:rPr>
              <w:color w:val="000000" w:themeColor="text1"/>
              <w14:textFill>
                <w14:solidFill>
                  <w14:schemeClr w14:val="tx1"/>
                </w14:solidFill>
              </w14:textFill>
            </w:rPr>
          </w:pPr>
          <w:bookmarkStart w:id="426" w:name="_Hlk168494235"/>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425"/>
    <w:bookmarkEnd w:id="426"/>
    <w:p w14:paraId="7A9A6CB2">
      <w:pPr>
        <w:rPr>
          <w:color w:val="000000" w:themeColor="text1"/>
          <w14:textFill>
            <w14:solidFill>
              <w14:schemeClr w14:val="tx1"/>
            </w14:solidFill>
          </w14:textFill>
        </w:rPr>
      </w:pPr>
      <w:bookmarkStart w:id="427" w:name="_Hlk168494436"/>
    </w:p>
    <w:bookmarkEnd w:id="427"/>
    <w:p w14:paraId="3EA07246">
      <w:pPr>
        <w:pStyle w:val="57"/>
        <w:numPr>
          <w:ilvl w:val="0"/>
          <w:numId w:val="107"/>
        </w:numPr>
        <w:ind w:left="420" w:hanging="420"/>
        <w:rPr>
          <w:rFonts w:ascii="宋体" w:hAnsi="宋体" w:cs="宋体"/>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股份支付的修改、终止情况</w:t>
      </w:r>
    </w:p>
    <w:sdt>
      <w:sdtPr>
        <w:rPr>
          <w:color w:val="000000" w:themeColor="text1"/>
          <w14:textFill>
            <w14:solidFill>
              <w14:schemeClr w14:val="tx1"/>
            </w14:solidFill>
          </w14:textFill>
        </w:rPr>
        <w:alias w:val="是否适用：股份支付的修改、终止情况[双击切换]"/>
        <w:tag w:val="_GBC_794cdee9be3b4b478fa83b914d22ea66"/>
        <w:id w:val="147455561"/>
        <w:placeholder>
          <w:docPart w:val="GBC22222222222222222222222222222"/>
        </w:placeholder>
      </w:sdtPr>
      <w:sdtEndPr>
        <w:rPr>
          <w:color w:val="000000" w:themeColor="text1"/>
          <w14:textFill>
            <w14:solidFill>
              <w14:schemeClr w14:val="tx1"/>
            </w14:solidFill>
          </w14:textFill>
        </w:rPr>
      </w:sdtEndPr>
      <w:sdtContent>
        <w:p w14:paraId="358CFED1">
          <w:pPr>
            <w:rPr>
              <w:rFonts w:cstheme="minorBidi"/>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735583A">
      <w:pPr>
        <w:ind w:firstLine="210" w:firstLineChars="100"/>
        <w:rPr>
          <w:color w:val="000000" w:themeColor="text1"/>
          <w14:textFill>
            <w14:solidFill>
              <w14:schemeClr w14:val="tx1"/>
            </w14:solidFill>
          </w14:textFill>
        </w:rPr>
      </w:pPr>
    </w:p>
    <w:p w14:paraId="0018C0A5">
      <w:pPr>
        <w:pStyle w:val="57"/>
        <w:numPr>
          <w:ilvl w:val="0"/>
          <w:numId w:val="107"/>
        </w:numPr>
        <w:ind w:left="420" w:hanging="420"/>
        <w:rPr>
          <w:rFonts w:ascii="宋体" w:hAnsi="宋体" w:cs="宋体"/>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其他</w:t>
      </w:r>
    </w:p>
    <w:sdt>
      <w:sdtPr>
        <w:rPr>
          <w:color w:val="000000" w:themeColor="text1"/>
          <w14:textFill>
            <w14:solidFill>
              <w14:schemeClr w14:val="tx1"/>
            </w14:solidFill>
          </w14:textFill>
        </w:rPr>
        <w:alias w:val="是否适用：股份支付的其他情况说明[双击切换]"/>
        <w:tag w:val="_GBC_b8be1a19715949cab94dc673580d61a2"/>
        <w:id w:val="147470589"/>
        <w:placeholder>
          <w:docPart w:val="GBC22222222222222222222222222222"/>
        </w:placeholder>
      </w:sdtPr>
      <w:sdtEndPr>
        <w:rPr>
          <w:color w:val="000000" w:themeColor="text1"/>
          <w14:textFill>
            <w14:solidFill>
              <w14:schemeClr w14:val="tx1"/>
            </w14:solidFill>
          </w14:textFill>
        </w:rPr>
      </w:sdtEndPr>
      <w:sdtContent>
        <w:p w14:paraId="52666D8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F9DA7B9">
      <w:pPr>
        <w:rPr>
          <w:color w:val="000000" w:themeColor="text1"/>
          <w14:textFill>
            <w14:solidFill>
              <w14:schemeClr w14:val="tx1"/>
            </w14:solidFill>
          </w14:textFill>
        </w:rPr>
      </w:pPr>
    </w:p>
    <w:p w14:paraId="431B581A">
      <w:pPr>
        <w:pStyle w:val="56"/>
        <w:numPr>
          <w:ilvl w:val="0"/>
          <w:numId w:val="43"/>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承诺及或有事项</w:t>
      </w:r>
    </w:p>
    <w:p w14:paraId="702049C5">
      <w:pPr>
        <w:pStyle w:val="57"/>
        <w:numPr>
          <w:ilvl w:val="0"/>
          <w:numId w:val="109"/>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重要承诺事项</w:t>
      </w:r>
    </w:p>
    <w:sdt>
      <w:sdtPr>
        <w:rPr>
          <w:color w:val="000000" w:themeColor="text1"/>
          <w14:textFill>
            <w14:solidFill>
              <w14:schemeClr w14:val="tx1"/>
            </w14:solidFill>
          </w14:textFill>
        </w:rPr>
        <w:alias w:val="是否适用：重要承诺事项[双击切换]"/>
        <w:tag w:val="_GBC_3ee02d2bff5e4dd69f75cc6148bdda8f"/>
        <w:id w:val="147477537"/>
        <w:placeholder>
          <w:docPart w:val="GBC22222222222222222222222222222"/>
        </w:placeholder>
      </w:sdtPr>
      <w:sdtEndPr>
        <w:rPr>
          <w:color w:val="000000" w:themeColor="text1"/>
          <w14:textFill>
            <w14:solidFill>
              <w14:schemeClr w14:val="tx1"/>
            </w14:solidFill>
          </w14:textFill>
        </w:rPr>
      </w:sdtEndPr>
      <w:sdtContent>
        <w:p w14:paraId="424409E0">
          <w:pPr>
            <w:rPr>
              <w:rFonts w:cs="Cambria"/>
              <w:bCs w:val="0"/>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E3D8C22">
      <w:pPr>
        <w:rPr>
          <w:color w:val="000000" w:themeColor="text1"/>
          <w14:textFill>
            <w14:solidFill>
              <w14:schemeClr w14:val="tx1"/>
            </w14:solidFill>
          </w14:textFill>
        </w:rPr>
      </w:pPr>
    </w:p>
    <w:p w14:paraId="763D18EB">
      <w:pPr>
        <w:pStyle w:val="57"/>
        <w:numPr>
          <w:ilvl w:val="0"/>
          <w:numId w:val="109"/>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或有事项</w:t>
      </w:r>
    </w:p>
    <w:p w14:paraId="136B5C51">
      <w:pPr>
        <w:pStyle w:val="58"/>
        <w:numPr>
          <w:ilvl w:val="0"/>
          <w:numId w:val="110"/>
        </w:numPr>
        <w:tabs>
          <w:tab w:val="left" w:pos="616"/>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资产负债表日存在的重要或有事项</w:t>
      </w:r>
    </w:p>
    <w:sdt>
      <w:sdtPr>
        <w:rPr>
          <w:color w:val="000000" w:themeColor="text1"/>
          <w14:textFill>
            <w14:solidFill>
              <w14:schemeClr w14:val="tx1"/>
            </w14:solidFill>
          </w14:textFill>
        </w:rPr>
        <w:alias w:val="是否适用：资产负债表日存在的重要或有事项[双击切换]"/>
        <w:tag w:val="_GBC_dea854a30b4642f6b78351afe6791c32"/>
        <w:id w:val="147452962"/>
        <w:placeholder>
          <w:docPart w:val="GBC22222222222222222222222222222"/>
        </w:placeholder>
      </w:sdtPr>
      <w:sdtEndPr>
        <w:rPr>
          <w:color w:val="000000" w:themeColor="text1"/>
          <w14:textFill>
            <w14:solidFill>
              <w14:schemeClr w14:val="tx1"/>
            </w14:solidFill>
          </w14:textFill>
        </w:rPr>
      </w:sdtEndPr>
      <w:sdtContent>
        <w:p w14:paraId="10875D3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CD7235A">
      <w:pPr>
        <w:rPr>
          <w:color w:val="000000" w:themeColor="text1"/>
          <w14:textFill>
            <w14:solidFill>
              <w14:schemeClr w14:val="tx1"/>
            </w14:solidFill>
          </w14:textFill>
        </w:rPr>
      </w:pPr>
    </w:p>
    <w:p w14:paraId="34495FEE">
      <w:pPr>
        <w:pStyle w:val="58"/>
        <w:numPr>
          <w:ilvl w:val="0"/>
          <w:numId w:val="110"/>
        </w:numPr>
        <w:tabs>
          <w:tab w:val="left" w:pos="616"/>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公司没有需要披露的重要或有事项，也应予以说明：</w:t>
      </w:r>
    </w:p>
    <w:sdt>
      <w:sdtPr>
        <w:rPr>
          <w:color w:val="000000" w:themeColor="text1"/>
          <w14:textFill>
            <w14:solidFill>
              <w14:schemeClr w14:val="tx1"/>
            </w14:solidFill>
          </w14:textFill>
        </w:rPr>
        <w:alias w:val="是否适用：公司没有需要披露的重要或有事项，也应予以说明[双击切换]"/>
        <w:tag w:val="_GBC_a0545390a9694adcaaee8509e290303c"/>
        <w:id w:val="147480460"/>
        <w:placeholder>
          <w:docPart w:val="GBC22222222222222222222222222222"/>
        </w:placeholder>
      </w:sdtPr>
      <w:sdtEndPr>
        <w:rPr>
          <w:color w:val="000000" w:themeColor="text1"/>
          <w14:textFill>
            <w14:solidFill>
              <w14:schemeClr w14:val="tx1"/>
            </w14:solidFill>
          </w14:textFill>
        </w:rPr>
      </w:sdtEndPr>
      <w:sdtContent>
        <w:p w14:paraId="13636B4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CDB8622">
      <w:pPr>
        <w:rPr>
          <w:rFonts w:cstheme="minorBidi"/>
          <w:color w:val="000000" w:themeColor="text1"/>
          <w14:textFill>
            <w14:solidFill>
              <w14:schemeClr w14:val="tx1"/>
            </w14:solidFill>
          </w14:textFill>
        </w:rPr>
      </w:pPr>
    </w:p>
    <w:p w14:paraId="1D5538C6">
      <w:pPr>
        <w:pStyle w:val="57"/>
        <w:numPr>
          <w:ilvl w:val="0"/>
          <w:numId w:val="109"/>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w:t>
      </w:r>
    </w:p>
    <w:sdt>
      <w:sdtPr>
        <w:rPr>
          <w:color w:val="000000" w:themeColor="text1"/>
          <w14:textFill>
            <w14:solidFill>
              <w14:schemeClr w14:val="tx1"/>
            </w14:solidFill>
          </w14:textFill>
        </w:rPr>
        <w:alias w:val="是否适用：承诺及或有事项的其他情况说明[双击切换]"/>
        <w:tag w:val="_GBC_ff33b21a56eb4d3291f2b4875be5a2b2"/>
        <w:id w:val="147465278"/>
        <w:placeholder>
          <w:docPart w:val="GBC22222222222222222222222222222"/>
        </w:placeholder>
      </w:sdtPr>
      <w:sdtEndPr>
        <w:rPr>
          <w:color w:val="000000" w:themeColor="text1"/>
          <w14:textFill>
            <w14:solidFill>
              <w14:schemeClr w14:val="tx1"/>
            </w14:solidFill>
          </w14:textFill>
        </w:rPr>
      </w:sdtEndPr>
      <w:sdtContent>
        <w:p w14:paraId="56EE754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DF5AA56">
      <w:pPr>
        <w:rPr>
          <w:color w:val="000000" w:themeColor="text1"/>
          <w14:textFill>
            <w14:solidFill>
              <w14:schemeClr w14:val="tx1"/>
            </w14:solidFill>
          </w14:textFill>
        </w:rPr>
      </w:pPr>
    </w:p>
    <w:p w14:paraId="4D4FBE30">
      <w:pPr>
        <w:pStyle w:val="56"/>
        <w:numPr>
          <w:ilvl w:val="0"/>
          <w:numId w:val="43"/>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资产负债表日后事项</w:t>
      </w:r>
    </w:p>
    <w:p w14:paraId="721F9A8B">
      <w:pPr>
        <w:pStyle w:val="57"/>
        <w:numPr>
          <w:ilvl w:val="0"/>
          <w:numId w:val="111"/>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重要的非调整事项</w:t>
      </w:r>
    </w:p>
    <w:sdt>
      <w:sdtPr>
        <w:rPr>
          <w:color w:val="000000" w:themeColor="text1"/>
          <w14:textFill>
            <w14:solidFill>
              <w14:schemeClr w14:val="tx1"/>
            </w14:solidFill>
          </w14:textFill>
        </w:rPr>
        <w:alias w:val="是否适用：重要的非调整事项[双击切换]"/>
        <w:tag w:val="_GBC_ab366a8fb12748d6aa2a8401b360857c"/>
        <w:id w:val="147471408"/>
        <w:placeholder>
          <w:docPart w:val="GBC22222222222222222222222222222"/>
        </w:placeholder>
      </w:sdtPr>
      <w:sdtEndPr>
        <w:rPr>
          <w:color w:val="000000" w:themeColor="text1"/>
          <w14:textFill>
            <w14:solidFill>
              <w14:schemeClr w14:val="tx1"/>
            </w14:solidFill>
          </w14:textFill>
        </w:rPr>
      </w:sdtEndPr>
      <w:sdtContent>
        <w:p w14:paraId="383C20E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49ECF59">
      <w:pPr>
        <w:rPr>
          <w:color w:val="000000" w:themeColor="text1"/>
          <w14:textFill>
            <w14:solidFill>
              <w14:schemeClr w14:val="tx1"/>
            </w14:solidFill>
          </w14:textFill>
        </w:rPr>
      </w:pPr>
    </w:p>
    <w:p w14:paraId="126502C6">
      <w:pPr>
        <w:pStyle w:val="57"/>
        <w:numPr>
          <w:ilvl w:val="0"/>
          <w:numId w:val="111"/>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利润分配情况</w:t>
      </w:r>
    </w:p>
    <w:sdt>
      <w:sdtPr>
        <w:rPr>
          <w:color w:val="000000" w:themeColor="text1"/>
          <w14:textFill>
            <w14:solidFill>
              <w14:schemeClr w14:val="tx1"/>
            </w14:solidFill>
          </w14:textFill>
        </w:rPr>
        <w:alias w:val="是否适用：利润分配情况[双击切换]"/>
        <w:tag w:val="_GBC_a2ea8cd0604f474db0e7e62eb7fc0435"/>
        <w:id w:val="147476312"/>
        <w:placeholder>
          <w:docPart w:val="GBC22222222222222222222222222222"/>
        </w:placeholder>
      </w:sdtPr>
      <w:sdtEndPr>
        <w:rPr>
          <w:color w:val="000000" w:themeColor="text1"/>
          <w14:textFill>
            <w14:solidFill>
              <w14:schemeClr w14:val="tx1"/>
            </w14:solidFill>
          </w14:textFill>
        </w:rPr>
      </w:sdtEndPr>
      <w:sdtContent>
        <w:p w14:paraId="1306270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B60A427">
      <w:pPr>
        <w:rPr>
          <w:color w:val="000000" w:themeColor="text1"/>
          <w14:textFill>
            <w14:solidFill>
              <w14:schemeClr w14:val="tx1"/>
            </w14:solidFill>
          </w14:textFill>
        </w:rPr>
      </w:pPr>
    </w:p>
    <w:p w14:paraId="740C4050">
      <w:pPr>
        <w:pStyle w:val="57"/>
        <w:numPr>
          <w:ilvl w:val="0"/>
          <w:numId w:val="111"/>
        </w:numPr>
        <w:rPr>
          <w:rFonts w:ascii="宋体" w:hAnsi="宋体"/>
          <w:color w:val="000000" w:themeColor="text1"/>
          <w14:textFill>
            <w14:solidFill>
              <w14:schemeClr w14:val="tx1"/>
            </w14:solidFill>
          </w14:textFill>
        </w:rPr>
      </w:pPr>
      <w:bookmarkStart w:id="428" w:name="_Toc241636515"/>
      <w:r>
        <w:rPr>
          <w:rFonts w:hint="eastAsia" w:ascii="宋体" w:hAnsi="宋体"/>
          <w:color w:val="000000" w:themeColor="text1"/>
          <w14:textFill>
            <w14:solidFill>
              <w14:schemeClr w14:val="tx1"/>
            </w14:solidFill>
          </w14:textFill>
        </w:rPr>
        <w:t>销售退回</w:t>
      </w:r>
    </w:p>
    <w:sdt>
      <w:sdtPr>
        <w:rPr>
          <w:color w:val="000000" w:themeColor="text1"/>
          <w14:textFill>
            <w14:solidFill>
              <w14:schemeClr w14:val="tx1"/>
            </w14:solidFill>
          </w14:textFill>
        </w:rPr>
        <w:alias w:val="是否适用：销售退回[双击切换]"/>
        <w:tag w:val="_GBC_4175c0e820fa43cd98dd2d05c0dea8a8"/>
        <w:id w:val="147473049"/>
        <w:placeholder>
          <w:docPart w:val="GBC22222222222222222222222222222"/>
        </w:placeholder>
      </w:sdtPr>
      <w:sdtEndPr>
        <w:rPr>
          <w:color w:val="000000" w:themeColor="text1"/>
          <w14:textFill>
            <w14:solidFill>
              <w14:schemeClr w14:val="tx1"/>
            </w14:solidFill>
          </w14:textFill>
        </w:rPr>
      </w:sdtEndPr>
      <w:sdtContent>
        <w:p w14:paraId="61F0D33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1FE3B19">
      <w:pPr>
        <w:rPr>
          <w:color w:val="000000" w:themeColor="text1"/>
          <w14:textFill>
            <w14:solidFill>
              <w14:schemeClr w14:val="tx1"/>
            </w14:solidFill>
          </w14:textFill>
        </w:rPr>
      </w:pPr>
    </w:p>
    <w:p w14:paraId="42C5FCEF">
      <w:pPr>
        <w:pStyle w:val="57"/>
        <w:numPr>
          <w:ilvl w:val="0"/>
          <w:numId w:val="111"/>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其他资产负债表日后事项说明</w:t>
      </w:r>
      <w:bookmarkEnd w:id="428"/>
    </w:p>
    <w:sdt>
      <w:sdtPr>
        <w:rPr>
          <w:color w:val="000000" w:themeColor="text1"/>
          <w14:textFill>
            <w14:solidFill>
              <w14:schemeClr w14:val="tx1"/>
            </w14:solidFill>
          </w14:textFill>
        </w:rPr>
        <w:alias w:val="是否适用：其他资产负债表日后事项说明[双击切换]"/>
        <w:tag w:val="_GBC_3da0e7092a0048ed9e147e2e860785f5"/>
        <w:id w:val="147475127"/>
        <w:placeholder>
          <w:docPart w:val="GBC22222222222222222222222222222"/>
        </w:placeholder>
      </w:sdtPr>
      <w:sdtEndPr>
        <w:rPr>
          <w:color w:val="000000" w:themeColor="text1"/>
          <w14:textFill>
            <w14:solidFill>
              <w14:schemeClr w14:val="tx1"/>
            </w14:solidFill>
          </w14:textFill>
        </w:rPr>
      </w:sdtEndPr>
      <w:sdtContent>
        <w:p w14:paraId="6D1CA38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AE85343">
      <w:pPr>
        <w:rPr>
          <w:color w:val="000000" w:themeColor="text1"/>
          <w14:textFill>
            <w14:solidFill>
              <w14:schemeClr w14:val="tx1"/>
            </w14:solidFill>
          </w14:textFill>
        </w:rPr>
      </w:pPr>
    </w:p>
    <w:p w14:paraId="2BC23468">
      <w:pPr>
        <w:pStyle w:val="56"/>
        <w:numPr>
          <w:ilvl w:val="0"/>
          <w:numId w:val="43"/>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其他重要事项</w:t>
      </w:r>
    </w:p>
    <w:p w14:paraId="563447EE">
      <w:pPr>
        <w:pStyle w:val="57"/>
        <w:numPr>
          <w:ilvl w:val="0"/>
          <w:numId w:val="112"/>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前期会计差错更正</w:t>
      </w:r>
    </w:p>
    <w:p w14:paraId="5B03222A">
      <w:pPr>
        <w:pStyle w:val="58"/>
        <w:numPr>
          <w:ilvl w:val="0"/>
          <w:numId w:val="113"/>
        </w:numPr>
        <w:tabs>
          <w:tab w:val="left" w:pos="602"/>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追溯重述法</w:t>
      </w:r>
    </w:p>
    <w:sdt>
      <w:sdtPr>
        <w:rPr>
          <w:rFonts w:hint="eastAsia"/>
          <w:color w:val="000000" w:themeColor="text1"/>
          <w14:textFill>
            <w14:solidFill>
              <w14:schemeClr w14:val="tx1"/>
            </w14:solidFill>
          </w14:textFill>
        </w:rPr>
        <w:alias w:val="是否适用：追溯重述法[双击切换]"/>
        <w:tag w:val="_GBC_9d59987ec8f64e568cc0874cd76bb5ce"/>
        <w:id w:val="147465133"/>
        <w:placeholder>
          <w:docPart w:val="GBC22222222222222222222222222222"/>
        </w:placeholder>
      </w:sdtPr>
      <w:sdtEndPr>
        <w:rPr>
          <w:rFonts w:hint="eastAsia"/>
          <w:color w:val="000000" w:themeColor="text1"/>
          <w14:textFill>
            <w14:solidFill>
              <w14:schemeClr w14:val="tx1"/>
            </w14:solidFill>
          </w14:textFill>
        </w:rPr>
      </w:sdtEndPr>
      <w:sdtContent>
        <w:p w14:paraId="4976983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D4C9242">
      <w:pPr>
        <w:rPr>
          <w:color w:val="000000" w:themeColor="text1"/>
          <w14:textFill>
            <w14:solidFill>
              <w14:schemeClr w14:val="tx1"/>
            </w14:solidFill>
          </w14:textFill>
        </w:rPr>
      </w:pPr>
    </w:p>
    <w:p w14:paraId="2D4DEE78">
      <w:pPr>
        <w:pStyle w:val="58"/>
        <w:numPr>
          <w:ilvl w:val="0"/>
          <w:numId w:val="113"/>
        </w:numPr>
        <w:tabs>
          <w:tab w:val="left" w:pos="602"/>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未来适用法</w:t>
      </w:r>
    </w:p>
    <w:sdt>
      <w:sdtPr>
        <w:rPr>
          <w:color w:val="000000" w:themeColor="text1"/>
          <w14:textFill>
            <w14:solidFill>
              <w14:schemeClr w14:val="tx1"/>
            </w14:solidFill>
          </w14:textFill>
        </w:rPr>
        <w:alias w:val="是否适用：未来适用法[双击切换]"/>
        <w:tag w:val="_GBC_add0977272ee43e7938e3e96c6aaa92d"/>
        <w:id w:val="147469319"/>
        <w:placeholder>
          <w:docPart w:val="GBC22222222222222222222222222222"/>
        </w:placeholder>
      </w:sdtPr>
      <w:sdtEndPr>
        <w:rPr>
          <w:color w:val="000000" w:themeColor="text1"/>
          <w14:textFill>
            <w14:solidFill>
              <w14:schemeClr w14:val="tx1"/>
            </w14:solidFill>
          </w14:textFill>
        </w:rPr>
      </w:sdtEndPr>
      <w:sdtContent>
        <w:p w14:paraId="2EE6414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2110F95">
      <w:pPr>
        <w:rPr>
          <w:color w:val="000000" w:themeColor="text1"/>
          <w14:textFill>
            <w14:solidFill>
              <w14:schemeClr w14:val="tx1"/>
            </w14:solidFill>
          </w14:textFill>
        </w:rPr>
      </w:pPr>
    </w:p>
    <w:p w14:paraId="22D4CA05">
      <w:pPr>
        <w:pStyle w:val="57"/>
        <w:numPr>
          <w:ilvl w:val="0"/>
          <w:numId w:val="112"/>
        </w:numPr>
        <w:rPr>
          <w:rFonts w:ascii="宋体" w:hAnsi="宋体"/>
          <w:color w:val="000000" w:themeColor="text1"/>
          <w14:textFill>
            <w14:solidFill>
              <w14:schemeClr w14:val="tx1"/>
            </w14:solidFill>
          </w14:textFill>
        </w:rPr>
      </w:pPr>
      <w:bookmarkStart w:id="429" w:name="_Hlk167977672"/>
      <w:r>
        <w:rPr>
          <w:rFonts w:hint="eastAsia" w:ascii="宋体" w:hAnsi="宋体"/>
          <w:color w:val="000000" w:themeColor="text1"/>
          <w14:textFill>
            <w14:solidFill>
              <w14:schemeClr w14:val="tx1"/>
            </w14:solidFill>
          </w14:textFill>
        </w:rPr>
        <w:t>重要债务重组</w:t>
      </w:r>
    </w:p>
    <w:sdt>
      <w:sdtPr>
        <w:rPr>
          <w:color w:val="000000" w:themeColor="text1"/>
          <w14:textFill>
            <w14:solidFill>
              <w14:schemeClr w14:val="tx1"/>
            </w14:solidFill>
          </w14:textFill>
        </w:rPr>
        <w:alias w:val="是否适用：重要债务重组[双击切换]"/>
        <w:tag w:val="_GBC_14f62373def24b6b994f6cfe645fabcb"/>
        <w:id w:val="147478652"/>
        <w:placeholder>
          <w:docPart w:val="GBC22222222222222222222222222222"/>
        </w:placeholder>
      </w:sdtPr>
      <w:sdtEndPr>
        <w:rPr>
          <w:color w:val="000000" w:themeColor="text1"/>
          <w14:textFill>
            <w14:solidFill>
              <w14:schemeClr w14:val="tx1"/>
            </w14:solidFill>
          </w14:textFill>
        </w:rPr>
      </w:sdtEndPr>
      <w:sdtContent>
        <w:p w14:paraId="71511C53">
          <w:pPr>
            <w:spacing w:line="360" w:lineRule="exact"/>
            <w:ind w:right="5"/>
            <w:rPr>
              <w:rFonts w:asciiTheme="minorHAnsi" w:hAnsiTheme="minorHAnsi" w:eastAsiaTheme="minorEastAsia" w:cstheme="minorBidi"/>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429"/>
    <w:p w14:paraId="5981E4B7">
      <w:pPr>
        <w:rPr>
          <w:color w:val="000000" w:themeColor="text1"/>
          <w14:textFill>
            <w14:solidFill>
              <w14:schemeClr w14:val="tx1"/>
            </w14:solidFill>
          </w14:textFill>
        </w:rPr>
      </w:pPr>
    </w:p>
    <w:p w14:paraId="31C62309">
      <w:pPr>
        <w:pStyle w:val="57"/>
        <w:numPr>
          <w:ilvl w:val="0"/>
          <w:numId w:val="112"/>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资产置换</w:t>
      </w:r>
    </w:p>
    <w:p w14:paraId="6BCC8D7B">
      <w:pPr>
        <w:pStyle w:val="58"/>
        <w:numPr>
          <w:ilvl w:val="0"/>
          <w:numId w:val="114"/>
        </w:numPr>
        <w:tabs>
          <w:tab w:val="left" w:pos="644"/>
        </w:tabs>
        <w:rPr>
          <w:rFonts w:ascii="宋体" w:hAnsi="宋体"/>
          <w:color w:val="000000" w:themeColor="text1"/>
          <w14:textFill>
            <w14:solidFill>
              <w14:schemeClr w14:val="tx1"/>
            </w14:solidFill>
          </w14:textFill>
        </w:rPr>
      </w:pPr>
      <w:bookmarkStart w:id="430" w:name="_Toc241636517"/>
      <w:bookmarkStart w:id="431" w:name="_Toc161412438"/>
      <w:r>
        <w:rPr>
          <w:rFonts w:hint="eastAsia" w:ascii="宋体" w:hAnsi="宋体"/>
          <w:color w:val="000000" w:themeColor="text1"/>
          <w14:textFill>
            <w14:solidFill>
              <w14:schemeClr w14:val="tx1"/>
            </w14:solidFill>
          </w14:textFill>
        </w:rPr>
        <w:t>非货币性资产交换</w:t>
      </w:r>
      <w:bookmarkEnd w:id="430"/>
      <w:bookmarkEnd w:id="431"/>
    </w:p>
    <w:sdt>
      <w:sdtPr>
        <w:rPr>
          <w:color w:val="000000" w:themeColor="text1"/>
          <w14:textFill>
            <w14:solidFill>
              <w14:schemeClr w14:val="tx1"/>
            </w14:solidFill>
          </w14:textFill>
        </w:rPr>
        <w:alias w:val="是否适用：非货币性资产交换[双击切换]"/>
        <w:tag w:val="_GBC_1e8378570c9a4db08ad001118944af2e"/>
        <w:id w:val="147461203"/>
        <w:placeholder>
          <w:docPart w:val="GBC22222222222222222222222222222"/>
        </w:placeholder>
      </w:sdtPr>
      <w:sdtEndPr>
        <w:rPr>
          <w:color w:val="000000" w:themeColor="text1"/>
          <w14:textFill>
            <w14:solidFill>
              <w14:schemeClr w14:val="tx1"/>
            </w14:solidFill>
          </w14:textFill>
        </w:rPr>
      </w:sdtEndPr>
      <w:sdtContent>
        <w:p w14:paraId="1408400E">
          <w:pPr>
            <w:spacing w:line="360" w:lineRule="exact"/>
            <w:ind w:right="5"/>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D1A16BB">
      <w:pPr>
        <w:rPr>
          <w:color w:val="000000" w:themeColor="text1"/>
          <w14:textFill>
            <w14:solidFill>
              <w14:schemeClr w14:val="tx1"/>
            </w14:solidFill>
          </w14:textFill>
        </w:rPr>
      </w:pPr>
    </w:p>
    <w:p w14:paraId="6E5618CF">
      <w:pPr>
        <w:pStyle w:val="58"/>
        <w:numPr>
          <w:ilvl w:val="0"/>
          <w:numId w:val="114"/>
        </w:numPr>
        <w:tabs>
          <w:tab w:val="left" w:pos="644"/>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其他资产置换</w:t>
      </w:r>
    </w:p>
    <w:sdt>
      <w:sdtPr>
        <w:rPr>
          <w:color w:val="000000" w:themeColor="text1"/>
          <w14:textFill>
            <w14:solidFill>
              <w14:schemeClr w14:val="tx1"/>
            </w14:solidFill>
          </w14:textFill>
        </w:rPr>
        <w:alias w:val="是否适用：其他资产置换[双击切换]"/>
        <w:tag w:val="_GBC_e20be5fc12b94f43a4090c14cc3aec63"/>
        <w:id w:val="147470365"/>
        <w:placeholder>
          <w:docPart w:val="GBC22222222222222222222222222222"/>
        </w:placeholder>
      </w:sdtPr>
      <w:sdtEndPr>
        <w:rPr>
          <w:color w:val="000000" w:themeColor="text1"/>
          <w14:textFill>
            <w14:solidFill>
              <w14:schemeClr w14:val="tx1"/>
            </w14:solidFill>
          </w14:textFill>
        </w:rPr>
      </w:sdtEndPr>
      <w:sdtContent>
        <w:p w14:paraId="4855939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3A0264D">
      <w:pPr>
        <w:rPr>
          <w:color w:val="000000" w:themeColor="text1"/>
          <w14:textFill>
            <w14:solidFill>
              <w14:schemeClr w14:val="tx1"/>
            </w14:solidFill>
          </w14:textFill>
        </w:rPr>
      </w:pPr>
    </w:p>
    <w:p w14:paraId="16E2281E">
      <w:pPr>
        <w:pStyle w:val="57"/>
        <w:numPr>
          <w:ilvl w:val="0"/>
          <w:numId w:val="112"/>
        </w:numPr>
        <w:rPr>
          <w:rFonts w:ascii="宋体" w:hAnsi="宋体"/>
          <w:color w:val="000000" w:themeColor="text1"/>
          <w14:textFill>
            <w14:solidFill>
              <w14:schemeClr w14:val="tx1"/>
            </w14:solidFill>
          </w14:textFill>
        </w:rPr>
      </w:pPr>
      <w:bookmarkStart w:id="432" w:name="_Toc247371936"/>
      <w:r>
        <w:rPr>
          <w:rFonts w:hint="eastAsia" w:ascii="宋体" w:hAnsi="宋体"/>
          <w:color w:val="000000" w:themeColor="text1"/>
          <w14:textFill>
            <w14:solidFill>
              <w14:schemeClr w14:val="tx1"/>
            </w14:solidFill>
          </w14:textFill>
        </w:rPr>
        <w:t>年金计划</w:t>
      </w:r>
      <w:bookmarkEnd w:id="432"/>
    </w:p>
    <w:sdt>
      <w:sdtPr>
        <w:rPr>
          <w:color w:val="000000" w:themeColor="text1"/>
          <w14:textFill>
            <w14:solidFill>
              <w14:schemeClr w14:val="tx1"/>
            </w14:solidFill>
          </w14:textFill>
        </w:rPr>
        <w:alias w:val="是否适用：年金计划[双击切换]"/>
        <w:tag w:val="_GBC_f69a163f78f74a54a6443aaa7388f0dd"/>
        <w:id w:val="147469249"/>
        <w:placeholder>
          <w:docPart w:val="GBC22222222222222222222222222222"/>
        </w:placeholder>
      </w:sdtPr>
      <w:sdtEndPr>
        <w:rPr>
          <w:color w:val="000000" w:themeColor="text1"/>
          <w14:textFill>
            <w14:solidFill>
              <w14:schemeClr w14:val="tx1"/>
            </w14:solidFill>
          </w14:textFill>
        </w:rPr>
      </w:sdtEndPr>
      <w:sdtContent>
        <w:p w14:paraId="61FE924C">
          <w:pPr>
            <w:rPr>
              <w:rFonts w:cstheme="minorBidi"/>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9BBCEB7">
      <w:pPr>
        <w:rPr>
          <w:color w:val="000000" w:themeColor="text1"/>
          <w14:textFill>
            <w14:solidFill>
              <w14:schemeClr w14:val="tx1"/>
            </w14:solidFill>
          </w14:textFill>
        </w:rPr>
      </w:pPr>
    </w:p>
    <w:p w14:paraId="33A97DF2">
      <w:pPr>
        <w:pStyle w:val="57"/>
        <w:numPr>
          <w:ilvl w:val="0"/>
          <w:numId w:val="112"/>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终止经营</w:t>
      </w:r>
    </w:p>
    <w:sdt>
      <w:sdtPr>
        <w:rPr>
          <w:color w:val="000000" w:themeColor="text1"/>
          <w14:textFill>
            <w14:solidFill>
              <w14:schemeClr w14:val="tx1"/>
            </w14:solidFill>
          </w14:textFill>
        </w:rPr>
        <w:alias w:val="是否适用：终止经营[双击切换]"/>
        <w:tag w:val="_GBC_8e88002e405543f593111633f63e4d8b"/>
        <w:id w:val="147462838"/>
        <w:placeholder>
          <w:docPart w:val="GBC22222222222222222222222222222"/>
        </w:placeholder>
      </w:sdtPr>
      <w:sdtEndPr>
        <w:rPr>
          <w:color w:val="000000" w:themeColor="text1"/>
          <w14:textFill>
            <w14:solidFill>
              <w14:schemeClr w14:val="tx1"/>
            </w14:solidFill>
          </w14:textFill>
        </w:rPr>
      </w:sdtEndPr>
      <w:sdtContent>
        <w:p w14:paraId="29F17C95">
          <w:pPr>
            <w:rPr>
              <w:rFonts w:cstheme="minorBidi"/>
              <w:color w:val="000000" w:themeColor="text1"/>
              <w:kern w:val="2"/>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9C4AB8D">
      <w:pPr>
        <w:rPr>
          <w:color w:val="000000" w:themeColor="text1"/>
          <w14:textFill>
            <w14:solidFill>
              <w14:schemeClr w14:val="tx1"/>
            </w14:solidFill>
          </w14:textFill>
        </w:rPr>
      </w:pPr>
    </w:p>
    <w:p w14:paraId="143D93F9">
      <w:pPr>
        <w:pStyle w:val="57"/>
        <w:numPr>
          <w:ilvl w:val="0"/>
          <w:numId w:val="112"/>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分部信息</w:t>
      </w:r>
    </w:p>
    <w:p w14:paraId="6A051EF7">
      <w:pPr>
        <w:pStyle w:val="58"/>
        <w:numPr>
          <w:ilvl w:val="1"/>
          <w:numId w:val="115"/>
        </w:numPr>
        <w:tabs>
          <w:tab w:val="left" w:pos="644"/>
        </w:tabs>
        <w:ind w:left="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报告分部的确定依据与会计政策</w:t>
      </w:r>
    </w:p>
    <w:sdt>
      <w:sdtPr>
        <w:rPr>
          <w:color w:val="000000" w:themeColor="text1"/>
          <w14:textFill>
            <w14:solidFill>
              <w14:schemeClr w14:val="tx1"/>
            </w14:solidFill>
          </w14:textFill>
        </w:rPr>
        <w:alias w:val="是否适用：报告分部的确定依据与会计政策[双击切换]"/>
        <w:tag w:val="_GBC_3684a11ce06644529eba619783a75583"/>
        <w:id w:val="147478970"/>
        <w:placeholder>
          <w:docPart w:val="GBC22222222222222222222222222222"/>
        </w:placeholder>
      </w:sdtPr>
      <w:sdtEndPr>
        <w:rPr>
          <w:color w:val="000000" w:themeColor="text1"/>
          <w14:textFill>
            <w14:solidFill>
              <w14:schemeClr w14:val="tx1"/>
            </w14:solidFill>
          </w14:textFill>
        </w:rPr>
      </w:sdtEndPr>
      <w:sdtContent>
        <w:p w14:paraId="2B1DD02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报告分部的确定依据与会计政策"/>
        <w:tag w:val="_GBC_025e15951a494fa2845d296cf8db1fdb"/>
        <w:id w:val="-240486800"/>
        <w:placeholder>
          <w:docPart w:val="{5601263c-6b11-4e3b-af45-e668d5c2c93a}"/>
        </w:placeholder>
      </w:sdtPr>
      <w:sdtEndPr>
        <w:rPr>
          <w:color w:val="000000" w:themeColor="text1"/>
          <w14:textFill>
            <w14:solidFill>
              <w14:schemeClr w14:val="tx1"/>
            </w14:solidFill>
          </w14:textFill>
        </w:rPr>
      </w:sdtEndPr>
      <w:sdtContent>
        <w:p w14:paraId="525ADBF1">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根据公司内部组织结构和经营管理要求，按照行业划分成两个业务板块，分为制造业、贸易及其他。</w:t>
          </w:r>
        </w:p>
      </w:sdtContent>
    </w:sdt>
    <w:p w14:paraId="5D8F1648">
      <w:pPr>
        <w:rPr>
          <w:color w:val="000000" w:themeColor="text1"/>
          <w14:textFill>
            <w14:solidFill>
              <w14:schemeClr w14:val="tx1"/>
            </w14:solidFill>
          </w14:textFill>
        </w:rPr>
      </w:pPr>
    </w:p>
    <w:p w14:paraId="28458F97">
      <w:pPr>
        <w:pStyle w:val="58"/>
        <w:numPr>
          <w:ilvl w:val="1"/>
          <w:numId w:val="115"/>
        </w:numPr>
        <w:tabs>
          <w:tab w:val="left" w:pos="644"/>
        </w:tabs>
        <w:ind w:left="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报告分部的财务信息</w:t>
      </w:r>
    </w:p>
    <w:sdt>
      <w:sdtPr>
        <w:rPr>
          <w:color w:val="000000" w:themeColor="text1"/>
          <w14:textFill>
            <w14:solidFill>
              <w14:schemeClr w14:val="tx1"/>
            </w14:solidFill>
          </w14:textFill>
        </w:rPr>
        <w:alias w:val="是否适用：报告分部的财务信息[双击切换]"/>
        <w:tag w:val="_GBC_25e6ee3686524d959ae273bb5aaa9cfb"/>
        <w:id w:val="147473894"/>
        <w:placeholder>
          <w:docPart w:val="GBC22222222222222222222222222222"/>
        </w:placeholder>
      </w:sdtPr>
      <w:sdtEndPr>
        <w:rPr>
          <w:color w:val="000000" w:themeColor="text1"/>
          <w14:textFill>
            <w14:solidFill>
              <w14:schemeClr w14:val="tx1"/>
            </w14:solidFill>
          </w14:textFill>
        </w:rPr>
      </w:sdtEndPr>
      <w:sdtContent>
        <w:p w14:paraId="0D450B5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AFD1F11">
      <w:pPr>
        <w:pStyle w:val="50"/>
        <w:wordWrap w:val="0"/>
        <w:ind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财务附注：报告分部的财务信息"/>
          <w:tag w:val="_GBC_bed196c2a65649e69e8eda77c9168933"/>
          <w:id w:val="147475946"/>
          <w:placeholder>
            <w:docPart w:val="85AE56D4083A439B8E436FDA6AB447BB"/>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万元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财务附注：报告分部的财务信息"/>
          <w:tag w:val="_GBC_22cbe62652b3461e90f84a6c3cef03c1"/>
          <w:id w:val="147474010"/>
          <w:placeholder>
            <w:docPart w:val="85AE56D4083A439B8E436FDA6AB447BB"/>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6"/>
        <w:gridCol w:w="1727"/>
        <w:gridCol w:w="1727"/>
        <w:gridCol w:w="1714"/>
        <w:gridCol w:w="1725"/>
      </w:tblGrid>
      <w:tr w14:paraId="015D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2124bd1595e9432ab250a15c084078c3"/>
            <w:id w:val="147458403"/>
          </w:sdtPr>
          <w:sdtEndPr>
            <w:rPr>
              <w:rFonts w:cs="Times New Roman"/>
            </w:rPr>
          </w:sdtEndPr>
          <w:sdtContent>
            <w:tc>
              <w:tcPr>
                <w:tcW w:w="1192" w:type="pct"/>
                <w:tcBorders>
                  <w:top w:val="single" w:color="auto" w:sz="4" w:space="0"/>
                  <w:left w:val="single" w:color="auto" w:sz="4" w:space="0"/>
                  <w:bottom w:val="single" w:color="auto" w:sz="4" w:space="0"/>
                  <w:right w:val="single" w:color="auto" w:sz="4" w:space="0"/>
                </w:tcBorders>
              </w:tcPr>
              <w:p w14:paraId="65A92A7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tc>
          <w:tcPr>
            <w:tcW w:w="954" w:type="pct"/>
            <w:tcBorders>
              <w:top w:val="single" w:color="auto" w:sz="4" w:space="0"/>
              <w:left w:val="single" w:color="auto" w:sz="4" w:space="0"/>
              <w:bottom w:val="single" w:color="auto" w:sz="4" w:space="0"/>
              <w:right w:val="single" w:color="auto" w:sz="4" w:space="0"/>
            </w:tcBorders>
            <w:vAlign w:val="center"/>
          </w:tcPr>
          <w:p w14:paraId="520604BE">
            <w:pPr>
              <w:jc w:val="center"/>
              <w:rPr>
                <w:rFonts w:cs="Times New Roman"/>
                <w:color w:val="000000" w:themeColor="text1"/>
                <w14:textFill>
                  <w14:solidFill>
                    <w14:schemeClr w14:val="tx1"/>
                  </w14:solidFill>
                </w14:textFill>
              </w:rPr>
            </w:pPr>
            <w:r>
              <w:rPr>
                <w:rFonts w:cs="Times New Roman"/>
              </w:rPr>
              <w:t>制造业</w:t>
            </w:r>
          </w:p>
        </w:tc>
        <w:sdt>
          <w:sdtPr>
            <w:rPr>
              <w:rFonts w:cs="Times New Roman"/>
              <w:color w:val="000000" w:themeColor="text1"/>
              <w14:textFill>
                <w14:solidFill>
                  <w14:schemeClr w14:val="tx1"/>
                </w14:solidFill>
              </w14:textFill>
            </w:rPr>
            <w:alias w:val="分部报告科目名称"/>
            <w:tag w:val="_GBC_24843a4914494260b42de1b13e529c2d"/>
            <w:id w:val="147481039"/>
          </w:sdtPr>
          <w:sdtEndPr>
            <w:rPr>
              <w:rFonts w:cs="Times New Roman"/>
              <w:color w:val="000000" w:themeColor="text1"/>
              <w14:textFill>
                <w14:solidFill>
                  <w14:schemeClr w14:val="tx1"/>
                </w14:solidFill>
              </w14:textFill>
            </w:rPr>
          </w:sdtEndPr>
          <w:sdtContent>
            <w:tc>
              <w:tcPr>
                <w:tcW w:w="954" w:type="pct"/>
                <w:tcBorders>
                  <w:top w:val="single" w:color="auto" w:sz="4" w:space="0"/>
                  <w:left w:val="single" w:color="auto" w:sz="4" w:space="0"/>
                  <w:bottom w:val="single" w:color="auto" w:sz="4" w:space="0"/>
                  <w:right w:val="single" w:color="auto" w:sz="4" w:space="0"/>
                </w:tcBorders>
              </w:tcPr>
              <w:p w14:paraId="232BF1C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贸易及其他</w:t>
                </w:r>
              </w:p>
            </w:tc>
          </w:sdtContent>
        </w:sdt>
        <w:sdt>
          <w:sdtPr>
            <w:rPr>
              <w:rFonts w:cs="Times New Roman"/>
            </w:rPr>
            <w:tag w:val="_PLD_bbb5338509514804b5ec1d4ec145b14b"/>
            <w:id w:val="147472454"/>
          </w:sdtPr>
          <w:sdtEndPr>
            <w:rPr>
              <w:rFonts w:cs="Times New Roman"/>
            </w:rPr>
          </w:sdtEndPr>
          <w:sdtContent>
            <w:tc>
              <w:tcPr>
                <w:tcW w:w="947" w:type="pct"/>
                <w:tcBorders>
                  <w:top w:val="single" w:color="auto" w:sz="4" w:space="0"/>
                  <w:left w:val="single" w:color="auto" w:sz="4" w:space="0"/>
                  <w:bottom w:val="single" w:color="auto" w:sz="4" w:space="0"/>
                  <w:right w:val="single" w:color="auto" w:sz="4" w:space="0"/>
                </w:tcBorders>
              </w:tcPr>
              <w:p w14:paraId="16FAA3B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分部间抵销</w:t>
                </w:r>
              </w:p>
            </w:tc>
          </w:sdtContent>
        </w:sdt>
        <w:sdt>
          <w:sdtPr>
            <w:rPr>
              <w:rFonts w:cs="Times New Roman"/>
            </w:rPr>
            <w:tag w:val="_PLD_fa3be9e49ff54f5f94b69f487029a441"/>
            <w:id w:val="147474622"/>
          </w:sdtPr>
          <w:sdtEndPr>
            <w:rPr>
              <w:rFonts w:cs="Times New Roman"/>
            </w:rPr>
          </w:sdtEndPr>
          <w:sdtContent>
            <w:tc>
              <w:tcPr>
                <w:tcW w:w="953" w:type="pct"/>
                <w:tcBorders>
                  <w:top w:val="single" w:color="auto" w:sz="4" w:space="0"/>
                  <w:left w:val="single" w:color="auto" w:sz="4" w:space="0"/>
                  <w:bottom w:val="single" w:color="auto" w:sz="4" w:space="0"/>
                  <w:right w:val="single" w:color="auto" w:sz="4" w:space="0"/>
                </w:tcBorders>
              </w:tcPr>
              <w:p w14:paraId="3AEAD29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r>
      <w:tr w14:paraId="7D23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pct"/>
            <w:tcBorders>
              <w:top w:val="single" w:color="auto" w:sz="4" w:space="0"/>
              <w:left w:val="single" w:color="auto" w:sz="4" w:space="0"/>
              <w:bottom w:val="single" w:color="auto" w:sz="4" w:space="0"/>
              <w:right w:val="single" w:color="auto" w:sz="4" w:space="0"/>
            </w:tcBorders>
          </w:tcPr>
          <w:p w14:paraId="6C663D73">
            <w:pPr>
              <w:rPr>
                <w:rFonts w:cs="Times New Roman"/>
              </w:rPr>
            </w:pPr>
            <w:r>
              <w:rPr>
                <w:rFonts w:cs="Times New Roman"/>
              </w:rPr>
              <w:t>2025年上半年</w:t>
            </w:r>
          </w:p>
        </w:tc>
        <w:tc>
          <w:tcPr>
            <w:tcW w:w="954" w:type="pct"/>
            <w:tcBorders>
              <w:top w:val="single" w:color="auto" w:sz="4" w:space="0"/>
              <w:left w:val="single" w:color="auto" w:sz="4" w:space="0"/>
              <w:bottom w:val="single" w:color="auto" w:sz="4" w:space="0"/>
              <w:right w:val="single" w:color="auto" w:sz="4" w:space="0"/>
            </w:tcBorders>
            <w:vAlign w:val="center"/>
          </w:tcPr>
          <w:p w14:paraId="3BA04593">
            <w:pPr>
              <w:jc w:val="right"/>
              <w:rPr>
                <w:rFonts w:cs="Times New Roman"/>
              </w:rPr>
            </w:pPr>
          </w:p>
        </w:tc>
        <w:tc>
          <w:tcPr>
            <w:tcW w:w="954" w:type="pct"/>
            <w:tcBorders>
              <w:top w:val="single" w:color="auto" w:sz="4" w:space="0"/>
              <w:left w:val="single" w:color="auto" w:sz="4" w:space="0"/>
              <w:bottom w:val="single" w:color="auto" w:sz="4" w:space="0"/>
              <w:right w:val="single" w:color="auto" w:sz="4" w:space="0"/>
            </w:tcBorders>
            <w:vAlign w:val="center"/>
          </w:tcPr>
          <w:p w14:paraId="1A71D003">
            <w:pPr>
              <w:jc w:val="right"/>
              <w:rPr>
                <w:rFonts w:cs="Times New Roman"/>
              </w:rPr>
            </w:pPr>
          </w:p>
        </w:tc>
        <w:tc>
          <w:tcPr>
            <w:tcW w:w="947" w:type="pct"/>
            <w:tcBorders>
              <w:top w:val="single" w:color="auto" w:sz="4" w:space="0"/>
              <w:left w:val="single" w:color="auto" w:sz="4" w:space="0"/>
              <w:bottom w:val="single" w:color="auto" w:sz="4" w:space="0"/>
              <w:right w:val="single" w:color="auto" w:sz="4" w:space="0"/>
            </w:tcBorders>
            <w:vAlign w:val="center"/>
          </w:tcPr>
          <w:p w14:paraId="0E299429">
            <w:pPr>
              <w:jc w:val="right"/>
              <w:rPr>
                <w:rFonts w:cs="Times New Roman"/>
              </w:rPr>
            </w:pPr>
          </w:p>
        </w:tc>
        <w:tc>
          <w:tcPr>
            <w:tcW w:w="953" w:type="pct"/>
            <w:tcBorders>
              <w:top w:val="single" w:color="auto" w:sz="4" w:space="0"/>
              <w:left w:val="single" w:color="auto" w:sz="4" w:space="0"/>
              <w:bottom w:val="single" w:color="auto" w:sz="4" w:space="0"/>
              <w:right w:val="single" w:color="auto" w:sz="4" w:space="0"/>
            </w:tcBorders>
            <w:vAlign w:val="center"/>
          </w:tcPr>
          <w:p w14:paraId="0E92C0D6">
            <w:pPr>
              <w:jc w:val="right"/>
              <w:rPr>
                <w:rFonts w:cs="Times New Roman"/>
              </w:rPr>
            </w:pPr>
          </w:p>
        </w:tc>
      </w:tr>
      <w:tr w14:paraId="7540E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pct"/>
            <w:tcBorders>
              <w:top w:val="single" w:color="auto" w:sz="4" w:space="0"/>
              <w:left w:val="single" w:color="auto" w:sz="4" w:space="0"/>
              <w:bottom w:val="single" w:color="auto" w:sz="4" w:space="0"/>
              <w:right w:val="single" w:color="auto" w:sz="4" w:space="0"/>
            </w:tcBorders>
          </w:tcPr>
          <w:p w14:paraId="7A6A8F4C">
            <w:pPr>
              <w:rPr>
                <w:rFonts w:cs="Times New Roman"/>
              </w:rPr>
            </w:pPr>
            <w:r>
              <w:rPr>
                <w:rFonts w:cs="Times New Roman"/>
                <w:color w:val="000000"/>
              </w:rPr>
              <w:t>主营业务收入</w:t>
            </w:r>
          </w:p>
        </w:tc>
        <w:tc>
          <w:tcPr>
            <w:tcW w:w="1683" w:type="dxa"/>
            <w:tcBorders>
              <w:top w:val="single" w:color="auto" w:sz="4" w:space="0"/>
              <w:left w:val="single" w:color="auto" w:sz="4" w:space="0"/>
              <w:bottom w:val="single" w:color="auto" w:sz="4" w:space="0"/>
              <w:right w:val="single" w:color="auto" w:sz="4" w:space="0"/>
            </w:tcBorders>
            <w:vAlign w:val="center"/>
          </w:tcPr>
          <w:p w14:paraId="637ADC5F">
            <w:pPr>
              <w:jc w:val="right"/>
              <w:textAlignment w:val="center"/>
              <w:rPr>
                <w:rFonts w:cs="Times New Roman"/>
              </w:rPr>
            </w:pPr>
            <w:r>
              <w:rPr>
                <w:rFonts w:eastAsia="Arial Narrow" w:cs="Times New Roman"/>
                <w:color w:val="000000"/>
                <w:lang w:bidi="ar"/>
              </w:rPr>
              <w:t>311,285.78</w:t>
            </w:r>
          </w:p>
        </w:tc>
        <w:tc>
          <w:tcPr>
            <w:tcW w:w="1683" w:type="dxa"/>
            <w:tcBorders>
              <w:top w:val="single" w:color="auto" w:sz="4" w:space="0"/>
              <w:left w:val="single" w:color="auto" w:sz="4" w:space="0"/>
              <w:bottom w:val="single" w:color="auto" w:sz="4" w:space="0"/>
              <w:right w:val="single" w:color="auto" w:sz="4" w:space="0"/>
            </w:tcBorders>
            <w:vAlign w:val="center"/>
          </w:tcPr>
          <w:p w14:paraId="0703ACFE">
            <w:pPr>
              <w:jc w:val="right"/>
              <w:textAlignment w:val="center"/>
              <w:rPr>
                <w:rFonts w:cs="Times New Roman"/>
              </w:rPr>
            </w:pPr>
            <w:r>
              <w:rPr>
                <w:rFonts w:eastAsia="Arial Narrow" w:cs="Times New Roman"/>
                <w:color w:val="000000"/>
                <w:lang w:bidi="ar"/>
              </w:rPr>
              <w:t>13,050.35</w:t>
            </w:r>
          </w:p>
        </w:tc>
        <w:tc>
          <w:tcPr>
            <w:tcW w:w="1671" w:type="dxa"/>
            <w:tcBorders>
              <w:top w:val="single" w:color="auto" w:sz="4" w:space="0"/>
              <w:left w:val="single" w:color="auto" w:sz="4" w:space="0"/>
              <w:bottom w:val="single" w:color="auto" w:sz="4" w:space="0"/>
              <w:right w:val="single" w:color="auto" w:sz="4" w:space="0"/>
            </w:tcBorders>
            <w:vAlign w:val="center"/>
          </w:tcPr>
          <w:p w14:paraId="46B2C3CA">
            <w:pPr>
              <w:jc w:val="right"/>
              <w:textAlignment w:val="center"/>
              <w:rPr>
                <w:rFonts w:cs="Times New Roman"/>
              </w:rPr>
            </w:pPr>
            <w:r>
              <w:rPr>
                <w:rFonts w:eastAsia="Arial Narrow" w:cs="Times New Roman"/>
                <w:color w:val="000000"/>
                <w:lang w:bidi="ar"/>
              </w:rPr>
              <w:t>17,679.34</w:t>
            </w:r>
          </w:p>
        </w:tc>
        <w:tc>
          <w:tcPr>
            <w:tcW w:w="1682" w:type="dxa"/>
            <w:tcBorders>
              <w:top w:val="single" w:color="auto" w:sz="4" w:space="0"/>
              <w:left w:val="single" w:color="auto" w:sz="4" w:space="0"/>
              <w:bottom w:val="single" w:color="auto" w:sz="4" w:space="0"/>
              <w:right w:val="single" w:color="auto" w:sz="4" w:space="0"/>
            </w:tcBorders>
            <w:vAlign w:val="center"/>
          </w:tcPr>
          <w:p w14:paraId="02FD0C93">
            <w:pPr>
              <w:jc w:val="right"/>
              <w:textAlignment w:val="center"/>
              <w:rPr>
                <w:rFonts w:cs="Times New Roman"/>
              </w:rPr>
            </w:pPr>
            <w:r>
              <w:rPr>
                <w:rFonts w:eastAsia="Arial Narrow" w:cs="Times New Roman"/>
                <w:color w:val="000000"/>
                <w:lang w:bidi="ar"/>
              </w:rPr>
              <w:t>306,656.79</w:t>
            </w:r>
          </w:p>
        </w:tc>
      </w:tr>
      <w:tr w14:paraId="042B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pct"/>
            <w:tcBorders>
              <w:top w:val="single" w:color="auto" w:sz="4" w:space="0"/>
              <w:left w:val="single" w:color="auto" w:sz="4" w:space="0"/>
              <w:bottom w:val="single" w:color="auto" w:sz="4" w:space="0"/>
              <w:right w:val="single" w:color="auto" w:sz="4" w:space="0"/>
            </w:tcBorders>
          </w:tcPr>
          <w:p w14:paraId="7244FFDD">
            <w:pPr>
              <w:rPr>
                <w:rFonts w:cs="Times New Roman"/>
              </w:rPr>
            </w:pPr>
            <w:r>
              <w:rPr>
                <w:rFonts w:cs="Times New Roman"/>
                <w:color w:val="000000"/>
              </w:rPr>
              <w:t>主营业务成本</w:t>
            </w:r>
          </w:p>
        </w:tc>
        <w:tc>
          <w:tcPr>
            <w:tcW w:w="1683" w:type="dxa"/>
            <w:tcBorders>
              <w:top w:val="single" w:color="auto" w:sz="4" w:space="0"/>
              <w:left w:val="single" w:color="auto" w:sz="4" w:space="0"/>
              <w:bottom w:val="single" w:color="auto" w:sz="4" w:space="0"/>
              <w:right w:val="single" w:color="auto" w:sz="4" w:space="0"/>
            </w:tcBorders>
            <w:vAlign w:val="center"/>
          </w:tcPr>
          <w:p w14:paraId="644D9B71">
            <w:pPr>
              <w:jc w:val="right"/>
              <w:textAlignment w:val="center"/>
              <w:rPr>
                <w:rFonts w:cs="Times New Roman"/>
              </w:rPr>
            </w:pPr>
            <w:r>
              <w:rPr>
                <w:rFonts w:eastAsia="Arial Narrow" w:cs="Times New Roman"/>
                <w:color w:val="000000"/>
                <w:lang w:bidi="ar"/>
              </w:rPr>
              <w:t>277,464.78</w:t>
            </w:r>
          </w:p>
        </w:tc>
        <w:tc>
          <w:tcPr>
            <w:tcW w:w="1683" w:type="dxa"/>
            <w:tcBorders>
              <w:top w:val="single" w:color="auto" w:sz="4" w:space="0"/>
              <w:left w:val="single" w:color="auto" w:sz="4" w:space="0"/>
              <w:bottom w:val="single" w:color="auto" w:sz="4" w:space="0"/>
              <w:right w:val="single" w:color="auto" w:sz="4" w:space="0"/>
            </w:tcBorders>
            <w:vAlign w:val="center"/>
          </w:tcPr>
          <w:p w14:paraId="6396F8F2">
            <w:pPr>
              <w:jc w:val="right"/>
              <w:textAlignment w:val="center"/>
              <w:rPr>
                <w:rFonts w:cs="Times New Roman"/>
              </w:rPr>
            </w:pPr>
            <w:r>
              <w:rPr>
                <w:rFonts w:eastAsia="Arial Narrow" w:cs="Times New Roman"/>
                <w:color w:val="000000"/>
                <w:lang w:bidi="ar"/>
              </w:rPr>
              <w:t>9,217.85</w:t>
            </w:r>
          </w:p>
        </w:tc>
        <w:tc>
          <w:tcPr>
            <w:tcW w:w="1671" w:type="dxa"/>
            <w:tcBorders>
              <w:top w:val="single" w:color="auto" w:sz="4" w:space="0"/>
              <w:left w:val="single" w:color="auto" w:sz="4" w:space="0"/>
              <w:bottom w:val="single" w:color="auto" w:sz="4" w:space="0"/>
              <w:right w:val="single" w:color="auto" w:sz="4" w:space="0"/>
            </w:tcBorders>
            <w:vAlign w:val="center"/>
          </w:tcPr>
          <w:p w14:paraId="194D69C4">
            <w:pPr>
              <w:jc w:val="right"/>
              <w:textAlignment w:val="center"/>
              <w:rPr>
                <w:rFonts w:cs="Times New Roman"/>
              </w:rPr>
            </w:pPr>
            <w:r>
              <w:rPr>
                <w:rFonts w:eastAsia="Arial Narrow" w:cs="Times New Roman"/>
                <w:color w:val="000000"/>
                <w:lang w:bidi="ar"/>
              </w:rPr>
              <w:t>18,604.46</w:t>
            </w:r>
          </w:p>
        </w:tc>
        <w:tc>
          <w:tcPr>
            <w:tcW w:w="1682" w:type="dxa"/>
            <w:tcBorders>
              <w:top w:val="single" w:color="auto" w:sz="4" w:space="0"/>
              <w:left w:val="single" w:color="auto" w:sz="4" w:space="0"/>
              <w:bottom w:val="single" w:color="auto" w:sz="4" w:space="0"/>
              <w:right w:val="single" w:color="auto" w:sz="4" w:space="0"/>
            </w:tcBorders>
            <w:vAlign w:val="center"/>
          </w:tcPr>
          <w:p w14:paraId="3E869514">
            <w:pPr>
              <w:jc w:val="right"/>
              <w:textAlignment w:val="center"/>
              <w:rPr>
                <w:rFonts w:cs="Times New Roman"/>
              </w:rPr>
            </w:pPr>
            <w:r>
              <w:rPr>
                <w:rFonts w:eastAsia="Arial Narrow" w:cs="Times New Roman"/>
                <w:color w:val="000000"/>
                <w:lang w:bidi="ar"/>
              </w:rPr>
              <w:t>268,078.17</w:t>
            </w:r>
          </w:p>
        </w:tc>
      </w:tr>
      <w:tr w14:paraId="51D54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pct"/>
            <w:tcBorders>
              <w:top w:val="single" w:color="auto" w:sz="4" w:space="0"/>
              <w:left w:val="single" w:color="auto" w:sz="4" w:space="0"/>
              <w:bottom w:val="single" w:color="auto" w:sz="4" w:space="0"/>
              <w:right w:val="single" w:color="auto" w:sz="4" w:space="0"/>
            </w:tcBorders>
          </w:tcPr>
          <w:p w14:paraId="523CDC52">
            <w:pPr>
              <w:rPr>
                <w:rFonts w:cs="Times New Roman"/>
              </w:rPr>
            </w:pPr>
            <w:r>
              <w:rPr>
                <w:rFonts w:cs="Times New Roman"/>
                <w:color w:val="000000"/>
              </w:rPr>
              <w:t>负债总额</w:t>
            </w:r>
          </w:p>
        </w:tc>
        <w:tc>
          <w:tcPr>
            <w:tcW w:w="1683" w:type="dxa"/>
            <w:tcBorders>
              <w:top w:val="single" w:color="auto" w:sz="4" w:space="0"/>
              <w:left w:val="single" w:color="auto" w:sz="4" w:space="0"/>
              <w:bottom w:val="single" w:color="auto" w:sz="4" w:space="0"/>
              <w:right w:val="single" w:color="auto" w:sz="4" w:space="0"/>
            </w:tcBorders>
            <w:vAlign w:val="center"/>
          </w:tcPr>
          <w:p w14:paraId="2737C70E">
            <w:pPr>
              <w:jc w:val="right"/>
              <w:textAlignment w:val="center"/>
              <w:rPr>
                <w:rFonts w:cs="Times New Roman"/>
              </w:rPr>
            </w:pPr>
            <w:r>
              <w:rPr>
                <w:rFonts w:eastAsia="Arial Narrow" w:cs="Times New Roman"/>
                <w:color w:val="000000"/>
                <w:lang w:bidi="ar"/>
              </w:rPr>
              <w:t>883,149.79</w:t>
            </w:r>
          </w:p>
        </w:tc>
        <w:tc>
          <w:tcPr>
            <w:tcW w:w="1683" w:type="dxa"/>
            <w:tcBorders>
              <w:top w:val="single" w:color="auto" w:sz="4" w:space="0"/>
              <w:left w:val="single" w:color="auto" w:sz="4" w:space="0"/>
              <w:bottom w:val="single" w:color="auto" w:sz="4" w:space="0"/>
              <w:right w:val="single" w:color="auto" w:sz="4" w:space="0"/>
            </w:tcBorders>
            <w:vAlign w:val="center"/>
          </w:tcPr>
          <w:p w14:paraId="41767714">
            <w:pPr>
              <w:jc w:val="right"/>
              <w:textAlignment w:val="center"/>
              <w:rPr>
                <w:rFonts w:cs="Times New Roman"/>
              </w:rPr>
            </w:pPr>
            <w:r>
              <w:rPr>
                <w:rFonts w:eastAsia="Arial Narrow" w:cs="Times New Roman"/>
                <w:color w:val="000000"/>
                <w:lang w:bidi="ar"/>
              </w:rPr>
              <w:t>1,094,707.37</w:t>
            </w:r>
          </w:p>
        </w:tc>
        <w:tc>
          <w:tcPr>
            <w:tcW w:w="1671" w:type="dxa"/>
            <w:tcBorders>
              <w:top w:val="single" w:color="auto" w:sz="4" w:space="0"/>
              <w:left w:val="single" w:color="auto" w:sz="4" w:space="0"/>
              <w:bottom w:val="single" w:color="auto" w:sz="4" w:space="0"/>
              <w:right w:val="single" w:color="auto" w:sz="4" w:space="0"/>
            </w:tcBorders>
            <w:vAlign w:val="center"/>
          </w:tcPr>
          <w:p w14:paraId="22DA5E77">
            <w:pPr>
              <w:jc w:val="right"/>
              <w:textAlignment w:val="center"/>
              <w:rPr>
                <w:rFonts w:cs="Times New Roman"/>
              </w:rPr>
            </w:pPr>
            <w:r>
              <w:rPr>
                <w:rFonts w:eastAsia="Arial Narrow" w:cs="Times New Roman"/>
                <w:color w:val="000000"/>
                <w:lang w:bidi="ar"/>
              </w:rPr>
              <w:t>1,050,941.75</w:t>
            </w:r>
          </w:p>
        </w:tc>
        <w:tc>
          <w:tcPr>
            <w:tcW w:w="1682" w:type="dxa"/>
            <w:tcBorders>
              <w:top w:val="single" w:color="auto" w:sz="4" w:space="0"/>
              <w:left w:val="single" w:color="auto" w:sz="4" w:space="0"/>
              <w:bottom w:val="single" w:color="auto" w:sz="4" w:space="0"/>
              <w:right w:val="single" w:color="auto" w:sz="4" w:space="0"/>
            </w:tcBorders>
            <w:vAlign w:val="center"/>
          </w:tcPr>
          <w:p w14:paraId="106094DE">
            <w:pPr>
              <w:jc w:val="right"/>
              <w:textAlignment w:val="center"/>
              <w:rPr>
                <w:rFonts w:cs="Times New Roman"/>
              </w:rPr>
            </w:pPr>
            <w:r>
              <w:rPr>
                <w:rFonts w:eastAsia="Arial Narrow" w:cs="Times New Roman"/>
                <w:color w:val="000000"/>
                <w:lang w:bidi="ar"/>
              </w:rPr>
              <w:t>926,915.41</w:t>
            </w:r>
          </w:p>
        </w:tc>
      </w:tr>
      <w:tr w14:paraId="4DF5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pct"/>
            <w:tcBorders>
              <w:top w:val="single" w:color="auto" w:sz="4" w:space="0"/>
              <w:left w:val="single" w:color="auto" w:sz="4" w:space="0"/>
              <w:bottom w:val="single" w:color="auto" w:sz="4" w:space="0"/>
              <w:right w:val="single" w:color="auto" w:sz="4" w:space="0"/>
            </w:tcBorders>
          </w:tcPr>
          <w:p w14:paraId="2DD99831">
            <w:pPr>
              <w:rPr>
                <w:rFonts w:cs="Times New Roman"/>
              </w:rPr>
            </w:pPr>
            <w:r>
              <w:rPr>
                <w:rFonts w:cs="Times New Roman"/>
                <w:color w:val="000000"/>
              </w:rPr>
              <w:t>资产总额</w:t>
            </w:r>
          </w:p>
        </w:tc>
        <w:tc>
          <w:tcPr>
            <w:tcW w:w="1683" w:type="dxa"/>
            <w:tcBorders>
              <w:top w:val="single" w:color="auto" w:sz="4" w:space="0"/>
              <w:left w:val="single" w:color="auto" w:sz="4" w:space="0"/>
              <w:bottom w:val="single" w:color="auto" w:sz="4" w:space="0"/>
              <w:right w:val="single" w:color="auto" w:sz="4" w:space="0"/>
            </w:tcBorders>
            <w:vAlign w:val="center"/>
          </w:tcPr>
          <w:p w14:paraId="26C6401E">
            <w:pPr>
              <w:jc w:val="right"/>
              <w:textAlignment w:val="center"/>
              <w:rPr>
                <w:rFonts w:cs="Times New Roman"/>
              </w:rPr>
            </w:pPr>
            <w:r>
              <w:rPr>
                <w:rFonts w:eastAsia="Arial Narrow" w:cs="Times New Roman"/>
                <w:color w:val="000000"/>
                <w:lang w:bidi="ar"/>
              </w:rPr>
              <w:t>1,777,851.80</w:t>
            </w:r>
          </w:p>
        </w:tc>
        <w:tc>
          <w:tcPr>
            <w:tcW w:w="1683" w:type="dxa"/>
            <w:tcBorders>
              <w:top w:val="single" w:color="auto" w:sz="4" w:space="0"/>
              <w:left w:val="single" w:color="auto" w:sz="4" w:space="0"/>
              <w:bottom w:val="single" w:color="auto" w:sz="4" w:space="0"/>
              <w:right w:val="single" w:color="auto" w:sz="4" w:space="0"/>
            </w:tcBorders>
            <w:vAlign w:val="center"/>
          </w:tcPr>
          <w:p w14:paraId="4D1CCA3C">
            <w:pPr>
              <w:jc w:val="right"/>
              <w:textAlignment w:val="center"/>
              <w:rPr>
                <w:rFonts w:cs="Times New Roman"/>
              </w:rPr>
            </w:pPr>
            <w:r>
              <w:rPr>
                <w:rFonts w:eastAsia="Arial Narrow" w:cs="Times New Roman"/>
                <w:color w:val="000000"/>
                <w:lang w:bidi="ar"/>
              </w:rPr>
              <w:t>2,098,518.40</w:t>
            </w:r>
          </w:p>
        </w:tc>
        <w:tc>
          <w:tcPr>
            <w:tcW w:w="1671" w:type="dxa"/>
            <w:tcBorders>
              <w:top w:val="single" w:color="auto" w:sz="4" w:space="0"/>
              <w:left w:val="single" w:color="auto" w:sz="4" w:space="0"/>
              <w:bottom w:val="single" w:color="auto" w:sz="4" w:space="0"/>
              <w:right w:val="single" w:color="auto" w:sz="4" w:space="0"/>
            </w:tcBorders>
            <w:vAlign w:val="center"/>
          </w:tcPr>
          <w:p w14:paraId="0461BBD4">
            <w:pPr>
              <w:jc w:val="right"/>
              <w:textAlignment w:val="center"/>
              <w:rPr>
                <w:rFonts w:cs="Times New Roman"/>
              </w:rPr>
            </w:pPr>
            <w:r>
              <w:rPr>
                <w:rFonts w:eastAsia="Arial Narrow" w:cs="Times New Roman"/>
                <w:color w:val="000000"/>
                <w:lang w:bidi="ar"/>
              </w:rPr>
              <w:t>1,709,983.52</w:t>
            </w:r>
          </w:p>
        </w:tc>
        <w:tc>
          <w:tcPr>
            <w:tcW w:w="1682" w:type="dxa"/>
            <w:tcBorders>
              <w:top w:val="single" w:color="auto" w:sz="4" w:space="0"/>
              <w:left w:val="single" w:color="auto" w:sz="4" w:space="0"/>
              <w:bottom w:val="single" w:color="auto" w:sz="4" w:space="0"/>
              <w:right w:val="single" w:color="auto" w:sz="4" w:space="0"/>
            </w:tcBorders>
            <w:vAlign w:val="center"/>
          </w:tcPr>
          <w:p w14:paraId="32D8FC72">
            <w:pPr>
              <w:jc w:val="right"/>
              <w:textAlignment w:val="center"/>
              <w:rPr>
                <w:rFonts w:cs="Times New Roman"/>
              </w:rPr>
            </w:pPr>
            <w:r>
              <w:rPr>
                <w:rFonts w:eastAsia="Arial Narrow" w:cs="Times New Roman"/>
                <w:color w:val="000000"/>
                <w:lang w:bidi="ar"/>
              </w:rPr>
              <w:t>2,166,386.68</w:t>
            </w:r>
          </w:p>
        </w:tc>
      </w:tr>
      <w:tr w14:paraId="30DF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pct"/>
            <w:tcBorders>
              <w:top w:val="single" w:color="auto" w:sz="4" w:space="0"/>
              <w:left w:val="single" w:color="auto" w:sz="4" w:space="0"/>
              <w:bottom w:val="single" w:color="auto" w:sz="4" w:space="0"/>
              <w:right w:val="single" w:color="auto" w:sz="4" w:space="0"/>
            </w:tcBorders>
          </w:tcPr>
          <w:p w14:paraId="1B0B0AAA">
            <w:pPr>
              <w:rPr>
                <w:rFonts w:cs="Times New Roman"/>
              </w:rPr>
            </w:pPr>
            <w:r>
              <w:rPr>
                <w:rFonts w:cs="Times New Roman"/>
              </w:rPr>
              <w:t>2024年上半年</w:t>
            </w:r>
          </w:p>
        </w:tc>
        <w:tc>
          <w:tcPr>
            <w:tcW w:w="1683" w:type="dxa"/>
            <w:tcBorders>
              <w:top w:val="single" w:color="auto" w:sz="4" w:space="0"/>
              <w:left w:val="single" w:color="auto" w:sz="4" w:space="0"/>
              <w:bottom w:val="single" w:color="auto" w:sz="4" w:space="0"/>
              <w:right w:val="single" w:color="auto" w:sz="4" w:space="0"/>
            </w:tcBorders>
            <w:vAlign w:val="center"/>
          </w:tcPr>
          <w:p w14:paraId="74093B7F">
            <w:pPr>
              <w:jc w:val="right"/>
              <w:rPr>
                <w:rFonts w:cs="Times New Roman"/>
              </w:rPr>
            </w:pPr>
          </w:p>
        </w:tc>
        <w:tc>
          <w:tcPr>
            <w:tcW w:w="1683" w:type="dxa"/>
            <w:tcBorders>
              <w:top w:val="single" w:color="auto" w:sz="4" w:space="0"/>
              <w:left w:val="single" w:color="auto" w:sz="4" w:space="0"/>
              <w:bottom w:val="single" w:color="auto" w:sz="4" w:space="0"/>
              <w:right w:val="single" w:color="auto" w:sz="4" w:space="0"/>
            </w:tcBorders>
            <w:vAlign w:val="center"/>
          </w:tcPr>
          <w:p w14:paraId="4535C829">
            <w:pPr>
              <w:jc w:val="right"/>
              <w:rPr>
                <w:rFonts w:cs="Times New Roman"/>
              </w:rPr>
            </w:pPr>
          </w:p>
        </w:tc>
        <w:tc>
          <w:tcPr>
            <w:tcW w:w="1671" w:type="dxa"/>
            <w:tcBorders>
              <w:top w:val="single" w:color="auto" w:sz="4" w:space="0"/>
              <w:left w:val="single" w:color="auto" w:sz="4" w:space="0"/>
              <w:bottom w:val="single" w:color="auto" w:sz="4" w:space="0"/>
              <w:right w:val="single" w:color="auto" w:sz="4" w:space="0"/>
            </w:tcBorders>
            <w:vAlign w:val="center"/>
          </w:tcPr>
          <w:p w14:paraId="28AA5F4B">
            <w:pPr>
              <w:jc w:val="right"/>
              <w:rPr>
                <w:rFonts w:cs="Times New Roman"/>
              </w:rPr>
            </w:pPr>
          </w:p>
        </w:tc>
        <w:tc>
          <w:tcPr>
            <w:tcW w:w="1682" w:type="dxa"/>
            <w:tcBorders>
              <w:top w:val="single" w:color="auto" w:sz="4" w:space="0"/>
              <w:left w:val="single" w:color="auto" w:sz="4" w:space="0"/>
              <w:bottom w:val="single" w:color="auto" w:sz="4" w:space="0"/>
              <w:right w:val="single" w:color="auto" w:sz="4" w:space="0"/>
            </w:tcBorders>
            <w:vAlign w:val="center"/>
          </w:tcPr>
          <w:p w14:paraId="4062616D">
            <w:pPr>
              <w:jc w:val="right"/>
              <w:rPr>
                <w:rFonts w:cs="Times New Roman"/>
              </w:rPr>
            </w:pPr>
          </w:p>
        </w:tc>
      </w:tr>
      <w:tr w14:paraId="1519C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pct"/>
            <w:tcBorders>
              <w:top w:val="single" w:color="auto" w:sz="4" w:space="0"/>
              <w:left w:val="single" w:color="auto" w:sz="4" w:space="0"/>
              <w:bottom w:val="single" w:color="auto" w:sz="4" w:space="0"/>
              <w:right w:val="single" w:color="auto" w:sz="4" w:space="0"/>
            </w:tcBorders>
          </w:tcPr>
          <w:p w14:paraId="02DDB2B0">
            <w:pPr>
              <w:rPr>
                <w:rFonts w:cs="Times New Roman"/>
              </w:rPr>
            </w:pPr>
            <w:r>
              <w:rPr>
                <w:rFonts w:cs="Times New Roman"/>
                <w:color w:val="000000"/>
              </w:rPr>
              <w:t>主营业务收入</w:t>
            </w:r>
          </w:p>
        </w:tc>
        <w:tc>
          <w:tcPr>
            <w:tcW w:w="1683" w:type="dxa"/>
            <w:tcBorders>
              <w:top w:val="single" w:color="auto" w:sz="4" w:space="0"/>
              <w:left w:val="single" w:color="auto" w:sz="4" w:space="0"/>
              <w:bottom w:val="single" w:color="auto" w:sz="4" w:space="0"/>
              <w:right w:val="single" w:color="auto" w:sz="4" w:space="0"/>
            </w:tcBorders>
            <w:vAlign w:val="center"/>
          </w:tcPr>
          <w:p w14:paraId="1CBD87DC">
            <w:pPr>
              <w:jc w:val="right"/>
              <w:textAlignment w:val="center"/>
              <w:rPr>
                <w:rFonts w:cs="Times New Roman"/>
              </w:rPr>
            </w:pPr>
            <w:r>
              <w:rPr>
                <w:rFonts w:eastAsia="Arial Narrow" w:cs="Times New Roman"/>
                <w:color w:val="000000"/>
                <w:lang w:bidi="ar"/>
              </w:rPr>
              <w:t>516,724.20</w:t>
            </w:r>
          </w:p>
        </w:tc>
        <w:tc>
          <w:tcPr>
            <w:tcW w:w="1683" w:type="dxa"/>
            <w:tcBorders>
              <w:top w:val="single" w:color="auto" w:sz="4" w:space="0"/>
              <w:left w:val="single" w:color="auto" w:sz="4" w:space="0"/>
              <w:bottom w:val="single" w:color="auto" w:sz="4" w:space="0"/>
              <w:right w:val="single" w:color="auto" w:sz="4" w:space="0"/>
            </w:tcBorders>
            <w:vAlign w:val="center"/>
          </w:tcPr>
          <w:p w14:paraId="45C1D0B3">
            <w:pPr>
              <w:jc w:val="right"/>
              <w:textAlignment w:val="center"/>
              <w:rPr>
                <w:rFonts w:cs="Times New Roman"/>
              </w:rPr>
            </w:pPr>
            <w:r>
              <w:rPr>
                <w:rFonts w:eastAsia="Arial Narrow" w:cs="Times New Roman"/>
                <w:color w:val="000000"/>
                <w:lang w:bidi="ar"/>
              </w:rPr>
              <w:t>20,848.89</w:t>
            </w:r>
          </w:p>
        </w:tc>
        <w:tc>
          <w:tcPr>
            <w:tcW w:w="1671" w:type="dxa"/>
            <w:tcBorders>
              <w:top w:val="single" w:color="auto" w:sz="4" w:space="0"/>
              <w:left w:val="single" w:color="auto" w:sz="4" w:space="0"/>
              <w:bottom w:val="single" w:color="auto" w:sz="4" w:space="0"/>
              <w:right w:val="single" w:color="auto" w:sz="4" w:space="0"/>
            </w:tcBorders>
            <w:vAlign w:val="center"/>
          </w:tcPr>
          <w:p w14:paraId="1B9F5700">
            <w:pPr>
              <w:jc w:val="right"/>
              <w:textAlignment w:val="center"/>
              <w:rPr>
                <w:rFonts w:cs="Times New Roman"/>
              </w:rPr>
            </w:pPr>
            <w:r>
              <w:rPr>
                <w:rFonts w:eastAsia="Arial Narrow" w:cs="Times New Roman"/>
                <w:color w:val="000000"/>
                <w:lang w:bidi="ar"/>
              </w:rPr>
              <w:t>29,803.20</w:t>
            </w:r>
          </w:p>
        </w:tc>
        <w:tc>
          <w:tcPr>
            <w:tcW w:w="1682" w:type="dxa"/>
            <w:tcBorders>
              <w:top w:val="single" w:color="auto" w:sz="4" w:space="0"/>
              <w:left w:val="single" w:color="auto" w:sz="4" w:space="0"/>
              <w:bottom w:val="single" w:color="auto" w:sz="4" w:space="0"/>
              <w:right w:val="single" w:color="auto" w:sz="4" w:space="0"/>
            </w:tcBorders>
            <w:vAlign w:val="center"/>
          </w:tcPr>
          <w:p w14:paraId="12210241">
            <w:pPr>
              <w:jc w:val="right"/>
              <w:textAlignment w:val="center"/>
              <w:rPr>
                <w:rFonts w:cs="Times New Roman"/>
              </w:rPr>
            </w:pPr>
            <w:r>
              <w:rPr>
                <w:rFonts w:eastAsia="Arial Narrow" w:cs="Times New Roman"/>
                <w:color w:val="000000"/>
                <w:lang w:bidi="ar"/>
              </w:rPr>
              <w:t>507,769.89</w:t>
            </w:r>
          </w:p>
        </w:tc>
      </w:tr>
      <w:tr w14:paraId="559C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pct"/>
            <w:tcBorders>
              <w:top w:val="single" w:color="auto" w:sz="4" w:space="0"/>
              <w:left w:val="single" w:color="auto" w:sz="4" w:space="0"/>
              <w:bottom w:val="single" w:color="auto" w:sz="4" w:space="0"/>
              <w:right w:val="single" w:color="auto" w:sz="4" w:space="0"/>
            </w:tcBorders>
          </w:tcPr>
          <w:p w14:paraId="52F50348">
            <w:pPr>
              <w:rPr>
                <w:rFonts w:cs="Times New Roman"/>
              </w:rPr>
            </w:pPr>
            <w:r>
              <w:rPr>
                <w:rFonts w:cs="Times New Roman"/>
                <w:color w:val="000000"/>
              </w:rPr>
              <w:t>主营业务成本</w:t>
            </w:r>
          </w:p>
        </w:tc>
        <w:tc>
          <w:tcPr>
            <w:tcW w:w="1683" w:type="dxa"/>
            <w:tcBorders>
              <w:top w:val="single" w:color="auto" w:sz="4" w:space="0"/>
              <w:left w:val="single" w:color="auto" w:sz="4" w:space="0"/>
              <w:bottom w:val="single" w:color="auto" w:sz="4" w:space="0"/>
              <w:right w:val="single" w:color="auto" w:sz="4" w:space="0"/>
            </w:tcBorders>
            <w:vAlign w:val="center"/>
          </w:tcPr>
          <w:p w14:paraId="5390CEA3">
            <w:pPr>
              <w:jc w:val="right"/>
              <w:textAlignment w:val="center"/>
              <w:rPr>
                <w:rFonts w:cs="Times New Roman"/>
              </w:rPr>
            </w:pPr>
            <w:r>
              <w:rPr>
                <w:rFonts w:eastAsia="Arial Narrow" w:cs="Times New Roman"/>
                <w:color w:val="000000"/>
                <w:lang w:bidi="ar"/>
              </w:rPr>
              <w:t>455,909.43</w:t>
            </w:r>
          </w:p>
        </w:tc>
        <w:tc>
          <w:tcPr>
            <w:tcW w:w="1683" w:type="dxa"/>
            <w:tcBorders>
              <w:top w:val="single" w:color="auto" w:sz="4" w:space="0"/>
              <w:left w:val="single" w:color="auto" w:sz="4" w:space="0"/>
              <w:bottom w:val="single" w:color="auto" w:sz="4" w:space="0"/>
              <w:right w:val="single" w:color="auto" w:sz="4" w:space="0"/>
            </w:tcBorders>
            <w:vAlign w:val="center"/>
          </w:tcPr>
          <w:p w14:paraId="643F609F">
            <w:pPr>
              <w:jc w:val="right"/>
              <w:textAlignment w:val="center"/>
              <w:rPr>
                <w:rFonts w:cs="Times New Roman"/>
              </w:rPr>
            </w:pPr>
            <w:r>
              <w:rPr>
                <w:rFonts w:eastAsia="Arial Narrow" w:cs="Times New Roman"/>
                <w:color w:val="000000"/>
                <w:lang w:bidi="ar"/>
              </w:rPr>
              <w:t>17,483.25</w:t>
            </w:r>
          </w:p>
        </w:tc>
        <w:tc>
          <w:tcPr>
            <w:tcW w:w="1671" w:type="dxa"/>
            <w:tcBorders>
              <w:top w:val="single" w:color="auto" w:sz="4" w:space="0"/>
              <w:left w:val="single" w:color="auto" w:sz="4" w:space="0"/>
              <w:bottom w:val="single" w:color="auto" w:sz="4" w:space="0"/>
              <w:right w:val="single" w:color="auto" w:sz="4" w:space="0"/>
            </w:tcBorders>
            <w:vAlign w:val="center"/>
          </w:tcPr>
          <w:p w14:paraId="101B1A0A">
            <w:pPr>
              <w:jc w:val="right"/>
              <w:textAlignment w:val="center"/>
              <w:rPr>
                <w:rFonts w:cs="Times New Roman"/>
              </w:rPr>
            </w:pPr>
            <w:r>
              <w:rPr>
                <w:rFonts w:eastAsia="Arial Narrow" w:cs="Times New Roman"/>
                <w:color w:val="000000"/>
                <w:lang w:bidi="ar"/>
              </w:rPr>
              <w:t>29,371.28</w:t>
            </w:r>
          </w:p>
        </w:tc>
        <w:tc>
          <w:tcPr>
            <w:tcW w:w="1682" w:type="dxa"/>
            <w:tcBorders>
              <w:top w:val="single" w:color="auto" w:sz="4" w:space="0"/>
              <w:left w:val="single" w:color="auto" w:sz="4" w:space="0"/>
              <w:bottom w:val="single" w:color="auto" w:sz="4" w:space="0"/>
              <w:right w:val="single" w:color="auto" w:sz="4" w:space="0"/>
            </w:tcBorders>
            <w:vAlign w:val="center"/>
          </w:tcPr>
          <w:p w14:paraId="28EDCD61">
            <w:pPr>
              <w:jc w:val="right"/>
              <w:textAlignment w:val="center"/>
              <w:rPr>
                <w:rFonts w:cs="Times New Roman"/>
              </w:rPr>
            </w:pPr>
            <w:r>
              <w:rPr>
                <w:rFonts w:eastAsia="Arial Narrow" w:cs="Times New Roman"/>
                <w:color w:val="000000"/>
                <w:lang w:bidi="ar"/>
              </w:rPr>
              <w:t>444,021.40</w:t>
            </w:r>
          </w:p>
        </w:tc>
      </w:tr>
      <w:tr w14:paraId="17D9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pct"/>
            <w:tcBorders>
              <w:top w:val="single" w:color="auto" w:sz="4" w:space="0"/>
              <w:left w:val="single" w:color="auto" w:sz="4" w:space="0"/>
              <w:bottom w:val="single" w:color="auto" w:sz="4" w:space="0"/>
              <w:right w:val="single" w:color="auto" w:sz="4" w:space="0"/>
            </w:tcBorders>
          </w:tcPr>
          <w:p w14:paraId="55C02714">
            <w:pPr>
              <w:rPr>
                <w:rFonts w:cs="Times New Roman"/>
              </w:rPr>
            </w:pPr>
            <w:r>
              <w:rPr>
                <w:rFonts w:cs="Times New Roman"/>
                <w:color w:val="000000"/>
              </w:rPr>
              <w:t>负债总额</w:t>
            </w:r>
          </w:p>
        </w:tc>
        <w:tc>
          <w:tcPr>
            <w:tcW w:w="1683" w:type="dxa"/>
            <w:tcBorders>
              <w:top w:val="single" w:color="auto" w:sz="4" w:space="0"/>
              <w:left w:val="single" w:color="auto" w:sz="4" w:space="0"/>
              <w:bottom w:val="single" w:color="auto" w:sz="4" w:space="0"/>
              <w:right w:val="single" w:color="auto" w:sz="4" w:space="0"/>
            </w:tcBorders>
            <w:vAlign w:val="center"/>
          </w:tcPr>
          <w:p w14:paraId="2630F958">
            <w:pPr>
              <w:jc w:val="right"/>
              <w:textAlignment w:val="center"/>
              <w:rPr>
                <w:rFonts w:cs="Times New Roman"/>
              </w:rPr>
            </w:pPr>
            <w:r>
              <w:rPr>
                <w:rFonts w:eastAsia="Arial Narrow" w:cs="Times New Roman"/>
                <w:color w:val="000000"/>
                <w:lang w:bidi="ar"/>
              </w:rPr>
              <w:t>922,117.54</w:t>
            </w:r>
          </w:p>
        </w:tc>
        <w:tc>
          <w:tcPr>
            <w:tcW w:w="1683" w:type="dxa"/>
            <w:tcBorders>
              <w:top w:val="single" w:color="auto" w:sz="4" w:space="0"/>
              <w:left w:val="single" w:color="auto" w:sz="4" w:space="0"/>
              <w:bottom w:val="single" w:color="auto" w:sz="4" w:space="0"/>
              <w:right w:val="single" w:color="auto" w:sz="4" w:space="0"/>
            </w:tcBorders>
            <w:vAlign w:val="center"/>
          </w:tcPr>
          <w:p w14:paraId="6236C37C">
            <w:pPr>
              <w:jc w:val="right"/>
              <w:textAlignment w:val="center"/>
              <w:rPr>
                <w:rFonts w:cs="Times New Roman"/>
              </w:rPr>
            </w:pPr>
            <w:r>
              <w:rPr>
                <w:rFonts w:eastAsia="Arial Narrow" w:cs="Times New Roman"/>
                <w:color w:val="000000"/>
                <w:lang w:bidi="ar"/>
              </w:rPr>
              <w:t>943,555.84</w:t>
            </w:r>
          </w:p>
        </w:tc>
        <w:tc>
          <w:tcPr>
            <w:tcW w:w="1671" w:type="dxa"/>
            <w:tcBorders>
              <w:top w:val="single" w:color="auto" w:sz="4" w:space="0"/>
              <w:left w:val="single" w:color="auto" w:sz="4" w:space="0"/>
              <w:bottom w:val="single" w:color="auto" w:sz="4" w:space="0"/>
              <w:right w:val="single" w:color="auto" w:sz="4" w:space="0"/>
            </w:tcBorders>
            <w:vAlign w:val="center"/>
          </w:tcPr>
          <w:p w14:paraId="19609278">
            <w:pPr>
              <w:jc w:val="right"/>
              <w:textAlignment w:val="center"/>
              <w:rPr>
                <w:rFonts w:cs="Times New Roman"/>
              </w:rPr>
            </w:pPr>
            <w:r>
              <w:rPr>
                <w:rFonts w:eastAsia="Arial Narrow" w:cs="Times New Roman"/>
                <w:color w:val="000000"/>
                <w:lang w:bidi="ar"/>
              </w:rPr>
              <w:t>1,037,879.04</w:t>
            </w:r>
          </w:p>
        </w:tc>
        <w:tc>
          <w:tcPr>
            <w:tcW w:w="1682" w:type="dxa"/>
            <w:tcBorders>
              <w:top w:val="single" w:color="auto" w:sz="4" w:space="0"/>
              <w:left w:val="single" w:color="auto" w:sz="4" w:space="0"/>
              <w:bottom w:val="single" w:color="auto" w:sz="4" w:space="0"/>
              <w:right w:val="single" w:color="auto" w:sz="4" w:space="0"/>
            </w:tcBorders>
            <w:vAlign w:val="center"/>
          </w:tcPr>
          <w:p w14:paraId="52711297">
            <w:pPr>
              <w:jc w:val="right"/>
              <w:textAlignment w:val="center"/>
              <w:rPr>
                <w:rFonts w:cs="Times New Roman"/>
              </w:rPr>
            </w:pPr>
            <w:r>
              <w:rPr>
                <w:rFonts w:eastAsia="Arial Narrow" w:cs="Times New Roman"/>
                <w:color w:val="000000"/>
                <w:lang w:bidi="ar"/>
              </w:rPr>
              <w:t>827,794.34</w:t>
            </w:r>
          </w:p>
        </w:tc>
      </w:tr>
      <w:tr w14:paraId="2729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pct"/>
            <w:tcBorders>
              <w:top w:val="single" w:color="auto" w:sz="4" w:space="0"/>
              <w:left w:val="single" w:color="auto" w:sz="4" w:space="0"/>
              <w:bottom w:val="single" w:color="auto" w:sz="4" w:space="0"/>
              <w:right w:val="single" w:color="auto" w:sz="4" w:space="0"/>
            </w:tcBorders>
          </w:tcPr>
          <w:p w14:paraId="66F9E0B6">
            <w:pPr>
              <w:rPr>
                <w:rFonts w:cs="Times New Roman"/>
              </w:rPr>
            </w:pPr>
            <w:r>
              <w:rPr>
                <w:rFonts w:cs="Times New Roman"/>
                <w:color w:val="000000"/>
              </w:rPr>
              <w:t>资产总额</w:t>
            </w:r>
          </w:p>
        </w:tc>
        <w:tc>
          <w:tcPr>
            <w:tcW w:w="1683" w:type="dxa"/>
            <w:tcBorders>
              <w:top w:val="single" w:color="auto" w:sz="4" w:space="0"/>
              <w:left w:val="single" w:color="auto" w:sz="4" w:space="0"/>
              <w:bottom w:val="single" w:color="auto" w:sz="4" w:space="0"/>
              <w:right w:val="single" w:color="auto" w:sz="4" w:space="0"/>
            </w:tcBorders>
            <w:vAlign w:val="center"/>
          </w:tcPr>
          <w:p w14:paraId="00B30396">
            <w:pPr>
              <w:jc w:val="right"/>
              <w:textAlignment w:val="center"/>
              <w:rPr>
                <w:rFonts w:cs="Times New Roman"/>
              </w:rPr>
            </w:pPr>
            <w:r>
              <w:rPr>
                <w:rFonts w:eastAsia="Arial Narrow" w:cs="Times New Roman"/>
                <w:color w:val="000000"/>
                <w:lang w:bidi="ar"/>
              </w:rPr>
              <w:t>2,016,413.67</w:t>
            </w:r>
          </w:p>
        </w:tc>
        <w:tc>
          <w:tcPr>
            <w:tcW w:w="1683" w:type="dxa"/>
            <w:tcBorders>
              <w:top w:val="single" w:color="auto" w:sz="4" w:space="0"/>
              <w:left w:val="single" w:color="auto" w:sz="4" w:space="0"/>
              <w:bottom w:val="single" w:color="auto" w:sz="4" w:space="0"/>
              <w:right w:val="single" w:color="auto" w:sz="4" w:space="0"/>
            </w:tcBorders>
            <w:vAlign w:val="center"/>
          </w:tcPr>
          <w:p w14:paraId="7919F54D">
            <w:pPr>
              <w:jc w:val="right"/>
              <w:textAlignment w:val="center"/>
              <w:rPr>
                <w:rFonts w:cs="Times New Roman"/>
              </w:rPr>
            </w:pPr>
            <w:r>
              <w:rPr>
                <w:rFonts w:eastAsia="Arial Narrow" w:cs="Times New Roman"/>
                <w:color w:val="000000"/>
                <w:lang w:bidi="ar"/>
              </w:rPr>
              <w:t>2,132,484.20</w:t>
            </w:r>
          </w:p>
        </w:tc>
        <w:tc>
          <w:tcPr>
            <w:tcW w:w="1671" w:type="dxa"/>
            <w:tcBorders>
              <w:top w:val="single" w:color="auto" w:sz="4" w:space="0"/>
              <w:left w:val="single" w:color="auto" w:sz="4" w:space="0"/>
              <w:bottom w:val="single" w:color="auto" w:sz="4" w:space="0"/>
              <w:right w:val="single" w:color="auto" w:sz="4" w:space="0"/>
            </w:tcBorders>
            <w:vAlign w:val="center"/>
          </w:tcPr>
          <w:p w14:paraId="0E4FBA2F">
            <w:pPr>
              <w:jc w:val="right"/>
              <w:textAlignment w:val="center"/>
              <w:rPr>
                <w:rFonts w:cs="Times New Roman"/>
              </w:rPr>
            </w:pPr>
            <w:r>
              <w:rPr>
                <w:rFonts w:eastAsia="Arial Narrow" w:cs="Times New Roman"/>
                <w:color w:val="000000"/>
                <w:lang w:bidi="ar"/>
              </w:rPr>
              <w:t>1,635,418.68</w:t>
            </w:r>
          </w:p>
        </w:tc>
        <w:tc>
          <w:tcPr>
            <w:tcW w:w="1682" w:type="dxa"/>
            <w:tcBorders>
              <w:top w:val="single" w:color="auto" w:sz="4" w:space="0"/>
              <w:left w:val="single" w:color="auto" w:sz="4" w:space="0"/>
              <w:bottom w:val="single" w:color="auto" w:sz="4" w:space="0"/>
              <w:right w:val="single" w:color="auto" w:sz="4" w:space="0"/>
            </w:tcBorders>
            <w:vAlign w:val="center"/>
          </w:tcPr>
          <w:p w14:paraId="19D4CA01">
            <w:pPr>
              <w:jc w:val="right"/>
              <w:textAlignment w:val="center"/>
              <w:rPr>
                <w:rFonts w:cs="Times New Roman"/>
              </w:rPr>
            </w:pPr>
            <w:r>
              <w:rPr>
                <w:rFonts w:eastAsia="Arial Narrow" w:cs="Times New Roman"/>
                <w:color w:val="000000"/>
                <w:lang w:bidi="ar"/>
              </w:rPr>
              <w:t>2,513,479.19</w:t>
            </w:r>
          </w:p>
        </w:tc>
      </w:tr>
    </w:tbl>
    <w:p w14:paraId="650FBCC3"/>
    <w:p w14:paraId="27AAC396">
      <w:pPr>
        <w:rPr>
          <w:color w:val="000000" w:themeColor="text1"/>
          <w14:textFill>
            <w14:solidFill>
              <w14:schemeClr w14:val="tx1"/>
            </w14:solidFill>
          </w14:textFill>
        </w:rPr>
      </w:pPr>
    </w:p>
    <w:p w14:paraId="2C04AB47">
      <w:pPr>
        <w:pStyle w:val="58"/>
        <w:numPr>
          <w:ilvl w:val="1"/>
          <w:numId w:val="115"/>
        </w:numPr>
        <w:tabs>
          <w:tab w:val="left" w:pos="644"/>
        </w:tabs>
        <w:ind w:left="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公司无报告分部的，或者不能披露各报告分部的资产总额和负债总额的，应说明原因</w:t>
      </w:r>
    </w:p>
    <w:sdt>
      <w:sdtPr>
        <w:rPr>
          <w:rFonts w:hint="eastAsia"/>
          <w:color w:val="000000" w:themeColor="text1"/>
          <w14:textFill>
            <w14:solidFill>
              <w14:schemeClr w14:val="tx1"/>
            </w14:solidFill>
          </w14:textFill>
        </w:rPr>
        <w:alias w:val="是否适用：公司无报告分部的，或者不能披露各报告分部的资产总额和负债总额的，应说明原因[双击切换]"/>
        <w:tag w:val="_GBC_de327191b263431db97d3ba75838aba8"/>
        <w:id w:val="147452559"/>
        <w:placeholder>
          <w:docPart w:val="GBC22222222222222222222222222222"/>
        </w:placeholder>
      </w:sdtPr>
      <w:sdtEndPr>
        <w:rPr>
          <w:rFonts w:hint="eastAsia"/>
          <w:color w:val="000000" w:themeColor="text1"/>
          <w14:textFill>
            <w14:solidFill>
              <w14:schemeClr w14:val="tx1"/>
            </w14:solidFill>
          </w14:textFill>
        </w:rPr>
      </w:sdtEndPr>
      <w:sdtContent>
        <w:p w14:paraId="2286BDB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811FE9A">
      <w:pPr>
        <w:rPr>
          <w:color w:val="000000" w:themeColor="text1"/>
          <w14:textFill>
            <w14:solidFill>
              <w14:schemeClr w14:val="tx1"/>
            </w14:solidFill>
          </w14:textFill>
        </w:rPr>
      </w:pPr>
    </w:p>
    <w:p w14:paraId="79A5CEF3">
      <w:pPr>
        <w:pStyle w:val="58"/>
        <w:numPr>
          <w:ilvl w:val="1"/>
          <w:numId w:val="115"/>
        </w:numPr>
        <w:tabs>
          <w:tab w:val="left" w:pos="644"/>
        </w:tabs>
        <w:ind w:left="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其他说明</w:t>
      </w:r>
    </w:p>
    <w:sdt>
      <w:sdtPr>
        <w:rPr>
          <w:color w:val="000000" w:themeColor="text1"/>
          <w14:textFill>
            <w14:solidFill>
              <w14:schemeClr w14:val="tx1"/>
            </w14:solidFill>
          </w14:textFill>
        </w:rPr>
        <w:alias w:val="是否适用：分部信息的其他说明[双击切换]"/>
        <w:tag w:val="_GBC_d4186588d0fd49e5b2642a9422c2353f"/>
        <w:id w:val="147480325"/>
        <w:placeholder>
          <w:docPart w:val="GBC22222222222222222222222222222"/>
        </w:placeholder>
      </w:sdtPr>
      <w:sdtEndPr>
        <w:rPr>
          <w:color w:val="000000" w:themeColor="text1"/>
          <w14:textFill>
            <w14:solidFill>
              <w14:schemeClr w14:val="tx1"/>
            </w14:solidFill>
          </w14:textFill>
        </w:rPr>
      </w:sdtEndPr>
      <w:sdtContent>
        <w:p w14:paraId="78CABCE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C5F99D7">
      <w:pPr>
        <w:rPr>
          <w:color w:val="000000" w:themeColor="text1"/>
          <w14:textFill>
            <w14:solidFill>
              <w14:schemeClr w14:val="tx1"/>
            </w14:solidFill>
          </w14:textFill>
        </w:rPr>
      </w:pPr>
    </w:p>
    <w:p w14:paraId="3E67941D">
      <w:pPr>
        <w:pStyle w:val="57"/>
        <w:numPr>
          <w:ilvl w:val="0"/>
          <w:numId w:val="112"/>
        </w:numPr>
        <w:rPr>
          <w:rFonts w:ascii="宋体" w:hAnsi="宋体"/>
          <w:color w:val="000000" w:themeColor="text1"/>
          <w14:textFill>
            <w14:solidFill>
              <w14:schemeClr w14:val="tx1"/>
            </w14:solidFill>
          </w14:textFill>
        </w:rPr>
      </w:pPr>
      <w:bookmarkStart w:id="433" w:name="_Toc241636520"/>
      <w:bookmarkEnd w:id="433"/>
      <w:r>
        <w:rPr>
          <w:rFonts w:hint="eastAsia" w:ascii="宋体" w:hAnsi="宋体"/>
          <w:color w:val="000000" w:themeColor="text1"/>
          <w14:textFill>
            <w14:solidFill>
              <w14:schemeClr w14:val="tx1"/>
            </w14:solidFill>
          </w14:textFill>
        </w:rPr>
        <w:t>其他对投资者决策有影响的重要交易和事项</w:t>
      </w:r>
    </w:p>
    <w:sdt>
      <w:sdtPr>
        <w:rPr>
          <w:color w:val="000000" w:themeColor="text1"/>
          <w14:textFill>
            <w14:solidFill>
              <w14:schemeClr w14:val="tx1"/>
            </w14:solidFill>
          </w14:textFill>
        </w:rPr>
        <w:alias w:val="是否适用：其他对投资者决策有影响的重要交易和事项[双击切换]"/>
        <w:tag w:val="_GBC_6bb0ea1e73f644b99b2bccc9d2ea19e9"/>
        <w:id w:val="147456312"/>
        <w:placeholder>
          <w:docPart w:val="GBC22222222222222222222222222222"/>
        </w:placeholder>
      </w:sdtPr>
      <w:sdtEndPr>
        <w:rPr>
          <w:color w:val="000000" w:themeColor="text1"/>
          <w14:textFill>
            <w14:solidFill>
              <w14:schemeClr w14:val="tx1"/>
            </w14:solidFill>
          </w14:textFill>
        </w:rPr>
      </w:sdtEndPr>
      <w:sdtContent>
        <w:p w14:paraId="1DAF4553">
          <w:pPr>
            <w:spacing w:line="360" w:lineRule="exact"/>
            <w:ind w:firstLine="420" w:firstLineChars="20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198CD38">
      <w:pPr>
        <w:rPr>
          <w:color w:val="000000" w:themeColor="text1"/>
          <w14:textFill>
            <w14:solidFill>
              <w14:schemeClr w14:val="tx1"/>
            </w14:solidFill>
          </w14:textFill>
        </w:rPr>
      </w:pPr>
    </w:p>
    <w:p w14:paraId="50701567">
      <w:pPr>
        <w:pStyle w:val="57"/>
        <w:numPr>
          <w:ilvl w:val="0"/>
          <w:numId w:val="112"/>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w:t>
      </w:r>
    </w:p>
    <w:sdt>
      <w:sdtPr>
        <w:rPr>
          <w:color w:val="000000" w:themeColor="text1"/>
          <w14:textFill>
            <w14:solidFill>
              <w14:schemeClr w14:val="tx1"/>
            </w14:solidFill>
          </w14:textFill>
        </w:rPr>
        <w:alias w:val="是否适用：其他重要事项的说明[双击切换]"/>
        <w:tag w:val="_GBC_518cb9b615c44ff597f57c3bba95c7fa"/>
        <w:id w:val="147464101"/>
        <w:placeholder>
          <w:docPart w:val="GBC22222222222222222222222222222"/>
        </w:placeholder>
      </w:sdtPr>
      <w:sdtEndPr>
        <w:rPr>
          <w:color w:val="000000" w:themeColor="text1"/>
          <w14:textFill>
            <w14:solidFill>
              <w14:schemeClr w14:val="tx1"/>
            </w14:solidFill>
          </w14:textFill>
        </w:rPr>
      </w:sdtEndPr>
      <w:sdtContent>
        <w:p w14:paraId="1589DB1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36A2AFE">
      <w:pPr>
        <w:rPr>
          <w:color w:val="000000" w:themeColor="text1"/>
          <w14:textFill>
            <w14:solidFill>
              <w14:schemeClr w14:val="tx1"/>
            </w14:solidFill>
          </w14:textFill>
        </w:rPr>
      </w:pPr>
    </w:p>
    <w:p w14:paraId="1BFFAA8C">
      <w:pPr>
        <w:pStyle w:val="56"/>
        <w:numPr>
          <w:ilvl w:val="0"/>
          <w:numId w:val="43"/>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母公司财务报表主要项目注释</w:t>
      </w:r>
    </w:p>
    <w:p w14:paraId="5C31DB0C">
      <w:pPr>
        <w:pStyle w:val="57"/>
        <w:numPr>
          <w:ilvl w:val="0"/>
          <w:numId w:val="116"/>
        </w:num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应收账款</w:t>
      </w:r>
    </w:p>
    <w:p w14:paraId="4313E552">
      <w:pPr>
        <w:pStyle w:val="58"/>
        <w:numPr>
          <w:ilvl w:val="3"/>
          <w:numId w:val="117"/>
        </w:numPr>
        <w:ind w:left="406" w:hanging="406" w:hangingChars="202"/>
        <w:rPr>
          <w:color w:val="000000" w:themeColor="text1"/>
          <w14:textFill>
            <w14:solidFill>
              <w14:schemeClr w14:val="tx1"/>
            </w14:solidFill>
          </w14:textFill>
        </w:rPr>
      </w:pPr>
      <w:bookmarkStart w:id="434" w:name="_Hlk167980323"/>
      <w:bookmarkStart w:id="435" w:name="_Hlk533796665"/>
      <w:r>
        <w:rPr>
          <w:rFonts w:hint="eastAsia"/>
          <w:color w:val="000000" w:themeColor="text1"/>
          <w14:textFill>
            <w14:solidFill>
              <w14:schemeClr w14:val="tx1"/>
            </w14:solidFill>
          </w14:textFill>
        </w:rPr>
        <w:t>按账龄披露</w:t>
      </w:r>
    </w:p>
    <w:sdt>
      <w:sdtPr>
        <w:rPr>
          <w:color w:val="000000" w:themeColor="text1"/>
          <w14:textFill>
            <w14:solidFill>
              <w14:schemeClr w14:val="tx1"/>
            </w14:solidFill>
          </w14:textFill>
        </w:rPr>
        <w:alias w:val="是否适用：母公司应收账款按账龄披露[双击切换]"/>
        <w:tag w:val="_GBC_801584c2698f4c75b9eab05c08a26afd"/>
        <w:id w:val="170378240"/>
      </w:sdtPr>
      <w:sdtEndPr>
        <w:rPr>
          <w:color w:val="000000" w:themeColor="text1"/>
          <w14:textFill>
            <w14:solidFill>
              <w14:schemeClr w14:val="tx1"/>
            </w14:solidFill>
          </w14:textFill>
        </w:rPr>
      </w:sdtEndPr>
      <w:sdtContent>
        <w:p w14:paraId="1DA6DFC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6F2E1F45">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母公司应收账款按账龄披露"/>
          <w:tag w:val="_GBC_308a90728c1f4859ad3f446cb4ef9717"/>
          <w:id w:val="-1965032292"/>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母公司应收账款按账龄披露"/>
          <w:tag w:val="_GBC_777a884d0a3b4955b2e9309a1049a937"/>
          <w:id w:val="139700530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5"/>
        <w:gridCol w:w="3051"/>
        <w:gridCol w:w="3053"/>
      </w:tblGrid>
      <w:tr w14:paraId="2838F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cs="Times New Roman"/>
            </w:rPr>
            <w:tag w:val="_PLD_cce686fc6c1f4a00a0687060595ff873"/>
            <w:id w:val="1384061187"/>
          </w:sdtPr>
          <w:sdtEndPr>
            <w:rPr>
              <w:rFonts w:cs="Times New Roman"/>
            </w:rPr>
          </w:sdtEndPr>
          <w:sdtContent>
            <w:tc>
              <w:tcPr>
                <w:tcW w:w="1627" w:type="pct"/>
                <w:tcBorders>
                  <w:top w:val="single" w:color="auto" w:sz="4" w:space="0"/>
                  <w:left w:val="single" w:color="auto" w:sz="4" w:space="0"/>
                  <w:bottom w:val="single" w:color="auto" w:sz="4" w:space="0"/>
                  <w:right w:val="single" w:color="auto" w:sz="4" w:space="0"/>
                </w:tcBorders>
                <w:vAlign w:val="center"/>
              </w:tcPr>
              <w:p w14:paraId="6115C0A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账龄</w:t>
                </w:r>
              </w:p>
            </w:tc>
          </w:sdtContent>
        </w:sdt>
        <w:sdt>
          <w:sdtPr>
            <w:rPr>
              <w:rFonts w:cs="Times New Roman"/>
            </w:rPr>
            <w:tag w:val="_PLD_9fa8767136b3432ba1d3bea327b3af33"/>
            <w:id w:val="-579057251"/>
          </w:sdtPr>
          <w:sdtEndPr>
            <w:rPr>
              <w:rFonts w:cs="Times New Roman"/>
            </w:rPr>
          </w:sdtEndPr>
          <w:sdtContent>
            <w:tc>
              <w:tcPr>
                <w:tcW w:w="1685" w:type="pct"/>
                <w:tcBorders>
                  <w:top w:val="single" w:color="auto" w:sz="4" w:space="0"/>
                  <w:left w:val="single" w:color="auto" w:sz="4" w:space="0"/>
                  <w:bottom w:val="single" w:color="auto" w:sz="4" w:space="0"/>
                  <w:right w:val="single" w:color="auto" w:sz="4" w:space="0"/>
                </w:tcBorders>
                <w:vAlign w:val="center"/>
              </w:tcPr>
              <w:p w14:paraId="3DE34B6F">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期末账面余额</w:t>
                </w:r>
              </w:p>
            </w:tc>
          </w:sdtContent>
        </w:sdt>
        <w:sdt>
          <w:sdtPr>
            <w:rPr>
              <w:rFonts w:cs="Times New Roman"/>
            </w:rPr>
            <w:tag w:val="_PLD_4053bba84d8a45f8a51648bc15113d5d"/>
            <w:id w:val="1831486532"/>
          </w:sdtPr>
          <w:sdtEndPr>
            <w:rPr>
              <w:rFonts w:cs="Times New Roman"/>
            </w:rPr>
          </w:sdtEndPr>
          <w:sdtContent>
            <w:tc>
              <w:tcPr>
                <w:tcW w:w="1686" w:type="pct"/>
                <w:tcBorders>
                  <w:top w:val="single" w:color="auto" w:sz="4" w:space="0"/>
                  <w:left w:val="single" w:color="auto" w:sz="4" w:space="0"/>
                  <w:bottom w:val="single" w:color="auto" w:sz="4" w:space="0"/>
                  <w:right w:val="single" w:color="auto" w:sz="4" w:space="0"/>
                </w:tcBorders>
              </w:tcPr>
              <w:p w14:paraId="32AD52E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期初账面余额</w:t>
                </w:r>
              </w:p>
            </w:tc>
          </w:sdtContent>
        </w:sdt>
      </w:tr>
      <w:tr w14:paraId="5F08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cs="Times New Roman"/>
            </w:rPr>
            <w:tag w:val="_PLD_5113e4e3df284601b74cf55777639325"/>
            <w:id w:val="1094512228"/>
          </w:sdtPr>
          <w:sdtEndPr>
            <w:rPr>
              <w:rFonts w:cs="Times New Roman"/>
            </w:rPr>
          </w:sdtEndPr>
          <w:sdtContent>
            <w:tc>
              <w:tcPr>
                <w:tcW w:w="1627" w:type="pct"/>
                <w:tcBorders>
                  <w:top w:val="single" w:color="auto" w:sz="4" w:space="0"/>
                  <w:left w:val="single" w:color="auto" w:sz="4" w:space="0"/>
                  <w:bottom w:val="single" w:color="auto" w:sz="4" w:space="0"/>
                  <w:right w:val="single" w:color="auto" w:sz="4" w:space="0"/>
                </w:tcBorders>
              </w:tcPr>
              <w:p w14:paraId="2CB8C8D1">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1年以内（含1年）</w:t>
                </w:r>
              </w:p>
            </w:tc>
          </w:sdtContent>
        </w:sdt>
        <w:tc>
          <w:tcPr>
            <w:tcW w:w="1685" w:type="pct"/>
            <w:tcBorders>
              <w:top w:val="single" w:color="auto" w:sz="4" w:space="0"/>
              <w:left w:val="single" w:color="auto" w:sz="4" w:space="0"/>
              <w:bottom w:val="single" w:color="auto" w:sz="4" w:space="0"/>
              <w:right w:val="single" w:color="auto" w:sz="4" w:space="0"/>
            </w:tcBorders>
          </w:tcPr>
          <w:p w14:paraId="61C40C92">
            <w:pPr>
              <w:jc w:val="right"/>
              <w:rPr>
                <w:rFonts w:cs="Times New Roman"/>
              </w:rPr>
            </w:pPr>
          </w:p>
        </w:tc>
        <w:tc>
          <w:tcPr>
            <w:tcW w:w="1686" w:type="pct"/>
            <w:tcBorders>
              <w:top w:val="single" w:color="auto" w:sz="4" w:space="0"/>
              <w:left w:val="single" w:color="auto" w:sz="4" w:space="0"/>
              <w:bottom w:val="single" w:color="auto" w:sz="4" w:space="0"/>
              <w:right w:val="single" w:color="auto" w:sz="4" w:space="0"/>
            </w:tcBorders>
          </w:tcPr>
          <w:p w14:paraId="7B0653F0">
            <w:pPr>
              <w:jc w:val="right"/>
              <w:rPr>
                <w:rFonts w:cs="Times New Roman"/>
              </w:rPr>
            </w:pPr>
          </w:p>
        </w:tc>
      </w:tr>
      <w:sdt>
        <w:sdtPr>
          <w:rPr>
            <w:rFonts w:cs="Times New Roman"/>
            <w:color w:val="000000" w:themeColor="text1"/>
            <w14:textFill>
              <w14:solidFill>
                <w14:schemeClr w14:val="tx1"/>
              </w14:solidFill>
            </w14:textFill>
          </w:rPr>
          <w:alias w:val="一年以内应收账款金额明细"/>
          <w:tag w:val="_TUP_d18f54085a004c79a0bf918e7a64fc8c"/>
          <w:id w:val="-467283965"/>
          <w:placeholder>
            <w:docPart w:val="{ff5088b6-2712-4a83-8e82-feb0ff073f7e}"/>
          </w:placeholder>
        </w:sdtPr>
        <w:sdtEndPr>
          <w:rPr>
            <w:rFonts w:cs="Times New Roman"/>
            <w:color w:val="000000" w:themeColor="text1"/>
            <w14:textFill>
              <w14:solidFill>
                <w14:schemeClr w14:val="tx1"/>
              </w14:solidFill>
            </w14:textFill>
          </w:rPr>
        </w:sdtEndPr>
        <w:sdtContent>
          <w:tr w14:paraId="0D282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7" w:type="pct"/>
                <w:tcBorders>
                  <w:top w:val="single" w:color="auto" w:sz="4" w:space="0"/>
                  <w:left w:val="single" w:color="auto" w:sz="4" w:space="0"/>
                  <w:bottom w:val="single" w:color="auto" w:sz="4" w:space="0"/>
                  <w:right w:val="single" w:color="auto" w:sz="4" w:space="0"/>
                </w:tcBorders>
              </w:tcPr>
              <w:p w14:paraId="7286007D">
                <w:pPr>
                  <w:rPr>
                    <w:rFonts w:cs="Times New Roman"/>
                  </w:rPr>
                </w:pPr>
                <w:r>
                  <w:rPr>
                    <w:rFonts w:cs="Times New Roman"/>
                  </w:rPr>
                  <w:t>1年以内小计</w:t>
                </w:r>
              </w:p>
            </w:tc>
            <w:tc>
              <w:tcPr>
                <w:tcW w:w="1685" w:type="pct"/>
                <w:tcBorders>
                  <w:top w:val="single" w:color="auto" w:sz="4" w:space="0"/>
                  <w:left w:val="single" w:color="auto" w:sz="4" w:space="0"/>
                  <w:bottom w:val="single" w:color="auto" w:sz="4" w:space="0"/>
                  <w:right w:val="single" w:color="auto" w:sz="4" w:space="0"/>
                </w:tcBorders>
              </w:tcPr>
              <w:p w14:paraId="3AA8FF9C">
                <w:pPr>
                  <w:jc w:val="right"/>
                  <w:rPr>
                    <w:rFonts w:cs="Times New Roman"/>
                  </w:rPr>
                </w:pPr>
              </w:p>
            </w:tc>
            <w:tc>
              <w:tcPr>
                <w:tcW w:w="1686" w:type="pct"/>
                <w:tcBorders>
                  <w:top w:val="single" w:color="auto" w:sz="4" w:space="0"/>
                  <w:left w:val="single" w:color="auto" w:sz="4" w:space="0"/>
                  <w:bottom w:val="single" w:color="auto" w:sz="4" w:space="0"/>
                  <w:right w:val="single" w:color="auto" w:sz="4" w:space="0"/>
                </w:tcBorders>
              </w:tcPr>
              <w:p w14:paraId="6293E5CA">
                <w:pPr>
                  <w:jc w:val="right"/>
                  <w:rPr>
                    <w:rFonts w:cs="Times New Roman"/>
                  </w:rPr>
                </w:pPr>
              </w:p>
            </w:tc>
          </w:tr>
        </w:sdtContent>
      </w:sdt>
      <w:sdt>
        <w:sdtPr>
          <w:rPr>
            <w:rFonts w:cs="Times New Roman"/>
          </w:rPr>
          <w:alias w:val="一年以内应收账款金额明细"/>
          <w:tag w:val="_TUP_d18f54085a004c79a0bf918e7a64fc8c"/>
          <w:id w:val="920069742"/>
          <w:placeholder>
            <w:docPart w:val="{ff5088b6-2712-4a83-8e82-feb0ff073f7e}"/>
          </w:placeholder>
        </w:sdtPr>
        <w:sdtEndPr>
          <w:rPr>
            <w:rFonts w:cs="Times New Roman"/>
          </w:rPr>
        </w:sdtEndPr>
        <w:sdtContent>
          <w:tr w14:paraId="5A600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cs="Times New Roman"/>
                </w:rPr>
                <w:tag w:val="_PLD_280b956ed47a4a6a80e813259ef9c090"/>
                <w:id w:val="2121328590"/>
              </w:sdtPr>
              <w:sdtEndPr>
                <w:rPr>
                  <w:rFonts w:cs="Times New Roman"/>
                </w:rPr>
              </w:sdtEndPr>
              <w:sdtContent>
                <w:tc>
                  <w:tcPr>
                    <w:tcW w:w="1627" w:type="pct"/>
                    <w:tcBorders>
                      <w:top w:val="single" w:color="auto" w:sz="4" w:space="0"/>
                      <w:left w:val="single" w:color="auto" w:sz="4" w:space="0"/>
                      <w:bottom w:val="single" w:color="auto" w:sz="4" w:space="0"/>
                      <w:right w:val="single" w:color="auto" w:sz="4" w:space="0"/>
                    </w:tcBorders>
                  </w:tcPr>
                  <w:p w14:paraId="3F547AC8">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1至2年</w:t>
                    </w:r>
                  </w:p>
                </w:tc>
              </w:sdtContent>
            </w:sdt>
            <w:tc>
              <w:tcPr>
                <w:tcW w:w="1685" w:type="pct"/>
                <w:tcBorders>
                  <w:top w:val="single" w:color="auto" w:sz="4" w:space="0"/>
                  <w:left w:val="single" w:color="auto" w:sz="4" w:space="0"/>
                  <w:bottom w:val="single" w:color="auto" w:sz="4" w:space="0"/>
                  <w:right w:val="single" w:color="auto" w:sz="4" w:space="0"/>
                </w:tcBorders>
              </w:tcPr>
              <w:p w14:paraId="0B77A427">
                <w:pPr>
                  <w:jc w:val="right"/>
                  <w:rPr>
                    <w:rFonts w:cs="Times New Roman"/>
                  </w:rPr>
                </w:pPr>
              </w:p>
            </w:tc>
            <w:tc>
              <w:tcPr>
                <w:tcW w:w="1686" w:type="pct"/>
                <w:tcBorders>
                  <w:top w:val="single" w:color="auto" w:sz="4" w:space="0"/>
                  <w:left w:val="single" w:color="auto" w:sz="4" w:space="0"/>
                  <w:bottom w:val="single" w:color="auto" w:sz="4" w:space="0"/>
                  <w:right w:val="single" w:color="auto" w:sz="4" w:space="0"/>
                </w:tcBorders>
              </w:tcPr>
              <w:p w14:paraId="74155DBA">
                <w:pPr>
                  <w:jc w:val="right"/>
                  <w:rPr>
                    <w:rFonts w:cs="Times New Roman"/>
                  </w:rPr>
                </w:pPr>
              </w:p>
            </w:tc>
          </w:tr>
        </w:sdtContent>
      </w:sdt>
      <w:tr w14:paraId="3A4C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cs="Times New Roman"/>
            </w:rPr>
            <w:tag w:val="_PLD_367e769c4e79420a9c2771eae6ee23ce"/>
            <w:id w:val="-2029089734"/>
          </w:sdtPr>
          <w:sdtEndPr>
            <w:rPr>
              <w:rFonts w:cs="Times New Roman"/>
            </w:rPr>
          </w:sdtEndPr>
          <w:sdtContent>
            <w:tc>
              <w:tcPr>
                <w:tcW w:w="1627" w:type="pct"/>
                <w:tcBorders>
                  <w:top w:val="single" w:color="auto" w:sz="4" w:space="0"/>
                  <w:left w:val="single" w:color="auto" w:sz="4" w:space="0"/>
                  <w:bottom w:val="single" w:color="auto" w:sz="4" w:space="0"/>
                  <w:right w:val="single" w:color="auto" w:sz="4" w:space="0"/>
                </w:tcBorders>
              </w:tcPr>
              <w:p w14:paraId="2F44EDB6">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2至3年</w:t>
                </w:r>
              </w:p>
            </w:tc>
          </w:sdtContent>
        </w:sdt>
        <w:tc>
          <w:tcPr>
            <w:tcW w:w="1685" w:type="pct"/>
            <w:tcBorders>
              <w:top w:val="single" w:color="auto" w:sz="4" w:space="0"/>
              <w:left w:val="single" w:color="auto" w:sz="4" w:space="0"/>
              <w:bottom w:val="single" w:color="auto" w:sz="4" w:space="0"/>
              <w:right w:val="single" w:color="auto" w:sz="4" w:space="0"/>
            </w:tcBorders>
            <w:vAlign w:val="center"/>
          </w:tcPr>
          <w:p w14:paraId="09BB4204">
            <w:pPr>
              <w:jc w:val="right"/>
              <w:rPr>
                <w:rFonts w:cs="Times New Roman"/>
              </w:rPr>
            </w:pPr>
            <w:r>
              <w:rPr>
                <w:rFonts w:cs="Times New Roman"/>
              </w:rPr>
              <w:t>2,485,732.72</w:t>
            </w:r>
          </w:p>
        </w:tc>
        <w:tc>
          <w:tcPr>
            <w:tcW w:w="1686" w:type="pct"/>
            <w:tcBorders>
              <w:top w:val="single" w:color="auto" w:sz="4" w:space="0"/>
              <w:left w:val="single" w:color="auto" w:sz="4" w:space="0"/>
              <w:bottom w:val="single" w:color="auto" w:sz="4" w:space="0"/>
              <w:right w:val="single" w:color="auto" w:sz="4" w:space="0"/>
            </w:tcBorders>
            <w:vAlign w:val="center"/>
          </w:tcPr>
          <w:p w14:paraId="1A0BDA58">
            <w:pPr>
              <w:jc w:val="right"/>
              <w:rPr>
                <w:rFonts w:cs="Times New Roman"/>
              </w:rPr>
            </w:pPr>
            <w:r>
              <w:rPr>
                <w:rFonts w:cs="Times New Roman"/>
              </w:rPr>
              <w:t>2,485,732.72</w:t>
            </w:r>
          </w:p>
        </w:tc>
      </w:tr>
      <w:tr w14:paraId="2EC9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cs="Times New Roman"/>
            </w:rPr>
            <w:tag w:val="_PLD_c1948af0b708496a845aa441dedfdf1d"/>
            <w:id w:val="-574737710"/>
          </w:sdtPr>
          <w:sdtEndPr>
            <w:rPr>
              <w:rFonts w:cs="Times New Roman"/>
            </w:rPr>
          </w:sdtEndPr>
          <w:sdtContent>
            <w:tc>
              <w:tcPr>
                <w:tcW w:w="1627" w:type="pct"/>
                <w:tcBorders>
                  <w:top w:val="single" w:color="auto" w:sz="4" w:space="0"/>
                  <w:left w:val="single" w:color="auto" w:sz="4" w:space="0"/>
                  <w:bottom w:val="single" w:color="auto" w:sz="4" w:space="0"/>
                  <w:right w:val="single" w:color="auto" w:sz="4" w:space="0"/>
                </w:tcBorders>
              </w:tcPr>
              <w:p w14:paraId="759DE92C">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3至4年</w:t>
                </w:r>
              </w:p>
            </w:tc>
          </w:sdtContent>
        </w:sdt>
        <w:tc>
          <w:tcPr>
            <w:tcW w:w="1685" w:type="pct"/>
            <w:tcBorders>
              <w:top w:val="single" w:color="auto" w:sz="4" w:space="0"/>
              <w:left w:val="single" w:color="auto" w:sz="4" w:space="0"/>
              <w:bottom w:val="single" w:color="auto" w:sz="4" w:space="0"/>
              <w:right w:val="single" w:color="auto" w:sz="4" w:space="0"/>
            </w:tcBorders>
            <w:vAlign w:val="center"/>
          </w:tcPr>
          <w:p w14:paraId="2B506707">
            <w:pPr>
              <w:jc w:val="right"/>
              <w:rPr>
                <w:rFonts w:cs="Times New Roman"/>
              </w:rPr>
            </w:pPr>
            <w:r>
              <w:rPr>
                <w:rFonts w:cs="Times New Roman"/>
              </w:rPr>
              <w:t>144,844.32</w:t>
            </w:r>
          </w:p>
        </w:tc>
        <w:tc>
          <w:tcPr>
            <w:tcW w:w="1686" w:type="pct"/>
            <w:tcBorders>
              <w:top w:val="single" w:color="auto" w:sz="4" w:space="0"/>
              <w:left w:val="single" w:color="auto" w:sz="4" w:space="0"/>
              <w:bottom w:val="single" w:color="auto" w:sz="4" w:space="0"/>
              <w:right w:val="single" w:color="auto" w:sz="4" w:space="0"/>
            </w:tcBorders>
            <w:vAlign w:val="center"/>
          </w:tcPr>
          <w:p w14:paraId="296CB80C">
            <w:pPr>
              <w:jc w:val="right"/>
              <w:rPr>
                <w:rFonts w:cs="Times New Roman"/>
              </w:rPr>
            </w:pPr>
            <w:r>
              <w:rPr>
                <w:rFonts w:cs="Times New Roman"/>
              </w:rPr>
              <w:t>144,844.32</w:t>
            </w:r>
          </w:p>
        </w:tc>
      </w:tr>
      <w:tr w14:paraId="5E93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cs="Times New Roman"/>
            </w:rPr>
            <w:tag w:val="_PLD_a16fbc201dd649deb1a8d1463377fcdf"/>
            <w:id w:val="52901971"/>
          </w:sdtPr>
          <w:sdtEndPr>
            <w:rPr>
              <w:rFonts w:cs="Times New Roman"/>
            </w:rPr>
          </w:sdtEndPr>
          <w:sdtContent>
            <w:tc>
              <w:tcPr>
                <w:tcW w:w="1627" w:type="pct"/>
                <w:tcBorders>
                  <w:top w:val="single" w:color="auto" w:sz="4" w:space="0"/>
                  <w:left w:val="single" w:color="auto" w:sz="4" w:space="0"/>
                  <w:bottom w:val="single" w:color="auto" w:sz="4" w:space="0"/>
                  <w:right w:val="single" w:color="auto" w:sz="4" w:space="0"/>
                </w:tcBorders>
              </w:tcPr>
              <w:p w14:paraId="7CD88E33">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4至5年</w:t>
                </w:r>
              </w:p>
            </w:tc>
          </w:sdtContent>
        </w:sdt>
        <w:tc>
          <w:tcPr>
            <w:tcW w:w="1685" w:type="pct"/>
            <w:tcBorders>
              <w:top w:val="single" w:color="auto" w:sz="4" w:space="0"/>
              <w:left w:val="single" w:color="auto" w:sz="4" w:space="0"/>
              <w:bottom w:val="single" w:color="auto" w:sz="4" w:space="0"/>
              <w:right w:val="single" w:color="auto" w:sz="4" w:space="0"/>
            </w:tcBorders>
            <w:vAlign w:val="center"/>
          </w:tcPr>
          <w:p w14:paraId="2ADF535D">
            <w:pPr>
              <w:jc w:val="right"/>
              <w:rPr>
                <w:rFonts w:cs="Times New Roman"/>
              </w:rPr>
            </w:pPr>
            <w:r>
              <w:rPr>
                <w:rFonts w:cs="Times New Roman"/>
              </w:rPr>
              <w:t>1,903,677.13</w:t>
            </w:r>
          </w:p>
        </w:tc>
        <w:tc>
          <w:tcPr>
            <w:tcW w:w="1686" w:type="pct"/>
            <w:tcBorders>
              <w:top w:val="single" w:color="auto" w:sz="4" w:space="0"/>
              <w:left w:val="single" w:color="auto" w:sz="4" w:space="0"/>
              <w:bottom w:val="single" w:color="auto" w:sz="4" w:space="0"/>
              <w:right w:val="single" w:color="auto" w:sz="4" w:space="0"/>
            </w:tcBorders>
            <w:vAlign w:val="center"/>
          </w:tcPr>
          <w:p w14:paraId="40955A28">
            <w:pPr>
              <w:jc w:val="right"/>
              <w:rPr>
                <w:rFonts w:cs="Times New Roman"/>
              </w:rPr>
            </w:pPr>
            <w:r>
              <w:rPr>
                <w:rFonts w:cs="Times New Roman"/>
              </w:rPr>
              <w:t>1,903,677.13</w:t>
            </w:r>
          </w:p>
        </w:tc>
      </w:tr>
      <w:tr w14:paraId="661F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cs="Times New Roman"/>
            </w:rPr>
            <w:tag w:val="_PLD_d8b5464e22d94736b47c842f42fa1004"/>
            <w:id w:val="548424201"/>
          </w:sdtPr>
          <w:sdtEndPr>
            <w:rPr>
              <w:rFonts w:cs="Times New Roman"/>
            </w:rPr>
          </w:sdtEndPr>
          <w:sdtContent>
            <w:tc>
              <w:tcPr>
                <w:tcW w:w="1627" w:type="pct"/>
                <w:tcBorders>
                  <w:top w:val="single" w:color="auto" w:sz="4" w:space="0"/>
                  <w:left w:val="single" w:color="auto" w:sz="4" w:space="0"/>
                  <w:bottom w:val="single" w:color="auto" w:sz="4" w:space="0"/>
                  <w:right w:val="single" w:color="auto" w:sz="4" w:space="0"/>
                </w:tcBorders>
              </w:tcPr>
              <w:p w14:paraId="0DD9B44F">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5年以上</w:t>
                </w:r>
              </w:p>
            </w:tc>
          </w:sdtContent>
        </w:sdt>
        <w:tc>
          <w:tcPr>
            <w:tcW w:w="1685" w:type="pct"/>
            <w:tcBorders>
              <w:top w:val="single" w:color="auto" w:sz="4" w:space="0"/>
              <w:left w:val="single" w:color="auto" w:sz="4" w:space="0"/>
              <w:bottom w:val="single" w:color="auto" w:sz="4" w:space="0"/>
              <w:right w:val="single" w:color="auto" w:sz="4" w:space="0"/>
            </w:tcBorders>
            <w:vAlign w:val="center"/>
          </w:tcPr>
          <w:p w14:paraId="1B9BF7CE">
            <w:pPr>
              <w:jc w:val="right"/>
              <w:rPr>
                <w:rFonts w:cs="Times New Roman"/>
              </w:rPr>
            </w:pPr>
            <w:r>
              <w:rPr>
                <w:rFonts w:cs="Times New Roman"/>
              </w:rPr>
              <w:t>31,048,158.57</w:t>
            </w:r>
          </w:p>
        </w:tc>
        <w:tc>
          <w:tcPr>
            <w:tcW w:w="1686" w:type="pct"/>
            <w:tcBorders>
              <w:top w:val="single" w:color="auto" w:sz="4" w:space="0"/>
              <w:left w:val="single" w:color="auto" w:sz="4" w:space="0"/>
              <w:bottom w:val="single" w:color="auto" w:sz="4" w:space="0"/>
              <w:right w:val="single" w:color="auto" w:sz="4" w:space="0"/>
            </w:tcBorders>
            <w:vAlign w:val="center"/>
          </w:tcPr>
          <w:p w14:paraId="6E837292">
            <w:pPr>
              <w:jc w:val="right"/>
              <w:rPr>
                <w:rFonts w:cs="Times New Roman"/>
              </w:rPr>
            </w:pPr>
            <w:r>
              <w:rPr>
                <w:rFonts w:cs="Times New Roman"/>
              </w:rPr>
              <w:t>31,454,004.43</w:t>
            </w:r>
          </w:p>
        </w:tc>
      </w:tr>
      <w:sdt>
        <w:sdtPr>
          <w:rPr>
            <w:rFonts w:cs="Times New Roman"/>
          </w:rPr>
          <w:alias w:val="按账龄分析法计提坏账准备的应收账款明细"/>
          <w:tag w:val="_TUP_531e158d2e574144af07aa777362eda6"/>
          <w:id w:val="949363864"/>
          <w:placeholder>
            <w:docPart w:val="{ff5088b6-2712-4a83-8e82-feb0ff073f7e}"/>
          </w:placeholder>
        </w:sdtPr>
        <w:sdtEndPr>
          <w:rPr>
            <w:rFonts w:cs="Times New Roman"/>
          </w:rPr>
        </w:sdtEndPr>
        <w:sdtContent>
          <w:sdt>
            <w:sdtPr>
              <w:rPr>
                <w:rFonts w:cs="Times New Roman"/>
              </w:rPr>
              <w:alias w:val="按账龄分析法计提坏账准备的应收账款明细"/>
              <w:tag w:val="_TUP_531e158d2e574144af07aa777362eda6"/>
              <w:id w:val="-1502741049"/>
              <w:placeholder>
                <w:docPart w:val="{ff5088b6-2712-4a83-8e82-feb0ff073f7e}"/>
              </w:placeholder>
            </w:sdtPr>
            <w:sdtEndPr>
              <w:rPr>
                <w:rFonts w:cs="Times New Roman"/>
              </w:rPr>
            </w:sdtEndPr>
            <w:sdtContent>
              <w:tr w14:paraId="1F14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cs="Times New Roman"/>
                    </w:rPr>
                    <w:tag w:val="_PLD_e09fc70fe39d4d028e534734619cf05d"/>
                    <w:id w:val="-1577430538"/>
                  </w:sdtPr>
                  <w:sdtEndPr>
                    <w:rPr>
                      <w:rFonts w:cs="Times New Roman"/>
                    </w:rPr>
                  </w:sdtEndPr>
                  <w:sdtContent>
                    <w:tc>
                      <w:tcPr>
                        <w:tcW w:w="1627" w:type="pct"/>
                        <w:tcBorders>
                          <w:top w:val="single" w:color="auto" w:sz="4" w:space="0"/>
                          <w:left w:val="single" w:color="auto" w:sz="4" w:space="0"/>
                          <w:bottom w:val="single" w:color="auto" w:sz="4" w:space="0"/>
                          <w:right w:val="single" w:color="auto" w:sz="4" w:space="0"/>
                        </w:tcBorders>
                        <w:vAlign w:val="center"/>
                      </w:tcPr>
                      <w:p w14:paraId="29F1C5F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c>
                  <w:tcPr>
                    <w:tcW w:w="1685" w:type="pct"/>
                    <w:tcBorders>
                      <w:top w:val="single" w:color="auto" w:sz="4" w:space="0"/>
                      <w:left w:val="single" w:color="auto" w:sz="4" w:space="0"/>
                      <w:bottom w:val="single" w:color="auto" w:sz="4" w:space="0"/>
                      <w:right w:val="single" w:color="auto" w:sz="4" w:space="0"/>
                    </w:tcBorders>
                    <w:vAlign w:val="center"/>
                  </w:tcPr>
                  <w:p w14:paraId="6BDF5617">
                    <w:pPr>
                      <w:jc w:val="right"/>
                      <w:rPr>
                        <w:rFonts w:cs="Times New Roman"/>
                      </w:rPr>
                    </w:pPr>
                    <w:r>
                      <w:rPr>
                        <w:rFonts w:cs="Times New Roman"/>
                      </w:rPr>
                      <w:t>35,582,412.74</w:t>
                    </w:r>
                  </w:p>
                </w:tc>
                <w:tc>
                  <w:tcPr>
                    <w:tcW w:w="1686" w:type="pct"/>
                    <w:tcBorders>
                      <w:top w:val="single" w:color="auto" w:sz="4" w:space="0"/>
                      <w:left w:val="single" w:color="auto" w:sz="4" w:space="0"/>
                      <w:bottom w:val="single" w:color="auto" w:sz="4" w:space="0"/>
                      <w:right w:val="single" w:color="auto" w:sz="4" w:space="0"/>
                    </w:tcBorders>
                    <w:vAlign w:val="center"/>
                  </w:tcPr>
                  <w:p w14:paraId="3E484CAB">
                    <w:pPr>
                      <w:jc w:val="right"/>
                      <w:rPr>
                        <w:rFonts w:cs="Times New Roman"/>
                      </w:rPr>
                    </w:pPr>
                    <w:r>
                      <w:rPr>
                        <w:rFonts w:cs="Times New Roman"/>
                      </w:rPr>
                      <w:t>35,988,258.60</w:t>
                    </w:r>
                  </w:p>
                </w:tc>
              </w:tr>
            </w:sdtContent>
          </w:sdt>
        </w:sdtContent>
      </w:sdt>
    </w:tbl>
    <w:p w14:paraId="689068C8"/>
    <w:p w14:paraId="494F3068">
      <w:pPr>
        <w:rPr>
          <w:color w:val="000000" w:themeColor="text1"/>
          <w14:textFill>
            <w14:solidFill>
              <w14:schemeClr w14:val="tx1"/>
            </w14:solidFill>
          </w14:textFill>
        </w:rPr>
      </w:pPr>
    </w:p>
    <w:p w14:paraId="076BC491">
      <w:pPr>
        <w:pStyle w:val="55"/>
      </w:pPr>
    </w:p>
    <w:p w14:paraId="4E223042">
      <w:pPr>
        <w:pStyle w:val="55"/>
      </w:pPr>
    </w:p>
    <w:p w14:paraId="757C8077">
      <w:pPr>
        <w:rPr>
          <w:color w:val="000000" w:themeColor="text1"/>
          <w14:textFill>
            <w14:solidFill>
              <w14:schemeClr w14:val="tx1"/>
            </w14:solidFill>
          </w14:textFill>
        </w:rPr>
        <w:sectPr>
          <w:pgSz w:w="11906" w:h="16838"/>
          <w:pgMar w:top="1525" w:right="1276" w:bottom="1440" w:left="1797" w:header="856" w:footer="992" w:gutter="0"/>
          <w:cols w:space="425" w:num="1"/>
          <w:docGrid w:linePitch="312" w:charSpace="0"/>
        </w:sectPr>
      </w:pPr>
    </w:p>
    <w:p w14:paraId="0FD7302E">
      <w:pPr>
        <w:rPr>
          <w:color w:val="000000" w:themeColor="text1"/>
          <w14:textFill>
            <w14:solidFill>
              <w14:schemeClr w14:val="tx1"/>
            </w14:solidFill>
          </w14:textFill>
        </w:rPr>
      </w:pPr>
    </w:p>
    <w:bookmarkEnd w:id="434"/>
    <w:bookmarkEnd w:id="435"/>
    <w:p w14:paraId="5C96DFB8">
      <w:pPr>
        <w:pStyle w:val="58"/>
        <w:numPr>
          <w:ilvl w:val="3"/>
          <w:numId w:val="117"/>
        </w:numPr>
        <w:ind w:left="406" w:hanging="406" w:hangingChars="202"/>
        <w:rPr>
          <w:color w:val="000000" w:themeColor="text1"/>
          <w14:textFill>
            <w14:solidFill>
              <w14:schemeClr w14:val="tx1"/>
            </w14:solidFill>
          </w14:textFill>
        </w:rPr>
      </w:pPr>
      <w:bookmarkStart w:id="436" w:name="_Hlk10540024"/>
      <w:r>
        <w:rPr>
          <w:rFonts w:hint="eastAsia"/>
          <w:color w:val="000000" w:themeColor="text1"/>
          <w14:textFill>
            <w14:solidFill>
              <w14:schemeClr w14:val="tx1"/>
            </w14:solidFill>
          </w14:textFill>
        </w:rPr>
        <w:t>按坏账计提方法分类披露</w:t>
      </w:r>
    </w:p>
    <w:sdt>
      <w:sdtPr>
        <w:rPr>
          <w:color w:val="000000" w:themeColor="text1"/>
          <w14:textFill>
            <w14:solidFill>
              <w14:schemeClr w14:val="tx1"/>
            </w14:solidFill>
          </w14:textFill>
        </w:rPr>
        <w:alias w:val="是否适用：母公司应收账款按坏账计提方法分类披露[双击切换]"/>
        <w:tag w:val="_GBC_bd7fb52eb7f647d5aa6c10677b261ee1"/>
        <w:id w:val="147458401"/>
        <w:lock w:val="contentLocked"/>
        <w:placeholder>
          <w:docPart w:val="GBC22222222222222222222222222222"/>
        </w:placeholder>
      </w:sdtPr>
      <w:sdtEndPr>
        <w:rPr>
          <w:color w:val="000000" w:themeColor="text1"/>
          <w14:textFill>
            <w14:solidFill>
              <w14:schemeClr w14:val="tx1"/>
            </w14:solidFill>
          </w14:textFill>
        </w:rPr>
      </w:sdtEndPr>
      <w:sdtContent>
        <w:p w14:paraId="2D46C9F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7E26F9E">
      <w:pPr>
        <w:pStyle w:val="63"/>
        <w:autoSpaceDE w:val="0"/>
        <w:autoSpaceDN w:val="0"/>
        <w:adjustRightInd w:val="0"/>
        <w:ind w:left="425" w:right="105"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母公司应收账款按坏账计提方法分类披露"/>
          <w:tag w:val="_GBC_03786e76a9b246d5a93eac5a8936de3a"/>
          <w:id w:val="1474539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母公司应收账款按坏账计提方法分类披露"/>
          <w:tag w:val="_GBC_1360c31492654a38991cae4cf45e7b4a"/>
          <w:id w:val="1474543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2343"/>
        <w:gridCol w:w="1170"/>
        <w:gridCol w:w="969"/>
        <w:gridCol w:w="1143"/>
        <w:gridCol w:w="1182"/>
        <w:gridCol w:w="1171"/>
        <w:gridCol w:w="1210"/>
        <w:gridCol w:w="1182"/>
        <w:gridCol w:w="1193"/>
        <w:gridCol w:w="1204"/>
        <w:gridCol w:w="1168"/>
      </w:tblGrid>
      <w:tr w14:paraId="227E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59" w:hRule="atLeast"/>
        </w:trPr>
        <w:sdt>
          <w:sdtPr>
            <w:rPr>
              <w:rFonts w:cs="Times New Roman"/>
            </w:rPr>
            <w:tag w:val="_PLD_2f021e03341f49af95f8857da6272a92"/>
            <w:id w:val="147452489"/>
          </w:sdtPr>
          <w:sdtEndPr>
            <w:rPr>
              <w:rFonts w:cs="Times New Roman"/>
            </w:rPr>
          </w:sdtEndPr>
          <w:sdtContent>
            <w:tc>
              <w:tcPr>
                <w:tcW w:w="841" w:type="pct"/>
                <w:vMerge w:val="restart"/>
                <w:tcBorders>
                  <w:top w:val="single" w:color="auto" w:sz="4" w:space="0"/>
                  <w:left w:val="single" w:color="auto" w:sz="4" w:space="0"/>
                  <w:right w:val="single" w:color="auto" w:sz="4" w:space="0"/>
                </w:tcBorders>
                <w:vAlign w:val="center"/>
              </w:tcPr>
              <w:p w14:paraId="4ABE617A">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类别</w:t>
                </w:r>
              </w:p>
            </w:tc>
          </w:sdtContent>
        </w:sdt>
        <w:sdt>
          <w:sdtPr>
            <w:rPr>
              <w:rFonts w:cs="Times New Roman"/>
            </w:rPr>
            <w:tag w:val="_PLD_468e18ccdf48449f8e43799e7c3f622e"/>
            <w:id w:val="147464655"/>
          </w:sdtPr>
          <w:sdtEndPr>
            <w:rPr>
              <w:rFonts w:cs="Times New Roman"/>
            </w:rPr>
          </w:sdtEndPr>
          <w:sdtContent>
            <w:tc>
              <w:tcPr>
                <w:tcW w:w="2021" w:type="pct"/>
                <w:gridSpan w:val="5"/>
                <w:tcBorders>
                  <w:top w:val="single" w:color="auto" w:sz="4" w:space="0"/>
                  <w:left w:val="single" w:color="auto" w:sz="4" w:space="0"/>
                  <w:right w:val="single" w:color="auto" w:sz="4" w:space="0"/>
                </w:tcBorders>
                <w:vAlign w:val="center"/>
              </w:tcPr>
              <w:p w14:paraId="6949E77F">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e387c0f70bd6484cafb1ada234d075bd"/>
            <w:id w:val="147475904"/>
          </w:sdtPr>
          <w:sdtEndPr>
            <w:rPr>
              <w:rFonts w:cs="Times New Roman"/>
            </w:rPr>
          </w:sdtEndPr>
          <w:sdtContent>
            <w:tc>
              <w:tcPr>
                <w:tcW w:w="2138" w:type="pct"/>
                <w:gridSpan w:val="5"/>
                <w:tcBorders>
                  <w:top w:val="single" w:color="auto" w:sz="4" w:space="0"/>
                  <w:left w:val="single" w:color="auto" w:sz="4" w:space="0"/>
                  <w:right w:val="single" w:color="auto" w:sz="4" w:space="0"/>
                </w:tcBorders>
                <w:vAlign w:val="center"/>
              </w:tcPr>
              <w:p w14:paraId="40AF6611">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tr>
      <w:tr w14:paraId="403DB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27" w:hRule="atLeast"/>
        </w:trPr>
        <w:tc>
          <w:tcPr>
            <w:tcW w:w="841" w:type="pct"/>
            <w:vMerge w:val="continue"/>
            <w:tcBorders>
              <w:left w:val="single" w:color="auto" w:sz="4" w:space="0"/>
              <w:right w:val="single" w:color="auto" w:sz="4" w:space="0"/>
            </w:tcBorders>
            <w:vAlign w:val="center"/>
          </w:tcPr>
          <w:p w14:paraId="551D7911">
            <w:pPr>
              <w:rPr>
                <w:rFonts w:cs="Times New Roman"/>
                <w:color w:val="000000" w:themeColor="text1"/>
                <w14:textFill>
                  <w14:solidFill>
                    <w14:schemeClr w14:val="tx1"/>
                  </w14:solidFill>
                </w14:textFill>
              </w:rPr>
            </w:pPr>
          </w:p>
        </w:tc>
        <w:sdt>
          <w:sdtPr>
            <w:rPr>
              <w:rFonts w:cs="Times New Roman"/>
            </w:rPr>
            <w:tag w:val="_PLD_73365edbfe354cb683cc42de4c1c9f49"/>
            <w:id w:val="147472178"/>
          </w:sdtPr>
          <w:sdtEndPr>
            <w:rPr>
              <w:rFonts w:cs="Times New Roman"/>
            </w:rPr>
          </w:sdtEndPr>
          <w:sdtContent>
            <w:tc>
              <w:tcPr>
                <w:tcW w:w="768" w:type="pct"/>
                <w:gridSpan w:val="2"/>
                <w:tcBorders>
                  <w:top w:val="single" w:color="auto" w:sz="4" w:space="0"/>
                  <w:left w:val="single" w:color="auto" w:sz="4" w:space="0"/>
                  <w:bottom w:val="single" w:color="auto" w:sz="4" w:space="0"/>
                  <w:right w:val="single" w:color="auto" w:sz="4" w:space="0"/>
                </w:tcBorders>
                <w:vAlign w:val="center"/>
              </w:tcPr>
              <w:p w14:paraId="02BDC1C8">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账面余额</w:t>
                </w:r>
              </w:p>
            </w:tc>
          </w:sdtContent>
        </w:sdt>
        <w:sdt>
          <w:sdtPr>
            <w:rPr>
              <w:rFonts w:cs="Times New Roman"/>
            </w:rPr>
            <w:tag w:val="_PLD_11f34c9ee2d5429280d0d85b2c50756a"/>
            <w:id w:val="147479703"/>
          </w:sdtPr>
          <w:sdtEndPr>
            <w:rPr>
              <w:rFonts w:cs="Times New Roman"/>
            </w:rPr>
          </w:sdtEndPr>
          <w:sdtContent>
            <w:tc>
              <w:tcPr>
                <w:tcW w:w="834" w:type="pct"/>
                <w:gridSpan w:val="2"/>
                <w:tcBorders>
                  <w:top w:val="single" w:color="auto" w:sz="4" w:space="0"/>
                  <w:left w:val="single" w:color="auto" w:sz="4" w:space="0"/>
                  <w:bottom w:val="single" w:color="auto" w:sz="4" w:space="0"/>
                  <w:right w:val="single" w:color="auto" w:sz="4" w:space="0"/>
                </w:tcBorders>
                <w:vAlign w:val="center"/>
              </w:tcPr>
              <w:p w14:paraId="3501B612">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坏账准备</w:t>
                </w:r>
              </w:p>
            </w:tc>
          </w:sdtContent>
        </w:sdt>
        <w:sdt>
          <w:sdtPr>
            <w:rPr>
              <w:rFonts w:cs="Times New Roman"/>
            </w:rPr>
            <w:tag w:val="_PLD_6ade046afd0c47c0aae9506cc9d47486"/>
            <w:id w:val="147454601"/>
          </w:sdtPr>
          <w:sdtEndPr>
            <w:rPr>
              <w:rFonts w:cs="Times New Roman"/>
            </w:rPr>
          </w:sdtEndPr>
          <w:sdtContent>
            <w:tc>
              <w:tcPr>
                <w:tcW w:w="420" w:type="pct"/>
                <w:vMerge w:val="restart"/>
                <w:tcBorders>
                  <w:top w:val="single" w:color="auto" w:sz="4" w:space="0"/>
                  <w:left w:val="single" w:color="auto" w:sz="4" w:space="0"/>
                  <w:right w:val="single" w:color="auto" w:sz="4" w:space="0"/>
                </w:tcBorders>
                <w:vAlign w:val="center"/>
              </w:tcPr>
              <w:p w14:paraId="0F8CD0B8">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w:t>
                </w:r>
              </w:p>
              <w:p w14:paraId="7967FDF4">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价值</w:t>
                </w:r>
              </w:p>
            </w:tc>
          </w:sdtContent>
        </w:sdt>
        <w:sdt>
          <w:sdtPr>
            <w:rPr>
              <w:rFonts w:cs="Times New Roman"/>
            </w:rPr>
            <w:tag w:val="_PLD_abd9bd4831b9473aabae7411a299a204"/>
            <w:id w:val="147463267"/>
          </w:sdtPr>
          <w:sdtEndPr>
            <w:rPr>
              <w:rFonts w:cs="Times New Roman"/>
            </w:rPr>
          </w:sdtEndPr>
          <w:sdtContent>
            <w:tc>
              <w:tcPr>
                <w:tcW w:w="858" w:type="pct"/>
                <w:gridSpan w:val="2"/>
                <w:tcBorders>
                  <w:top w:val="single" w:color="auto" w:sz="4" w:space="0"/>
                  <w:left w:val="single" w:color="auto" w:sz="4" w:space="0"/>
                  <w:right w:val="single" w:color="auto" w:sz="4" w:space="0"/>
                </w:tcBorders>
                <w:vAlign w:val="center"/>
              </w:tcPr>
              <w:p w14:paraId="70361AA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账面余额</w:t>
                </w:r>
              </w:p>
            </w:tc>
          </w:sdtContent>
        </w:sdt>
        <w:sdt>
          <w:sdtPr>
            <w:rPr>
              <w:rFonts w:cs="Times New Roman"/>
            </w:rPr>
            <w:tag w:val="_PLD_76d8f3a48cba41949b5870f6cbb124af"/>
            <w:id w:val="147483030"/>
          </w:sdtPr>
          <w:sdtEndPr>
            <w:rPr>
              <w:rFonts w:cs="Times New Roman"/>
            </w:rPr>
          </w:sdtEndPr>
          <w:sdtContent>
            <w:tc>
              <w:tcPr>
                <w:tcW w:w="860" w:type="pct"/>
                <w:gridSpan w:val="2"/>
                <w:tcBorders>
                  <w:top w:val="single" w:color="auto" w:sz="4" w:space="0"/>
                  <w:left w:val="single" w:color="auto" w:sz="4" w:space="0"/>
                  <w:right w:val="single" w:color="auto" w:sz="4" w:space="0"/>
                </w:tcBorders>
                <w:vAlign w:val="center"/>
              </w:tcPr>
              <w:p w14:paraId="58028980">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坏账准备</w:t>
                </w:r>
              </w:p>
            </w:tc>
          </w:sdtContent>
        </w:sdt>
        <w:sdt>
          <w:sdtPr>
            <w:rPr>
              <w:rFonts w:cs="Times New Roman"/>
            </w:rPr>
            <w:tag w:val="_PLD_5062ab8e678b49c0bba488dc029ff27b"/>
            <w:id w:val="147470406"/>
          </w:sdtPr>
          <w:sdtEndPr>
            <w:rPr>
              <w:rFonts w:cs="Times New Roman"/>
            </w:rPr>
          </w:sdtEndPr>
          <w:sdtContent>
            <w:tc>
              <w:tcPr>
                <w:tcW w:w="420" w:type="pct"/>
                <w:vMerge w:val="restart"/>
                <w:tcBorders>
                  <w:top w:val="single" w:color="auto" w:sz="4" w:space="0"/>
                  <w:left w:val="single" w:color="auto" w:sz="4" w:space="0"/>
                  <w:right w:val="single" w:color="auto" w:sz="4" w:space="0"/>
                </w:tcBorders>
                <w:vAlign w:val="center"/>
              </w:tcPr>
              <w:p w14:paraId="0AE60A1E">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w:t>
                </w:r>
              </w:p>
              <w:p w14:paraId="2718299F">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价值</w:t>
                </w:r>
              </w:p>
            </w:tc>
          </w:sdtContent>
        </w:sdt>
      </w:tr>
      <w:tr w14:paraId="37F5B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375" w:hRule="atLeast"/>
        </w:trPr>
        <w:tc>
          <w:tcPr>
            <w:tcW w:w="841" w:type="pct"/>
            <w:vMerge w:val="continue"/>
            <w:tcBorders>
              <w:left w:val="single" w:color="auto" w:sz="4" w:space="0"/>
              <w:bottom w:val="single" w:color="auto" w:sz="4" w:space="0"/>
              <w:right w:val="single" w:color="auto" w:sz="4" w:space="0"/>
            </w:tcBorders>
            <w:vAlign w:val="center"/>
          </w:tcPr>
          <w:p w14:paraId="59266C03">
            <w:pPr>
              <w:rPr>
                <w:rFonts w:cs="Times New Roman"/>
                <w:color w:val="000000" w:themeColor="text1"/>
                <w14:textFill>
                  <w14:solidFill>
                    <w14:schemeClr w14:val="tx1"/>
                  </w14:solidFill>
                </w14:textFill>
              </w:rPr>
            </w:pPr>
          </w:p>
        </w:tc>
        <w:sdt>
          <w:sdtPr>
            <w:rPr>
              <w:rFonts w:cs="Times New Roman"/>
            </w:rPr>
            <w:tag w:val="_PLD_f6bdd572740240b5a7a2e643c29db5eb"/>
            <w:id w:val="147455405"/>
          </w:sdtPr>
          <w:sdtEndPr>
            <w:rPr>
              <w:rFonts w:cs="Times New Roman"/>
            </w:rPr>
          </w:sdtEndPr>
          <w:sdtContent>
            <w:tc>
              <w:tcPr>
                <w:tcW w:w="420" w:type="pct"/>
                <w:tcBorders>
                  <w:left w:val="single" w:color="auto" w:sz="4" w:space="0"/>
                  <w:bottom w:val="single" w:color="auto" w:sz="4" w:space="0"/>
                  <w:right w:val="single" w:color="auto" w:sz="4" w:space="0"/>
                </w:tcBorders>
                <w:vAlign w:val="center"/>
              </w:tcPr>
              <w:p w14:paraId="294954EC">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金额</w:t>
                </w:r>
              </w:p>
            </w:tc>
          </w:sdtContent>
        </w:sdt>
        <w:sdt>
          <w:sdtPr>
            <w:rPr>
              <w:rFonts w:cs="Times New Roman"/>
            </w:rPr>
            <w:tag w:val="_PLD_0a09779b6e354e32b6df9b1e891e1509"/>
            <w:id w:val="147479589"/>
          </w:sdtPr>
          <w:sdtEndPr>
            <w:rPr>
              <w:rFonts w:cs="Times New Roman"/>
            </w:rPr>
          </w:sdtEndPr>
          <w:sdtContent>
            <w:tc>
              <w:tcPr>
                <w:tcW w:w="348" w:type="pct"/>
                <w:tcBorders>
                  <w:left w:val="single" w:color="auto" w:sz="4" w:space="0"/>
                  <w:bottom w:val="single" w:color="auto" w:sz="4" w:space="0"/>
                  <w:right w:val="single" w:color="auto" w:sz="4" w:space="0"/>
                </w:tcBorders>
                <w:vAlign w:val="center"/>
              </w:tcPr>
              <w:p w14:paraId="34B674D0">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比例(%)</w:t>
                </w:r>
              </w:p>
            </w:tc>
          </w:sdtContent>
        </w:sdt>
        <w:sdt>
          <w:sdtPr>
            <w:rPr>
              <w:rFonts w:cs="Times New Roman"/>
            </w:rPr>
            <w:tag w:val="_PLD_dd9c9061f11b453c8775ca1a11382d92"/>
            <w:id w:val="147467135"/>
          </w:sdtPr>
          <w:sdtEndPr>
            <w:rPr>
              <w:rFonts w:cs="Times New Roman"/>
            </w:rPr>
          </w:sdtEndPr>
          <w:sdtContent>
            <w:tc>
              <w:tcPr>
                <w:tcW w:w="410" w:type="pct"/>
                <w:tcBorders>
                  <w:left w:val="single" w:color="auto" w:sz="4" w:space="0"/>
                  <w:bottom w:val="single" w:color="auto" w:sz="4" w:space="0"/>
                  <w:right w:val="single" w:color="auto" w:sz="4" w:space="0"/>
                </w:tcBorders>
                <w:vAlign w:val="center"/>
              </w:tcPr>
              <w:p w14:paraId="0DBC8474">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金额</w:t>
                </w:r>
              </w:p>
            </w:tc>
          </w:sdtContent>
        </w:sdt>
        <w:sdt>
          <w:sdtPr>
            <w:rPr>
              <w:rFonts w:cs="Times New Roman"/>
            </w:rPr>
            <w:tag w:val="_PLD_988b69362ac14c0e94c26191e76b1e3a"/>
            <w:id w:val="147478716"/>
          </w:sdtPr>
          <w:sdtEndPr>
            <w:rPr>
              <w:rFonts w:cs="Times New Roman"/>
            </w:rPr>
          </w:sdtEndPr>
          <w:sdtContent>
            <w:tc>
              <w:tcPr>
                <w:tcW w:w="424" w:type="pct"/>
                <w:tcBorders>
                  <w:left w:val="single" w:color="auto" w:sz="4" w:space="0"/>
                  <w:bottom w:val="single" w:color="auto" w:sz="4" w:space="0"/>
                  <w:right w:val="single" w:color="auto" w:sz="4" w:space="0"/>
                </w:tcBorders>
                <w:vAlign w:val="center"/>
              </w:tcPr>
              <w:p w14:paraId="1F689BFE">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计提比例(%)</w:t>
                </w:r>
              </w:p>
            </w:tc>
          </w:sdtContent>
        </w:sdt>
        <w:tc>
          <w:tcPr>
            <w:tcW w:w="420" w:type="pct"/>
            <w:vMerge w:val="continue"/>
            <w:tcBorders>
              <w:left w:val="single" w:color="auto" w:sz="4" w:space="0"/>
              <w:bottom w:val="single" w:color="auto" w:sz="4" w:space="0"/>
              <w:right w:val="single" w:color="auto" w:sz="4" w:space="0"/>
            </w:tcBorders>
            <w:vAlign w:val="center"/>
          </w:tcPr>
          <w:p w14:paraId="2A074942">
            <w:pPr>
              <w:jc w:val="center"/>
              <w:rPr>
                <w:rFonts w:cs="Times New Roman"/>
                <w:color w:val="000000" w:themeColor="text1"/>
                <w14:textFill>
                  <w14:solidFill>
                    <w14:schemeClr w14:val="tx1"/>
                  </w14:solidFill>
                </w14:textFill>
              </w:rPr>
            </w:pPr>
          </w:p>
        </w:tc>
        <w:sdt>
          <w:sdtPr>
            <w:rPr>
              <w:rFonts w:cs="Times New Roman"/>
            </w:rPr>
            <w:tag w:val="_PLD_a5c1af5c86d545b993971c3da029159d"/>
            <w:id w:val="147467380"/>
          </w:sdtPr>
          <w:sdtEndPr>
            <w:rPr>
              <w:rFonts w:cs="Times New Roman"/>
            </w:rPr>
          </w:sdtEndPr>
          <w:sdtContent>
            <w:tc>
              <w:tcPr>
                <w:tcW w:w="434" w:type="pct"/>
                <w:tcBorders>
                  <w:left w:val="single" w:color="auto" w:sz="4" w:space="0"/>
                  <w:bottom w:val="single" w:color="auto" w:sz="4" w:space="0"/>
                  <w:right w:val="single" w:color="auto" w:sz="4" w:space="0"/>
                </w:tcBorders>
                <w:vAlign w:val="center"/>
              </w:tcPr>
              <w:p w14:paraId="6E38F21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金额</w:t>
                </w:r>
              </w:p>
            </w:tc>
          </w:sdtContent>
        </w:sdt>
        <w:sdt>
          <w:sdtPr>
            <w:rPr>
              <w:rFonts w:cs="Times New Roman"/>
            </w:rPr>
            <w:tag w:val="_PLD_fd80073c74724a799d0de2171d95f241"/>
            <w:id w:val="147478288"/>
          </w:sdtPr>
          <w:sdtEndPr>
            <w:rPr>
              <w:rFonts w:cs="Times New Roman"/>
            </w:rPr>
          </w:sdtEndPr>
          <w:sdtContent>
            <w:tc>
              <w:tcPr>
                <w:tcW w:w="424" w:type="pct"/>
                <w:tcBorders>
                  <w:left w:val="single" w:color="auto" w:sz="4" w:space="0"/>
                  <w:bottom w:val="single" w:color="auto" w:sz="4" w:space="0"/>
                  <w:right w:val="single" w:color="auto" w:sz="4" w:space="0"/>
                </w:tcBorders>
                <w:vAlign w:val="center"/>
              </w:tcPr>
              <w:p w14:paraId="42C1093A">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比例(%)</w:t>
                </w:r>
              </w:p>
            </w:tc>
          </w:sdtContent>
        </w:sdt>
        <w:sdt>
          <w:sdtPr>
            <w:rPr>
              <w:rFonts w:cs="Times New Roman"/>
            </w:rPr>
            <w:tag w:val="_PLD_917059b3ee7f4b52afe8c3fa58f3e369"/>
            <w:id w:val="147455426"/>
          </w:sdtPr>
          <w:sdtEndPr>
            <w:rPr>
              <w:rFonts w:cs="Times New Roman"/>
            </w:rPr>
          </w:sdtEndPr>
          <w:sdtContent>
            <w:tc>
              <w:tcPr>
                <w:tcW w:w="428" w:type="pct"/>
                <w:tcBorders>
                  <w:left w:val="single" w:color="auto" w:sz="4" w:space="0"/>
                  <w:bottom w:val="single" w:color="auto" w:sz="4" w:space="0"/>
                  <w:right w:val="single" w:color="auto" w:sz="4" w:space="0"/>
                </w:tcBorders>
                <w:vAlign w:val="center"/>
              </w:tcPr>
              <w:p w14:paraId="506C868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金额</w:t>
                </w:r>
              </w:p>
            </w:tc>
          </w:sdtContent>
        </w:sdt>
        <w:sdt>
          <w:sdtPr>
            <w:rPr>
              <w:rFonts w:cs="Times New Roman"/>
            </w:rPr>
            <w:tag w:val="_PLD_ea90ccc029834397956c79bbe869d343"/>
            <w:id w:val="147459756"/>
          </w:sdtPr>
          <w:sdtEndPr>
            <w:rPr>
              <w:rFonts w:cs="Times New Roman"/>
            </w:rPr>
          </w:sdtEndPr>
          <w:sdtContent>
            <w:tc>
              <w:tcPr>
                <w:tcW w:w="432" w:type="pct"/>
                <w:tcBorders>
                  <w:left w:val="single" w:color="auto" w:sz="4" w:space="0"/>
                  <w:bottom w:val="single" w:color="auto" w:sz="4" w:space="0"/>
                  <w:right w:val="single" w:color="auto" w:sz="4" w:space="0"/>
                </w:tcBorders>
                <w:vAlign w:val="center"/>
              </w:tcPr>
              <w:p w14:paraId="586941F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计提比例(%)</w:t>
                </w:r>
              </w:p>
            </w:tc>
          </w:sdtContent>
        </w:sdt>
        <w:tc>
          <w:tcPr>
            <w:tcW w:w="420" w:type="pct"/>
            <w:vMerge w:val="continue"/>
            <w:tcBorders>
              <w:left w:val="single" w:color="auto" w:sz="4" w:space="0"/>
              <w:bottom w:val="single" w:color="auto" w:sz="4" w:space="0"/>
              <w:right w:val="single" w:color="auto" w:sz="4" w:space="0"/>
            </w:tcBorders>
          </w:tcPr>
          <w:p w14:paraId="255251AB">
            <w:pPr>
              <w:jc w:val="center"/>
              <w:rPr>
                <w:rFonts w:cs="Times New Roman"/>
                <w:color w:val="000000" w:themeColor="text1"/>
                <w14:textFill>
                  <w14:solidFill>
                    <w14:schemeClr w14:val="tx1"/>
                  </w14:solidFill>
                </w14:textFill>
              </w:rPr>
            </w:pPr>
          </w:p>
        </w:tc>
      </w:tr>
      <w:tr w14:paraId="6E43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41" w:type="pct"/>
            <w:tcBorders>
              <w:top w:val="single" w:color="auto" w:sz="4" w:space="0"/>
              <w:left w:val="single" w:color="auto" w:sz="4" w:space="0"/>
              <w:bottom w:val="single" w:color="auto" w:sz="4" w:space="0"/>
              <w:right w:val="single" w:color="auto" w:sz="4" w:space="0"/>
            </w:tcBorders>
            <w:vAlign w:val="center"/>
          </w:tcPr>
          <w:p w14:paraId="3A393EEB">
            <w:pPr>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按组合计提坏账准备</w:t>
            </w:r>
          </w:p>
        </w:tc>
        <w:tc>
          <w:tcPr>
            <w:tcW w:w="420" w:type="pct"/>
            <w:tcBorders>
              <w:top w:val="single" w:color="auto" w:sz="4" w:space="0"/>
              <w:left w:val="single" w:color="auto" w:sz="4" w:space="0"/>
              <w:bottom w:val="single" w:color="auto" w:sz="4" w:space="0"/>
              <w:right w:val="single" w:color="auto" w:sz="4" w:space="0"/>
            </w:tcBorders>
            <w:vAlign w:val="center"/>
          </w:tcPr>
          <w:p w14:paraId="32848866">
            <w:pPr>
              <w:jc w:val="right"/>
              <w:textAlignment w:val="center"/>
              <w:rPr>
                <w:rFonts w:cs="Times New Roman"/>
                <w:sz w:val="18"/>
                <w:szCs w:val="18"/>
              </w:rPr>
            </w:pPr>
            <w:r>
              <w:rPr>
                <w:rFonts w:cs="Times New Roman"/>
                <w:color w:val="000000"/>
                <w:sz w:val="18"/>
                <w:szCs w:val="18"/>
              </w:rPr>
              <w:t>35,582,412.74</w:t>
            </w:r>
          </w:p>
        </w:tc>
        <w:tc>
          <w:tcPr>
            <w:tcW w:w="348" w:type="pct"/>
            <w:tcBorders>
              <w:top w:val="single" w:color="auto" w:sz="4" w:space="0"/>
              <w:left w:val="single" w:color="auto" w:sz="4" w:space="0"/>
              <w:bottom w:val="single" w:color="auto" w:sz="4" w:space="0"/>
              <w:right w:val="single" w:color="auto" w:sz="4" w:space="0"/>
            </w:tcBorders>
            <w:vAlign w:val="center"/>
          </w:tcPr>
          <w:p w14:paraId="690B5675">
            <w:pPr>
              <w:jc w:val="right"/>
              <w:textAlignment w:val="center"/>
              <w:rPr>
                <w:rFonts w:cs="Times New Roman"/>
                <w:sz w:val="18"/>
                <w:szCs w:val="18"/>
              </w:rPr>
            </w:pPr>
            <w:r>
              <w:rPr>
                <w:rFonts w:cs="Times New Roman"/>
                <w:color w:val="000000"/>
                <w:sz w:val="18"/>
                <w:szCs w:val="18"/>
              </w:rPr>
              <w:t>100.00</w:t>
            </w:r>
          </w:p>
        </w:tc>
        <w:tc>
          <w:tcPr>
            <w:tcW w:w="410" w:type="pct"/>
            <w:tcBorders>
              <w:top w:val="single" w:color="auto" w:sz="4" w:space="0"/>
              <w:left w:val="single" w:color="auto" w:sz="4" w:space="0"/>
              <w:bottom w:val="single" w:color="auto" w:sz="4" w:space="0"/>
              <w:right w:val="single" w:color="auto" w:sz="4" w:space="0"/>
            </w:tcBorders>
            <w:vAlign w:val="center"/>
          </w:tcPr>
          <w:p w14:paraId="4187D084">
            <w:pPr>
              <w:jc w:val="right"/>
              <w:textAlignment w:val="center"/>
              <w:rPr>
                <w:rFonts w:cs="Times New Roman"/>
                <w:sz w:val="18"/>
                <w:szCs w:val="18"/>
              </w:rPr>
            </w:pPr>
            <w:r>
              <w:rPr>
                <w:rFonts w:cs="Times New Roman"/>
                <w:color w:val="000000"/>
                <w:sz w:val="18"/>
                <w:szCs w:val="18"/>
              </w:rPr>
              <w:t>1,309,843.27</w:t>
            </w:r>
          </w:p>
        </w:tc>
        <w:tc>
          <w:tcPr>
            <w:tcW w:w="424" w:type="pct"/>
            <w:tcBorders>
              <w:top w:val="single" w:color="auto" w:sz="4" w:space="0"/>
              <w:left w:val="single" w:color="auto" w:sz="4" w:space="0"/>
              <w:bottom w:val="single" w:color="auto" w:sz="4" w:space="0"/>
              <w:right w:val="single" w:color="auto" w:sz="4" w:space="0"/>
            </w:tcBorders>
            <w:vAlign w:val="center"/>
          </w:tcPr>
          <w:p w14:paraId="02066B25">
            <w:pPr>
              <w:jc w:val="right"/>
              <w:textAlignment w:val="center"/>
              <w:rPr>
                <w:rFonts w:cs="Times New Roman"/>
                <w:sz w:val="18"/>
                <w:szCs w:val="18"/>
              </w:rPr>
            </w:pPr>
            <w:r>
              <w:rPr>
                <w:rFonts w:cs="Times New Roman"/>
                <w:color w:val="000000"/>
                <w:sz w:val="18"/>
                <w:szCs w:val="18"/>
              </w:rPr>
              <w:t>3.68</w:t>
            </w:r>
          </w:p>
        </w:tc>
        <w:tc>
          <w:tcPr>
            <w:tcW w:w="420" w:type="pct"/>
            <w:tcBorders>
              <w:top w:val="single" w:color="auto" w:sz="4" w:space="0"/>
              <w:left w:val="single" w:color="auto" w:sz="4" w:space="0"/>
              <w:bottom w:val="single" w:color="auto" w:sz="4" w:space="0"/>
              <w:right w:val="single" w:color="auto" w:sz="4" w:space="0"/>
            </w:tcBorders>
            <w:vAlign w:val="center"/>
          </w:tcPr>
          <w:p w14:paraId="06198238">
            <w:pPr>
              <w:jc w:val="right"/>
              <w:textAlignment w:val="center"/>
              <w:rPr>
                <w:rFonts w:cs="Times New Roman"/>
                <w:sz w:val="18"/>
                <w:szCs w:val="18"/>
              </w:rPr>
            </w:pPr>
            <w:r>
              <w:rPr>
                <w:rFonts w:cs="Times New Roman"/>
                <w:color w:val="000000"/>
                <w:sz w:val="18"/>
                <w:szCs w:val="18"/>
              </w:rPr>
              <w:t>34,272,569.47</w:t>
            </w:r>
          </w:p>
        </w:tc>
        <w:tc>
          <w:tcPr>
            <w:tcW w:w="434" w:type="pct"/>
            <w:tcBorders>
              <w:top w:val="single" w:color="auto" w:sz="4" w:space="0"/>
              <w:left w:val="single" w:color="auto" w:sz="4" w:space="0"/>
              <w:bottom w:val="single" w:color="auto" w:sz="4" w:space="0"/>
              <w:right w:val="single" w:color="auto" w:sz="4" w:space="0"/>
            </w:tcBorders>
            <w:vAlign w:val="center"/>
          </w:tcPr>
          <w:p w14:paraId="7903075B">
            <w:pPr>
              <w:jc w:val="right"/>
              <w:textAlignment w:val="center"/>
              <w:rPr>
                <w:rFonts w:cs="Times New Roman"/>
                <w:sz w:val="18"/>
                <w:szCs w:val="18"/>
              </w:rPr>
            </w:pPr>
            <w:r>
              <w:rPr>
                <w:rFonts w:cs="Times New Roman"/>
                <w:color w:val="000000"/>
                <w:sz w:val="18"/>
                <w:szCs w:val="18"/>
              </w:rPr>
              <w:t>35,988,258.60</w:t>
            </w:r>
          </w:p>
        </w:tc>
        <w:tc>
          <w:tcPr>
            <w:tcW w:w="424" w:type="pct"/>
            <w:tcBorders>
              <w:top w:val="single" w:color="auto" w:sz="4" w:space="0"/>
              <w:left w:val="single" w:color="auto" w:sz="4" w:space="0"/>
              <w:bottom w:val="single" w:color="auto" w:sz="4" w:space="0"/>
              <w:right w:val="single" w:color="auto" w:sz="4" w:space="0"/>
            </w:tcBorders>
            <w:vAlign w:val="center"/>
          </w:tcPr>
          <w:p w14:paraId="6ED7880D">
            <w:pPr>
              <w:jc w:val="right"/>
              <w:textAlignment w:val="center"/>
              <w:rPr>
                <w:rFonts w:cs="Times New Roman"/>
                <w:sz w:val="18"/>
                <w:szCs w:val="18"/>
              </w:rPr>
            </w:pPr>
            <w:r>
              <w:rPr>
                <w:rFonts w:cs="Times New Roman"/>
                <w:color w:val="000000"/>
                <w:sz w:val="18"/>
                <w:szCs w:val="18"/>
              </w:rPr>
              <w:t>100.00</w:t>
            </w:r>
          </w:p>
        </w:tc>
        <w:tc>
          <w:tcPr>
            <w:tcW w:w="428" w:type="pct"/>
            <w:tcBorders>
              <w:top w:val="single" w:color="auto" w:sz="4" w:space="0"/>
              <w:left w:val="single" w:color="auto" w:sz="4" w:space="0"/>
              <w:bottom w:val="single" w:color="auto" w:sz="4" w:space="0"/>
              <w:right w:val="single" w:color="auto" w:sz="4" w:space="0"/>
            </w:tcBorders>
            <w:vAlign w:val="center"/>
          </w:tcPr>
          <w:p w14:paraId="04ABF1AD">
            <w:pPr>
              <w:jc w:val="right"/>
              <w:textAlignment w:val="center"/>
              <w:rPr>
                <w:rFonts w:cs="Times New Roman"/>
                <w:sz w:val="18"/>
                <w:szCs w:val="18"/>
              </w:rPr>
            </w:pPr>
            <w:r>
              <w:rPr>
                <w:rFonts w:cs="Times New Roman"/>
                <w:color w:val="000000"/>
                <w:sz w:val="18"/>
                <w:szCs w:val="18"/>
              </w:rPr>
              <w:t>1,309,843.27</w:t>
            </w:r>
          </w:p>
        </w:tc>
        <w:tc>
          <w:tcPr>
            <w:tcW w:w="432" w:type="pct"/>
            <w:tcBorders>
              <w:top w:val="single" w:color="auto" w:sz="4" w:space="0"/>
              <w:left w:val="single" w:color="auto" w:sz="4" w:space="0"/>
              <w:bottom w:val="single" w:color="auto" w:sz="4" w:space="0"/>
              <w:right w:val="single" w:color="auto" w:sz="4" w:space="0"/>
            </w:tcBorders>
            <w:vAlign w:val="center"/>
          </w:tcPr>
          <w:p w14:paraId="7F890B9A">
            <w:pPr>
              <w:jc w:val="right"/>
              <w:textAlignment w:val="center"/>
              <w:rPr>
                <w:rFonts w:cs="Times New Roman"/>
                <w:sz w:val="18"/>
                <w:szCs w:val="18"/>
              </w:rPr>
            </w:pPr>
            <w:r>
              <w:rPr>
                <w:rFonts w:cs="Times New Roman"/>
                <w:color w:val="000000"/>
                <w:sz w:val="18"/>
                <w:szCs w:val="18"/>
              </w:rPr>
              <w:t>3.64</w:t>
            </w:r>
          </w:p>
        </w:tc>
        <w:tc>
          <w:tcPr>
            <w:tcW w:w="420" w:type="pct"/>
            <w:tcBorders>
              <w:top w:val="single" w:color="auto" w:sz="4" w:space="0"/>
              <w:left w:val="single" w:color="auto" w:sz="4" w:space="0"/>
              <w:bottom w:val="single" w:color="auto" w:sz="4" w:space="0"/>
              <w:right w:val="single" w:color="auto" w:sz="4" w:space="0"/>
            </w:tcBorders>
            <w:vAlign w:val="center"/>
          </w:tcPr>
          <w:p w14:paraId="5CF73EFA">
            <w:pPr>
              <w:jc w:val="right"/>
              <w:textAlignment w:val="center"/>
              <w:rPr>
                <w:rFonts w:cs="Times New Roman"/>
                <w:sz w:val="18"/>
                <w:szCs w:val="18"/>
              </w:rPr>
            </w:pPr>
            <w:r>
              <w:rPr>
                <w:rFonts w:cs="Times New Roman"/>
                <w:color w:val="000000"/>
                <w:sz w:val="18"/>
                <w:szCs w:val="18"/>
              </w:rPr>
              <w:t>34,678,415.33</w:t>
            </w:r>
          </w:p>
        </w:tc>
      </w:tr>
      <w:tr w14:paraId="5779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cs="Times New Roman"/>
            </w:rPr>
            <w:tag w:val="_PLD_bd68cdc38a0e426ea1ec99be844140b3"/>
            <w:id w:val="147465019"/>
          </w:sdtPr>
          <w:sdtEndPr>
            <w:rPr>
              <w:rFonts w:cs="Times New Roman"/>
            </w:rPr>
          </w:sdtEndPr>
          <w:sdtContent>
            <w:tc>
              <w:tcPr>
                <w:tcW w:w="5000" w:type="pct"/>
                <w:gridSpan w:val="11"/>
                <w:tcBorders>
                  <w:top w:val="single" w:color="auto" w:sz="4" w:space="0"/>
                  <w:left w:val="single" w:color="auto" w:sz="4" w:space="0"/>
                  <w:bottom w:val="single" w:color="auto" w:sz="4" w:space="0"/>
                  <w:right w:val="single" w:color="auto" w:sz="4" w:space="0"/>
                </w:tcBorders>
              </w:tcPr>
              <w:p w14:paraId="23ED6E65">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w:t>
                </w:r>
              </w:p>
            </w:tc>
          </w:sdtContent>
        </w:sdt>
      </w:tr>
      <w:tr w14:paraId="1D4D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cs="Times New Roman"/>
              <w:color w:val="000000" w:themeColor="text1"/>
              <w14:textFill>
                <w14:solidFill>
                  <w14:schemeClr w14:val="tx1"/>
                </w14:solidFill>
              </w14:textFill>
            </w:rPr>
            <w:alias w:val="按组合计提坏账准备的应收账款明细-组合名称"/>
            <w:tag w:val="_GBC_1d1150cff5254d829cba03da56c2e941"/>
            <w:id w:val="147475642"/>
          </w:sdtPr>
          <w:sdtEndPr>
            <w:rPr>
              <w:rFonts w:cs="Times New Roman"/>
              <w:color w:val="000000" w:themeColor="text1"/>
              <w14:textFill>
                <w14:solidFill>
                  <w14:schemeClr w14:val="tx1"/>
                </w14:solidFill>
              </w14:textFill>
            </w:rPr>
          </w:sdtEndPr>
          <w:sdtContent>
            <w:tc>
              <w:tcPr>
                <w:tcW w:w="841" w:type="pct"/>
                <w:tcBorders>
                  <w:top w:val="single" w:color="auto" w:sz="4" w:space="0"/>
                  <w:left w:val="single" w:color="auto" w:sz="4" w:space="0"/>
                  <w:bottom w:val="single" w:color="auto" w:sz="4" w:space="0"/>
                  <w:right w:val="single" w:color="auto" w:sz="4" w:space="0"/>
                </w:tcBorders>
              </w:tcPr>
              <w:p w14:paraId="0978C049">
                <w:pPr>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组合1军方、警方、政府职能部门等高信用水平单位应收账款组合</w:t>
                </w:r>
              </w:p>
            </w:tc>
          </w:sdtContent>
        </w:sdt>
        <w:tc>
          <w:tcPr>
            <w:tcW w:w="420" w:type="pct"/>
            <w:tcBorders>
              <w:top w:val="single" w:color="auto" w:sz="4" w:space="0"/>
              <w:left w:val="single" w:color="auto" w:sz="4" w:space="0"/>
              <w:bottom w:val="single" w:color="auto" w:sz="4" w:space="0"/>
              <w:right w:val="single" w:color="auto" w:sz="4" w:space="0"/>
            </w:tcBorders>
          </w:tcPr>
          <w:p w14:paraId="1E69323E">
            <w:pPr>
              <w:jc w:val="right"/>
              <w:rPr>
                <w:rFonts w:cs="Times New Roman"/>
                <w:sz w:val="18"/>
                <w:szCs w:val="18"/>
              </w:rPr>
            </w:pPr>
          </w:p>
        </w:tc>
        <w:tc>
          <w:tcPr>
            <w:tcW w:w="348" w:type="pct"/>
            <w:tcBorders>
              <w:top w:val="single" w:color="auto" w:sz="4" w:space="0"/>
              <w:left w:val="single" w:color="auto" w:sz="4" w:space="0"/>
              <w:bottom w:val="single" w:color="auto" w:sz="4" w:space="0"/>
              <w:right w:val="single" w:color="auto" w:sz="4" w:space="0"/>
            </w:tcBorders>
          </w:tcPr>
          <w:p w14:paraId="63F1A100">
            <w:pPr>
              <w:jc w:val="right"/>
              <w:rPr>
                <w:rFonts w:cs="Times New Roman"/>
                <w:sz w:val="18"/>
                <w:szCs w:val="18"/>
              </w:rPr>
            </w:pPr>
          </w:p>
        </w:tc>
        <w:tc>
          <w:tcPr>
            <w:tcW w:w="410" w:type="pct"/>
            <w:tcBorders>
              <w:top w:val="single" w:color="auto" w:sz="4" w:space="0"/>
              <w:left w:val="single" w:color="auto" w:sz="4" w:space="0"/>
              <w:bottom w:val="single" w:color="auto" w:sz="4" w:space="0"/>
              <w:right w:val="single" w:color="auto" w:sz="4" w:space="0"/>
            </w:tcBorders>
          </w:tcPr>
          <w:p w14:paraId="68C1E479">
            <w:pPr>
              <w:jc w:val="right"/>
              <w:rPr>
                <w:rFonts w:cs="Times New Roman"/>
                <w:sz w:val="18"/>
                <w:szCs w:val="18"/>
              </w:rPr>
            </w:pPr>
          </w:p>
        </w:tc>
        <w:tc>
          <w:tcPr>
            <w:tcW w:w="424" w:type="pct"/>
            <w:tcBorders>
              <w:top w:val="single" w:color="auto" w:sz="4" w:space="0"/>
              <w:left w:val="single" w:color="auto" w:sz="4" w:space="0"/>
              <w:bottom w:val="single" w:color="auto" w:sz="4" w:space="0"/>
              <w:right w:val="single" w:color="auto" w:sz="4" w:space="0"/>
            </w:tcBorders>
          </w:tcPr>
          <w:p w14:paraId="46C9B48F">
            <w:pPr>
              <w:jc w:val="right"/>
              <w:rPr>
                <w:rFonts w:cs="Times New Roman"/>
                <w:sz w:val="18"/>
                <w:szCs w:val="18"/>
              </w:rPr>
            </w:pPr>
          </w:p>
        </w:tc>
        <w:tc>
          <w:tcPr>
            <w:tcW w:w="420" w:type="pct"/>
            <w:tcBorders>
              <w:top w:val="single" w:color="auto" w:sz="4" w:space="0"/>
              <w:left w:val="single" w:color="auto" w:sz="4" w:space="0"/>
              <w:bottom w:val="single" w:color="auto" w:sz="4" w:space="0"/>
              <w:right w:val="single" w:color="auto" w:sz="4" w:space="0"/>
            </w:tcBorders>
          </w:tcPr>
          <w:p w14:paraId="3FD0D9E4">
            <w:pPr>
              <w:jc w:val="right"/>
              <w:rPr>
                <w:rFonts w:cs="Times New Roman"/>
                <w:sz w:val="18"/>
                <w:szCs w:val="18"/>
              </w:rPr>
            </w:pPr>
          </w:p>
        </w:tc>
        <w:tc>
          <w:tcPr>
            <w:tcW w:w="434" w:type="pct"/>
            <w:tcBorders>
              <w:top w:val="single" w:color="auto" w:sz="4" w:space="0"/>
              <w:left w:val="single" w:color="auto" w:sz="4" w:space="0"/>
              <w:bottom w:val="single" w:color="auto" w:sz="4" w:space="0"/>
              <w:right w:val="single" w:color="auto" w:sz="4" w:space="0"/>
            </w:tcBorders>
          </w:tcPr>
          <w:p w14:paraId="5D855FD7">
            <w:pPr>
              <w:jc w:val="right"/>
              <w:rPr>
                <w:rFonts w:cs="Times New Roman"/>
                <w:sz w:val="18"/>
                <w:szCs w:val="18"/>
              </w:rPr>
            </w:pPr>
          </w:p>
        </w:tc>
        <w:tc>
          <w:tcPr>
            <w:tcW w:w="424" w:type="pct"/>
            <w:tcBorders>
              <w:top w:val="single" w:color="auto" w:sz="4" w:space="0"/>
              <w:left w:val="single" w:color="auto" w:sz="4" w:space="0"/>
              <w:bottom w:val="single" w:color="auto" w:sz="4" w:space="0"/>
              <w:right w:val="single" w:color="auto" w:sz="4" w:space="0"/>
            </w:tcBorders>
          </w:tcPr>
          <w:p w14:paraId="5DF8D15F">
            <w:pPr>
              <w:jc w:val="right"/>
              <w:rPr>
                <w:rFonts w:cs="Times New Roman"/>
                <w:sz w:val="18"/>
                <w:szCs w:val="18"/>
              </w:rPr>
            </w:pPr>
          </w:p>
        </w:tc>
        <w:tc>
          <w:tcPr>
            <w:tcW w:w="428" w:type="pct"/>
            <w:tcBorders>
              <w:top w:val="single" w:color="auto" w:sz="4" w:space="0"/>
              <w:left w:val="single" w:color="auto" w:sz="4" w:space="0"/>
              <w:bottom w:val="single" w:color="auto" w:sz="4" w:space="0"/>
              <w:right w:val="single" w:color="auto" w:sz="4" w:space="0"/>
            </w:tcBorders>
          </w:tcPr>
          <w:p w14:paraId="3134C239">
            <w:pPr>
              <w:jc w:val="right"/>
              <w:rPr>
                <w:rFonts w:cs="Times New Roman"/>
                <w:sz w:val="18"/>
                <w:szCs w:val="18"/>
              </w:rPr>
            </w:pPr>
          </w:p>
        </w:tc>
        <w:tc>
          <w:tcPr>
            <w:tcW w:w="432" w:type="pct"/>
            <w:tcBorders>
              <w:top w:val="single" w:color="auto" w:sz="4" w:space="0"/>
              <w:left w:val="single" w:color="auto" w:sz="4" w:space="0"/>
              <w:bottom w:val="single" w:color="auto" w:sz="4" w:space="0"/>
              <w:right w:val="single" w:color="auto" w:sz="4" w:space="0"/>
            </w:tcBorders>
          </w:tcPr>
          <w:p w14:paraId="67803F95">
            <w:pPr>
              <w:jc w:val="right"/>
              <w:rPr>
                <w:rFonts w:cs="Times New Roman"/>
                <w:sz w:val="18"/>
                <w:szCs w:val="18"/>
              </w:rPr>
            </w:pPr>
          </w:p>
        </w:tc>
        <w:tc>
          <w:tcPr>
            <w:tcW w:w="420" w:type="pct"/>
            <w:tcBorders>
              <w:top w:val="single" w:color="auto" w:sz="4" w:space="0"/>
              <w:left w:val="single" w:color="auto" w:sz="4" w:space="0"/>
              <w:bottom w:val="single" w:color="auto" w:sz="4" w:space="0"/>
              <w:right w:val="single" w:color="auto" w:sz="4" w:space="0"/>
            </w:tcBorders>
          </w:tcPr>
          <w:p w14:paraId="38493709">
            <w:pPr>
              <w:jc w:val="right"/>
              <w:rPr>
                <w:rFonts w:cs="Times New Roman"/>
                <w:sz w:val="18"/>
                <w:szCs w:val="18"/>
              </w:rPr>
            </w:pPr>
          </w:p>
        </w:tc>
      </w:tr>
      <w:tr w14:paraId="2813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cs="Times New Roman"/>
              <w:color w:val="000000" w:themeColor="text1"/>
              <w14:textFill>
                <w14:solidFill>
                  <w14:schemeClr w14:val="tx1"/>
                </w14:solidFill>
              </w14:textFill>
            </w:rPr>
            <w:alias w:val="按组合计提坏账准备的应收账款明细-组合名称"/>
            <w:tag w:val="_GBC_1d1150cff5254d829cba03da56c2e941"/>
            <w:id w:val="147465096"/>
            <w:placeholder>
              <w:docPart w:val="293C4F5161224371B220A7EC35459B32"/>
            </w:placeholder>
          </w:sdtPr>
          <w:sdtEndPr>
            <w:rPr>
              <w:rFonts w:cs="Times New Roman"/>
              <w:color w:val="000000" w:themeColor="text1"/>
              <w14:textFill>
                <w14:solidFill>
                  <w14:schemeClr w14:val="tx1"/>
                </w14:solidFill>
              </w14:textFill>
            </w:rPr>
          </w:sdtEndPr>
          <w:sdtContent>
            <w:tc>
              <w:tcPr>
                <w:tcW w:w="841" w:type="pct"/>
                <w:tcBorders>
                  <w:top w:val="single" w:color="auto" w:sz="4" w:space="0"/>
                  <w:left w:val="single" w:color="auto" w:sz="4" w:space="0"/>
                  <w:bottom w:val="single" w:color="auto" w:sz="4" w:space="0"/>
                  <w:right w:val="single" w:color="auto" w:sz="4" w:space="0"/>
                </w:tcBorders>
              </w:tcPr>
              <w:p w14:paraId="2D12565A">
                <w:pPr>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组合2关联方组合</w:t>
                </w:r>
              </w:p>
            </w:tc>
          </w:sdtContent>
        </w:sdt>
        <w:tc>
          <w:tcPr>
            <w:tcW w:w="420" w:type="pct"/>
            <w:tcBorders>
              <w:top w:val="single" w:color="auto" w:sz="4" w:space="0"/>
              <w:left w:val="single" w:color="auto" w:sz="4" w:space="0"/>
              <w:bottom w:val="single" w:color="auto" w:sz="4" w:space="0"/>
              <w:right w:val="single" w:color="auto" w:sz="4" w:space="0"/>
            </w:tcBorders>
            <w:vAlign w:val="center"/>
          </w:tcPr>
          <w:p w14:paraId="57C6A48B">
            <w:pPr>
              <w:jc w:val="right"/>
              <w:textAlignment w:val="center"/>
              <w:rPr>
                <w:rFonts w:cs="Times New Roman"/>
                <w:sz w:val="18"/>
                <w:szCs w:val="18"/>
              </w:rPr>
            </w:pPr>
            <w:r>
              <w:rPr>
                <w:rFonts w:cs="Times New Roman"/>
                <w:color w:val="000000"/>
                <w:sz w:val="18"/>
                <w:szCs w:val="18"/>
              </w:rPr>
              <w:t>34,194,779.81</w:t>
            </w:r>
          </w:p>
        </w:tc>
        <w:tc>
          <w:tcPr>
            <w:tcW w:w="348" w:type="pct"/>
            <w:tcBorders>
              <w:top w:val="single" w:color="auto" w:sz="4" w:space="0"/>
              <w:left w:val="single" w:color="auto" w:sz="4" w:space="0"/>
              <w:bottom w:val="single" w:color="auto" w:sz="4" w:space="0"/>
              <w:right w:val="single" w:color="auto" w:sz="4" w:space="0"/>
            </w:tcBorders>
            <w:vAlign w:val="center"/>
          </w:tcPr>
          <w:p w14:paraId="3144DCEB">
            <w:pPr>
              <w:jc w:val="right"/>
              <w:textAlignment w:val="center"/>
              <w:rPr>
                <w:rFonts w:cs="Times New Roman"/>
                <w:sz w:val="18"/>
                <w:szCs w:val="18"/>
              </w:rPr>
            </w:pPr>
            <w:r>
              <w:rPr>
                <w:rFonts w:cs="Times New Roman"/>
                <w:color w:val="000000"/>
                <w:sz w:val="18"/>
                <w:szCs w:val="18"/>
              </w:rPr>
              <w:t>96.10</w:t>
            </w:r>
          </w:p>
        </w:tc>
        <w:tc>
          <w:tcPr>
            <w:tcW w:w="410" w:type="pct"/>
            <w:tcBorders>
              <w:top w:val="single" w:color="auto" w:sz="4" w:space="0"/>
              <w:left w:val="single" w:color="auto" w:sz="4" w:space="0"/>
              <w:bottom w:val="single" w:color="auto" w:sz="4" w:space="0"/>
              <w:right w:val="single" w:color="auto" w:sz="4" w:space="0"/>
            </w:tcBorders>
            <w:vAlign w:val="center"/>
          </w:tcPr>
          <w:p w14:paraId="4A924E2D">
            <w:pPr>
              <w:jc w:val="right"/>
              <w:rPr>
                <w:rFonts w:cs="Times New Roman"/>
                <w:sz w:val="18"/>
                <w:szCs w:val="18"/>
              </w:rPr>
            </w:pPr>
          </w:p>
        </w:tc>
        <w:tc>
          <w:tcPr>
            <w:tcW w:w="424" w:type="pct"/>
            <w:tcBorders>
              <w:top w:val="single" w:color="auto" w:sz="4" w:space="0"/>
              <w:left w:val="single" w:color="auto" w:sz="4" w:space="0"/>
              <w:bottom w:val="single" w:color="auto" w:sz="4" w:space="0"/>
              <w:right w:val="single" w:color="auto" w:sz="4" w:space="0"/>
            </w:tcBorders>
            <w:vAlign w:val="center"/>
          </w:tcPr>
          <w:p w14:paraId="4398ECA2">
            <w:pPr>
              <w:jc w:val="right"/>
              <w:rPr>
                <w:rFonts w:cs="Times New Roman"/>
                <w:sz w:val="18"/>
                <w:szCs w:val="18"/>
              </w:rPr>
            </w:pPr>
          </w:p>
        </w:tc>
        <w:tc>
          <w:tcPr>
            <w:tcW w:w="420" w:type="pct"/>
            <w:tcBorders>
              <w:top w:val="single" w:color="auto" w:sz="4" w:space="0"/>
              <w:left w:val="single" w:color="auto" w:sz="4" w:space="0"/>
              <w:bottom w:val="single" w:color="auto" w:sz="4" w:space="0"/>
              <w:right w:val="single" w:color="auto" w:sz="4" w:space="0"/>
            </w:tcBorders>
            <w:vAlign w:val="center"/>
          </w:tcPr>
          <w:p w14:paraId="07F2AD70">
            <w:pPr>
              <w:jc w:val="right"/>
              <w:textAlignment w:val="center"/>
              <w:rPr>
                <w:rFonts w:cs="Times New Roman"/>
                <w:sz w:val="18"/>
                <w:szCs w:val="18"/>
              </w:rPr>
            </w:pPr>
            <w:r>
              <w:rPr>
                <w:rFonts w:cs="Times New Roman"/>
                <w:color w:val="000000"/>
                <w:sz w:val="18"/>
                <w:szCs w:val="18"/>
              </w:rPr>
              <w:t>34,194,779.81</w:t>
            </w:r>
          </w:p>
        </w:tc>
        <w:tc>
          <w:tcPr>
            <w:tcW w:w="434" w:type="pct"/>
            <w:tcBorders>
              <w:top w:val="single" w:color="auto" w:sz="4" w:space="0"/>
              <w:left w:val="single" w:color="auto" w:sz="4" w:space="0"/>
              <w:bottom w:val="single" w:color="auto" w:sz="4" w:space="0"/>
              <w:right w:val="single" w:color="auto" w:sz="4" w:space="0"/>
            </w:tcBorders>
            <w:vAlign w:val="center"/>
          </w:tcPr>
          <w:p w14:paraId="505B40B9">
            <w:pPr>
              <w:jc w:val="right"/>
              <w:textAlignment w:val="center"/>
              <w:rPr>
                <w:rFonts w:cs="Times New Roman"/>
                <w:sz w:val="18"/>
                <w:szCs w:val="18"/>
              </w:rPr>
            </w:pPr>
            <w:r>
              <w:rPr>
                <w:rFonts w:cs="Times New Roman"/>
                <w:color w:val="000000"/>
                <w:sz w:val="18"/>
                <w:szCs w:val="18"/>
              </w:rPr>
              <w:t>34,600,625.67</w:t>
            </w:r>
          </w:p>
        </w:tc>
        <w:tc>
          <w:tcPr>
            <w:tcW w:w="424" w:type="pct"/>
            <w:tcBorders>
              <w:top w:val="single" w:color="auto" w:sz="4" w:space="0"/>
              <w:left w:val="single" w:color="auto" w:sz="4" w:space="0"/>
              <w:bottom w:val="single" w:color="auto" w:sz="4" w:space="0"/>
              <w:right w:val="single" w:color="auto" w:sz="4" w:space="0"/>
            </w:tcBorders>
            <w:vAlign w:val="center"/>
          </w:tcPr>
          <w:p w14:paraId="4683D1C3">
            <w:pPr>
              <w:jc w:val="right"/>
              <w:textAlignment w:val="center"/>
              <w:rPr>
                <w:rFonts w:cs="Times New Roman"/>
                <w:sz w:val="18"/>
                <w:szCs w:val="18"/>
              </w:rPr>
            </w:pPr>
            <w:r>
              <w:rPr>
                <w:rFonts w:cs="Times New Roman"/>
                <w:color w:val="000000"/>
                <w:sz w:val="18"/>
                <w:szCs w:val="18"/>
              </w:rPr>
              <w:t>96.14</w:t>
            </w:r>
          </w:p>
        </w:tc>
        <w:tc>
          <w:tcPr>
            <w:tcW w:w="428" w:type="pct"/>
            <w:tcBorders>
              <w:top w:val="single" w:color="auto" w:sz="4" w:space="0"/>
              <w:left w:val="single" w:color="auto" w:sz="4" w:space="0"/>
              <w:bottom w:val="single" w:color="auto" w:sz="4" w:space="0"/>
              <w:right w:val="single" w:color="auto" w:sz="4" w:space="0"/>
            </w:tcBorders>
            <w:vAlign w:val="center"/>
          </w:tcPr>
          <w:p w14:paraId="36B39ACE">
            <w:pPr>
              <w:jc w:val="right"/>
              <w:rPr>
                <w:rFonts w:cs="Times New Roman"/>
                <w:sz w:val="18"/>
                <w:szCs w:val="18"/>
              </w:rPr>
            </w:pPr>
          </w:p>
        </w:tc>
        <w:tc>
          <w:tcPr>
            <w:tcW w:w="432" w:type="pct"/>
            <w:tcBorders>
              <w:top w:val="single" w:color="auto" w:sz="4" w:space="0"/>
              <w:left w:val="single" w:color="auto" w:sz="4" w:space="0"/>
              <w:bottom w:val="single" w:color="auto" w:sz="4" w:space="0"/>
              <w:right w:val="single" w:color="auto" w:sz="4" w:space="0"/>
            </w:tcBorders>
            <w:vAlign w:val="center"/>
          </w:tcPr>
          <w:p w14:paraId="6BC5CF5A">
            <w:pPr>
              <w:jc w:val="right"/>
              <w:rPr>
                <w:rFonts w:cs="Times New Roman"/>
                <w:sz w:val="18"/>
                <w:szCs w:val="18"/>
              </w:rPr>
            </w:pPr>
          </w:p>
        </w:tc>
        <w:tc>
          <w:tcPr>
            <w:tcW w:w="420" w:type="pct"/>
            <w:tcBorders>
              <w:top w:val="single" w:color="auto" w:sz="4" w:space="0"/>
              <w:left w:val="single" w:color="auto" w:sz="4" w:space="0"/>
              <w:bottom w:val="single" w:color="auto" w:sz="4" w:space="0"/>
              <w:right w:val="single" w:color="auto" w:sz="4" w:space="0"/>
            </w:tcBorders>
            <w:vAlign w:val="center"/>
          </w:tcPr>
          <w:p w14:paraId="17A1D3F4">
            <w:pPr>
              <w:jc w:val="right"/>
              <w:textAlignment w:val="center"/>
              <w:rPr>
                <w:rFonts w:cs="Times New Roman"/>
                <w:sz w:val="18"/>
                <w:szCs w:val="18"/>
              </w:rPr>
            </w:pPr>
            <w:r>
              <w:rPr>
                <w:rFonts w:cs="Times New Roman"/>
                <w:color w:val="000000"/>
                <w:sz w:val="18"/>
                <w:szCs w:val="18"/>
              </w:rPr>
              <w:t>34,600,625.67</w:t>
            </w:r>
          </w:p>
        </w:tc>
      </w:tr>
      <w:tr w14:paraId="33273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cs="Times New Roman"/>
              <w:color w:val="000000" w:themeColor="text1"/>
              <w14:textFill>
                <w14:solidFill>
                  <w14:schemeClr w14:val="tx1"/>
                </w14:solidFill>
              </w14:textFill>
            </w:rPr>
            <w:alias w:val="按组合计提坏账准备的应收账款明细-组合名称"/>
            <w:tag w:val="_GBC_1d1150cff5254d829cba03da56c2e941"/>
            <w:id w:val="147475147"/>
          </w:sdtPr>
          <w:sdtEndPr>
            <w:rPr>
              <w:rFonts w:cs="Times New Roman"/>
              <w:color w:val="000000" w:themeColor="text1"/>
              <w14:textFill>
                <w14:solidFill>
                  <w14:schemeClr w14:val="tx1"/>
                </w14:solidFill>
              </w14:textFill>
            </w:rPr>
          </w:sdtEndPr>
          <w:sdtContent>
            <w:tc>
              <w:tcPr>
                <w:tcW w:w="841" w:type="pct"/>
                <w:tcBorders>
                  <w:top w:val="single" w:color="auto" w:sz="4" w:space="0"/>
                  <w:left w:val="single" w:color="auto" w:sz="4" w:space="0"/>
                  <w:bottom w:val="single" w:color="auto" w:sz="4" w:space="0"/>
                  <w:right w:val="single" w:color="auto" w:sz="4" w:space="0"/>
                </w:tcBorders>
              </w:tcPr>
              <w:p w14:paraId="7AA3F191">
                <w:pPr>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组合3账龄组合</w:t>
                </w:r>
              </w:p>
            </w:tc>
          </w:sdtContent>
        </w:sdt>
        <w:tc>
          <w:tcPr>
            <w:tcW w:w="420" w:type="pct"/>
            <w:tcBorders>
              <w:top w:val="single" w:color="auto" w:sz="4" w:space="0"/>
              <w:left w:val="single" w:color="auto" w:sz="4" w:space="0"/>
              <w:bottom w:val="single" w:color="auto" w:sz="4" w:space="0"/>
              <w:right w:val="single" w:color="auto" w:sz="4" w:space="0"/>
            </w:tcBorders>
            <w:vAlign w:val="center"/>
          </w:tcPr>
          <w:p w14:paraId="44ECCE0B">
            <w:pPr>
              <w:jc w:val="right"/>
              <w:textAlignment w:val="center"/>
              <w:rPr>
                <w:rFonts w:cs="Times New Roman"/>
                <w:sz w:val="18"/>
                <w:szCs w:val="18"/>
              </w:rPr>
            </w:pPr>
            <w:r>
              <w:rPr>
                <w:rFonts w:cs="Times New Roman"/>
                <w:color w:val="000000"/>
                <w:sz w:val="18"/>
                <w:szCs w:val="18"/>
              </w:rPr>
              <w:t>1,387,632.93</w:t>
            </w:r>
          </w:p>
        </w:tc>
        <w:tc>
          <w:tcPr>
            <w:tcW w:w="348" w:type="pct"/>
            <w:tcBorders>
              <w:top w:val="single" w:color="auto" w:sz="4" w:space="0"/>
              <w:left w:val="single" w:color="auto" w:sz="4" w:space="0"/>
              <w:bottom w:val="single" w:color="auto" w:sz="4" w:space="0"/>
              <w:right w:val="single" w:color="auto" w:sz="4" w:space="0"/>
            </w:tcBorders>
            <w:vAlign w:val="center"/>
          </w:tcPr>
          <w:p w14:paraId="00963C37">
            <w:pPr>
              <w:jc w:val="right"/>
              <w:textAlignment w:val="center"/>
              <w:rPr>
                <w:rFonts w:cs="Times New Roman"/>
                <w:sz w:val="18"/>
                <w:szCs w:val="18"/>
              </w:rPr>
            </w:pPr>
            <w:r>
              <w:rPr>
                <w:rFonts w:cs="Times New Roman"/>
                <w:color w:val="000000"/>
                <w:sz w:val="18"/>
                <w:szCs w:val="18"/>
              </w:rPr>
              <w:t>3.90</w:t>
            </w:r>
          </w:p>
        </w:tc>
        <w:tc>
          <w:tcPr>
            <w:tcW w:w="410" w:type="pct"/>
            <w:tcBorders>
              <w:top w:val="single" w:color="auto" w:sz="4" w:space="0"/>
              <w:left w:val="single" w:color="auto" w:sz="4" w:space="0"/>
              <w:bottom w:val="single" w:color="auto" w:sz="4" w:space="0"/>
              <w:right w:val="single" w:color="auto" w:sz="4" w:space="0"/>
            </w:tcBorders>
            <w:vAlign w:val="center"/>
          </w:tcPr>
          <w:p w14:paraId="462358EF">
            <w:pPr>
              <w:jc w:val="right"/>
              <w:textAlignment w:val="center"/>
              <w:rPr>
                <w:rFonts w:cs="Times New Roman"/>
                <w:sz w:val="18"/>
                <w:szCs w:val="18"/>
              </w:rPr>
            </w:pPr>
            <w:r>
              <w:rPr>
                <w:rFonts w:cs="Times New Roman"/>
                <w:color w:val="000000"/>
                <w:sz w:val="18"/>
                <w:szCs w:val="18"/>
              </w:rPr>
              <w:t>1,309,843.27</w:t>
            </w:r>
          </w:p>
        </w:tc>
        <w:tc>
          <w:tcPr>
            <w:tcW w:w="424" w:type="pct"/>
            <w:tcBorders>
              <w:top w:val="single" w:color="auto" w:sz="4" w:space="0"/>
              <w:left w:val="single" w:color="auto" w:sz="4" w:space="0"/>
              <w:bottom w:val="single" w:color="auto" w:sz="4" w:space="0"/>
              <w:right w:val="single" w:color="auto" w:sz="4" w:space="0"/>
            </w:tcBorders>
            <w:vAlign w:val="center"/>
          </w:tcPr>
          <w:p w14:paraId="6F1A63E8">
            <w:pPr>
              <w:jc w:val="right"/>
              <w:textAlignment w:val="center"/>
              <w:rPr>
                <w:rFonts w:cs="Times New Roman"/>
                <w:sz w:val="18"/>
                <w:szCs w:val="18"/>
              </w:rPr>
            </w:pPr>
            <w:r>
              <w:rPr>
                <w:rFonts w:cs="Times New Roman"/>
                <w:color w:val="000000"/>
                <w:sz w:val="18"/>
                <w:szCs w:val="18"/>
              </w:rPr>
              <w:t>94.39</w:t>
            </w:r>
          </w:p>
        </w:tc>
        <w:tc>
          <w:tcPr>
            <w:tcW w:w="420" w:type="pct"/>
            <w:tcBorders>
              <w:top w:val="single" w:color="auto" w:sz="4" w:space="0"/>
              <w:left w:val="single" w:color="auto" w:sz="4" w:space="0"/>
              <w:bottom w:val="single" w:color="auto" w:sz="4" w:space="0"/>
              <w:right w:val="single" w:color="auto" w:sz="4" w:space="0"/>
            </w:tcBorders>
            <w:vAlign w:val="center"/>
          </w:tcPr>
          <w:p w14:paraId="0876935B">
            <w:pPr>
              <w:jc w:val="right"/>
              <w:textAlignment w:val="center"/>
              <w:rPr>
                <w:rFonts w:cs="Times New Roman"/>
                <w:sz w:val="18"/>
                <w:szCs w:val="18"/>
              </w:rPr>
            </w:pPr>
            <w:r>
              <w:rPr>
                <w:rFonts w:cs="Times New Roman"/>
                <w:color w:val="000000"/>
                <w:sz w:val="18"/>
                <w:szCs w:val="18"/>
              </w:rPr>
              <w:t>77,789.66</w:t>
            </w:r>
          </w:p>
        </w:tc>
        <w:tc>
          <w:tcPr>
            <w:tcW w:w="434" w:type="pct"/>
            <w:tcBorders>
              <w:top w:val="single" w:color="auto" w:sz="4" w:space="0"/>
              <w:left w:val="single" w:color="auto" w:sz="4" w:space="0"/>
              <w:bottom w:val="single" w:color="auto" w:sz="4" w:space="0"/>
              <w:right w:val="single" w:color="auto" w:sz="4" w:space="0"/>
            </w:tcBorders>
            <w:vAlign w:val="center"/>
          </w:tcPr>
          <w:p w14:paraId="5D67DB58">
            <w:pPr>
              <w:jc w:val="right"/>
              <w:textAlignment w:val="center"/>
              <w:rPr>
                <w:rFonts w:cs="Times New Roman"/>
                <w:sz w:val="18"/>
                <w:szCs w:val="18"/>
              </w:rPr>
            </w:pPr>
            <w:r>
              <w:rPr>
                <w:rFonts w:cs="Times New Roman"/>
                <w:color w:val="000000"/>
                <w:sz w:val="18"/>
                <w:szCs w:val="18"/>
              </w:rPr>
              <w:t>1,387,632.93</w:t>
            </w:r>
          </w:p>
        </w:tc>
        <w:tc>
          <w:tcPr>
            <w:tcW w:w="424" w:type="pct"/>
            <w:tcBorders>
              <w:top w:val="single" w:color="auto" w:sz="4" w:space="0"/>
              <w:left w:val="single" w:color="auto" w:sz="4" w:space="0"/>
              <w:bottom w:val="single" w:color="auto" w:sz="4" w:space="0"/>
              <w:right w:val="single" w:color="auto" w:sz="4" w:space="0"/>
            </w:tcBorders>
            <w:vAlign w:val="center"/>
          </w:tcPr>
          <w:p w14:paraId="1FAEF2BE">
            <w:pPr>
              <w:jc w:val="right"/>
              <w:textAlignment w:val="center"/>
              <w:rPr>
                <w:rFonts w:cs="Times New Roman"/>
                <w:sz w:val="18"/>
                <w:szCs w:val="18"/>
              </w:rPr>
            </w:pPr>
            <w:r>
              <w:rPr>
                <w:rFonts w:cs="Times New Roman"/>
                <w:color w:val="000000"/>
                <w:sz w:val="18"/>
                <w:szCs w:val="18"/>
              </w:rPr>
              <w:t>3.86</w:t>
            </w:r>
          </w:p>
        </w:tc>
        <w:tc>
          <w:tcPr>
            <w:tcW w:w="428" w:type="pct"/>
            <w:tcBorders>
              <w:top w:val="single" w:color="auto" w:sz="4" w:space="0"/>
              <w:left w:val="single" w:color="auto" w:sz="4" w:space="0"/>
              <w:bottom w:val="single" w:color="auto" w:sz="4" w:space="0"/>
              <w:right w:val="single" w:color="auto" w:sz="4" w:space="0"/>
            </w:tcBorders>
            <w:vAlign w:val="center"/>
          </w:tcPr>
          <w:p w14:paraId="1BC781D0">
            <w:pPr>
              <w:jc w:val="right"/>
              <w:textAlignment w:val="center"/>
              <w:rPr>
                <w:rFonts w:cs="Times New Roman"/>
                <w:sz w:val="18"/>
                <w:szCs w:val="18"/>
              </w:rPr>
            </w:pPr>
            <w:r>
              <w:rPr>
                <w:rFonts w:cs="Times New Roman"/>
                <w:color w:val="000000"/>
                <w:sz w:val="18"/>
                <w:szCs w:val="18"/>
              </w:rPr>
              <w:t>1,309,843.27</w:t>
            </w:r>
          </w:p>
        </w:tc>
        <w:tc>
          <w:tcPr>
            <w:tcW w:w="432" w:type="pct"/>
            <w:tcBorders>
              <w:top w:val="single" w:color="auto" w:sz="4" w:space="0"/>
              <w:left w:val="single" w:color="auto" w:sz="4" w:space="0"/>
              <w:bottom w:val="single" w:color="auto" w:sz="4" w:space="0"/>
              <w:right w:val="single" w:color="auto" w:sz="4" w:space="0"/>
            </w:tcBorders>
            <w:vAlign w:val="center"/>
          </w:tcPr>
          <w:p w14:paraId="3121943F">
            <w:pPr>
              <w:jc w:val="right"/>
              <w:textAlignment w:val="center"/>
              <w:rPr>
                <w:rFonts w:cs="Times New Roman"/>
                <w:sz w:val="18"/>
                <w:szCs w:val="18"/>
              </w:rPr>
            </w:pPr>
            <w:r>
              <w:rPr>
                <w:rFonts w:cs="Times New Roman"/>
                <w:color w:val="000000"/>
                <w:sz w:val="18"/>
                <w:szCs w:val="18"/>
              </w:rPr>
              <w:t>94.39</w:t>
            </w:r>
          </w:p>
        </w:tc>
        <w:tc>
          <w:tcPr>
            <w:tcW w:w="420" w:type="pct"/>
            <w:tcBorders>
              <w:top w:val="single" w:color="auto" w:sz="4" w:space="0"/>
              <w:left w:val="single" w:color="auto" w:sz="4" w:space="0"/>
              <w:bottom w:val="single" w:color="auto" w:sz="4" w:space="0"/>
              <w:right w:val="single" w:color="auto" w:sz="4" w:space="0"/>
            </w:tcBorders>
            <w:vAlign w:val="center"/>
          </w:tcPr>
          <w:p w14:paraId="17259A2C">
            <w:pPr>
              <w:jc w:val="right"/>
              <w:textAlignment w:val="center"/>
              <w:rPr>
                <w:rFonts w:cs="Times New Roman"/>
                <w:sz w:val="18"/>
                <w:szCs w:val="18"/>
              </w:rPr>
            </w:pPr>
            <w:r>
              <w:rPr>
                <w:rFonts w:cs="Times New Roman"/>
                <w:color w:val="000000"/>
                <w:sz w:val="18"/>
                <w:szCs w:val="18"/>
              </w:rPr>
              <w:t>77,789.66</w:t>
            </w:r>
          </w:p>
        </w:tc>
      </w:tr>
      <w:tr w14:paraId="7A543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41" w:type="pct"/>
            <w:tcBorders>
              <w:top w:val="single" w:color="auto" w:sz="4" w:space="0"/>
              <w:left w:val="single" w:color="auto" w:sz="4" w:space="0"/>
              <w:bottom w:val="single" w:color="auto" w:sz="4" w:space="0"/>
              <w:right w:val="single" w:color="auto" w:sz="4" w:space="0"/>
            </w:tcBorders>
            <w:vAlign w:val="center"/>
          </w:tcPr>
          <w:p w14:paraId="23415572">
            <w:pPr>
              <w:autoSpaceDE w:val="0"/>
              <w:autoSpaceDN w:val="0"/>
              <w:adjustRightIn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420" w:type="pct"/>
            <w:tcBorders>
              <w:top w:val="single" w:color="auto" w:sz="4" w:space="0"/>
              <w:left w:val="single" w:color="auto" w:sz="4" w:space="0"/>
              <w:bottom w:val="single" w:color="auto" w:sz="4" w:space="0"/>
              <w:right w:val="single" w:color="auto" w:sz="4" w:space="0"/>
            </w:tcBorders>
            <w:vAlign w:val="center"/>
          </w:tcPr>
          <w:p w14:paraId="1139CCDF">
            <w:pPr>
              <w:jc w:val="right"/>
              <w:textAlignment w:val="center"/>
              <w:rPr>
                <w:rFonts w:cs="Times New Roman"/>
                <w:sz w:val="18"/>
                <w:szCs w:val="18"/>
              </w:rPr>
            </w:pPr>
            <w:r>
              <w:rPr>
                <w:rFonts w:cs="Times New Roman"/>
                <w:color w:val="000000"/>
                <w:sz w:val="18"/>
                <w:szCs w:val="18"/>
              </w:rPr>
              <w:t>35,582,412.74</w:t>
            </w:r>
          </w:p>
        </w:tc>
        <w:tc>
          <w:tcPr>
            <w:tcW w:w="348" w:type="pct"/>
            <w:tcBorders>
              <w:top w:val="single" w:color="auto" w:sz="4" w:space="0"/>
              <w:left w:val="single" w:color="auto" w:sz="4" w:space="0"/>
              <w:bottom w:val="single" w:color="auto" w:sz="4" w:space="0"/>
              <w:right w:val="single" w:color="auto" w:sz="4" w:space="0"/>
            </w:tcBorders>
          </w:tcPr>
          <w:p w14:paraId="6F0963B7">
            <w:pPr>
              <w:jc w:val="center"/>
              <w:rPr>
                <w:rFonts w:cs="Times New Roman"/>
                <w:color w:val="000000" w:themeColor="text1"/>
                <w:sz w:val="18"/>
                <w:szCs w:val="18"/>
                <w14:textFill>
                  <w14:solidFill>
                    <w14:schemeClr w14:val="tx1"/>
                  </w14:solidFill>
                </w14:textFill>
              </w:rPr>
            </w:pPr>
            <w:r>
              <w:rPr>
                <w:rFonts w:cs="Times New Roman"/>
                <w:color w:val="000000"/>
                <w:sz w:val="18"/>
                <w:szCs w:val="18"/>
              </w:rPr>
              <w:t>/</w:t>
            </w:r>
          </w:p>
        </w:tc>
        <w:tc>
          <w:tcPr>
            <w:tcW w:w="410" w:type="pct"/>
            <w:tcBorders>
              <w:top w:val="single" w:color="auto" w:sz="4" w:space="0"/>
              <w:left w:val="single" w:color="auto" w:sz="4" w:space="0"/>
              <w:bottom w:val="single" w:color="auto" w:sz="4" w:space="0"/>
              <w:right w:val="single" w:color="auto" w:sz="4" w:space="0"/>
            </w:tcBorders>
            <w:vAlign w:val="center"/>
          </w:tcPr>
          <w:p w14:paraId="31C4B66F">
            <w:pPr>
              <w:jc w:val="right"/>
              <w:textAlignment w:val="center"/>
              <w:rPr>
                <w:rFonts w:cs="Times New Roman"/>
                <w:sz w:val="18"/>
                <w:szCs w:val="18"/>
              </w:rPr>
            </w:pPr>
            <w:r>
              <w:rPr>
                <w:rFonts w:cs="Times New Roman"/>
                <w:color w:val="000000"/>
                <w:sz w:val="18"/>
                <w:szCs w:val="18"/>
              </w:rPr>
              <w:t>1,309,843.27</w:t>
            </w:r>
          </w:p>
        </w:tc>
        <w:tc>
          <w:tcPr>
            <w:tcW w:w="424" w:type="pct"/>
            <w:tcBorders>
              <w:top w:val="single" w:color="auto" w:sz="4" w:space="0"/>
              <w:left w:val="single" w:color="auto" w:sz="4" w:space="0"/>
              <w:bottom w:val="single" w:color="auto" w:sz="4" w:space="0"/>
              <w:right w:val="single" w:color="auto" w:sz="4" w:space="0"/>
            </w:tcBorders>
          </w:tcPr>
          <w:p w14:paraId="257CBF95">
            <w:pPr>
              <w:jc w:val="center"/>
              <w:rPr>
                <w:rFonts w:cs="Times New Roman"/>
                <w:color w:val="000000" w:themeColor="text1"/>
                <w:sz w:val="18"/>
                <w:szCs w:val="18"/>
                <w14:textFill>
                  <w14:solidFill>
                    <w14:schemeClr w14:val="tx1"/>
                  </w14:solidFill>
                </w14:textFill>
              </w:rPr>
            </w:pPr>
            <w:r>
              <w:rPr>
                <w:rFonts w:cs="Times New Roman"/>
                <w:color w:val="000000"/>
                <w:sz w:val="18"/>
                <w:szCs w:val="18"/>
              </w:rPr>
              <w:t>/</w:t>
            </w:r>
          </w:p>
        </w:tc>
        <w:tc>
          <w:tcPr>
            <w:tcW w:w="420" w:type="pct"/>
            <w:tcBorders>
              <w:top w:val="single" w:color="auto" w:sz="4" w:space="0"/>
              <w:left w:val="single" w:color="auto" w:sz="4" w:space="0"/>
              <w:bottom w:val="single" w:color="auto" w:sz="4" w:space="0"/>
              <w:right w:val="single" w:color="auto" w:sz="4" w:space="0"/>
            </w:tcBorders>
            <w:vAlign w:val="center"/>
          </w:tcPr>
          <w:p w14:paraId="3F9AED76">
            <w:pPr>
              <w:jc w:val="right"/>
              <w:textAlignment w:val="center"/>
              <w:rPr>
                <w:rFonts w:cs="Times New Roman"/>
                <w:sz w:val="18"/>
                <w:szCs w:val="18"/>
              </w:rPr>
            </w:pPr>
            <w:r>
              <w:rPr>
                <w:rFonts w:cs="Times New Roman"/>
                <w:color w:val="000000"/>
                <w:sz w:val="18"/>
                <w:szCs w:val="18"/>
              </w:rPr>
              <w:t>34,272,569.47</w:t>
            </w:r>
          </w:p>
        </w:tc>
        <w:tc>
          <w:tcPr>
            <w:tcW w:w="434" w:type="pct"/>
            <w:tcBorders>
              <w:top w:val="single" w:color="auto" w:sz="4" w:space="0"/>
              <w:left w:val="single" w:color="auto" w:sz="4" w:space="0"/>
              <w:bottom w:val="single" w:color="auto" w:sz="4" w:space="0"/>
              <w:right w:val="single" w:color="auto" w:sz="4" w:space="0"/>
            </w:tcBorders>
            <w:vAlign w:val="center"/>
          </w:tcPr>
          <w:p w14:paraId="133F746B">
            <w:pPr>
              <w:jc w:val="right"/>
              <w:textAlignment w:val="center"/>
              <w:rPr>
                <w:rFonts w:cs="Times New Roman"/>
                <w:sz w:val="18"/>
                <w:szCs w:val="18"/>
              </w:rPr>
            </w:pPr>
            <w:r>
              <w:rPr>
                <w:rFonts w:cs="Times New Roman"/>
                <w:color w:val="000000"/>
                <w:sz w:val="18"/>
                <w:szCs w:val="18"/>
              </w:rPr>
              <w:t>35,988,258.60</w:t>
            </w:r>
          </w:p>
        </w:tc>
        <w:tc>
          <w:tcPr>
            <w:tcW w:w="424" w:type="pct"/>
            <w:tcBorders>
              <w:top w:val="single" w:color="auto" w:sz="4" w:space="0"/>
              <w:left w:val="single" w:color="auto" w:sz="4" w:space="0"/>
              <w:bottom w:val="single" w:color="auto" w:sz="4" w:space="0"/>
              <w:right w:val="single" w:color="auto" w:sz="4" w:space="0"/>
            </w:tcBorders>
          </w:tcPr>
          <w:p w14:paraId="0E765EAE">
            <w:pPr>
              <w:jc w:val="center"/>
              <w:rPr>
                <w:rFonts w:cs="Times New Roman"/>
                <w:color w:val="000000" w:themeColor="text1"/>
                <w:sz w:val="18"/>
                <w:szCs w:val="18"/>
                <w14:textFill>
                  <w14:solidFill>
                    <w14:schemeClr w14:val="tx1"/>
                  </w14:solidFill>
                </w14:textFill>
              </w:rPr>
            </w:pPr>
            <w:r>
              <w:rPr>
                <w:rFonts w:cs="Times New Roman"/>
                <w:color w:val="000000"/>
                <w:sz w:val="18"/>
                <w:szCs w:val="18"/>
              </w:rPr>
              <w:t>/</w:t>
            </w:r>
          </w:p>
        </w:tc>
        <w:tc>
          <w:tcPr>
            <w:tcW w:w="428" w:type="pct"/>
            <w:tcBorders>
              <w:top w:val="single" w:color="auto" w:sz="4" w:space="0"/>
              <w:left w:val="single" w:color="auto" w:sz="4" w:space="0"/>
              <w:bottom w:val="single" w:color="auto" w:sz="4" w:space="0"/>
              <w:right w:val="single" w:color="auto" w:sz="4" w:space="0"/>
            </w:tcBorders>
            <w:vAlign w:val="center"/>
          </w:tcPr>
          <w:p w14:paraId="52D24843">
            <w:pPr>
              <w:jc w:val="right"/>
              <w:textAlignment w:val="center"/>
              <w:rPr>
                <w:rFonts w:cs="Times New Roman"/>
                <w:sz w:val="18"/>
                <w:szCs w:val="18"/>
              </w:rPr>
            </w:pPr>
            <w:r>
              <w:rPr>
                <w:rFonts w:cs="Times New Roman"/>
                <w:color w:val="000000"/>
                <w:sz w:val="18"/>
                <w:szCs w:val="18"/>
              </w:rPr>
              <w:t>1,309,843.27</w:t>
            </w:r>
          </w:p>
        </w:tc>
        <w:tc>
          <w:tcPr>
            <w:tcW w:w="432" w:type="pct"/>
            <w:tcBorders>
              <w:top w:val="single" w:color="auto" w:sz="4" w:space="0"/>
              <w:left w:val="single" w:color="auto" w:sz="4" w:space="0"/>
              <w:bottom w:val="single" w:color="auto" w:sz="4" w:space="0"/>
              <w:right w:val="single" w:color="auto" w:sz="4" w:space="0"/>
            </w:tcBorders>
          </w:tcPr>
          <w:p w14:paraId="2FEAD01F">
            <w:pPr>
              <w:jc w:val="center"/>
              <w:rPr>
                <w:rFonts w:cs="Times New Roman"/>
                <w:color w:val="000000" w:themeColor="text1"/>
                <w:sz w:val="18"/>
                <w:szCs w:val="18"/>
                <w14:textFill>
                  <w14:solidFill>
                    <w14:schemeClr w14:val="tx1"/>
                  </w14:solidFill>
                </w14:textFill>
              </w:rPr>
            </w:pPr>
            <w:r>
              <w:rPr>
                <w:rFonts w:cs="Times New Roman"/>
                <w:color w:val="000000"/>
                <w:sz w:val="18"/>
                <w:szCs w:val="18"/>
              </w:rPr>
              <w:t>/</w:t>
            </w:r>
          </w:p>
        </w:tc>
        <w:tc>
          <w:tcPr>
            <w:tcW w:w="420" w:type="pct"/>
            <w:tcBorders>
              <w:top w:val="single" w:color="auto" w:sz="4" w:space="0"/>
              <w:left w:val="single" w:color="auto" w:sz="4" w:space="0"/>
              <w:bottom w:val="single" w:color="auto" w:sz="4" w:space="0"/>
              <w:right w:val="single" w:color="auto" w:sz="4" w:space="0"/>
            </w:tcBorders>
            <w:vAlign w:val="center"/>
          </w:tcPr>
          <w:p w14:paraId="6569F5AC">
            <w:pPr>
              <w:jc w:val="right"/>
              <w:textAlignment w:val="center"/>
              <w:rPr>
                <w:rFonts w:cs="Times New Roman"/>
                <w:sz w:val="18"/>
                <w:szCs w:val="18"/>
              </w:rPr>
            </w:pPr>
            <w:r>
              <w:rPr>
                <w:rFonts w:cs="Times New Roman"/>
                <w:color w:val="000000"/>
                <w:sz w:val="18"/>
                <w:szCs w:val="18"/>
              </w:rPr>
              <w:t>34,678,415.33</w:t>
            </w:r>
          </w:p>
        </w:tc>
      </w:tr>
    </w:tbl>
    <w:p w14:paraId="210301DC">
      <w:pPr>
        <w:rPr>
          <w:color w:val="000000" w:themeColor="text1"/>
          <w14:textFill>
            <w14:solidFill>
              <w14:schemeClr w14:val="tx1"/>
            </w14:solidFill>
          </w14:textFill>
        </w:rPr>
      </w:pPr>
    </w:p>
    <w:bookmarkEnd w:id="436"/>
    <w:p w14:paraId="37C2CA94">
      <w:pPr>
        <w:rPr>
          <w:color w:val="000000" w:themeColor="text1"/>
          <w14:textFill>
            <w14:solidFill>
              <w14:schemeClr w14:val="tx1"/>
            </w14:solidFill>
          </w14:textFill>
        </w:rPr>
      </w:pPr>
      <w:bookmarkStart w:id="437" w:name="_Hlk10540045"/>
      <w:bookmarkStart w:id="438" w:name="_Hlk10540056"/>
      <w:r>
        <w:rPr>
          <w:rFonts w:hint="eastAsia"/>
          <w:color w:val="000000" w:themeColor="text1"/>
          <w14:textFill>
            <w14:solidFill>
              <w14:schemeClr w14:val="tx1"/>
            </w14:solidFill>
          </w14:textFill>
        </w:rPr>
        <w:t>按单项计提坏账准备：</w:t>
      </w:r>
      <w:bookmarkEnd w:id="437"/>
    </w:p>
    <w:sdt>
      <w:sdtPr>
        <w:rPr>
          <w:color w:val="000000" w:themeColor="text1"/>
          <w14:textFill>
            <w14:solidFill>
              <w14:schemeClr w14:val="tx1"/>
            </w14:solidFill>
          </w14:textFill>
        </w:rPr>
        <w:alias w:val="是否适用：母公司应收账款按单项计提坏账准备[双击切换]"/>
        <w:tag w:val="_GBC_6aa7698e624f4481b0cf894058a63961"/>
        <w:id w:val="147464528"/>
        <w:placeholder>
          <w:docPart w:val="GBC22222222222222222222222222222"/>
        </w:placeholder>
      </w:sdtPr>
      <w:sdtEndPr>
        <w:rPr>
          <w:color w:val="000000" w:themeColor="text1"/>
          <w14:textFill>
            <w14:solidFill>
              <w14:schemeClr w14:val="tx1"/>
            </w14:solidFill>
          </w14:textFill>
        </w:rPr>
      </w:sdtEndPr>
      <w:sdtContent>
        <w:p w14:paraId="3F1779F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490196F">
      <w:pPr>
        <w:rPr>
          <w:color w:val="000000" w:themeColor="text1"/>
          <w14:textFill>
            <w14:solidFill>
              <w14:schemeClr w14:val="tx1"/>
            </w14:solidFill>
          </w14:textFill>
        </w:rPr>
      </w:pPr>
    </w:p>
    <w:bookmarkEnd w:id="438"/>
    <w:p w14:paraId="04C815F6">
      <w:pPr>
        <w:rPr>
          <w:color w:val="000000" w:themeColor="text1"/>
          <w14:textFill>
            <w14:solidFill>
              <w14:schemeClr w14:val="tx1"/>
            </w14:solidFill>
          </w14:textFill>
        </w:rPr>
        <w:sectPr>
          <w:pgSz w:w="16838" w:h="11906" w:orient="landscape"/>
          <w:pgMar w:top="1797" w:right="1525" w:bottom="1276" w:left="1440" w:header="856" w:footer="992" w:gutter="0"/>
          <w:cols w:space="425" w:num="1"/>
          <w:docGrid w:linePitch="312" w:charSpace="0"/>
        </w:sectPr>
      </w:pPr>
      <w:bookmarkStart w:id="439" w:name="_Hlk10540079"/>
    </w:p>
    <w:p w14:paraId="680BA8F4">
      <w:pPr>
        <w:rPr>
          <w:color w:val="000000" w:themeColor="text1"/>
          <w14:textFill>
            <w14:solidFill>
              <w14:schemeClr w14:val="tx1"/>
            </w14:solidFill>
          </w14:textFill>
        </w:rPr>
      </w:pPr>
      <w:r>
        <w:rPr>
          <w:rFonts w:hint="eastAsia"/>
          <w:color w:val="000000" w:themeColor="text1"/>
          <w14:textFill>
            <w14:solidFill>
              <w14:schemeClr w14:val="tx1"/>
            </w14:solidFill>
          </w14:textFill>
        </w:rPr>
        <w:t>按组合计提坏账准备：</w:t>
      </w:r>
    </w:p>
    <w:sdt>
      <w:sdtPr>
        <w:rPr>
          <w:color w:val="000000" w:themeColor="text1"/>
          <w14:textFill>
            <w14:solidFill>
              <w14:schemeClr w14:val="tx1"/>
            </w14:solidFill>
          </w14:textFill>
        </w:rPr>
        <w:alias w:val="是否适用：母公司应收账款按组合计提坏账准备[双击切换]"/>
        <w:tag w:val="_GBC_bf96e631f2cf4f6a876dff49863ee9d3"/>
        <w:id w:val="147458792"/>
        <w:lock w:val="contentLocked"/>
        <w:placeholder>
          <w:docPart w:val="GBC22222222222222222222222222222"/>
        </w:placeholder>
      </w:sdtPr>
      <w:sdtEndPr>
        <w:rPr>
          <w:color w:val="000000" w:themeColor="text1"/>
          <w14:textFill>
            <w14:solidFill>
              <w14:schemeClr w14:val="tx1"/>
            </w14:solidFill>
          </w14:textFill>
        </w:rPr>
      </w:sdtEndPr>
      <w:sdtContent>
        <w:p w14:paraId="5F57CB0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829792A">
      <w:pPr>
        <w:rPr>
          <w:color w:val="000000" w:themeColor="text1"/>
          <w14:textFill>
            <w14:solidFill>
              <w14:schemeClr w14:val="tx1"/>
            </w14:solidFill>
          </w14:textFill>
        </w:rPr>
      </w:pPr>
      <w:r>
        <w:rPr>
          <w:rFonts w:hint="eastAsia"/>
          <w:color w:val="000000" w:themeColor="text1"/>
          <w14:textFill>
            <w14:solidFill>
              <w14:schemeClr w14:val="tx1"/>
            </w14:solidFill>
          </w14:textFill>
        </w:rPr>
        <w:t>组合计提项目：</w:t>
      </w:r>
      <w:sdt>
        <w:sdtPr>
          <w:rPr>
            <w:rFonts w:hint="eastAsia"/>
            <w:color w:val="000000" w:themeColor="text1"/>
            <w14:textFill>
              <w14:solidFill>
                <w14:schemeClr w14:val="tx1"/>
              </w14:solidFill>
            </w14:textFill>
          </w:rPr>
          <w:alias w:val="按组合计提坏账准备的应收账款明细-组合名称"/>
          <w:tag w:val="_GBC_c2c49e08c13c49f5b854cd65f748bccc"/>
          <w:id w:val="903569791"/>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组合2关联方组合</w:t>
          </w:r>
        </w:sdtContent>
      </w:sdt>
    </w:p>
    <w:p w14:paraId="33CFCC23">
      <w:pPr>
        <w:autoSpaceDE w:val="0"/>
        <w:autoSpaceDN w:val="0"/>
        <w:adjustRightInd w:val="0"/>
        <w:ind w:left="5880" w:right="105"/>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母公司应收账款按组合计提坏账准备"/>
          <w:tag w:val="_GBC_eddb8416e4854df0b69f43851a8eba2b"/>
          <w:id w:val="-1503966727"/>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母公司应收账款按组合计提坏账准备"/>
          <w:tag w:val="_GBC_326d8b8532c4476aa9c90eaa469806e2"/>
          <w:id w:val="75586629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309"/>
        <w:gridCol w:w="2351"/>
        <w:gridCol w:w="2293"/>
      </w:tblGrid>
      <w:tr w14:paraId="251B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017679ab9c8247c6b2e334fd90bf61e9"/>
            <w:id w:val="994760414"/>
          </w:sdtPr>
          <w:sdtEndPr>
            <w:rPr>
              <w:rFonts w:cs="Times New Roman"/>
            </w:rPr>
          </w:sdtEndPr>
          <w:sdtContent>
            <w:tc>
              <w:tcPr>
                <w:tcW w:w="1158" w:type="pct"/>
                <w:vMerge w:val="restart"/>
                <w:vAlign w:val="center"/>
              </w:tcPr>
              <w:p w14:paraId="779958FF">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名称</w:t>
                </w:r>
              </w:p>
            </w:tc>
          </w:sdtContent>
        </w:sdt>
        <w:sdt>
          <w:sdtPr>
            <w:rPr>
              <w:rFonts w:cs="Times New Roman"/>
            </w:rPr>
            <w:tag w:val="_PLD_5135cd56467d4853affa6d0ae484f326"/>
            <w:id w:val="1784303470"/>
          </w:sdtPr>
          <w:sdtEndPr>
            <w:rPr>
              <w:rFonts w:cs="Times New Roman"/>
            </w:rPr>
          </w:sdtEndPr>
          <w:sdtContent>
            <w:tc>
              <w:tcPr>
                <w:tcW w:w="3842" w:type="pct"/>
                <w:gridSpan w:val="3"/>
                <w:vAlign w:val="center"/>
              </w:tcPr>
              <w:p w14:paraId="7F0C945E">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tr>
      <w:tr w14:paraId="37637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Merge w:val="continue"/>
          </w:tcPr>
          <w:p w14:paraId="01AB20EE">
            <w:pPr>
              <w:jc w:val="center"/>
              <w:rPr>
                <w:rFonts w:cs="Times New Roman"/>
                <w:color w:val="000000" w:themeColor="text1"/>
                <w14:textFill>
                  <w14:solidFill>
                    <w14:schemeClr w14:val="tx1"/>
                  </w14:solidFill>
                </w14:textFill>
              </w:rPr>
            </w:pPr>
          </w:p>
        </w:tc>
        <w:sdt>
          <w:sdtPr>
            <w:rPr>
              <w:rFonts w:cs="Times New Roman"/>
            </w:rPr>
            <w:tag w:val="_PLD_6853d362c1364938aec50c34a4c1b2be"/>
            <w:id w:val="2075313757"/>
          </w:sdtPr>
          <w:sdtEndPr>
            <w:rPr>
              <w:rFonts w:cs="Times New Roman"/>
            </w:rPr>
          </w:sdtEndPr>
          <w:sdtContent>
            <w:tc>
              <w:tcPr>
                <w:tcW w:w="1276" w:type="pct"/>
                <w:vAlign w:val="center"/>
              </w:tcPr>
              <w:p w14:paraId="708BF427">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账面余额</w:t>
                </w:r>
              </w:p>
            </w:tc>
          </w:sdtContent>
        </w:sdt>
        <w:sdt>
          <w:sdtPr>
            <w:rPr>
              <w:rFonts w:cs="Times New Roman"/>
            </w:rPr>
            <w:tag w:val="_PLD_497956cded5b48c4b4741462475810da"/>
            <w:id w:val="1422762906"/>
          </w:sdtPr>
          <w:sdtEndPr>
            <w:rPr>
              <w:rFonts w:cs="Times New Roman"/>
            </w:rPr>
          </w:sdtEndPr>
          <w:sdtContent>
            <w:tc>
              <w:tcPr>
                <w:tcW w:w="1299" w:type="pct"/>
                <w:vAlign w:val="center"/>
              </w:tcPr>
              <w:p w14:paraId="4E3A3CFE">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坏账准备</w:t>
                </w:r>
              </w:p>
            </w:tc>
          </w:sdtContent>
        </w:sdt>
        <w:sdt>
          <w:sdtPr>
            <w:rPr>
              <w:rFonts w:cs="Times New Roman"/>
            </w:rPr>
            <w:tag w:val="_PLD_abeb28def5684beab5ea48273044d861"/>
            <w:id w:val="-1370685797"/>
          </w:sdtPr>
          <w:sdtEndPr>
            <w:rPr>
              <w:rFonts w:cs="Times New Roman"/>
            </w:rPr>
          </w:sdtEndPr>
          <w:sdtContent>
            <w:tc>
              <w:tcPr>
                <w:tcW w:w="1267" w:type="pct"/>
                <w:vAlign w:val="center"/>
              </w:tcPr>
              <w:p w14:paraId="282B9BF7">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计提比例（%）</w:t>
                </w:r>
              </w:p>
            </w:tc>
          </w:sdtContent>
        </w:sdt>
      </w:tr>
      <w:sdt>
        <w:sdtPr>
          <w:rPr>
            <w:rFonts w:cs="Times New Roman"/>
            <w:color w:val="000000" w:themeColor="text1"/>
            <w14:textFill>
              <w14:solidFill>
                <w14:schemeClr w14:val="tx1"/>
              </w14:solidFill>
            </w14:textFill>
          </w:rPr>
          <w:alias w:val="按组合计提坏账准备的应收账款详细名称明细"/>
          <w:tag w:val="_TUP_f0c1437e418b477abdaa018db20308d6"/>
          <w:id w:val="-310480621"/>
          <w:placeholder>
            <w:docPart w:val="{e80a722c-aae6-436f-8b25-62d32db9cd08}"/>
          </w:placeholder>
        </w:sdtPr>
        <w:sdtEndPr>
          <w:rPr>
            <w:rFonts w:cs="Times New Roman"/>
            <w:color w:val="000000" w:themeColor="text1"/>
            <w:highlight w:val="yellow"/>
            <w14:textFill>
              <w14:solidFill>
                <w14:schemeClr w14:val="tx1"/>
              </w14:solidFill>
            </w14:textFill>
          </w:rPr>
        </w:sdtEndPr>
        <w:sdtContent>
          <w:tr w14:paraId="7B9D6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7FB11923">
                <w:pPr>
                  <w:rPr>
                    <w:rFonts w:cs="Times New Roman"/>
                  </w:rPr>
                </w:pPr>
                <w:r>
                  <w:rPr>
                    <w:rFonts w:cs="Times New Roman"/>
                  </w:rPr>
                  <w:t>1年以内</w:t>
                </w:r>
              </w:p>
            </w:tc>
            <w:tc>
              <w:tcPr>
                <w:tcW w:w="1276" w:type="pct"/>
              </w:tcPr>
              <w:p w14:paraId="05F3BBD6">
                <w:pPr>
                  <w:jc w:val="right"/>
                  <w:rPr>
                    <w:rFonts w:cs="Times New Roman"/>
                  </w:rPr>
                </w:pPr>
              </w:p>
            </w:tc>
            <w:tc>
              <w:tcPr>
                <w:tcW w:w="1299" w:type="pct"/>
              </w:tcPr>
              <w:p w14:paraId="74A962DA">
                <w:pPr>
                  <w:jc w:val="right"/>
                  <w:rPr>
                    <w:rFonts w:cs="Times New Roman"/>
                  </w:rPr>
                </w:pPr>
              </w:p>
            </w:tc>
            <w:tc>
              <w:tcPr>
                <w:tcW w:w="1267" w:type="pct"/>
              </w:tcPr>
              <w:p w14:paraId="62E92FC7">
                <w:pPr>
                  <w:jc w:val="right"/>
                  <w:rPr>
                    <w:rFonts w:cs="Times New Roman"/>
                  </w:rPr>
                </w:pPr>
              </w:p>
            </w:tc>
          </w:tr>
        </w:sdtContent>
      </w:sdt>
      <w:sdt>
        <w:sdtPr>
          <w:rPr>
            <w:rFonts w:cs="Times New Roman"/>
            <w:color w:val="000000" w:themeColor="text1"/>
            <w14:textFill>
              <w14:solidFill>
                <w14:schemeClr w14:val="tx1"/>
              </w14:solidFill>
            </w14:textFill>
          </w:rPr>
          <w:alias w:val="按组合计提坏账准备的应收账款详细名称明细"/>
          <w:tag w:val="_TUP_f0c1437e418b477abdaa018db20308d6"/>
          <w:id w:val="1002250402"/>
          <w:placeholder>
            <w:docPart w:val="{e80a722c-aae6-436f-8b25-62d32db9cd08}"/>
          </w:placeholder>
        </w:sdtPr>
        <w:sdtEndPr>
          <w:rPr>
            <w:rFonts w:cs="Times New Roman"/>
            <w:color w:val="000000" w:themeColor="text1"/>
            <w:highlight w:val="yellow"/>
            <w14:textFill>
              <w14:solidFill>
                <w14:schemeClr w14:val="tx1"/>
              </w14:solidFill>
            </w14:textFill>
          </w:rPr>
        </w:sdtEndPr>
        <w:sdtContent>
          <w:tr w14:paraId="0EBE8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1234CAA5">
                <w:pPr>
                  <w:rPr>
                    <w:rFonts w:cs="Times New Roman"/>
                  </w:rPr>
                </w:pPr>
                <w:r>
                  <w:rPr>
                    <w:rFonts w:cs="Times New Roman"/>
                  </w:rPr>
                  <w:t>1－2年</w:t>
                </w:r>
              </w:p>
            </w:tc>
            <w:tc>
              <w:tcPr>
                <w:tcW w:w="1276" w:type="pct"/>
              </w:tcPr>
              <w:p w14:paraId="2E343152">
                <w:pPr>
                  <w:jc w:val="right"/>
                  <w:rPr>
                    <w:rFonts w:cs="Times New Roman"/>
                  </w:rPr>
                </w:pPr>
              </w:p>
            </w:tc>
            <w:tc>
              <w:tcPr>
                <w:tcW w:w="1299" w:type="pct"/>
              </w:tcPr>
              <w:p w14:paraId="424569C4">
                <w:pPr>
                  <w:jc w:val="right"/>
                  <w:rPr>
                    <w:rFonts w:cs="Times New Roman"/>
                  </w:rPr>
                </w:pPr>
              </w:p>
            </w:tc>
            <w:tc>
              <w:tcPr>
                <w:tcW w:w="1267" w:type="pct"/>
              </w:tcPr>
              <w:p w14:paraId="306F40CE">
                <w:pPr>
                  <w:jc w:val="right"/>
                  <w:rPr>
                    <w:rFonts w:cs="Times New Roman"/>
                  </w:rPr>
                </w:pPr>
              </w:p>
            </w:tc>
          </w:tr>
        </w:sdtContent>
      </w:sdt>
      <w:sdt>
        <w:sdtPr>
          <w:rPr>
            <w:rFonts w:cs="Times New Roman"/>
            <w:color w:val="000000" w:themeColor="text1"/>
            <w14:textFill>
              <w14:solidFill>
                <w14:schemeClr w14:val="tx1"/>
              </w14:solidFill>
            </w14:textFill>
          </w:rPr>
          <w:alias w:val="按组合计提坏账准备的应收账款详细名称明细"/>
          <w:tag w:val="_TUP_f0c1437e418b477abdaa018db20308d6"/>
          <w:id w:val="743770530"/>
          <w:placeholder>
            <w:docPart w:val="{e80a722c-aae6-436f-8b25-62d32db9cd08}"/>
          </w:placeholder>
        </w:sdtPr>
        <w:sdtEndPr>
          <w:rPr>
            <w:rFonts w:cs="Times New Roman"/>
            <w:color w:val="000000" w:themeColor="text1"/>
            <w:highlight w:val="yellow"/>
            <w14:textFill>
              <w14:solidFill>
                <w14:schemeClr w14:val="tx1"/>
              </w14:solidFill>
            </w14:textFill>
          </w:rPr>
        </w:sdtEndPr>
        <w:sdtContent>
          <w:tr w14:paraId="064AA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4D517CC0">
                <w:pPr>
                  <w:rPr>
                    <w:rFonts w:cs="Times New Roman"/>
                  </w:rPr>
                </w:pPr>
                <w:r>
                  <w:rPr>
                    <w:rFonts w:cs="Times New Roman"/>
                  </w:rPr>
                  <w:t>2－3年</w:t>
                </w:r>
              </w:p>
            </w:tc>
            <w:tc>
              <w:tcPr>
                <w:tcW w:w="1276" w:type="pct"/>
                <w:vAlign w:val="center"/>
              </w:tcPr>
              <w:p w14:paraId="173B624C">
                <w:pPr>
                  <w:jc w:val="right"/>
                  <w:rPr>
                    <w:rFonts w:cs="Times New Roman"/>
                  </w:rPr>
                </w:pPr>
                <w:r>
                  <w:rPr>
                    <w:rFonts w:cs="Times New Roman"/>
                  </w:rPr>
                  <w:t>2,385,087.60</w:t>
                </w:r>
              </w:p>
            </w:tc>
            <w:tc>
              <w:tcPr>
                <w:tcW w:w="1299" w:type="pct"/>
              </w:tcPr>
              <w:p w14:paraId="6458A229">
                <w:pPr>
                  <w:jc w:val="right"/>
                  <w:rPr>
                    <w:rFonts w:cs="Times New Roman"/>
                  </w:rPr>
                </w:pPr>
              </w:p>
            </w:tc>
            <w:tc>
              <w:tcPr>
                <w:tcW w:w="1267" w:type="pct"/>
              </w:tcPr>
              <w:p w14:paraId="660BB627">
                <w:pPr>
                  <w:jc w:val="right"/>
                  <w:rPr>
                    <w:rFonts w:cs="Times New Roman"/>
                  </w:rPr>
                </w:pPr>
              </w:p>
            </w:tc>
          </w:tr>
        </w:sdtContent>
      </w:sdt>
      <w:sdt>
        <w:sdtPr>
          <w:rPr>
            <w:rFonts w:cs="Times New Roman"/>
            <w:color w:val="000000" w:themeColor="text1"/>
            <w14:textFill>
              <w14:solidFill>
                <w14:schemeClr w14:val="tx1"/>
              </w14:solidFill>
            </w14:textFill>
          </w:rPr>
          <w:alias w:val="按组合计提坏账准备的应收账款详细名称明细"/>
          <w:tag w:val="_TUP_f0c1437e418b477abdaa018db20308d6"/>
          <w:id w:val="-858816903"/>
          <w:placeholder>
            <w:docPart w:val="{e80a722c-aae6-436f-8b25-62d32db9cd08}"/>
          </w:placeholder>
        </w:sdtPr>
        <w:sdtEndPr>
          <w:rPr>
            <w:rFonts w:cs="Times New Roman"/>
            <w:color w:val="000000" w:themeColor="text1"/>
            <w:highlight w:val="yellow"/>
            <w14:textFill>
              <w14:solidFill>
                <w14:schemeClr w14:val="tx1"/>
              </w14:solidFill>
            </w14:textFill>
          </w:rPr>
        </w:sdtEndPr>
        <w:sdtContent>
          <w:tr w14:paraId="32A6C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07A39A98">
                <w:pPr>
                  <w:rPr>
                    <w:rFonts w:cs="Times New Roman"/>
                  </w:rPr>
                </w:pPr>
                <w:r>
                  <w:rPr>
                    <w:rFonts w:cs="Times New Roman"/>
                  </w:rPr>
                  <w:t>3－4年</w:t>
                </w:r>
              </w:p>
            </w:tc>
            <w:tc>
              <w:tcPr>
                <w:tcW w:w="1276" w:type="pct"/>
                <w:vAlign w:val="center"/>
              </w:tcPr>
              <w:p w14:paraId="0C3EC042">
                <w:pPr>
                  <w:jc w:val="right"/>
                  <w:rPr>
                    <w:rFonts w:cs="Times New Roman"/>
                  </w:rPr>
                </w:pPr>
                <w:r>
                  <w:rPr>
                    <w:rFonts w:cs="Times New Roman"/>
                  </w:rPr>
                  <w:t>53,287.32</w:t>
                </w:r>
              </w:p>
            </w:tc>
            <w:tc>
              <w:tcPr>
                <w:tcW w:w="1299" w:type="pct"/>
              </w:tcPr>
              <w:p w14:paraId="01ECD8C7">
                <w:pPr>
                  <w:jc w:val="right"/>
                  <w:rPr>
                    <w:rFonts w:cs="Times New Roman"/>
                  </w:rPr>
                </w:pPr>
              </w:p>
            </w:tc>
            <w:tc>
              <w:tcPr>
                <w:tcW w:w="1267" w:type="pct"/>
              </w:tcPr>
              <w:p w14:paraId="1D6A4085">
                <w:pPr>
                  <w:jc w:val="right"/>
                  <w:rPr>
                    <w:rFonts w:cs="Times New Roman"/>
                  </w:rPr>
                </w:pPr>
              </w:p>
            </w:tc>
          </w:tr>
        </w:sdtContent>
      </w:sdt>
      <w:sdt>
        <w:sdtPr>
          <w:rPr>
            <w:rFonts w:cs="Times New Roman"/>
            <w:color w:val="000000" w:themeColor="text1"/>
            <w14:textFill>
              <w14:solidFill>
                <w14:schemeClr w14:val="tx1"/>
              </w14:solidFill>
            </w14:textFill>
          </w:rPr>
          <w:alias w:val="按组合计提坏账准备的应收账款详细名称明细"/>
          <w:tag w:val="_TUP_f0c1437e418b477abdaa018db20308d6"/>
          <w:id w:val="1097904874"/>
          <w:placeholder>
            <w:docPart w:val="{e80a722c-aae6-436f-8b25-62d32db9cd08}"/>
          </w:placeholder>
        </w:sdtPr>
        <w:sdtEndPr>
          <w:rPr>
            <w:rFonts w:cs="Times New Roman"/>
            <w:color w:val="000000" w:themeColor="text1"/>
            <w:highlight w:val="yellow"/>
            <w14:textFill>
              <w14:solidFill>
                <w14:schemeClr w14:val="tx1"/>
              </w14:solidFill>
            </w14:textFill>
          </w:rPr>
        </w:sdtEndPr>
        <w:sdtContent>
          <w:tr w14:paraId="1715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31E8C356">
                <w:pPr>
                  <w:rPr>
                    <w:rFonts w:cs="Times New Roman"/>
                  </w:rPr>
                </w:pPr>
                <w:r>
                  <w:rPr>
                    <w:rFonts w:cs="Times New Roman"/>
                  </w:rPr>
                  <w:t>4－5年</w:t>
                </w:r>
              </w:p>
            </w:tc>
            <w:tc>
              <w:tcPr>
                <w:tcW w:w="1276" w:type="pct"/>
                <w:vAlign w:val="center"/>
              </w:tcPr>
              <w:p w14:paraId="55AFB434">
                <w:pPr>
                  <w:jc w:val="right"/>
                  <w:rPr>
                    <w:rFonts w:cs="Times New Roman"/>
                  </w:rPr>
                </w:pPr>
                <w:r>
                  <w:rPr>
                    <w:rFonts w:cs="Times New Roman"/>
                  </w:rPr>
                  <w:t>1,903,677.13</w:t>
                </w:r>
              </w:p>
            </w:tc>
            <w:tc>
              <w:tcPr>
                <w:tcW w:w="1299" w:type="pct"/>
              </w:tcPr>
              <w:p w14:paraId="3A4E106B">
                <w:pPr>
                  <w:jc w:val="right"/>
                  <w:rPr>
                    <w:rFonts w:cs="Times New Roman"/>
                  </w:rPr>
                </w:pPr>
              </w:p>
            </w:tc>
            <w:tc>
              <w:tcPr>
                <w:tcW w:w="1267" w:type="pct"/>
              </w:tcPr>
              <w:p w14:paraId="63270625">
                <w:pPr>
                  <w:jc w:val="right"/>
                  <w:rPr>
                    <w:rFonts w:cs="Times New Roman"/>
                  </w:rPr>
                </w:pPr>
              </w:p>
            </w:tc>
          </w:tr>
        </w:sdtContent>
      </w:sdt>
      <w:sdt>
        <w:sdtPr>
          <w:rPr>
            <w:rFonts w:cs="Times New Roman"/>
            <w:color w:val="000000" w:themeColor="text1"/>
            <w14:textFill>
              <w14:solidFill>
                <w14:schemeClr w14:val="tx1"/>
              </w14:solidFill>
            </w14:textFill>
          </w:rPr>
          <w:alias w:val="按组合计提坏账准备的应收账款详细名称明细"/>
          <w:tag w:val="_TUP_f0c1437e418b477abdaa018db20308d6"/>
          <w:id w:val="616187614"/>
          <w:placeholder>
            <w:docPart w:val="{e80a722c-aae6-436f-8b25-62d32db9cd08}"/>
          </w:placeholder>
        </w:sdtPr>
        <w:sdtEndPr>
          <w:rPr>
            <w:rFonts w:cs="Times New Roman"/>
            <w:color w:val="000000" w:themeColor="text1"/>
            <w:highlight w:val="yellow"/>
            <w14:textFill>
              <w14:solidFill>
                <w14:schemeClr w14:val="tx1"/>
              </w14:solidFill>
            </w14:textFill>
          </w:rPr>
        </w:sdtEndPr>
        <w:sdtContent>
          <w:tr w14:paraId="1D23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70BBC47F">
                <w:pPr>
                  <w:rPr>
                    <w:rFonts w:cs="Times New Roman"/>
                  </w:rPr>
                </w:pPr>
                <w:r>
                  <w:rPr>
                    <w:rFonts w:cs="Times New Roman"/>
                  </w:rPr>
                  <w:t>5年以上</w:t>
                </w:r>
              </w:p>
            </w:tc>
            <w:tc>
              <w:tcPr>
                <w:tcW w:w="1276" w:type="pct"/>
                <w:vAlign w:val="center"/>
              </w:tcPr>
              <w:p w14:paraId="0C0E587F">
                <w:pPr>
                  <w:jc w:val="right"/>
                  <w:rPr>
                    <w:rFonts w:cs="Times New Roman"/>
                  </w:rPr>
                </w:pPr>
                <w:r>
                  <w:rPr>
                    <w:rFonts w:cs="Times New Roman"/>
                  </w:rPr>
                  <w:t>29,852,727.76</w:t>
                </w:r>
              </w:p>
            </w:tc>
            <w:tc>
              <w:tcPr>
                <w:tcW w:w="1299" w:type="pct"/>
              </w:tcPr>
              <w:p w14:paraId="2436F094">
                <w:pPr>
                  <w:jc w:val="right"/>
                  <w:rPr>
                    <w:rFonts w:cs="Times New Roman"/>
                  </w:rPr>
                </w:pPr>
              </w:p>
            </w:tc>
            <w:tc>
              <w:tcPr>
                <w:tcW w:w="1267" w:type="pct"/>
              </w:tcPr>
              <w:p w14:paraId="4A624CDF">
                <w:pPr>
                  <w:jc w:val="right"/>
                  <w:rPr>
                    <w:rFonts w:cs="Times New Roman"/>
                  </w:rPr>
                </w:pPr>
              </w:p>
            </w:tc>
          </w:tr>
        </w:sdtContent>
      </w:sdt>
      <w:tr w14:paraId="7B85B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435948144728481980336a881622f9ca"/>
            <w:id w:val="2562835"/>
          </w:sdtPr>
          <w:sdtEndPr>
            <w:rPr>
              <w:rFonts w:cs="Times New Roman"/>
            </w:rPr>
          </w:sdtEndPr>
          <w:sdtContent>
            <w:tc>
              <w:tcPr>
                <w:tcW w:w="1158" w:type="pct"/>
                <w:vAlign w:val="center"/>
              </w:tcPr>
              <w:p w14:paraId="4147A0FA">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c>
          <w:tcPr>
            <w:tcW w:w="1276" w:type="pct"/>
            <w:vAlign w:val="center"/>
          </w:tcPr>
          <w:p w14:paraId="3CF68E21">
            <w:pPr>
              <w:jc w:val="right"/>
              <w:rPr>
                <w:rFonts w:cs="Times New Roman"/>
              </w:rPr>
            </w:pPr>
            <w:r>
              <w:rPr>
                <w:rFonts w:cs="Times New Roman"/>
              </w:rPr>
              <w:t>34,194,779.81</w:t>
            </w:r>
          </w:p>
        </w:tc>
        <w:tc>
          <w:tcPr>
            <w:tcW w:w="1299" w:type="pct"/>
          </w:tcPr>
          <w:p w14:paraId="15EB37C5">
            <w:pPr>
              <w:jc w:val="right"/>
              <w:rPr>
                <w:rFonts w:cs="Times New Roman"/>
              </w:rPr>
            </w:pPr>
          </w:p>
        </w:tc>
        <w:tc>
          <w:tcPr>
            <w:tcW w:w="1267" w:type="pct"/>
          </w:tcPr>
          <w:p w14:paraId="18A5A9AD">
            <w:pPr>
              <w:jc w:val="right"/>
              <w:rPr>
                <w:rFonts w:cs="Times New Roman"/>
              </w:rPr>
            </w:pPr>
          </w:p>
        </w:tc>
      </w:tr>
    </w:tbl>
    <w:p w14:paraId="155C2DBE">
      <w:pPr>
        <w:rPr>
          <w:color w:val="000000" w:themeColor="text1"/>
          <w14:textFill>
            <w14:solidFill>
              <w14:schemeClr w14:val="tx1"/>
            </w14:solidFill>
          </w14:textFill>
        </w:rPr>
      </w:pPr>
      <w:r>
        <w:rPr>
          <w:rFonts w:hint="eastAsia"/>
          <w:color w:val="000000" w:themeColor="text1"/>
          <w14:textFill>
            <w14:solidFill>
              <w14:schemeClr w14:val="tx1"/>
            </w14:solidFill>
          </w14:textFill>
        </w:rPr>
        <w:t>按组合计提坏账准备的说明：</w:t>
      </w:r>
    </w:p>
    <w:sdt>
      <w:sdtPr>
        <w:rPr>
          <w:color w:val="000000" w:themeColor="text1"/>
          <w14:textFill>
            <w14:solidFill>
              <w14:schemeClr w14:val="tx1"/>
            </w14:solidFill>
          </w14:textFill>
        </w:rPr>
        <w:alias w:val="是否适用：母公司应收账款按组合计提坏账的确认标准及说明[双击切换]"/>
        <w:tag w:val="_GBC_186c78f5430148f29cc239ac6b530e5e"/>
        <w:id w:val="-112437008"/>
        <w:placeholder>
          <w:docPart w:val="{3192be38-0d7d-4a77-b68b-13c7f0caf2e1}"/>
        </w:placeholder>
      </w:sdtPr>
      <w:sdtEndPr>
        <w:rPr>
          <w:color w:val="000000" w:themeColor="text1"/>
          <w14:textFill>
            <w14:solidFill>
              <w14:schemeClr w14:val="tx1"/>
            </w14:solidFill>
          </w14:textFill>
        </w:rPr>
      </w:sdtEndPr>
      <w:sdtContent>
        <w:p w14:paraId="75D41B5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E9CBBA8"/>
    <w:p w14:paraId="59C1D34B"/>
    <w:bookmarkEnd w:id="439"/>
    <w:p w14:paraId="6C482090">
      <w:pPr>
        <w:rPr>
          <w:color w:val="000000" w:themeColor="text1"/>
          <w14:textFill>
            <w14:solidFill>
              <w14:schemeClr w14:val="tx1"/>
            </w14:solidFill>
          </w14:textFill>
        </w:rPr>
      </w:pPr>
      <w:r>
        <w:rPr>
          <w:rFonts w:hint="eastAsia"/>
          <w:color w:val="000000" w:themeColor="text1"/>
          <w14:textFill>
            <w14:solidFill>
              <w14:schemeClr w14:val="tx1"/>
            </w14:solidFill>
          </w14:textFill>
        </w:rPr>
        <w:t>组合计提项目：</w:t>
      </w:r>
      <w:sdt>
        <w:sdtPr>
          <w:rPr>
            <w:rFonts w:hint="eastAsia"/>
            <w:color w:val="000000" w:themeColor="text1"/>
            <w14:textFill>
              <w14:solidFill>
                <w14:schemeClr w14:val="tx1"/>
              </w14:solidFill>
            </w14:textFill>
          </w:rPr>
          <w:alias w:val="按组合计提坏账准备的应收账款明细-组合名称"/>
          <w:tag w:val="_GBC_c2c49e08c13c49f5b854cd65f748bccc"/>
          <w:id w:val="923997085"/>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组合3账龄组合</w:t>
          </w:r>
        </w:sdtContent>
      </w:sdt>
    </w:p>
    <w:p w14:paraId="52FE0818">
      <w:pPr>
        <w:autoSpaceDE w:val="0"/>
        <w:autoSpaceDN w:val="0"/>
        <w:adjustRightInd w:val="0"/>
        <w:ind w:left="5880" w:right="105"/>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母公司应收账款按组合计提坏账准备"/>
          <w:tag w:val="_GBC_eddb8416e4854df0b69f43851a8eba2b"/>
          <w:id w:val="-1324508642"/>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母公司应收账款按组合计提坏账准备"/>
          <w:tag w:val="_GBC_326d8b8532c4476aa9c90eaa469806e2"/>
          <w:id w:val="-88032186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309"/>
        <w:gridCol w:w="2351"/>
        <w:gridCol w:w="2293"/>
      </w:tblGrid>
      <w:tr w14:paraId="566EB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017679ab9c8247c6b2e334fd90bf61e9"/>
            <w:id w:val="1759016489"/>
          </w:sdtPr>
          <w:sdtEndPr>
            <w:rPr>
              <w:rFonts w:cs="Times New Roman"/>
            </w:rPr>
          </w:sdtEndPr>
          <w:sdtContent>
            <w:tc>
              <w:tcPr>
                <w:tcW w:w="1158" w:type="pct"/>
                <w:vMerge w:val="restart"/>
                <w:vAlign w:val="center"/>
              </w:tcPr>
              <w:p w14:paraId="1BF9D3C0">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名称</w:t>
                </w:r>
              </w:p>
            </w:tc>
          </w:sdtContent>
        </w:sdt>
        <w:sdt>
          <w:sdtPr>
            <w:rPr>
              <w:rFonts w:cs="Times New Roman"/>
            </w:rPr>
            <w:tag w:val="_PLD_5135cd56467d4853affa6d0ae484f326"/>
            <w:id w:val="1494684169"/>
          </w:sdtPr>
          <w:sdtEndPr>
            <w:rPr>
              <w:rFonts w:cs="Times New Roman"/>
            </w:rPr>
          </w:sdtEndPr>
          <w:sdtContent>
            <w:tc>
              <w:tcPr>
                <w:tcW w:w="3842" w:type="pct"/>
                <w:gridSpan w:val="3"/>
                <w:vAlign w:val="center"/>
              </w:tcPr>
              <w:p w14:paraId="79CDAAB8">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tr>
      <w:tr w14:paraId="04E8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Merge w:val="continue"/>
          </w:tcPr>
          <w:p w14:paraId="514ED07C">
            <w:pPr>
              <w:jc w:val="center"/>
              <w:rPr>
                <w:rFonts w:cs="Times New Roman"/>
                <w:color w:val="000000" w:themeColor="text1"/>
                <w14:textFill>
                  <w14:solidFill>
                    <w14:schemeClr w14:val="tx1"/>
                  </w14:solidFill>
                </w14:textFill>
              </w:rPr>
            </w:pPr>
          </w:p>
        </w:tc>
        <w:sdt>
          <w:sdtPr>
            <w:rPr>
              <w:rFonts w:cs="Times New Roman"/>
            </w:rPr>
            <w:tag w:val="_PLD_6853d362c1364938aec50c34a4c1b2be"/>
            <w:id w:val="761810030"/>
          </w:sdtPr>
          <w:sdtEndPr>
            <w:rPr>
              <w:rFonts w:cs="Times New Roman"/>
            </w:rPr>
          </w:sdtEndPr>
          <w:sdtContent>
            <w:tc>
              <w:tcPr>
                <w:tcW w:w="1276" w:type="pct"/>
                <w:vAlign w:val="center"/>
              </w:tcPr>
              <w:p w14:paraId="413091F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账面余额</w:t>
                </w:r>
              </w:p>
            </w:tc>
          </w:sdtContent>
        </w:sdt>
        <w:sdt>
          <w:sdtPr>
            <w:rPr>
              <w:rFonts w:cs="Times New Roman"/>
            </w:rPr>
            <w:tag w:val="_PLD_497956cded5b48c4b4741462475810da"/>
            <w:id w:val="1513407581"/>
          </w:sdtPr>
          <w:sdtEndPr>
            <w:rPr>
              <w:rFonts w:cs="Times New Roman"/>
            </w:rPr>
          </w:sdtEndPr>
          <w:sdtContent>
            <w:tc>
              <w:tcPr>
                <w:tcW w:w="1299" w:type="pct"/>
                <w:vAlign w:val="center"/>
              </w:tcPr>
              <w:p w14:paraId="23914E2E">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坏账准备</w:t>
                </w:r>
              </w:p>
            </w:tc>
          </w:sdtContent>
        </w:sdt>
        <w:sdt>
          <w:sdtPr>
            <w:rPr>
              <w:rFonts w:cs="Times New Roman"/>
            </w:rPr>
            <w:tag w:val="_PLD_abeb28def5684beab5ea48273044d861"/>
            <w:id w:val="-2110730731"/>
          </w:sdtPr>
          <w:sdtEndPr>
            <w:rPr>
              <w:rFonts w:cs="Times New Roman"/>
            </w:rPr>
          </w:sdtEndPr>
          <w:sdtContent>
            <w:tc>
              <w:tcPr>
                <w:tcW w:w="1267" w:type="pct"/>
                <w:vAlign w:val="center"/>
              </w:tcPr>
              <w:p w14:paraId="3E7552C0">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计提比例（%）</w:t>
                </w:r>
              </w:p>
            </w:tc>
          </w:sdtContent>
        </w:sdt>
      </w:tr>
      <w:sdt>
        <w:sdtPr>
          <w:rPr>
            <w:rFonts w:cs="Times New Roman"/>
            <w:color w:val="000000" w:themeColor="text1"/>
            <w14:textFill>
              <w14:solidFill>
                <w14:schemeClr w14:val="tx1"/>
              </w14:solidFill>
            </w14:textFill>
          </w:rPr>
          <w:alias w:val="按组合计提坏账准备的应收账款详细名称明细"/>
          <w:tag w:val="_TUP_f0c1437e418b477abdaa018db20308d6"/>
          <w:id w:val="1882045711"/>
          <w:placeholder>
            <w:docPart w:val="{ae7d60a6-b0f4-4814-9bed-12a3bf4c5322}"/>
          </w:placeholder>
        </w:sdtPr>
        <w:sdtEndPr>
          <w:rPr>
            <w:rFonts w:cs="Times New Roman"/>
            <w:color w:val="000000" w:themeColor="text1"/>
            <w:highlight w:val="yellow"/>
            <w14:textFill>
              <w14:solidFill>
                <w14:schemeClr w14:val="tx1"/>
              </w14:solidFill>
            </w14:textFill>
          </w:rPr>
        </w:sdtEndPr>
        <w:sdtContent>
          <w:tr w14:paraId="3ED54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10C6823D">
                <w:pPr>
                  <w:rPr>
                    <w:rFonts w:cs="Times New Roman"/>
                  </w:rPr>
                </w:pPr>
                <w:r>
                  <w:rPr>
                    <w:rFonts w:cs="Times New Roman"/>
                  </w:rPr>
                  <w:t>1年以内</w:t>
                </w:r>
              </w:p>
            </w:tc>
            <w:tc>
              <w:tcPr>
                <w:tcW w:w="1276" w:type="pct"/>
              </w:tcPr>
              <w:p w14:paraId="4E979B98">
                <w:pPr>
                  <w:jc w:val="right"/>
                  <w:rPr>
                    <w:rFonts w:cs="Times New Roman"/>
                  </w:rPr>
                </w:pPr>
              </w:p>
            </w:tc>
            <w:tc>
              <w:tcPr>
                <w:tcW w:w="1299" w:type="pct"/>
              </w:tcPr>
              <w:p w14:paraId="02E3620C">
                <w:pPr>
                  <w:jc w:val="right"/>
                  <w:rPr>
                    <w:rFonts w:cs="Times New Roman"/>
                  </w:rPr>
                </w:pPr>
              </w:p>
            </w:tc>
            <w:tc>
              <w:tcPr>
                <w:tcW w:w="1267" w:type="pct"/>
              </w:tcPr>
              <w:p w14:paraId="383D4986">
                <w:pPr>
                  <w:jc w:val="right"/>
                  <w:rPr>
                    <w:rFonts w:cs="Times New Roman"/>
                  </w:rPr>
                </w:pPr>
              </w:p>
            </w:tc>
          </w:tr>
        </w:sdtContent>
      </w:sdt>
      <w:sdt>
        <w:sdtPr>
          <w:rPr>
            <w:rFonts w:cs="Times New Roman"/>
            <w:color w:val="000000" w:themeColor="text1"/>
            <w14:textFill>
              <w14:solidFill>
                <w14:schemeClr w14:val="tx1"/>
              </w14:solidFill>
            </w14:textFill>
          </w:rPr>
          <w:alias w:val="按组合计提坏账准备的应收账款详细名称明细"/>
          <w:tag w:val="_TUP_f0c1437e418b477abdaa018db20308d6"/>
          <w:id w:val="1386134377"/>
          <w:placeholder>
            <w:docPart w:val="{ae7d60a6-b0f4-4814-9bed-12a3bf4c5322}"/>
          </w:placeholder>
        </w:sdtPr>
        <w:sdtEndPr>
          <w:rPr>
            <w:rFonts w:cs="Times New Roman"/>
            <w:color w:val="000000" w:themeColor="text1"/>
            <w:highlight w:val="yellow"/>
            <w14:textFill>
              <w14:solidFill>
                <w14:schemeClr w14:val="tx1"/>
              </w14:solidFill>
            </w14:textFill>
          </w:rPr>
        </w:sdtEndPr>
        <w:sdtContent>
          <w:tr w14:paraId="264D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25489EB7">
                <w:pPr>
                  <w:rPr>
                    <w:rFonts w:cs="Times New Roman"/>
                  </w:rPr>
                </w:pPr>
                <w:r>
                  <w:rPr>
                    <w:rFonts w:cs="Times New Roman"/>
                  </w:rPr>
                  <w:t>1－2年</w:t>
                </w:r>
              </w:p>
            </w:tc>
            <w:tc>
              <w:tcPr>
                <w:tcW w:w="1276" w:type="pct"/>
              </w:tcPr>
              <w:p w14:paraId="4F36A403">
                <w:pPr>
                  <w:jc w:val="right"/>
                  <w:rPr>
                    <w:rFonts w:cs="Times New Roman"/>
                  </w:rPr>
                </w:pPr>
              </w:p>
            </w:tc>
            <w:tc>
              <w:tcPr>
                <w:tcW w:w="1299" w:type="pct"/>
              </w:tcPr>
              <w:p w14:paraId="01A9E7BB">
                <w:pPr>
                  <w:jc w:val="right"/>
                  <w:rPr>
                    <w:rFonts w:cs="Times New Roman"/>
                  </w:rPr>
                </w:pPr>
              </w:p>
            </w:tc>
            <w:tc>
              <w:tcPr>
                <w:tcW w:w="1267" w:type="pct"/>
              </w:tcPr>
              <w:p w14:paraId="0B05638E">
                <w:pPr>
                  <w:jc w:val="right"/>
                  <w:rPr>
                    <w:rFonts w:cs="Times New Roman"/>
                  </w:rPr>
                </w:pPr>
              </w:p>
            </w:tc>
          </w:tr>
        </w:sdtContent>
      </w:sdt>
      <w:sdt>
        <w:sdtPr>
          <w:rPr>
            <w:rFonts w:cs="Times New Roman"/>
            <w:color w:val="000000" w:themeColor="text1"/>
            <w14:textFill>
              <w14:solidFill>
                <w14:schemeClr w14:val="tx1"/>
              </w14:solidFill>
            </w14:textFill>
          </w:rPr>
          <w:alias w:val="按组合计提坏账准备的应收账款详细名称明细"/>
          <w:tag w:val="_TUP_f0c1437e418b477abdaa018db20308d6"/>
          <w:id w:val="326019652"/>
          <w:placeholder>
            <w:docPart w:val="{ae7d60a6-b0f4-4814-9bed-12a3bf4c5322}"/>
          </w:placeholder>
        </w:sdtPr>
        <w:sdtEndPr>
          <w:rPr>
            <w:rFonts w:cs="Times New Roman"/>
            <w:color w:val="000000" w:themeColor="text1"/>
            <w:highlight w:val="yellow"/>
            <w14:textFill>
              <w14:solidFill>
                <w14:schemeClr w14:val="tx1"/>
              </w14:solidFill>
            </w14:textFill>
          </w:rPr>
        </w:sdtEndPr>
        <w:sdtContent>
          <w:tr w14:paraId="1842A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7D1F3221">
                <w:pPr>
                  <w:rPr>
                    <w:rFonts w:cs="Times New Roman"/>
                  </w:rPr>
                </w:pPr>
                <w:r>
                  <w:rPr>
                    <w:rFonts w:cs="Times New Roman"/>
                  </w:rPr>
                  <w:t>2－3年</w:t>
                </w:r>
              </w:p>
            </w:tc>
            <w:tc>
              <w:tcPr>
                <w:tcW w:w="1276" w:type="pct"/>
                <w:vAlign w:val="center"/>
              </w:tcPr>
              <w:p w14:paraId="52040994">
                <w:pPr>
                  <w:jc w:val="right"/>
                  <w:rPr>
                    <w:rFonts w:cs="Times New Roman"/>
                  </w:rPr>
                </w:pPr>
                <w:r>
                  <w:rPr>
                    <w:rFonts w:cs="Times New Roman"/>
                  </w:rPr>
                  <w:t>100,645.12</w:t>
                </w:r>
              </w:p>
            </w:tc>
            <w:tc>
              <w:tcPr>
                <w:tcW w:w="1299" w:type="pct"/>
                <w:vAlign w:val="center"/>
              </w:tcPr>
              <w:p w14:paraId="3D90A646">
                <w:pPr>
                  <w:jc w:val="right"/>
                  <w:rPr>
                    <w:rFonts w:cs="Times New Roman"/>
                  </w:rPr>
                </w:pPr>
                <w:r>
                  <w:rPr>
                    <w:rFonts w:cs="Times New Roman"/>
                  </w:rPr>
                  <w:t>50,322.56</w:t>
                </w:r>
              </w:p>
            </w:tc>
            <w:tc>
              <w:tcPr>
                <w:tcW w:w="1267" w:type="pct"/>
                <w:vAlign w:val="center"/>
              </w:tcPr>
              <w:p w14:paraId="7075F434">
                <w:pPr>
                  <w:jc w:val="right"/>
                  <w:rPr>
                    <w:rFonts w:cs="Times New Roman"/>
                  </w:rPr>
                </w:pPr>
                <w:r>
                  <w:rPr>
                    <w:rFonts w:cs="Times New Roman"/>
                  </w:rPr>
                  <w:t>50.00</w:t>
                </w:r>
              </w:p>
            </w:tc>
          </w:tr>
        </w:sdtContent>
      </w:sdt>
      <w:sdt>
        <w:sdtPr>
          <w:rPr>
            <w:rFonts w:cs="Times New Roman"/>
            <w:color w:val="000000" w:themeColor="text1"/>
            <w14:textFill>
              <w14:solidFill>
                <w14:schemeClr w14:val="tx1"/>
              </w14:solidFill>
            </w14:textFill>
          </w:rPr>
          <w:alias w:val="按组合计提坏账准备的应收账款详细名称明细"/>
          <w:tag w:val="_TUP_f0c1437e418b477abdaa018db20308d6"/>
          <w:id w:val="1707752881"/>
          <w:placeholder>
            <w:docPart w:val="{ae7d60a6-b0f4-4814-9bed-12a3bf4c5322}"/>
          </w:placeholder>
        </w:sdtPr>
        <w:sdtEndPr>
          <w:rPr>
            <w:rFonts w:cs="Times New Roman"/>
            <w:color w:val="000000" w:themeColor="text1"/>
            <w:highlight w:val="yellow"/>
            <w14:textFill>
              <w14:solidFill>
                <w14:schemeClr w14:val="tx1"/>
              </w14:solidFill>
            </w14:textFill>
          </w:rPr>
        </w:sdtEndPr>
        <w:sdtContent>
          <w:tr w14:paraId="2AAF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39BE74E8">
                <w:pPr>
                  <w:rPr>
                    <w:rFonts w:cs="Times New Roman"/>
                  </w:rPr>
                </w:pPr>
                <w:r>
                  <w:rPr>
                    <w:rFonts w:cs="Times New Roman"/>
                  </w:rPr>
                  <w:t>3－4年</w:t>
                </w:r>
              </w:p>
            </w:tc>
            <w:tc>
              <w:tcPr>
                <w:tcW w:w="1276" w:type="pct"/>
                <w:vAlign w:val="center"/>
              </w:tcPr>
              <w:p w14:paraId="20F991CB">
                <w:pPr>
                  <w:jc w:val="right"/>
                  <w:rPr>
                    <w:rFonts w:cs="Times New Roman"/>
                  </w:rPr>
                </w:pPr>
                <w:r>
                  <w:rPr>
                    <w:rFonts w:cs="Times New Roman"/>
                  </w:rPr>
                  <w:t>91,557.00</w:t>
                </w:r>
              </w:p>
            </w:tc>
            <w:tc>
              <w:tcPr>
                <w:tcW w:w="1299" w:type="pct"/>
                <w:vAlign w:val="center"/>
              </w:tcPr>
              <w:p w14:paraId="4E4F8025">
                <w:pPr>
                  <w:jc w:val="right"/>
                  <w:rPr>
                    <w:rFonts w:cs="Times New Roman"/>
                  </w:rPr>
                </w:pPr>
                <w:r>
                  <w:rPr>
                    <w:rFonts w:cs="Times New Roman"/>
                  </w:rPr>
                  <w:t>64,089.90</w:t>
                </w:r>
              </w:p>
            </w:tc>
            <w:tc>
              <w:tcPr>
                <w:tcW w:w="1267" w:type="pct"/>
                <w:vAlign w:val="center"/>
              </w:tcPr>
              <w:p w14:paraId="315B6720">
                <w:pPr>
                  <w:jc w:val="right"/>
                  <w:rPr>
                    <w:rFonts w:cs="Times New Roman"/>
                  </w:rPr>
                </w:pPr>
                <w:r>
                  <w:rPr>
                    <w:rFonts w:cs="Times New Roman"/>
                  </w:rPr>
                  <w:t>70.00</w:t>
                </w:r>
              </w:p>
            </w:tc>
          </w:tr>
        </w:sdtContent>
      </w:sdt>
      <w:sdt>
        <w:sdtPr>
          <w:rPr>
            <w:rFonts w:cs="Times New Roman"/>
            <w:color w:val="000000" w:themeColor="text1"/>
            <w14:textFill>
              <w14:solidFill>
                <w14:schemeClr w14:val="tx1"/>
              </w14:solidFill>
            </w14:textFill>
          </w:rPr>
          <w:alias w:val="按组合计提坏账准备的应收账款详细名称明细"/>
          <w:tag w:val="_TUP_f0c1437e418b477abdaa018db20308d6"/>
          <w:id w:val="12428546"/>
          <w:placeholder>
            <w:docPart w:val="{ae7d60a6-b0f4-4814-9bed-12a3bf4c5322}"/>
          </w:placeholder>
        </w:sdtPr>
        <w:sdtEndPr>
          <w:rPr>
            <w:rFonts w:cs="Times New Roman"/>
            <w:color w:val="000000" w:themeColor="text1"/>
            <w:highlight w:val="yellow"/>
            <w14:textFill>
              <w14:solidFill>
                <w14:schemeClr w14:val="tx1"/>
              </w14:solidFill>
            </w14:textFill>
          </w:rPr>
        </w:sdtEndPr>
        <w:sdtContent>
          <w:tr w14:paraId="64E67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0C972F8C">
                <w:pPr>
                  <w:rPr>
                    <w:rFonts w:cs="Times New Roman"/>
                  </w:rPr>
                </w:pPr>
                <w:r>
                  <w:rPr>
                    <w:rFonts w:cs="Times New Roman"/>
                  </w:rPr>
                  <w:t>4－5年</w:t>
                </w:r>
              </w:p>
            </w:tc>
            <w:tc>
              <w:tcPr>
                <w:tcW w:w="1276" w:type="pct"/>
                <w:vAlign w:val="center"/>
              </w:tcPr>
              <w:p w14:paraId="49FFB231">
                <w:pPr>
                  <w:jc w:val="right"/>
                  <w:rPr>
                    <w:rFonts w:cs="Times New Roman"/>
                  </w:rPr>
                </w:pPr>
              </w:p>
            </w:tc>
            <w:tc>
              <w:tcPr>
                <w:tcW w:w="1299" w:type="pct"/>
                <w:vAlign w:val="center"/>
              </w:tcPr>
              <w:p w14:paraId="070EAAD9">
                <w:pPr>
                  <w:jc w:val="right"/>
                  <w:rPr>
                    <w:rFonts w:cs="Times New Roman"/>
                  </w:rPr>
                </w:pPr>
              </w:p>
            </w:tc>
            <w:tc>
              <w:tcPr>
                <w:tcW w:w="1267" w:type="pct"/>
                <w:vAlign w:val="center"/>
              </w:tcPr>
              <w:p w14:paraId="290CE859">
                <w:pPr>
                  <w:jc w:val="right"/>
                  <w:rPr>
                    <w:rFonts w:cs="Times New Roman"/>
                  </w:rPr>
                </w:pPr>
              </w:p>
            </w:tc>
          </w:tr>
        </w:sdtContent>
      </w:sdt>
      <w:sdt>
        <w:sdtPr>
          <w:rPr>
            <w:rFonts w:cs="Times New Roman"/>
            <w:color w:val="000000" w:themeColor="text1"/>
            <w14:textFill>
              <w14:solidFill>
                <w14:schemeClr w14:val="tx1"/>
              </w14:solidFill>
            </w14:textFill>
          </w:rPr>
          <w:alias w:val="按组合计提坏账准备的应收账款详细名称明细"/>
          <w:tag w:val="_TUP_f0c1437e418b477abdaa018db20308d6"/>
          <w:id w:val="1439798538"/>
          <w:placeholder>
            <w:docPart w:val="{ae7d60a6-b0f4-4814-9bed-12a3bf4c5322}"/>
          </w:placeholder>
        </w:sdtPr>
        <w:sdtEndPr>
          <w:rPr>
            <w:rFonts w:cs="Times New Roman"/>
            <w:color w:val="000000" w:themeColor="text1"/>
            <w:highlight w:val="yellow"/>
            <w14:textFill>
              <w14:solidFill>
                <w14:schemeClr w14:val="tx1"/>
              </w14:solidFill>
            </w14:textFill>
          </w:rPr>
        </w:sdtEndPr>
        <w:sdtContent>
          <w:tr w14:paraId="31907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14:paraId="650F5FC9">
                <w:pPr>
                  <w:rPr>
                    <w:rFonts w:cs="Times New Roman"/>
                  </w:rPr>
                </w:pPr>
                <w:r>
                  <w:rPr>
                    <w:rFonts w:cs="Times New Roman"/>
                  </w:rPr>
                  <w:t>5年以上</w:t>
                </w:r>
              </w:p>
            </w:tc>
            <w:tc>
              <w:tcPr>
                <w:tcW w:w="1276" w:type="pct"/>
                <w:vAlign w:val="center"/>
              </w:tcPr>
              <w:p w14:paraId="0F451D4B">
                <w:pPr>
                  <w:jc w:val="right"/>
                  <w:rPr>
                    <w:rFonts w:cs="Times New Roman"/>
                  </w:rPr>
                </w:pPr>
                <w:r>
                  <w:rPr>
                    <w:rFonts w:cs="Times New Roman"/>
                  </w:rPr>
                  <w:t>1,195,430.81</w:t>
                </w:r>
              </w:p>
            </w:tc>
            <w:tc>
              <w:tcPr>
                <w:tcW w:w="1299" w:type="pct"/>
                <w:vAlign w:val="center"/>
              </w:tcPr>
              <w:p w14:paraId="63A721DE">
                <w:pPr>
                  <w:jc w:val="right"/>
                  <w:rPr>
                    <w:rFonts w:cs="Times New Roman"/>
                  </w:rPr>
                </w:pPr>
                <w:r>
                  <w:rPr>
                    <w:rFonts w:cs="Times New Roman"/>
                  </w:rPr>
                  <w:t>1,195,430.81</w:t>
                </w:r>
              </w:p>
            </w:tc>
            <w:tc>
              <w:tcPr>
                <w:tcW w:w="1267" w:type="pct"/>
                <w:vAlign w:val="center"/>
              </w:tcPr>
              <w:p w14:paraId="1558A1F1">
                <w:pPr>
                  <w:jc w:val="right"/>
                  <w:rPr>
                    <w:rFonts w:cs="Times New Roman"/>
                  </w:rPr>
                </w:pPr>
                <w:r>
                  <w:rPr>
                    <w:rFonts w:cs="Times New Roman"/>
                  </w:rPr>
                  <w:t>100.00</w:t>
                </w:r>
              </w:p>
            </w:tc>
          </w:tr>
        </w:sdtContent>
      </w:sdt>
      <w:tr w14:paraId="361CA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435948144728481980336a881622f9ca"/>
            <w:id w:val="18830915"/>
          </w:sdtPr>
          <w:sdtEndPr>
            <w:rPr>
              <w:rFonts w:cs="Times New Roman"/>
            </w:rPr>
          </w:sdtEndPr>
          <w:sdtContent>
            <w:tc>
              <w:tcPr>
                <w:tcW w:w="1158" w:type="pct"/>
                <w:vAlign w:val="center"/>
              </w:tcPr>
              <w:p w14:paraId="6007B5B7">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c>
          <w:tcPr>
            <w:tcW w:w="1276" w:type="pct"/>
            <w:vAlign w:val="center"/>
          </w:tcPr>
          <w:p w14:paraId="2C99748F">
            <w:pPr>
              <w:jc w:val="right"/>
              <w:rPr>
                <w:rFonts w:cs="Times New Roman"/>
              </w:rPr>
            </w:pPr>
            <w:r>
              <w:rPr>
                <w:rFonts w:cs="Times New Roman"/>
              </w:rPr>
              <w:t>1,387,632.93</w:t>
            </w:r>
          </w:p>
        </w:tc>
        <w:tc>
          <w:tcPr>
            <w:tcW w:w="1299" w:type="pct"/>
            <w:vAlign w:val="center"/>
          </w:tcPr>
          <w:p w14:paraId="3C731764">
            <w:pPr>
              <w:jc w:val="right"/>
              <w:rPr>
                <w:rFonts w:cs="Times New Roman"/>
              </w:rPr>
            </w:pPr>
            <w:r>
              <w:rPr>
                <w:rFonts w:cs="Times New Roman"/>
              </w:rPr>
              <w:t>1,309,843.27</w:t>
            </w:r>
          </w:p>
        </w:tc>
        <w:tc>
          <w:tcPr>
            <w:tcW w:w="1267" w:type="pct"/>
            <w:vAlign w:val="center"/>
          </w:tcPr>
          <w:p w14:paraId="19F91918">
            <w:pPr>
              <w:jc w:val="right"/>
              <w:rPr>
                <w:rFonts w:cs="Times New Roman"/>
              </w:rPr>
            </w:pPr>
            <w:r>
              <w:rPr>
                <w:rFonts w:cs="Times New Roman"/>
              </w:rPr>
              <w:t>94.39</w:t>
            </w:r>
          </w:p>
        </w:tc>
      </w:tr>
    </w:tbl>
    <w:p w14:paraId="6A49A641">
      <w:pPr>
        <w:rPr>
          <w:color w:val="000000" w:themeColor="text1"/>
          <w14:textFill>
            <w14:solidFill>
              <w14:schemeClr w14:val="tx1"/>
            </w14:solidFill>
          </w14:textFill>
        </w:rPr>
      </w:pPr>
      <w:r>
        <w:rPr>
          <w:rFonts w:hint="eastAsia"/>
          <w:color w:val="000000" w:themeColor="text1"/>
          <w14:textFill>
            <w14:solidFill>
              <w14:schemeClr w14:val="tx1"/>
            </w14:solidFill>
          </w14:textFill>
        </w:rPr>
        <w:t>按组合计提坏账准备的说明：</w:t>
      </w:r>
    </w:p>
    <w:sdt>
      <w:sdtPr>
        <w:rPr>
          <w:color w:val="000000" w:themeColor="text1"/>
          <w14:textFill>
            <w14:solidFill>
              <w14:schemeClr w14:val="tx1"/>
            </w14:solidFill>
          </w14:textFill>
        </w:rPr>
        <w:alias w:val="是否适用：母公司应收账款按组合计提坏账的确认标准及说明[双击切换]"/>
        <w:tag w:val="_GBC_186c78f5430148f29cc239ac6b530e5e"/>
        <w:id w:val="-1784031462"/>
      </w:sdtPr>
      <w:sdtEndPr>
        <w:rPr>
          <w:color w:val="000000" w:themeColor="text1"/>
          <w14:textFill>
            <w14:solidFill>
              <w14:schemeClr w14:val="tx1"/>
            </w14:solidFill>
          </w14:textFill>
        </w:rPr>
      </w:sdtEndPr>
      <w:sdtContent>
        <w:p w14:paraId="4D61C40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7086683C">
      <w:pPr>
        <w:rPr>
          <w:color w:val="000000" w:themeColor="text1"/>
          <w14:textFill>
            <w14:solidFill>
              <w14:schemeClr w14:val="tx1"/>
            </w14:solidFill>
          </w14:textFill>
        </w:rPr>
      </w:pPr>
    </w:p>
    <w:p w14:paraId="594CC568">
      <w:pPr>
        <w:rPr>
          <w:color w:val="000000" w:themeColor="text1"/>
          <w14:textFill>
            <w14:solidFill>
              <w14:schemeClr w14:val="tx1"/>
            </w14:solidFill>
          </w14:textFill>
        </w:rPr>
      </w:pPr>
    </w:p>
    <w:p w14:paraId="2ECF6753">
      <w:pPr>
        <w:rPr>
          <w:color w:val="000000" w:themeColor="text1"/>
          <w14:textFill>
            <w14:solidFill>
              <w14:schemeClr w14:val="tx1"/>
            </w14:solidFill>
          </w14:textFill>
        </w:rPr>
      </w:pPr>
      <w:bookmarkStart w:id="440" w:name="_Hlk167980591"/>
      <w:bookmarkStart w:id="441" w:name="_Hlk534616017"/>
      <w:r>
        <w:rPr>
          <w:rFonts w:hint="eastAsia"/>
          <w:color w:val="000000" w:themeColor="text1"/>
          <w14:textFill>
            <w14:solidFill>
              <w14:schemeClr w14:val="tx1"/>
            </w14:solidFill>
          </w14:textFill>
        </w:rPr>
        <w:t>按预期信用损失一般模型计提坏账准备</w:t>
      </w:r>
    </w:p>
    <w:sdt>
      <w:sdtPr>
        <w:rPr>
          <w:color w:val="000000" w:themeColor="text1"/>
          <w14:textFill>
            <w14:solidFill>
              <w14:schemeClr w14:val="tx1"/>
            </w14:solidFill>
          </w14:textFill>
        </w:rPr>
        <w:alias w:val="是否适用：母公司应收账款按一般预计信用损失模型计提坏账[双击切换]"/>
        <w:tag w:val="_GBC_f0abda0ef94e4c708c624cb545c56aeb"/>
        <w:id w:val="147482697"/>
        <w:placeholder>
          <w:docPart w:val="GBC22222222222222222222222222222"/>
        </w:placeholder>
      </w:sdtPr>
      <w:sdtEndPr>
        <w:rPr>
          <w:color w:val="000000" w:themeColor="text1"/>
          <w14:textFill>
            <w14:solidFill>
              <w14:schemeClr w14:val="tx1"/>
            </w14:solidFill>
          </w14:textFill>
        </w:rPr>
      </w:sdtEndPr>
      <w:sdtContent>
        <w:p w14:paraId="1DAB2907">
          <w:pPr>
            <w:autoSpaceDE w:val="0"/>
            <w:autoSpaceDN w:val="0"/>
            <w:adjustRightInd w:val="0"/>
            <w:ind w:right="105" w:rightChars="5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A22591B">
      <w:pPr>
        <w:autoSpaceDE w:val="0"/>
        <w:autoSpaceDN w:val="0"/>
        <w:adjustRightInd w:val="0"/>
        <w:ind w:right="105" w:rightChars="50"/>
        <w:rPr>
          <w:color w:val="000000" w:themeColor="text1"/>
          <w14:textFill>
            <w14:solidFill>
              <w14:schemeClr w14:val="tx1"/>
            </w14:solidFill>
          </w14:textFill>
        </w:rPr>
      </w:pPr>
    </w:p>
    <w:p w14:paraId="52AA58FB">
      <w:pPr>
        <w:autoSpaceDE w:val="0"/>
        <w:autoSpaceDN w:val="0"/>
        <w:adjustRightInd w:val="0"/>
        <w:ind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各阶段划分依据和坏账准备计提比例</w:t>
      </w:r>
    </w:p>
    <w:sdt>
      <w:sdtPr>
        <w:rPr>
          <w:rFonts w:cs="Times New Roman"/>
          <w:bCs w:val="0"/>
          <w:color w:val="000000" w:themeColor="text1"/>
          <w:szCs w:val="22"/>
          <w14:textFill>
            <w14:solidFill>
              <w14:schemeClr w14:val="tx1"/>
            </w14:solidFill>
          </w14:textFill>
        </w:rPr>
        <w:alias w:val="各阶段划分依据和坏账准备计提比例"/>
        <w:tag w:val="_GBC_0489be1e98c542ca9f393e48f8ce8d06"/>
        <w:id w:val="147455231"/>
        <w:placeholder>
          <w:docPart w:val="GBC22222222222222222222222222222"/>
        </w:placeholder>
      </w:sdtPr>
      <w:sdtEndPr>
        <w:rPr>
          <w:rFonts w:cs="Times New Roman"/>
          <w:bCs w:val="0"/>
          <w:color w:val="000000" w:themeColor="text1"/>
          <w:szCs w:val="22"/>
          <w14:textFill>
            <w14:solidFill>
              <w14:schemeClr w14:val="tx1"/>
            </w14:solidFill>
          </w14:textFill>
        </w:rPr>
      </w:sdtEndPr>
      <w:sdtContent>
        <w:p w14:paraId="025D11CE">
          <w:pPr>
            <w:rPr>
              <w:rFonts w:cs="Times New Roman"/>
              <w:bCs w:val="0"/>
              <w:color w:val="000000" w:themeColor="text1"/>
              <w:szCs w:val="22"/>
              <w14:textFill>
                <w14:solidFill>
                  <w14:schemeClr w14:val="tx1"/>
                </w14:solidFill>
              </w14:textFill>
            </w:rPr>
          </w:pPr>
          <w:r>
            <w:rPr>
              <w:rFonts w:hint="eastAsia" w:cs="Times New Roman"/>
              <w:bCs w:val="0"/>
              <w:color w:val="000000" w:themeColor="text1"/>
              <w:szCs w:val="22"/>
              <w14:textFill>
                <w14:solidFill>
                  <w14:schemeClr w14:val="tx1"/>
                </w14:solidFill>
              </w14:textFill>
            </w:rPr>
            <w:t>无</w:t>
          </w:r>
        </w:p>
      </w:sdtContent>
    </w:sdt>
    <w:p w14:paraId="2572C28E">
      <w:pPr>
        <w:rPr>
          <w:color w:val="000000" w:themeColor="text1"/>
          <w14:textFill>
            <w14:solidFill>
              <w14:schemeClr w14:val="tx1"/>
            </w14:solidFill>
          </w14:textFill>
        </w:rPr>
      </w:pPr>
    </w:p>
    <w:p w14:paraId="4DE05FC2">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对本期发生损失准备变动的应收账款账面余额显著变动的情况说明：</w:t>
      </w:r>
    </w:p>
    <w:sdt>
      <w:sdtPr>
        <w:rPr>
          <w:color w:val="000000" w:themeColor="text1"/>
          <w14:textFill>
            <w14:solidFill>
              <w14:schemeClr w14:val="tx1"/>
            </w14:solidFill>
          </w14:textFill>
        </w:rPr>
        <w:alias w:val="是否适用：母公司对本期发生损失准备变动的账面余额显著变动的情况说明[双击切换]"/>
        <w:tag w:val="_GBC_c77cf591dcd24f7788bd4150e02a7f8f"/>
        <w:id w:val="147464409"/>
        <w:placeholder>
          <w:docPart w:val="GBC22222222222222222222222222222"/>
        </w:placeholder>
      </w:sdtPr>
      <w:sdtEndPr>
        <w:rPr>
          <w:color w:val="000000" w:themeColor="text1"/>
          <w14:textFill>
            <w14:solidFill>
              <w14:schemeClr w14:val="tx1"/>
            </w14:solidFill>
          </w14:textFill>
        </w:rPr>
      </w:sdtEndPr>
      <w:sdtContent>
        <w:p w14:paraId="770671BC">
          <w:pPr>
            <w:autoSpaceDE w:val="0"/>
            <w:autoSpaceDN w:val="0"/>
            <w:adjustRightInd w:val="0"/>
            <w:ind w:right="105" w:rightChars="5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BC0503E">
      <w:pPr>
        <w:rPr>
          <w:color w:val="000000" w:themeColor="text1"/>
          <w14:textFill>
            <w14:solidFill>
              <w14:schemeClr w14:val="tx1"/>
            </w14:solidFill>
          </w14:textFill>
        </w:rPr>
      </w:pPr>
    </w:p>
    <w:bookmarkEnd w:id="440"/>
    <w:bookmarkEnd w:id="441"/>
    <w:p w14:paraId="5B0F01BE">
      <w:pPr>
        <w:pStyle w:val="58"/>
        <w:numPr>
          <w:ilvl w:val="3"/>
          <w:numId w:val="117"/>
        </w:numPr>
        <w:ind w:left="406" w:hanging="406" w:hangingChars="202"/>
        <w:rPr>
          <w:color w:val="000000" w:themeColor="text1"/>
          <w14:textFill>
            <w14:solidFill>
              <w14:schemeClr w14:val="tx1"/>
            </w14:solidFill>
          </w14:textFill>
        </w:rPr>
      </w:pPr>
      <w:bookmarkStart w:id="442" w:name="_Hlk10540190"/>
      <w:bookmarkStart w:id="443" w:name="_Hlk10540207"/>
      <w:r>
        <w:rPr>
          <w:rFonts w:hint="eastAsia"/>
          <w:color w:val="000000" w:themeColor="text1"/>
          <w14:textFill>
            <w14:solidFill>
              <w14:schemeClr w14:val="tx1"/>
            </w14:solidFill>
          </w14:textFill>
        </w:rPr>
        <w:t>坏账准备的情况</w:t>
      </w:r>
      <w:bookmarkEnd w:id="442"/>
    </w:p>
    <w:sdt>
      <w:sdtPr>
        <w:rPr>
          <w:color w:val="000000" w:themeColor="text1"/>
          <w14:textFill>
            <w14:solidFill>
              <w14:schemeClr w14:val="tx1"/>
            </w14:solidFill>
          </w14:textFill>
        </w:rPr>
        <w:alias w:val="是否适用：母公司应收账款坏账准备情况[双击切换]"/>
        <w:tag w:val="_GBC_f73789de2ecf49c4bad380c8767c93cf"/>
        <w:id w:val="147451640"/>
        <w:lock w:val="contentLocked"/>
        <w:placeholder>
          <w:docPart w:val="GBC22222222222222222222222222222"/>
        </w:placeholder>
      </w:sdtPr>
      <w:sdtEndPr>
        <w:rPr>
          <w:color w:val="000000" w:themeColor="text1"/>
          <w14:textFill>
            <w14:solidFill>
              <w14:schemeClr w14:val="tx1"/>
            </w14:solidFill>
          </w14:textFill>
        </w:rPr>
      </w:sdtEndPr>
      <w:sdtContent>
        <w:p w14:paraId="57351E8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443"/>
    <w:p w14:paraId="106030D8">
      <w:pPr>
        <w:pStyle w:val="50"/>
        <w:snapToGrid w:val="0"/>
        <w:spacing w:line="240" w:lineRule="atLeast"/>
        <w:ind w:left="425" w:firstLine="0" w:firstLineChars="0"/>
        <w:jc w:val="right"/>
        <w:rPr>
          <w:rFonts w:ascii="宋体" w:hAnsi="宋体"/>
          <w:color w:val="000000" w:themeColor="text1"/>
          <w:szCs w:val="21"/>
          <w14:textFill>
            <w14:solidFill>
              <w14:schemeClr w14:val="tx1"/>
            </w14:solidFill>
          </w14:textFill>
        </w:rPr>
      </w:pPr>
      <w:bookmarkStart w:id="444" w:name="_Hlk153789356"/>
      <w:bookmarkStart w:id="445" w:name="_Hlk167981805"/>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母公司应收账款坏账准备情况"/>
          <w:tag w:val="_GBC_b1cb6a2ed32f4cbba0ff71c0724458cf"/>
          <w:id w:val="1553891157"/>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母公司应收账款坏账准备情况"/>
          <w:tag w:val="_GBC_d354bf362fbe459f823a08ebfd7e3967"/>
          <w:id w:val="118818688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3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622"/>
        <w:gridCol w:w="2499"/>
        <w:gridCol w:w="2933"/>
      </w:tblGrid>
      <w:tr w14:paraId="71E9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12" w:hRule="atLeast"/>
          <w:jc w:val="center"/>
        </w:trPr>
        <w:sdt>
          <w:sdtPr>
            <w:tag w:val="_PLD_f6bf13992bdc4b06bd6f364458e0df47"/>
            <w:id w:val="1697588707"/>
          </w:sdtPr>
          <w:sdtContent>
            <w:tc>
              <w:tcPr>
                <w:tcW w:w="2000" w:type="pct"/>
                <w:vMerge w:val="restart"/>
                <w:shd w:val="clear" w:color="auto" w:fill="auto"/>
                <w:vAlign w:val="center"/>
              </w:tcPr>
              <w:p w14:paraId="17CB44D5">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类别</w:t>
                </w:r>
              </w:p>
            </w:tc>
          </w:sdtContent>
        </w:sdt>
        <w:sdt>
          <w:sdtPr>
            <w:tag w:val="_PLD_579b33cd0d7e490d998a64c9f202ccfb"/>
            <w:id w:val="-1254973908"/>
          </w:sdtPr>
          <w:sdtContent>
            <w:tc>
              <w:tcPr>
                <w:tcW w:w="1380" w:type="pct"/>
                <w:vMerge w:val="restart"/>
                <w:shd w:val="clear" w:color="auto" w:fill="auto"/>
                <w:vAlign w:val="center"/>
              </w:tcPr>
              <w:p w14:paraId="64CF46D6">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期初余额</w:t>
                </w:r>
              </w:p>
            </w:tc>
          </w:sdtContent>
        </w:sdt>
        <w:sdt>
          <w:sdtPr>
            <w:tag w:val="_PLD_dcc9f714adf8465eb1a49da61466de1f"/>
            <w:id w:val="1553966828"/>
          </w:sdtPr>
          <w:sdtContent>
            <w:tc>
              <w:tcPr>
                <w:tcW w:w="1619" w:type="pct"/>
                <w:vMerge w:val="restart"/>
                <w:shd w:val="clear" w:color="auto" w:fill="auto"/>
                <w:vAlign w:val="center"/>
              </w:tcPr>
              <w:p w14:paraId="01791300">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期末余额</w:t>
                </w:r>
              </w:p>
            </w:tc>
          </w:sdtContent>
        </w:sdt>
      </w:tr>
      <w:tr w14:paraId="25871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12" w:hRule="atLeast"/>
          <w:jc w:val="center"/>
        </w:trPr>
        <w:tc>
          <w:tcPr>
            <w:tcW w:w="2000" w:type="pct"/>
            <w:vMerge w:val="continue"/>
            <w:shd w:val="clear" w:color="auto" w:fill="FFFFFF"/>
          </w:tcPr>
          <w:p w14:paraId="492DB2D6">
            <w:pPr>
              <w:widowControl w:val="0"/>
              <w:jc w:val="center"/>
              <w:rPr>
                <w:color w:val="000000" w:themeColor="text1"/>
                <w14:textFill>
                  <w14:solidFill>
                    <w14:schemeClr w14:val="tx1"/>
                  </w14:solidFill>
                </w14:textFill>
              </w:rPr>
            </w:pPr>
          </w:p>
        </w:tc>
        <w:tc>
          <w:tcPr>
            <w:tcW w:w="1380" w:type="pct"/>
            <w:vMerge w:val="continue"/>
            <w:shd w:val="clear" w:color="auto" w:fill="FFFFFF"/>
          </w:tcPr>
          <w:p w14:paraId="2BD0611D">
            <w:pPr>
              <w:widowControl w:val="0"/>
              <w:jc w:val="center"/>
              <w:rPr>
                <w:color w:val="000000" w:themeColor="text1"/>
                <w14:textFill>
                  <w14:solidFill>
                    <w14:schemeClr w14:val="tx1"/>
                  </w14:solidFill>
                </w14:textFill>
              </w:rPr>
            </w:pPr>
          </w:p>
        </w:tc>
        <w:tc>
          <w:tcPr>
            <w:tcW w:w="1619" w:type="pct"/>
            <w:vMerge w:val="continue"/>
            <w:shd w:val="clear" w:color="auto" w:fill="FFFFFF"/>
          </w:tcPr>
          <w:p w14:paraId="59B380B1">
            <w:pPr>
              <w:widowControl w:val="0"/>
              <w:jc w:val="right"/>
              <w:rPr>
                <w:color w:val="000000" w:themeColor="text1"/>
                <w14:textFill>
                  <w14:solidFill>
                    <w14:schemeClr w14:val="tx1"/>
                  </w14:solidFill>
                </w14:textFill>
              </w:rPr>
            </w:pPr>
          </w:p>
        </w:tc>
      </w:tr>
      <w:sdt>
        <w:sdtPr>
          <w:rPr>
            <w:color w:val="000000" w:themeColor="text1"/>
            <w14:textFill>
              <w14:solidFill>
                <w14:schemeClr w14:val="tx1"/>
              </w14:solidFill>
            </w14:textFill>
          </w:rPr>
          <w:alias w:val="应收账款坏账准备明细"/>
          <w:tag w:val="_TUP_b4b5569b724a48fcad53c89b4a37cb1c"/>
          <w:id w:val="211551988"/>
          <w:placeholder>
            <w:docPart w:val="{925fd01c-26ac-4a40-af8f-15992ad9861c}"/>
          </w:placeholder>
        </w:sdtPr>
        <w:sdtEndPr>
          <w:rPr>
            <w:color w:val="000000" w:themeColor="text1"/>
            <w14:textFill>
              <w14:solidFill>
                <w14:schemeClr w14:val="tx1"/>
              </w14:solidFill>
            </w14:textFill>
          </w:rPr>
        </w:sdtEndPr>
        <w:sdtContent>
          <w:tr w14:paraId="4B01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2000" w:type="pct"/>
                <w:vAlign w:val="center"/>
              </w:tcPr>
              <w:p w14:paraId="78D6D202">
                <w:pPr>
                  <w:widowControl w:val="0"/>
                </w:pPr>
                <w:r>
                  <w:rPr>
                    <w:rFonts w:hint="eastAsia"/>
                  </w:rPr>
                  <w:t>按组合计提预期信用损失的应收账款</w:t>
                </w:r>
              </w:p>
            </w:tc>
            <w:tc>
              <w:tcPr>
                <w:tcW w:w="1380" w:type="pct"/>
                <w:vAlign w:val="center"/>
              </w:tcPr>
              <w:p w14:paraId="1044D9E8">
                <w:pPr>
                  <w:widowControl w:val="0"/>
                  <w:jc w:val="right"/>
                </w:pPr>
                <w:r>
                  <w:rPr>
                    <w:rFonts w:hint="eastAsia"/>
                  </w:rPr>
                  <w:t>1,309,843.27</w:t>
                </w:r>
              </w:p>
            </w:tc>
            <w:tc>
              <w:tcPr>
                <w:tcW w:w="1619" w:type="pct"/>
                <w:vAlign w:val="center"/>
              </w:tcPr>
              <w:p w14:paraId="2E1AE6F6">
                <w:pPr>
                  <w:widowControl w:val="0"/>
                  <w:jc w:val="right"/>
                </w:pPr>
                <w:r>
                  <w:rPr>
                    <w:rFonts w:hint="eastAsia"/>
                  </w:rPr>
                  <w:t>1,309,843.27</w:t>
                </w:r>
              </w:p>
            </w:tc>
          </w:tr>
        </w:sdtContent>
      </w:sdt>
      <w:sdt>
        <w:sdtPr>
          <w:alias w:val="应收账款坏账准备明细"/>
          <w:tag w:val="_TUP_b4b5569b724a48fcad53c89b4a37cb1c"/>
          <w:id w:val="761110644"/>
          <w:placeholder>
            <w:docPart w:val="{925fd01c-26ac-4a40-af8f-15992ad9861c}"/>
          </w:placeholder>
        </w:sdtPr>
        <w:sdtContent>
          <w:tr w14:paraId="51D7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sdt>
              <w:sdtPr>
                <w:tag w:val="_PLD_305ead24b9654c709cb715b961cef894"/>
                <w:id w:val="402645141"/>
              </w:sdtPr>
              <w:sdtContent>
                <w:tc>
                  <w:tcPr>
                    <w:tcW w:w="2000" w:type="pct"/>
                  </w:tcPr>
                  <w:p w14:paraId="4BF2E23C">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sdtContent>
            </w:sdt>
            <w:tc>
              <w:tcPr>
                <w:tcW w:w="1380" w:type="pct"/>
                <w:vAlign w:val="center"/>
              </w:tcPr>
              <w:p w14:paraId="0B4DB2F7">
                <w:pPr>
                  <w:widowControl w:val="0"/>
                  <w:jc w:val="right"/>
                </w:pPr>
                <w:r>
                  <w:rPr>
                    <w:rFonts w:hint="eastAsia"/>
                  </w:rPr>
                  <w:t>1,309,843.27</w:t>
                </w:r>
              </w:p>
            </w:tc>
            <w:tc>
              <w:tcPr>
                <w:tcW w:w="1619" w:type="pct"/>
                <w:vAlign w:val="center"/>
              </w:tcPr>
              <w:p w14:paraId="42D17F4C">
                <w:pPr>
                  <w:widowControl w:val="0"/>
                  <w:jc w:val="right"/>
                </w:pPr>
                <w:r>
                  <w:rPr>
                    <w:rFonts w:hint="eastAsia"/>
                  </w:rPr>
                  <w:t>1,309,843.27</w:t>
                </w:r>
              </w:p>
            </w:tc>
          </w:tr>
        </w:sdtContent>
      </w:sdt>
    </w:tbl>
    <w:p w14:paraId="60612F7D"/>
    <w:p w14:paraId="6DA1BB60">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其中本期坏账准备收回或转回金额重要的：</w:t>
      </w:r>
    </w:p>
    <w:sdt>
      <w:sdtPr>
        <w:rPr>
          <w:color w:val="000000" w:themeColor="text1"/>
          <w14:textFill>
            <w14:solidFill>
              <w14:schemeClr w14:val="tx1"/>
            </w14:solidFill>
          </w14:textFill>
        </w:rPr>
        <w:alias w:val="是否适用：母公司其中本期坏账准备收回或转回金额重要的[双击切换]"/>
        <w:tag w:val="_GBC_29cbd6f1a56c4bc9843a0a61bcf42c88"/>
        <w:id w:val="147482855"/>
        <w:placeholder>
          <w:docPart w:val="GBC22222222222222222222222222222"/>
        </w:placeholder>
      </w:sdtPr>
      <w:sdtEndPr>
        <w:rPr>
          <w:color w:val="000000" w:themeColor="text1"/>
          <w14:textFill>
            <w14:solidFill>
              <w14:schemeClr w14:val="tx1"/>
            </w14:solidFill>
          </w14:textFill>
        </w:rPr>
      </w:sdtEndPr>
      <w:sdtContent>
        <w:p w14:paraId="346D91C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56673CB">
      <w:pPr>
        <w:rPr>
          <w:color w:val="000000" w:themeColor="text1"/>
          <w14:textFill>
            <w14:solidFill>
              <w14:schemeClr w14:val="tx1"/>
            </w14:solidFill>
          </w14:textFill>
        </w:rPr>
      </w:pPr>
    </w:p>
    <w:p w14:paraId="1A862E5E">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应收账款坏账准备情况的说明"/>
        <w:tag w:val="_GBC_0ab588d220454a20ba505c5d15821534"/>
        <w:id w:val="147461557"/>
        <w:placeholder>
          <w:docPart w:val="GBC22222222222222222222222222222"/>
        </w:placeholder>
      </w:sdtPr>
      <w:sdtEndPr>
        <w:rPr>
          <w:color w:val="000000" w:themeColor="text1"/>
          <w14:textFill>
            <w14:solidFill>
              <w14:schemeClr w14:val="tx1"/>
            </w14:solidFill>
          </w14:textFill>
        </w:rPr>
      </w:sdtEndPr>
      <w:sdtContent>
        <w:p w14:paraId="72FF4EB2">
          <w:pPr>
            <w:ind w:right="-1594" w:rightChars="-759"/>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5B01AAEE">
      <w:pPr>
        <w:ind w:right="-1594" w:rightChars="-759"/>
        <w:rPr>
          <w:rFonts w:cs="Times New Roman"/>
          <w:color w:val="000000" w:themeColor="text1"/>
          <w:kern w:val="2"/>
          <w14:textFill>
            <w14:solidFill>
              <w14:schemeClr w14:val="tx1"/>
            </w14:solidFill>
          </w14:textFill>
        </w:rPr>
      </w:pPr>
    </w:p>
    <w:bookmarkEnd w:id="444"/>
    <w:bookmarkEnd w:id="445"/>
    <w:p w14:paraId="70394043">
      <w:pPr>
        <w:pStyle w:val="58"/>
        <w:numPr>
          <w:ilvl w:val="3"/>
          <w:numId w:val="117"/>
        </w:numPr>
        <w:ind w:left="406" w:hanging="406" w:hangingChars="202"/>
        <w:rPr>
          <w:color w:val="000000" w:themeColor="text1"/>
          <w14:textFill>
            <w14:solidFill>
              <w14:schemeClr w14:val="tx1"/>
            </w14:solidFill>
          </w14:textFill>
        </w:rPr>
      </w:pPr>
      <w:r>
        <w:rPr>
          <w:rFonts w:hint="eastAsia"/>
          <w:color w:val="000000" w:themeColor="text1"/>
          <w14:textFill>
            <w14:solidFill>
              <w14:schemeClr w14:val="tx1"/>
            </w14:solidFill>
          </w14:textFill>
        </w:rPr>
        <w:t>本期实际核销的应收账款情况</w:t>
      </w:r>
    </w:p>
    <w:sdt>
      <w:sdtPr>
        <w:rPr>
          <w:color w:val="000000" w:themeColor="text1"/>
          <w14:textFill>
            <w14:solidFill>
              <w14:schemeClr w14:val="tx1"/>
            </w14:solidFill>
          </w14:textFill>
        </w:rPr>
        <w:alias w:val="是否适用：母公司本期实际核销的应收账款情况[双击切换]"/>
        <w:tag w:val="_GBC_a8b9861b74fa43bdb4a98d13449f8f5e"/>
        <w:id w:val="147467321"/>
        <w:placeholder>
          <w:docPart w:val="GBC22222222222222222222222222222"/>
        </w:placeholder>
      </w:sdtPr>
      <w:sdtEndPr>
        <w:rPr>
          <w:color w:val="000000" w:themeColor="text1"/>
          <w14:textFill>
            <w14:solidFill>
              <w14:schemeClr w14:val="tx1"/>
            </w14:solidFill>
          </w14:textFill>
        </w:rPr>
      </w:sdtEndPr>
      <w:sdtContent>
        <w:p w14:paraId="73E184B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3C3DF2A">
      <w:pPr>
        <w:rPr>
          <w:color w:val="000000" w:themeColor="text1"/>
          <w14:textFill>
            <w14:solidFill>
              <w14:schemeClr w14:val="tx1"/>
            </w14:solidFill>
          </w14:textFill>
        </w:rPr>
      </w:pPr>
    </w:p>
    <w:p w14:paraId="1D490CAF">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其中重要的应收账款核销情况</w:t>
      </w:r>
    </w:p>
    <w:sdt>
      <w:sdtPr>
        <w:rPr>
          <w:color w:val="000000" w:themeColor="text1"/>
          <w14:textFill>
            <w14:solidFill>
              <w14:schemeClr w14:val="tx1"/>
            </w14:solidFill>
          </w14:textFill>
        </w:rPr>
        <w:alias w:val="是否适用：母公司其中重要的应收账款核销情况[双击切换]"/>
        <w:tag w:val="_GBC_827c9c10930747bc8ba843d89c64f1fb"/>
        <w:id w:val="147452152"/>
        <w:placeholder>
          <w:docPart w:val="GBC22222222222222222222222222222"/>
        </w:placeholder>
      </w:sdtPr>
      <w:sdtEndPr>
        <w:rPr>
          <w:color w:val="000000" w:themeColor="text1"/>
          <w14:textFill>
            <w14:solidFill>
              <w14:schemeClr w14:val="tx1"/>
            </w14:solidFill>
          </w14:textFill>
        </w:rPr>
      </w:sdtEndPr>
      <w:sdtContent>
        <w:p w14:paraId="2B743BAA">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95A9ED6">
      <w:pPr>
        <w:snapToGrid w:val="0"/>
        <w:spacing w:line="240" w:lineRule="atLeast"/>
        <w:rPr>
          <w:color w:val="000000" w:themeColor="text1"/>
          <w14:textFill>
            <w14:solidFill>
              <w14:schemeClr w14:val="tx1"/>
            </w14:solidFill>
          </w14:textFill>
        </w:rPr>
      </w:pPr>
    </w:p>
    <w:p w14:paraId="791670B5">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应收账款核销说明：</w:t>
      </w:r>
    </w:p>
    <w:sdt>
      <w:sdtPr>
        <w:rPr>
          <w:color w:val="000000" w:themeColor="text1"/>
          <w14:textFill>
            <w14:solidFill>
              <w14:schemeClr w14:val="tx1"/>
            </w14:solidFill>
          </w14:textFill>
        </w:rPr>
        <w:alias w:val="是否适用：母公司应收账款核销说明[双击切换]"/>
        <w:tag w:val="_GBC_36d2cef3128f4b3389b38ed29442e2b3"/>
        <w:id w:val="147467433"/>
        <w:placeholder>
          <w:docPart w:val="GBC22222222222222222222222222222"/>
        </w:placeholder>
      </w:sdtPr>
      <w:sdtEndPr>
        <w:rPr>
          <w:color w:val="000000" w:themeColor="text1"/>
          <w14:textFill>
            <w14:solidFill>
              <w14:schemeClr w14:val="tx1"/>
            </w14:solidFill>
          </w14:textFill>
        </w:rPr>
      </w:sdtEndPr>
      <w:sdtContent>
        <w:p w14:paraId="6C33F18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7A84A43">
      <w:pPr>
        <w:rPr>
          <w:color w:val="000000" w:themeColor="text1"/>
          <w14:textFill>
            <w14:solidFill>
              <w14:schemeClr w14:val="tx1"/>
            </w14:solidFill>
          </w14:textFill>
        </w:rPr>
      </w:pPr>
    </w:p>
    <w:p w14:paraId="0168A153">
      <w:pPr>
        <w:pStyle w:val="58"/>
        <w:numPr>
          <w:ilvl w:val="3"/>
          <w:numId w:val="117"/>
        </w:numPr>
        <w:ind w:left="406" w:hanging="406" w:hangingChars="202"/>
        <w:rPr>
          <w:color w:val="000000" w:themeColor="text1"/>
          <w14:textFill>
            <w14:solidFill>
              <w14:schemeClr w14:val="tx1"/>
            </w14:solidFill>
          </w14:textFill>
        </w:rPr>
      </w:pPr>
      <w:bookmarkStart w:id="446" w:name="_Hlk90023019"/>
      <w:bookmarkStart w:id="447" w:name="_Hlk167981941"/>
      <w:bookmarkStart w:id="448" w:name="_Hlk153789714"/>
      <w:r>
        <w:rPr>
          <w:rFonts w:hint="eastAsia"/>
          <w:color w:val="000000" w:themeColor="text1"/>
          <w14:textFill>
            <w14:solidFill>
              <w14:schemeClr w14:val="tx1"/>
            </w14:solidFill>
          </w14:textFill>
        </w:rPr>
        <w:t>按欠款方归集的期末余额前五名的应收账款和合同资产情况</w:t>
      </w:r>
    </w:p>
    <w:sdt>
      <w:sdtPr>
        <w:rPr>
          <w:rFonts w:hint="eastAsia"/>
          <w:color w:val="000000" w:themeColor="text1"/>
          <w14:textFill>
            <w14:solidFill>
              <w14:schemeClr w14:val="tx1"/>
            </w14:solidFill>
          </w14:textFill>
        </w:rPr>
        <w:alias w:val="是否适用：按欠款方归集的期末余额前五名的应收账款情况[双击切换]"/>
        <w:tag w:val="_GBC_9395e3af825547b4abf8734a6459492f"/>
        <w:id w:val="147469140"/>
        <w:placeholder>
          <w:docPart w:val="GBC22222222222222222222222222222"/>
        </w:placeholder>
      </w:sdtPr>
      <w:sdtEndPr>
        <w:rPr>
          <w:rFonts w:hint="eastAsia"/>
          <w:color w:val="000000" w:themeColor="text1"/>
          <w14:textFill>
            <w14:solidFill>
              <w14:schemeClr w14:val="tx1"/>
            </w14:solidFill>
          </w14:textFill>
        </w:rPr>
      </w:sdtEndPr>
      <w:sdtContent>
        <w:p w14:paraId="1270014E">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3538BED">
      <w:pPr>
        <w:snapToGrid w:val="0"/>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color w:val="000000" w:themeColor="text1"/>
            <w14:textFill>
              <w14:solidFill>
                <w14:schemeClr w14:val="tx1"/>
              </w14:solidFill>
            </w14:textFill>
          </w:rPr>
          <w:alias w:val="单位：财务附注：应收账款前五名欠款情况"/>
          <w:tag w:val="_GBC_d6261cbe3c904089bd795ccb3093ee73"/>
          <w:id w:val="14746711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应收账款前五名欠款情况"/>
          <w:tag w:val="_GBC_e64ffa6f9fba457f8f4da7574e1bd056"/>
          <w:id w:val="1474690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1"/>
        <w:gridCol w:w="1533"/>
        <w:gridCol w:w="1618"/>
        <w:gridCol w:w="1415"/>
        <w:gridCol w:w="1046"/>
      </w:tblGrid>
      <w:tr w14:paraId="24608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cs="Times New Roman"/>
            </w:rPr>
            <w:tag w:val="_PLD_66e33a7e6be44d5eb2d50643e6237cc4"/>
            <w:id w:val="147476655"/>
          </w:sdtPr>
          <w:sdtEndPr>
            <w:rPr>
              <w:rFonts w:cs="Times New Roman"/>
            </w:rPr>
          </w:sdtEndPr>
          <w:sdtContent>
            <w:tc>
              <w:tcPr>
                <w:tcW w:w="1818" w:type="pct"/>
                <w:vAlign w:val="center"/>
              </w:tcPr>
              <w:p w14:paraId="2B4F4E24">
                <w:pPr>
                  <w:ind w:right="105"/>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单位名称</w:t>
                </w:r>
              </w:p>
            </w:tc>
          </w:sdtContent>
        </w:sdt>
        <w:sdt>
          <w:sdtPr>
            <w:rPr>
              <w:rFonts w:cs="Times New Roman"/>
            </w:rPr>
            <w:tag w:val="_PLD_e60db498c5ba4a96a970a6ce918e5153"/>
            <w:id w:val="147459826"/>
          </w:sdtPr>
          <w:sdtEndPr>
            <w:rPr>
              <w:rFonts w:cs="Times New Roman"/>
            </w:rPr>
          </w:sdtEndPr>
          <w:sdtContent>
            <w:tc>
              <w:tcPr>
                <w:tcW w:w="868" w:type="pct"/>
                <w:vAlign w:val="center"/>
              </w:tcPr>
              <w:p w14:paraId="50F4C1AE">
                <w:pPr>
                  <w:ind w:right="73"/>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应收账款期末余额</w:t>
                </w:r>
              </w:p>
            </w:tc>
          </w:sdtContent>
        </w:sdt>
        <w:sdt>
          <w:sdtPr>
            <w:rPr>
              <w:rFonts w:cs="Times New Roman"/>
            </w:rPr>
            <w:tag w:val="_PLD_301be10e795242c58ee556a8cd07660a"/>
            <w:id w:val="147468364"/>
          </w:sdtPr>
          <w:sdtEndPr>
            <w:rPr>
              <w:rFonts w:cs="Times New Roman"/>
            </w:rPr>
          </w:sdtEndPr>
          <w:sdtContent>
            <w:tc>
              <w:tcPr>
                <w:tcW w:w="916" w:type="pct"/>
                <w:vAlign w:val="center"/>
              </w:tcPr>
              <w:p w14:paraId="3FBC589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应收账款和合同资产期末余额</w:t>
                </w:r>
              </w:p>
            </w:tc>
          </w:sdtContent>
        </w:sdt>
        <w:sdt>
          <w:sdtPr>
            <w:rPr>
              <w:rFonts w:cs="Times New Roman"/>
            </w:rPr>
            <w:tag w:val="_PLD_9d7daec6d6fe4a5d9c133a5c71d1c062"/>
            <w:id w:val="147460325"/>
          </w:sdtPr>
          <w:sdtEndPr>
            <w:rPr>
              <w:rFonts w:cs="Times New Roman"/>
            </w:rPr>
          </w:sdtEndPr>
          <w:sdtContent>
            <w:tc>
              <w:tcPr>
                <w:tcW w:w="802" w:type="pct"/>
                <w:vAlign w:val="center"/>
              </w:tcPr>
              <w:p w14:paraId="04D528C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占应收账款和合同资产期末余额合计数的比例（%）</w:t>
                </w:r>
              </w:p>
            </w:tc>
          </w:sdtContent>
        </w:sdt>
        <w:sdt>
          <w:sdtPr>
            <w:rPr>
              <w:rFonts w:cs="Times New Roman"/>
            </w:rPr>
            <w:tag w:val="_PLD_50b08561bfef4171ad4e74488b9eb0c0"/>
            <w:id w:val="147478005"/>
          </w:sdtPr>
          <w:sdtEndPr>
            <w:rPr>
              <w:rFonts w:cs="Times New Roman"/>
            </w:rPr>
          </w:sdtEndPr>
          <w:sdtContent>
            <w:tc>
              <w:tcPr>
                <w:tcW w:w="593" w:type="pct"/>
                <w:vAlign w:val="center"/>
              </w:tcPr>
              <w:p w14:paraId="000B3BF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坏账准备期末余额</w:t>
                </w:r>
              </w:p>
            </w:tc>
          </w:sdtContent>
        </w:sdt>
      </w:tr>
      <w:tr w14:paraId="04A4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18" w:type="pct"/>
            <w:vAlign w:val="center"/>
          </w:tcPr>
          <w:p w14:paraId="6106BDCC">
            <w:pPr>
              <w:textAlignment w:val="center"/>
              <w:rPr>
                <w:rFonts w:cs="Times New Roman"/>
              </w:rPr>
            </w:pPr>
            <w:r>
              <w:rPr>
                <w:rFonts w:cs="Times New Roman"/>
                <w:color w:val="000000"/>
              </w:rPr>
              <w:t>际华（邢台）投资有限公司</w:t>
            </w:r>
          </w:p>
        </w:tc>
        <w:tc>
          <w:tcPr>
            <w:tcW w:w="868" w:type="pct"/>
            <w:vAlign w:val="center"/>
          </w:tcPr>
          <w:p w14:paraId="47E2E095">
            <w:pPr>
              <w:jc w:val="right"/>
              <w:textAlignment w:val="center"/>
              <w:rPr>
                <w:rFonts w:cs="Times New Roman"/>
              </w:rPr>
            </w:pPr>
            <w:r>
              <w:rPr>
                <w:rFonts w:cs="Times New Roman"/>
                <w:color w:val="000000"/>
              </w:rPr>
              <w:t>23,809,931.50</w:t>
            </w:r>
          </w:p>
        </w:tc>
        <w:tc>
          <w:tcPr>
            <w:tcW w:w="916" w:type="pct"/>
            <w:vAlign w:val="center"/>
          </w:tcPr>
          <w:p w14:paraId="645E8A05">
            <w:pPr>
              <w:jc w:val="right"/>
              <w:textAlignment w:val="center"/>
              <w:rPr>
                <w:rFonts w:cs="Times New Roman"/>
              </w:rPr>
            </w:pPr>
            <w:r>
              <w:rPr>
                <w:rFonts w:cs="Times New Roman"/>
                <w:color w:val="000000"/>
              </w:rPr>
              <w:t>23,809,931.50</w:t>
            </w:r>
          </w:p>
        </w:tc>
        <w:tc>
          <w:tcPr>
            <w:tcW w:w="802" w:type="pct"/>
            <w:vAlign w:val="center"/>
          </w:tcPr>
          <w:p w14:paraId="327E0170">
            <w:pPr>
              <w:jc w:val="right"/>
              <w:textAlignment w:val="center"/>
              <w:rPr>
                <w:rFonts w:cs="Times New Roman"/>
              </w:rPr>
            </w:pPr>
            <w:r>
              <w:rPr>
                <w:rFonts w:eastAsia="Arial Narrow" w:cs="Times New Roman"/>
                <w:color w:val="000000"/>
                <w:lang w:bidi="ar"/>
              </w:rPr>
              <w:t>66.92</w:t>
            </w:r>
          </w:p>
        </w:tc>
        <w:tc>
          <w:tcPr>
            <w:tcW w:w="593" w:type="pct"/>
          </w:tcPr>
          <w:p w14:paraId="6C75BBF8">
            <w:pPr>
              <w:jc w:val="right"/>
              <w:rPr>
                <w:rFonts w:cs="Times New Roman"/>
              </w:rPr>
            </w:pPr>
          </w:p>
        </w:tc>
      </w:tr>
      <w:tr w14:paraId="7D677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18" w:type="pct"/>
            <w:vAlign w:val="center"/>
          </w:tcPr>
          <w:p w14:paraId="52258411">
            <w:pPr>
              <w:textAlignment w:val="center"/>
              <w:rPr>
                <w:rFonts w:cs="Times New Roman"/>
              </w:rPr>
            </w:pPr>
            <w:r>
              <w:rPr>
                <w:rFonts w:cs="Times New Roman"/>
                <w:color w:val="000000"/>
              </w:rPr>
              <w:t>际华三五一五皮革皮鞋有限公司</w:t>
            </w:r>
          </w:p>
        </w:tc>
        <w:tc>
          <w:tcPr>
            <w:tcW w:w="868" w:type="pct"/>
            <w:vAlign w:val="center"/>
          </w:tcPr>
          <w:p w14:paraId="51B57771">
            <w:pPr>
              <w:jc w:val="right"/>
              <w:textAlignment w:val="center"/>
              <w:rPr>
                <w:rFonts w:cs="Times New Roman"/>
              </w:rPr>
            </w:pPr>
            <w:r>
              <w:rPr>
                <w:rFonts w:cs="Times New Roman"/>
                <w:color w:val="000000"/>
              </w:rPr>
              <w:t>1,300,000.00</w:t>
            </w:r>
          </w:p>
        </w:tc>
        <w:tc>
          <w:tcPr>
            <w:tcW w:w="916" w:type="pct"/>
            <w:vAlign w:val="center"/>
          </w:tcPr>
          <w:p w14:paraId="2BC41B41">
            <w:pPr>
              <w:jc w:val="right"/>
              <w:textAlignment w:val="center"/>
              <w:rPr>
                <w:rFonts w:cs="Times New Roman"/>
              </w:rPr>
            </w:pPr>
            <w:r>
              <w:rPr>
                <w:rFonts w:cs="Times New Roman"/>
                <w:color w:val="000000"/>
              </w:rPr>
              <w:t>1,300,000.00</w:t>
            </w:r>
          </w:p>
        </w:tc>
        <w:tc>
          <w:tcPr>
            <w:tcW w:w="802" w:type="pct"/>
            <w:vAlign w:val="center"/>
          </w:tcPr>
          <w:p w14:paraId="5327690D">
            <w:pPr>
              <w:jc w:val="right"/>
              <w:textAlignment w:val="center"/>
              <w:rPr>
                <w:rFonts w:cs="Times New Roman"/>
              </w:rPr>
            </w:pPr>
            <w:r>
              <w:rPr>
                <w:rFonts w:eastAsia="Arial Narrow" w:cs="Times New Roman"/>
                <w:color w:val="000000"/>
                <w:lang w:bidi="ar"/>
              </w:rPr>
              <w:t>3.65</w:t>
            </w:r>
          </w:p>
        </w:tc>
        <w:tc>
          <w:tcPr>
            <w:tcW w:w="593" w:type="pct"/>
          </w:tcPr>
          <w:p w14:paraId="5A8B891A">
            <w:pPr>
              <w:jc w:val="right"/>
              <w:rPr>
                <w:rFonts w:cs="Times New Roman"/>
              </w:rPr>
            </w:pPr>
          </w:p>
        </w:tc>
      </w:tr>
      <w:tr w14:paraId="6BAF6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18" w:type="pct"/>
            <w:vAlign w:val="center"/>
          </w:tcPr>
          <w:p w14:paraId="6AC734CF">
            <w:pPr>
              <w:textAlignment w:val="center"/>
              <w:rPr>
                <w:rFonts w:cs="Times New Roman"/>
              </w:rPr>
            </w:pPr>
            <w:r>
              <w:rPr>
                <w:rFonts w:cs="Times New Roman"/>
                <w:color w:val="000000"/>
              </w:rPr>
              <w:t>际华制鞋工业有限公司</w:t>
            </w:r>
          </w:p>
        </w:tc>
        <w:tc>
          <w:tcPr>
            <w:tcW w:w="868" w:type="pct"/>
            <w:vAlign w:val="center"/>
          </w:tcPr>
          <w:p w14:paraId="054ADB1D">
            <w:pPr>
              <w:jc w:val="right"/>
              <w:textAlignment w:val="center"/>
              <w:rPr>
                <w:rFonts w:cs="Times New Roman"/>
              </w:rPr>
            </w:pPr>
            <w:r>
              <w:rPr>
                <w:rFonts w:cs="Times New Roman"/>
                <w:color w:val="000000"/>
              </w:rPr>
              <w:t>1,085,087.60</w:t>
            </w:r>
          </w:p>
        </w:tc>
        <w:tc>
          <w:tcPr>
            <w:tcW w:w="916" w:type="pct"/>
            <w:vAlign w:val="center"/>
          </w:tcPr>
          <w:p w14:paraId="10227986">
            <w:pPr>
              <w:jc w:val="right"/>
              <w:textAlignment w:val="center"/>
              <w:rPr>
                <w:rFonts w:cs="Times New Roman"/>
              </w:rPr>
            </w:pPr>
            <w:r>
              <w:rPr>
                <w:rFonts w:cs="Times New Roman"/>
                <w:color w:val="000000"/>
              </w:rPr>
              <w:t>1,085,087.60</w:t>
            </w:r>
          </w:p>
        </w:tc>
        <w:tc>
          <w:tcPr>
            <w:tcW w:w="802" w:type="pct"/>
            <w:vAlign w:val="center"/>
          </w:tcPr>
          <w:p w14:paraId="5ACC8E68">
            <w:pPr>
              <w:jc w:val="right"/>
              <w:textAlignment w:val="center"/>
              <w:rPr>
                <w:rFonts w:cs="Times New Roman"/>
              </w:rPr>
            </w:pPr>
            <w:r>
              <w:rPr>
                <w:rFonts w:eastAsia="Arial Narrow" w:cs="Times New Roman"/>
                <w:color w:val="000000"/>
                <w:lang w:bidi="ar"/>
              </w:rPr>
              <w:t>3.05</w:t>
            </w:r>
          </w:p>
        </w:tc>
        <w:tc>
          <w:tcPr>
            <w:tcW w:w="593" w:type="pct"/>
          </w:tcPr>
          <w:p w14:paraId="4CF97FAF">
            <w:pPr>
              <w:jc w:val="right"/>
              <w:rPr>
                <w:rFonts w:cs="Times New Roman"/>
              </w:rPr>
            </w:pPr>
          </w:p>
        </w:tc>
      </w:tr>
      <w:tr w14:paraId="7099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18" w:type="pct"/>
            <w:vAlign w:val="center"/>
          </w:tcPr>
          <w:p w14:paraId="7D9ACE3D">
            <w:pPr>
              <w:textAlignment w:val="center"/>
              <w:rPr>
                <w:rFonts w:cs="Times New Roman"/>
              </w:rPr>
            </w:pPr>
            <w:r>
              <w:rPr>
                <w:rFonts w:cs="Times New Roman"/>
                <w:color w:val="000000"/>
              </w:rPr>
              <w:t>沈阳际华三五四七特种装具有限公司</w:t>
            </w:r>
          </w:p>
        </w:tc>
        <w:tc>
          <w:tcPr>
            <w:tcW w:w="868" w:type="pct"/>
            <w:vAlign w:val="center"/>
          </w:tcPr>
          <w:p w14:paraId="032ADC92">
            <w:pPr>
              <w:jc w:val="right"/>
              <w:textAlignment w:val="center"/>
              <w:rPr>
                <w:rFonts w:cs="Times New Roman"/>
              </w:rPr>
            </w:pPr>
            <w:r>
              <w:rPr>
                <w:rFonts w:cs="Times New Roman"/>
                <w:color w:val="000000"/>
              </w:rPr>
              <w:t>878,035.89</w:t>
            </w:r>
          </w:p>
        </w:tc>
        <w:tc>
          <w:tcPr>
            <w:tcW w:w="916" w:type="pct"/>
            <w:vAlign w:val="center"/>
          </w:tcPr>
          <w:p w14:paraId="03F648BD">
            <w:pPr>
              <w:jc w:val="right"/>
              <w:textAlignment w:val="center"/>
              <w:rPr>
                <w:rFonts w:cs="Times New Roman"/>
              </w:rPr>
            </w:pPr>
            <w:r>
              <w:rPr>
                <w:rFonts w:cs="Times New Roman"/>
                <w:color w:val="000000"/>
              </w:rPr>
              <w:t>878,035.89</w:t>
            </w:r>
          </w:p>
        </w:tc>
        <w:tc>
          <w:tcPr>
            <w:tcW w:w="802" w:type="pct"/>
            <w:vAlign w:val="center"/>
          </w:tcPr>
          <w:p w14:paraId="046613EF">
            <w:pPr>
              <w:jc w:val="right"/>
              <w:textAlignment w:val="center"/>
              <w:rPr>
                <w:rFonts w:cs="Times New Roman"/>
              </w:rPr>
            </w:pPr>
            <w:r>
              <w:rPr>
                <w:rFonts w:eastAsia="Arial Narrow" w:cs="Times New Roman"/>
                <w:color w:val="000000"/>
                <w:lang w:bidi="ar"/>
              </w:rPr>
              <w:t>2.47</w:t>
            </w:r>
          </w:p>
        </w:tc>
        <w:tc>
          <w:tcPr>
            <w:tcW w:w="593" w:type="pct"/>
          </w:tcPr>
          <w:p w14:paraId="6123AFD1">
            <w:pPr>
              <w:jc w:val="right"/>
              <w:rPr>
                <w:rFonts w:cs="Times New Roman"/>
              </w:rPr>
            </w:pPr>
          </w:p>
        </w:tc>
      </w:tr>
      <w:tr w14:paraId="4A6E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18" w:type="pct"/>
            <w:vAlign w:val="center"/>
          </w:tcPr>
          <w:p w14:paraId="4814123D">
            <w:pPr>
              <w:textAlignment w:val="center"/>
              <w:rPr>
                <w:rFonts w:cs="Times New Roman"/>
              </w:rPr>
            </w:pPr>
            <w:r>
              <w:rPr>
                <w:rFonts w:cs="Times New Roman"/>
                <w:color w:val="000000"/>
              </w:rPr>
              <w:t>南京际华五三零二服饰装具有限责任公司</w:t>
            </w:r>
          </w:p>
        </w:tc>
        <w:tc>
          <w:tcPr>
            <w:tcW w:w="868" w:type="pct"/>
            <w:vAlign w:val="center"/>
          </w:tcPr>
          <w:p w14:paraId="45C5B2F1">
            <w:pPr>
              <w:jc w:val="right"/>
              <w:textAlignment w:val="center"/>
              <w:rPr>
                <w:rFonts w:cs="Times New Roman"/>
              </w:rPr>
            </w:pPr>
            <w:r>
              <w:rPr>
                <w:rFonts w:cs="Times New Roman"/>
                <w:color w:val="000000"/>
              </w:rPr>
              <w:t>787,852.56</w:t>
            </w:r>
          </w:p>
        </w:tc>
        <w:tc>
          <w:tcPr>
            <w:tcW w:w="916" w:type="pct"/>
            <w:vAlign w:val="center"/>
          </w:tcPr>
          <w:p w14:paraId="0FDE75DF">
            <w:pPr>
              <w:jc w:val="right"/>
              <w:textAlignment w:val="center"/>
              <w:rPr>
                <w:rFonts w:cs="Times New Roman"/>
              </w:rPr>
            </w:pPr>
            <w:r>
              <w:rPr>
                <w:rFonts w:cs="Times New Roman"/>
                <w:color w:val="000000"/>
              </w:rPr>
              <w:t>787,852.56</w:t>
            </w:r>
          </w:p>
        </w:tc>
        <w:tc>
          <w:tcPr>
            <w:tcW w:w="802" w:type="pct"/>
            <w:vAlign w:val="center"/>
          </w:tcPr>
          <w:p w14:paraId="1774470F">
            <w:pPr>
              <w:jc w:val="right"/>
              <w:textAlignment w:val="center"/>
              <w:rPr>
                <w:rFonts w:cs="Times New Roman"/>
              </w:rPr>
            </w:pPr>
            <w:r>
              <w:rPr>
                <w:rFonts w:eastAsia="Arial Narrow" w:cs="Times New Roman"/>
                <w:color w:val="000000"/>
                <w:lang w:bidi="ar"/>
              </w:rPr>
              <w:t>2.21</w:t>
            </w:r>
          </w:p>
        </w:tc>
        <w:tc>
          <w:tcPr>
            <w:tcW w:w="593" w:type="pct"/>
          </w:tcPr>
          <w:p w14:paraId="4013F944">
            <w:pPr>
              <w:jc w:val="right"/>
              <w:rPr>
                <w:rFonts w:cs="Times New Roman"/>
              </w:rPr>
            </w:pPr>
          </w:p>
        </w:tc>
      </w:tr>
      <w:tr w14:paraId="68A0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18" w:type="pct"/>
          </w:tcPr>
          <w:p w14:paraId="79A4C4D5">
            <w:pPr>
              <w:ind w:right="105"/>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868" w:type="pct"/>
            <w:vAlign w:val="center"/>
          </w:tcPr>
          <w:p w14:paraId="73EDB366">
            <w:pPr>
              <w:jc w:val="right"/>
              <w:textAlignment w:val="center"/>
              <w:rPr>
                <w:rFonts w:cs="Times New Roman"/>
              </w:rPr>
            </w:pPr>
            <w:r>
              <w:rPr>
                <w:rFonts w:eastAsia="Arial Narrow" w:cs="Times New Roman"/>
                <w:color w:val="000000"/>
                <w:lang w:bidi="ar"/>
              </w:rPr>
              <w:t>27,860,907.55</w:t>
            </w:r>
          </w:p>
        </w:tc>
        <w:tc>
          <w:tcPr>
            <w:tcW w:w="916" w:type="pct"/>
            <w:vAlign w:val="center"/>
          </w:tcPr>
          <w:p w14:paraId="28E31AC9">
            <w:pPr>
              <w:jc w:val="right"/>
              <w:textAlignment w:val="center"/>
              <w:rPr>
                <w:rFonts w:cs="Times New Roman"/>
              </w:rPr>
            </w:pPr>
            <w:r>
              <w:rPr>
                <w:rFonts w:cs="Times New Roman"/>
                <w:color w:val="000000"/>
              </w:rPr>
              <w:t>27,860,907.55</w:t>
            </w:r>
          </w:p>
        </w:tc>
        <w:tc>
          <w:tcPr>
            <w:tcW w:w="802" w:type="pct"/>
            <w:vAlign w:val="center"/>
          </w:tcPr>
          <w:p w14:paraId="1BBEB32B">
            <w:pPr>
              <w:jc w:val="right"/>
              <w:textAlignment w:val="center"/>
              <w:rPr>
                <w:rFonts w:cs="Times New Roman"/>
              </w:rPr>
            </w:pPr>
            <w:r>
              <w:rPr>
                <w:rFonts w:eastAsia="Arial Narrow" w:cs="Times New Roman"/>
                <w:color w:val="000000"/>
                <w:lang w:bidi="ar"/>
              </w:rPr>
              <w:t>78.30</w:t>
            </w:r>
          </w:p>
        </w:tc>
        <w:tc>
          <w:tcPr>
            <w:tcW w:w="593" w:type="pct"/>
          </w:tcPr>
          <w:p w14:paraId="541BA69A">
            <w:pPr>
              <w:jc w:val="right"/>
              <w:rPr>
                <w:rFonts w:cs="Times New Roman"/>
              </w:rPr>
            </w:pPr>
          </w:p>
        </w:tc>
      </w:tr>
    </w:tbl>
    <w:p w14:paraId="3E595792"/>
    <w:p w14:paraId="42F8E34A">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他说明</w:t>
      </w:r>
    </w:p>
    <w:sdt>
      <w:sdtPr>
        <w:rPr>
          <w:color w:val="000000" w:themeColor="text1"/>
          <w14:textFill>
            <w14:solidFill>
              <w14:schemeClr w14:val="tx1"/>
            </w14:solidFill>
          </w14:textFill>
        </w:rPr>
        <w:alias w:val="按欠款方归集的期末余额前五名的应收账款情况的说明"/>
        <w:tag w:val="_GBC_60ef1597b00c4872bb998837689ad316"/>
        <w:id w:val="147452867"/>
        <w:placeholder>
          <w:docPart w:val="GBC22222222222222222222222222222"/>
        </w:placeholder>
      </w:sdtPr>
      <w:sdtEndPr>
        <w:rPr>
          <w:color w:val="000000" w:themeColor="text1"/>
          <w14:textFill>
            <w14:solidFill>
              <w14:schemeClr w14:val="tx1"/>
            </w14:solidFill>
          </w14:textFill>
        </w:rPr>
      </w:sdtEndPr>
      <w:sdtContent>
        <w:p w14:paraId="1124CAD8">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180E647D">
      <w:pPr>
        <w:snapToGrid w:val="0"/>
        <w:spacing w:line="240" w:lineRule="atLeast"/>
        <w:rPr>
          <w:color w:val="000000" w:themeColor="text1"/>
          <w14:textFill>
            <w14:solidFill>
              <w14:schemeClr w14:val="tx1"/>
            </w14:solidFill>
          </w14:textFill>
        </w:rPr>
      </w:pPr>
    </w:p>
    <w:bookmarkEnd w:id="446"/>
    <w:bookmarkEnd w:id="447"/>
    <w:bookmarkEnd w:id="448"/>
    <w:p w14:paraId="6519C5D5">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说明：</w:t>
      </w:r>
    </w:p>
    <w:sdt>
      <w:sdtPr>
        <w:rPr>
          <w:rFonts w:hint="eastAsia"/>
          <w:color w:val="000000" w:themeColor="text1"/>
          <w14:textFill>
            <w14:solidFill>
              <w14:schemeClr w14:val="tx1"/>
            </w14:solidFill>
          </w14:textFill>
        </w:rPr>
        <w:alias w:val="是否适用：母公司应收账款其他说明[双击切换]"/>
        <w:tag w:val="_GBC_22a2c0a255e04aacadf1c076323bc980"/>
        <w:id w:val="147467947"/>
        <w:placeholder>
          <w:docPart w:val="GBC22222222222222222222222222222"/>
        </w:placeholder>
      </w:sdtPr>
      <w:sdtEndPr>
        <w:rPr>
          <w:rFonts w:hint="eastAsia"/>
          <w:color w:val="000000" w:themeColor="text1"/>
          <w14:textFill>
            <w14:solidFill>
              <w14:schemeClr w14:val="tx1"/>
            </w14:solidFill>
          </w14:textFill>
        </w:rPr>
      </w:sdtEndPr>
      <w:sdtContent>
        <w:p w14:paraId="31C6BFA8">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5B30741">
      <w:pPr>
        <w:snapToGrid w:val="0"/>
        <w:spacing w:line="240" w:lineRule="atLeast"/>
        <w:rPr>
          <w:color w:val="000000" w:themeColor="text1"/>
          <w14:textFill>
            <w14:solidFill>
              <w14:schemeClr w14:val="tx1"/>
            </w14:solidFill>
          </w14:textFill>
        </w:rPr>
      </w:pPr>
    </w:p>
    <w:p w14:paraId="29B6D1A8">
      <w:pPr>
        <w:pStyle w:val="57"/>
        <w:numPr>
          <w:ilvl w:val="0"/>
          <w:numId w:val="116"/>
        </w:num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其他应收款</w:t>
      </w:r>
    </w:p>
    <w:p w14:paraId="5A2979F9">
      <w:pPr>
        <w:pStyle w:val="58"/>
        <w:rPr>
          <w:rFonts w:ascii="宋体" w:hAnsi="宋体"/>
          <w:color w:val="000000" w:themeColor="text1"/>
          <w14:textFill>
            <w14:solidFill>
              <w14:schemeClr w14:val="tx1"/>
            </w14:solidFill>
          </w14:textFill>
        </w:rPr>
      </w:pPr>
      <w:bookmarkStart w:id="449" w:name="_Hlk10546944"/>
      <w:r>
        <w:rPr>
          <w:rFonts w:hint="eastAsia" w:ascii="宋体" w:hAnsi="宋体"/>
          <w:color w:val="000000" w:themeColor="text1"/>
          <w14:textFill>
            <w14:solidFill>
              <w14:schemeClr w14:val="tx1"/>
            </w14:solidFill>
          </w14:textFill>
        </w:rPr>
        <w:t>项目列示</w:t>
      </w:r>
    </w:p>
    <w:sdt>
      <w:sdtPr>
        <w:rPr>
          <w:color w:val="000000" w:themeColor="text1"/>
          <w14:textFill>
            <w14:solidFill>
              <w14:schemeClr w14:val="tx1"/>
            </w14:solidFill>
          </w14:textFill>
        </w:rPr>
        <w:alias w:val="是否适用：母公司其他应收款分类列示[双击切换]"/>
        <w:tag w:val="_GBC_529e259f053b47d993fd4e3216204522"/>
        <w:id w:val="147451655"/>
        <w:placeholder>
          <w:docPart w:val="GBC22222222222222222222222222222"/>
        </w:placeholder>
      </w:sdtPr>
      <w:sdtEndPr>
        <w:rPr>
          <w:color w:val="000000" w:themeColor="text1"/>
          <w14:textFill>
            <w14:solidFill>
              <w14:schemeClr w14:val="tx1"/>
            </w14:solidFill>
          </w14:textFill>
        </w:rPr>
      </w:sdtEndPr>
      <w:sdtContent>
        <w:p w14:paraId="2B5EEEC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696F09A">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母公司其他应收款分类列示"/>
          <w:tag w:val="_GBC_306e86db57e64b00a9602dc7cbf81457"/>
          <w:id w:val="1474602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母公司其他应收款分类列示"/>
          <w:tag w:val="_GBC_cd5866350ae3491e87e9f82a7ed2a7c3"/>
          <w:id w:val="1474649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3113"/>
        <w:gridCol w:w="2862"/>
        <w:gridCol w:w="2848"/>
      </w:tblGrid>
      <w:tr w14:paraId="0DF8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cs="Times New Roman"/>
            </w:rPr>
            <w:tag w:val="_PLD_9b14d51b79194bdea749a527966a0a2e"/>
            <w:id w:val="147483618"/>
          </w:sdtPr>
          <w:sdtEndPr>
            <w:rPr>
              <w:rFonts w:cs="Times New Roman"/>
            </w:rPr>
          </w:sdtEndPr>
          <w:sdtContent>
            <w:tc>
              <w:tcPr>
                <w:tcW w:w="1764" w:type="pct"/>
                <w:vAlign w:val="center"/>
              </w:tcPr>
              <w:p w14:paraId="7617E8DC">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1dd12447c07a4bf5b8eef82f2f9f5577"/>
            <w:id w:val="147465219"/>
          </w:sdtPr>
          <w:sdtEndPr>
            <w:rPr>
              <w:rFonts w:cs="Times New Roman"/>
            </w:rPr>
          </w:sdtEndPr>
          <w:sdtContent>
            <w:tc>
              <w:tcPr>
                <w:tcW w:w="1622" w:type="pct"/>
                <w:vAlign w:val="center"/>
              </w:tcPr>
              <w:p w14:paraId="26778A39">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2701e42352ac4ea1ae4d64adf5d28e89"/>
            <w:id w:val="147464239"/>
          </w:sdtPr>
          <w:sdtEndPr>
            <w:rPr>
              <w:rFonts w:cs="Times New Roman"/>
            </w:rPr>
          </w:sdtEndPr>
          <w:sdtContent>
            <w:tc>
              <w:tcPr>
                <w:tcW w:w="1614" w:type="pct"/>
                <w:vAlign w:val="center"/>
              </w:tcPr>
              <w:p w14:paraId="4FB5F108">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tr>
      <w:tr w14:paraId="67B1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764" w:type="pct"/>
          </w:tcPr>
          <w:p w14:paraId="4CB67B0B">
            <w:pPr>
              <w:ind w:right="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应收利息</w:t>
            </w:r>
          </w:p>
        </w:tc>
        <w:tc>
          <w:tcPr>
            <w:tcW w:w="1622" w:type="pct"/>
          </w:tcPr>
          <w:p w14:paraId="22D22CC0">
            <w:pPr>
              <w:ind w:right="5"/>
              <w:jc w:val="right"/>
              <w:rPr>
                <w:rFonts w:cs="Times New Roman"/>
              </w:rPr>
            </w:pPr>
          </w:p>
        </w:tc>
        <w:tc>
          <w:tcPr>
            <w:tcW w:w="1614" w:type="pct"/>
          </w:tcPr>
          <w:p w14:paraId="20AF88FC">
            <w:pPr>
              <w:ind w:right="5"/>
              <w:jc w:val="right"/>
              <w:rPr>
                <w:rFonts w:cs="Times New Roman"/>
              </w:rPr>
            </w:pPr>
          </w:p>
        </w:tc>
      </w:tr>
      <w:tr w14:paraId="6786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764" w:type="pct"/>
          </w:tcPr>
          <w:p w14:paraId="6F2BC39C">
            <w:pPr>
              <w:ind w:right="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应收股利</w:t>
            </w:r>
          </w:p>
        </w:tc>
        <w:tc>
          <w:tcPr>
            <w:tcW w:w="1622" w:type="pct"/>
            <w:vAlign w:val="center"/>
          </w:tcPr>
          <w:p w14:paraId="1A5C8C2B">
            <w:pPr>
              <w:jc w:val="right"/>
              <w:textAlignment w:val="center"/>
              <w:rPr>
                <w:rFonts w:cs="Times New Roman"/>
              </w:rPr>
            </w:pPr>
            <w:r>
              <w:rPr>
                <w:rFonts w:cs="Times New Roman"/>
                <w:color w:val="000000"/>
              </w:rPr>
              <w:t>521,931,182.43</w:t>
            </w:r>
          </w:p>
        </w:tc>
        <w:tc>
          <w:tcPr>
            <w:tcW w:w="1614" w:type="pct"/>
            <w:vAlign w:val="center"/>
          </w:tcPr>
          <w:p w14:paraId="1DE4E804">
            <w:pPr>
              <w:jc w:val="right"/>
              <w:textAlignment w:val="center"/>
              <w:rPr>
                <w:rFonts w:cs="Times New Roman"/>
              </w:rPr>
            </w:pPr>
            <w:r>
              <w:rPr>
                <w:rFonts w:cs="Times New Roman"/>
                <w:color w:val="000000"/>
              </w:rPr>
              <w:t>371,931,182.43</w:t>
            </w:r>
          </w:p>
        </w:tc>
      </w:tr>
      <w:tr w14:paraId="2F2CB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764" w:type="pct"/>
          </w:tcPr>
          <w:p w14:paraId="51C41CB4">
            <w:pPr>
              <w:ind w:right="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其他应收款</w:t>
            </w:r>
          </w:p>
        </w:tc>
        <w:tc>
          <w:tcPr>
            <w:tcW w:w="1622" w:type="pct"/>
            <w:vAlign w:val="center"/>
          </w:tcPr>
          <w:p w14:paraId="20BE5B95">
            <w:pPr>
              <w:jc w:val="right"/>
              <w:textAlignment w:val="center"/>
              <w:rPr>
                <w:rFonts w:cs="Times New Roman"/>
              </w:rPr>
            </w:pPr>
            <w:r>
              <w:rPr>
                <w:rFonts w:cs="Times New Roman"/>
                <w:color w:val="000000"/>
              </w:rPr>
              <w:t>6,654,703,817.60</w:t>
            </w:r>
          </w:p>
        </w:tc>
        <w:tc>
          <w:tcPr>
            <w:tcW w:w="1614" w:type="pct"/>
            <w:vAlign w:val="center"/>
          </w:tcPr>
          <w:p w14:paraId="6F9E5943">
            <w:pPr>
              <w:jc w:val="right"/>
              <w:textAlignment w:val="center"/>
              <w:rPr>
                <w:rFonts w:cs="Times New Roman"/>
              </w:rPr>
            </w:pPr>
            <w:r>
              <w:rPr>
                <w:rFonts w:cs="Times New Roman"/>
                <w:color w:val="000000"/>
              </w:rPr>
              <w:t>6,363,916,633.74</w:t>
            </w:r>
          </w:p>
        </w:tc>
      </w:tr>
      <w:tr w14:paraId="4231A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764" w:type="pct"/>
            <w:vAlign w:val="center"/>
          </w:tcPr>
          <w:p w14:paraId="0B3EA280">
            <w:pPr>
              <w:autoSpaceDE w:val="0"/>
              <w:autoSpaceDN w:val="0"/>
              <w:adjustRightInd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622" w:type="pct"/>
            <w:vAlign w:val="center"/>
          </w:tcPr>
          <w:p w14:paraId="7D6D028A">
            <w:pPr>
              <w:jc w:val="right"/>
              <w:textAlignment w:val="center"/>
              <w:rPr>
                <w:rFonts w:cs="Times New Roman"/>
              </w:rPr>
            </w:pPr>
            <w:r>
              <w:rPr>
                <w:rFonts w:cs="Times New Roman"/>
                <w:color w:val="000000"/>
              </w:rPr>
              <w:t>7,176,635,000.03</w:t>
            </w:r>
          </w:p>
        </w:tc>
        <w:tc>
          <w:tcPr>
            <w:tcW w:w="1614" w:type="pct"/>
            <w:vAlign w:val="center"/>
          </w:tcPr>
          <w:p w14:paraId="53F832D8">
            <w:pPr>
              <w:jc w:val="right"/>
              <w:textAlignment w:val="center"/>
              <w:rPr>
                <w:rFonts w:cs="Times New Roman"/>
              </w:rPr>
            </w:pPr>
            <w:r>
              <w:rPr>
                <w:rFonts w:cs="Times New Roman"/>
                <w:color w:val="000000"/>
              </w:rPr>
              <w:t>6,735,847,816.17</w:t>
            </w:r>
          </w:p>
        </w:tc>
      </w:tr>
    </w:tbl>
    <w:p w14:paraId="32A9CD57">
      <w:pPr>
        <w:rPr>
          <w:color w:val="000000" w:themeColor="text1"/>
          <w14:textFill>
            <w14:solidFill>
              <w14:schemeClr w14:val="tx1"/>
            </w14:solidFill>
          </w14:textFill>
        </w:rPr>
      </w:pPr>
    </w:p>
    <w:p w14:paraId="15C2E707">
      <w:pPr>
        <w:rPr>
          <w:color w:val="000000" w:themeColor="text1"/>
          <w14:textFill>
            <w14:solidFill>
              <w14:schemeClr w14:val="tx1"/>
            </w14:solidFill>
          </w14:textFill>
        </w:rPr>
      </w:pPr>
      <w:bookmarkStart w:id="450" w:name="_Hlk533797002"/>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母公司其他应收款分类列示其他说明[双击切换]"/>
        <w:tag w:val="_GBC_87c9afe4c5c54a4b93c9b78663bd8bf3"/>
        <w:id w:val="147457828"/>
        <w:placeholder>
          <w:docPart w:val="GBC22222222222222222222222222222"/>
        </w:placeholder>
      </w:sdtPr>
      <w:sdtEndPr>
        <w:rPr>
          <w:color w:val="000000" w:themeColor="text1"/>
          <w14:textFill>
            <w14:solidFill>
              <w14:schemeClr w14:val="tx1"/>
            </w14:solidFill>
          </w14:textFill>
        </w:rPr>
      </w:sdtEndPr>
      <w:sdtContent>
        <w:p w14:paraId="036D09B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E1F0103">
      <w:pPr>
        <w:rPr>
          <w:color w:val="000000" w:themeColor="text1"/>
          <w14:textFill>
            <w14:solidFill>
              <w14:schemeClr w14:val="tx1"/>
            </w14:solidFill>
          </w14:textFill>
        </w:rPr>
      </w:pPr>
    </w:p>
    <w:bookmarkEnd w:id="449"/>
    <w:bookmarkEnd w:id="450"/>
    <w:p w14:paraId="376C9F1C">
      <w:pPr>
        <w:pStyle w:val="58"/>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应收利息</w:t>
      </w:r>
    </w:p>
    <w:p w14:paraId="6ACD8B68">
      <w:pPr>
        <w:pStyle w:val="59"/>
        <w:numPr>
          <w:ilvl w:val="0"/>
          <w:numId w:val="118"/>
        </w:numPr>
      </w:pPr>
      <w:bookmarkStart w:id="451" w:name="_Hlk10547023"/>
      <w:bookmarkStart w:id="452" w:name="_Hlk10547033"/>
      <w:r>
        <w:rPr>
          <w:rFonts w:hint="eastAsia"/>
        </w:rPr>
        <w:t>应收利息分类</w:t>
      </w:r>
      <w:bookmarkEnd w:id="451"/>
    </w:p>
    <w:sdt>
      <w:sdtPr>
        <w:rPr>
          <w:color w:val="000000" w:themeColor="text1"/>
          <w14:textFill>
            <w14:solidFill>
              <w14:schemeClr w14:val="tx1"/>
            </w14:solidFill>
          </w14:textFill>
        </w:rPr>
        <w:alias w:val="是否适用：母公司应收利息分类[双击切换]"/>
        <w:tag w:val="_GBC_7b29d5fc39c94a909c39eedf47c8008f"/>
        <w:id w:val="147478922"/>
        <w:placeholder>
          <w:docPart w:val="GBC22222222222222222222222222222"/>
        </w:placeholder>
      </w:sdtPr>
      <w:sdtEndPr>
        <w:rPr>
          <w:color w:val="000000" w:themeColor="text1"/>
          <w14:textFill>
            <w14:solidFill>
              <w14:schemeClr w14:val="tx1"/>
            </w14:solidFill>
          </w14:textFill>
        </w:rPr>
      </w:sdtEndPr>
      <w:sdtContent>
        <w:p w14:paraId="57F155C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7CC32F8">
      <w:pPr>
        <w:rPr>
          <w:color w:val="000000" w:themeColor="text1"/>
          <w14:textFill>
            <w14:solidFill>
              <w14:schemeClr w14:val="tx1"/>
            </w14:solidFill>
          </w14:textFill>
        </w:rPr>
      </w:pPr>
    </w:p>
    <w:bookmarkEnd w:id="452"/>
    <w:p w14:paraId="57D2FD96">
      <w:pPr>
        <w:pStyle w:val="59"/>
        <w:numPr>
          <w:ilvl w:val="0"/>
          <w:numId w:val="118"/>
        </w:numPr>
      </w:pPr>
      <w:bookmarkStart w:id="453" w:name="_Hlk10547054"/>
      <w:bookmarkStart w:id="454" w:name="_Hlk10547064"/>
      <w:r>
        <w:rPr>
          <w:rFonts w:hint="eastAsia"/>
        </w:rPr>
        <w:t>重要逾期利息</w:t>
      </w:r>
      <w:bookmarkEnd w:id="453"/>
    </w:p>
    <w:sdt>
      <w:sdtPr>
        <w:rPr>
          <w:color w:val="000000" w:themeColor="text1"/>
          <w14:textFill>
            <w14:solidFill>
              <w14:schemeClr w14:val="tx1"/>
            </w14:solidFill>
          </w14:textFill>
        </w:rPr>
        <w:alias w:val="是否适用：母公司重要逾期利息[双击切换]"/>
        <w:tag w:val="_GBC_2527ddfc737d4b8c8fa3ca7d6387408d"/>
        <w:id w:val="147467305"/>
        <w:placeholder>
          <w:docPart w:val="GBC22222222222222222222222222222"/>
        </w:placeholder>
      </w:sdtPr>
      <w:sdtEndPr>
        <w:rPr>
          <w:color w:val="000000" w:themeColor="text1"/>
          <w14:textFill>
            <w14:solidFill>
              <w14:schemeClr w14:val="tx1"/>
            </w14:solidFill>
          </w14:textFill>
        </w:rPr>
      </w:sdtEndPr>
      <w:sdtContent>
        <w:p w14:paraId="4177535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12AC4E6">
      <w:pPr>
        <w:rPr>
          <w:color w:val="000000" w:themeColor="text1"/>
          <w14:textFill>
            <w14:solidFill>
              <w14:schemeClr w14:val="tx1"/>
            </w14:solidFill>
          </w14:textFill>
        </w:rPr>
      </w:pPr>
    </w:p>
    <w:bookmarkEnd w:id="454"/>
    <w:p w14:paraId="58FF55D4">
      <w:pPr>
        <w:pStyle w:val="59"/>
        <w:numPr>
          <w:ilvl w:val="0"/>
          <w:numId w:val="118"/>
        </w:numPr>
      </w:pPr>
      <w:bookmarkStart w:id="455" w:name="_Hlk154149455"/>
      <w:bookmarkStart w:id="456" w:name="_Hlk167983171"/>
      <w:bookmarkStart w:id="457" w:name="_Hlk153789950"/>
      <w:r>
        <w:rPr>
          <w:rFonts w:hint="eastAsia"/>
        </w:rPr>
        <w:t>按坏账计提方法分类披露</w:t>
      </w:r>
    </w:p>
    <w:sdt>
      <w:sdtPr>
        <w:rPr>
          <w:color w:val="000000" w:themeColor="text1"/>
          <w14:textFill>
            <w14:solidFill>
              <w14:schemeClr w14:val="tx1"/>
            </w14:solidFill>
          </w14:textFill>
        </w:rPr>
        <w:alias w:val="是否适用：按坏账计提方法分类披露[双击切换]"/>
        <w:tag w:val="_GBC_9b6b7378a5064d4da42ce1b114ef0dd2"/>
        <w:id w:val="147466796"/>
        <w:placeholder>
          <w:docPart w:val="GBC22222222222222222222222222222"/>
        </w:placeholder>
      </w:sdtPr>
      <w:sdtEndPr>
        <w:rPr>
          <w:color w:val="000000" w:themeColor="text1"/>
          <w14:textFill>
            <w14:solidFill>
              <w14:schemeClr w14:val="tx1"/>
            </w14:solidFill>
          </w14:textFill>
        </w:rPr>
      </w:sdtEndPr>
      <w:sdtContent>
        <w:p w14:paraId="3371D6F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8E3C22D">
      <w:pPr>
        <w:rPr>
          <w:color w:val="000000" w:themeColor="text1"/>
          <w14:textFill>
            <w14:solidFill>
              <w14:schemeClr w14:val="tx1"/>
            </w14:solidFill>
          </w14:textFill>
        </w:rPr>
      </w:pPr>
    </w:p>
    <w:p w14:paraId="1D772EB2">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w:t>
      </w:r>
    </w:p>
    <w:sdt>
      <w:sdtPr>
        <w:rPr>
          <w:color w:val="000000" w:themeColor="text1"/>
          <w14:textFill>
            <w14:solidFill>
              <w14:schemeClr w14:val="tx1"/>
            </w14:solidFill>
          </w14:textFill>
        </w:rPr>
        <w:alias w:val="是否适用：母公司按单项计提坏账准备的详细情况[双击切换]"/>
        <w:tag w:val="_GBC_9e66e9365aa445c3891c917c0b2cb0f8"/>
        <w:id w:val="147473427"/>
        <w:placeholder>
          <w:docPart w:val="GBC22222222222222222222222222222"/>
        </w:placeholder>
      </w:sdtPr>
      <w:sdtEndPr>
        <w:rPr>
          <w:color w:val="000000" w:themeColor="text1"/>
          <w14:textFill>
            <w14:solidFill>
              <w14:schemeClr w14:val="tx1"/>
            </w14:solidFill>
          </w14:textFill>
        </w:rPr>
      </w:sdtEndPr>
      <w:sdtContent>
        <w:p w14:paraId="3F825BD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C490E49">
      <w:pPr>
        <w:rPr>
          <w:color w:val="000000" w:themeColor="text1"/>
          <w14:textFill>
            <w14:solidFill>
              <w14:schemeClr w14:val="tx1"/>
            </w14:solidFill>
          </w14:textFill>
        </w:rPr>
      </w:pPr>
    </w:p>
    <w:p w14:paraId="5328BA03">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按单项计提坏账准备的说明：</w:t>
      </w:r>
    </w:p>
    <w:sdt>
      <w:sdtPr>
        <w:rPr>
          <w:color w:val="000000" w:themeColor="text1"/>
          <w14:textFill>
            <w14:solidFill>
              <w14:schemeClr w14:val="tx1"/>
            </w14:solidFill>
          </w14:textFill>
        </w:rPr>
        <w:alias w:val="是否适用：母公司按单项计提坏账准备的说明[双击切换]"/>
        <w:tag w:val="_GBC_61cf7a42166c410985a3f556c1a407d3"/>
        <w:id w:val="147462623"/>
        <w:placeholder>
          <w:docPart w:val="GBC22222222222222222222222222222"/>
        </w:placeholder>
      </w:sdtPr>
      <w:sdtEndPr>
        <w:rPr>
          <w:color w:val="000000" w:themeColor="text1"/>
          <w14:textFill>
            <w14:solidFill>
              <w14:schemeClr w14:val="tx1"/>
            </w14:solidFill>
          </w14:textFill>
        </w:rPr>
      </w:sdtEndPr>
      <w:sdtContent>
        <w:p w14:paraId="1CFD50A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07F956E">
      <w:pPr>
        <w:rPr>
          <w:color w:val="000000" w:themeColor="text1"/>
          <w14:textFill>
            <w14:solidFill>
              <w14:schemeClr w14:val="tx1"/>
            </w14:solidFill>
          </w14:textFill>
        </w:rPr>
      </w:pPr>
    </w:p>
    <w:p w14:paraId="5FD81F40">
      <w:pPr>
        <w:rPr>
          <w:rFonts w:ascii="Calibri" w:hAnsi="Calibri" w:cs="Times New Roman"/>
          <w:bCs w:val="0"/>
          <w:color w:val="000000" w:themeColor="text1"/>
          <w:szCs w:val="22"/>
          <w14:textFill>
            <w14:solidFill>
              <w14:schemeClr w14:val="tx1"/>
            </w14:solidFill>
          </w14:textFill>
        </w:rPr>
      </w:pPr>
      <w:r>
        <w:rPr>
          <w:rFonts w:hint="eastAsia" w:ascii="Calibri" w:hAnsi="Calibri" w:cs="Times New Roman"/>
          <w:color w:val="000000" w:themeColor="text1"/>
          <w:szCs w:val="22"/>
          <w14:textFill>
            <w14:solidFill>
              <w14:schemeClr w14:val="tx1"/>
            </w14:solidFill>
          </w14:textFill>
        </w:rPr>
        <w:t>按组合计提坏账准备：</w:t>
      </w:r>
    </w:p>
    <w:sdt>
      <w:sdtPr>
        <w:rPr>
          <w:rFonts w:ascii="Calibri" w:hAnsi="Calibri" w:cs="Times New Roman"/>
          <w:bCs w:val="0"/>
          <w:color w:val="000000" w:themeColor="text1"/>
          <w:szCs w:val="22"/>
          <w14:textFill>
            <w14:solidFill>
              <w14:schemeClr w14:val="tx1"/>
            </w14:solidFill>
          </w14:textFill>
        </w:rPr>
        <w:alias w:val="是否适用：母公司按组合计提坏账准备的详细情况[双击切换]"/>
        <w:tag w:val="_GBC_d3043e47b1544d94a13ce780dd85e9fc"/>
        <w:id w:val="147476485"/>
        <w:placeholder>
          <w:docPart w:val="GBC22222222222222222222222222222"/>
        </w:placeholder>
      </w:sdtPr>
      <w:sdtEndPr>
        <w:rPr>
          <w:rFonts w:ascii="Calibri" w:hAnsi="Calibri" w:cs="Times New Roman"/>
          <w:bCs w:val="0"/>
          <w:color w:val="000000" w:themeColor="text1"/>
          <w:szCs w:val="22"/>
          <w14:textFill>
            <w14:solidFill>
              <w14:schemeClr w14:val="tx1"/>
            </w14:solidFill>
          </w14:textFill>
        </w:rPr>
      </w:sdtEndPr>
      <w:sdtContent>
        <w:p w14:paraId="675B7A2B">
          <w:pPr>
            <w:rPr>
              <w:color w:val="000000" w:themeColor="text1"/>
              <w14:textFill>
                <w14:solidFill>
                  <w14:schemeClr w14:val="tx1"/>
                </w14:solidFill>
              </w14:textFill>
            </w:rPr>
          </w:pPr>
          <w:r>
            <w:rPr>
              <w:rFonts w:ascii="宋体" w:hAnsi="宋体" w:cs="Times New Roman"/>
              <w:bCs w:val="0"/>
              <w:color w:val="000000" w:themeColor="text1"/>
              <w:szCs w:val="22"/>
              <w14:textFill>
                <w14:solidFill>
                  <w14:schemeClr w14:val="tx1"/>
                </w14:solidFill>
              </w14:textFill>
            </w:rPr>
            <w:fldChar w:fldCharType="begin"/>
          </w:r>
          <w:r>
            <w:rPr>
              <w:rFonts w:hint="eastAsia" w:ascii="宋体" w:hAnsi="宋体" w:cs="Times New Roman"/>
              <w:color w:val="000000" w:themeColor="text1"/>
              <w:szCs w:val="22"/>
              <w14:textFill>
                <w14:solidFill>
                  <w14:schemeClr w14:val="tx1"/>
                </w14:solidFill>
              </w14:textFill>
            </w:rPr>
            <w:instrText xml:space="preserve"> MACROBUTTON  SnrToggleCheckbox □适用 </w:instrText>
          </w:r>
          <w:r>
            <w:rPr>
              <w:rFonts w:ascii="宋体" w:hAnsi="宋体" w:cs="Times New Roman"/>
              <w:bCs w:val="0"/>
              <w:color w:val="000000" w:themeColor="text1"/>
              <w:szCs w:val="22"/>
              <w14:textFill>
                <w14:solidFill>
                  <w14:schemeClr w14:val="tx1"/>
                </w14:solidFill>
              </w14:textFill>
            </w:rPr>
            <w:fldChar w:fldCharType="end"/>
          </w:r>
          <w:r>
            <w:rPr>
              <w:rFonts w:ascii="宋体" w:hAnsi="宋体" w:cs="Times New Roman"/>
              <w:bCs w:val="0"/>
              <w:color w:val="000000" w:themeColor="text1"/>
              <w:szCs w:val="22"/>
              <w14:textFill>
                <w14:solidFill>
                  <w14:schemeClr w14:val="tx1"/>
                </w14:solidFill>
              </w14:textFill>
            </w:rPr>
            <w:fldChar w:fldCharType="begin"/>
          </w:r>
          <w:r>
            <w:rPr>
              <w:rFonts w:hint="eastAsia" w:ascii="宋体" w:hAnsi="宋体" w:cs="Times New Roman"/>
              <w:color w:val="000000" w:themeColor="text1"/>
              <w:szCs w:val="22"/>
              <w14:textFill>
                <w14:solidFill>
                  <w14:schemeClr w14:val="tx1"/>
                </w14:solidFill>
              </w14:textFill>
            </w:rPr>
            <w:instrText xml:space="preserve"> MACROBUTTON  SnrToggleCheckbox √不适用 </w:instrText>
          </w:r>
          <w:r>
            <w:rPr>
              <w:rFonts w:ascii="宋体" w:hAnsi="宋体" w:cs="Times New Roman"/>
              <w:bCs w:val="0"/>
              <w:color w:val="000000" w:themeColor="text1"/>
              <w:szCs w:val="22"/>
              <w14:textFill>
                <w14:solidFill>
                  <w14:schemeClr w14:val="tx1"/>
                </w14:solidFill>
              </w14:textFill>
            </w:rPr>
            <w:fldChar w:fldCharType="end"/>
          </w:r>
        </w:p>
      </w:sdtContent>
    </w:sdt>
    <w:p w14:paraId="5547862A">
      <w:pPr>
        <w:rPr>
          <w:rFonts w:ascii="Calibri" w:hAnsi="Calibri" w:cs="Times New Roman"/>
          <w:b/>
          <w:bCs w:val="0"/>
          <w:color w:val="000000" w:themeColor="text1"/>
          <w:szCs w:val="22"/>
          <w14:textFill>
            <w14:solidFill>
              <w14:schemeClr w14:val="tx1"/>
            </w14:solidFill>
          </w14:textFill>
        </w:rPr>
      </w:pPr>
    </w:p>
    <w:bookmarkEnd w:id="455"/>
    <w:bookmarkEnd w:id="456"/>
    <w:bookmarkEnd w:id="457"/>
    <w:p w14:paraId="0A754F27">
      <w:pPr>
        <w:pStyle w:val="59"/>
        <w:numPr>
          <w:ilvl w:val="0"/>
          <w:numId w:val="118"/>
        </w:numPr>
      </w:pPr>
      <w:bookmarkStart w:id="458" w:name="_Hlk10547083"/>
      <w:bookmarkEnd w:id="458"/>
      <w:bookmarkStart w:id="459" w:name="_Hlk10547096"/>
      <w:r>
        <w:rPr>
          <w:rFonts w:hint="eastAsia"/>
        </w:rPr>
        <w:t>按预期信用损失一般模型计提坏账准备</w:t>
      </w:r>
    </w:p>
    <w:sdt>
      <w:sdtPr>
        <w:rPr>
          <w:color w:val="000000" w:themeColor="text1"/>
          <w14:textFill>
            <w14:solidFill>
              <w14:schemeClr w14:val="tx1"/>
            </w14:solidFill>
          </w14:textFill>
        </w:rPr>
        <w:alias w:val="是否适用：母公司应收利息坏账准备调节表[双击切换]"/>
        <w:tag w:val="_GBC_051d1f4329834464b99226954bb8040d"/>
        <w:id w:val="147480768"/>
        <w:placeholder>
          <w:docPart w:val="GBC22222222222222222222222222222"/>
        </w:placeholder>
      </w:sdtPr>
      <w:sdtEndPr>
        <w:rPr>
          <w:color w:val="000000" w:themeColor="text1"/>
          <w14:textFill>
            <w14:solidFill>
              <w14:schemeClr w14:val="tx1"/>
            </w14:solidFill>
          </w14:textFill>
        </w:rPr>
      </w:sdtEndPr>
      <w:sdtContent>
        <w:p w14:paraId="0FEBBBA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AEAAA3F">
      <w:pPr>
        <w:rPr>
          <w:color w:val="000000" w:themeColor="text1"/>
          <w14:textFill>
            <w14:solidFill>
              <w14:schemeClr w14:val="tx1"/>
            </w14:solidFill>
          </w14:textFill>
        </w:rPr>
      </w:pPr>
    </w:p>
    <w:bookmarkEnd w:id="459"/>
    <w:p w14:paraId="5439A753">
      <w:pPr>
        <w:pStyle w:val="59"/>
        <w:numPr>
          <w:ilvl w:val="0"/>
          <w:numId w:val="118"/>
        </w:numPr>
      </w:pPr>
      <w:bookmarkStart w:id="460" w:name="_Hlk154149866"/>
      <w:bookmarkStart w:id="461" w:name="_Hlk167984472"/>
      <w:bookmarkStart w:id="462" w:name="_Hlk10547119"/>
      <w:bookmarkStart w:id="463" w:name="_Hlk10547128"/>
      <w:r>
        <w:rPr>
          <w:rFonts w:hint="eastAsia"/>
        </w:rPr>
        <w:t>坏账准备的情况</w:t>
      </w:r>
    </w:p>
    <w:sdt>
      <w:sdtPr>
        <w:rPr>
          <w:color w:val="000000" w:themeColor="text1"/>
          <w14:textFill>
            <w14:solidFill>
              <w14:schemeClr w14:val="tx1"/>
            </w14:solidFill>
          </w14:textFill>
        </w:rPr>
        <w:alias w:val="是否适用：母公司坏账准备情况[双击切换]"/>
        <w:tag w:val="_GBC_4dc2b543f39042eeba6f1a6da14a23c7"/>
        <w:id w:val="147474332"/>
        <w:placeholder>
          <w:docPart w:val="GBC22222222222222222222222222222"/>
        </w:placeholder>
      </w:sdtPr>
      <w:sdtEndPr>
        <w:rPr>
          <w:color w:val="000000" w:themeColor="text1"/>
          <w14:textFill>
            <w14:solidFill>
              <w14:schemeClr w14:val="tx1"/>
            </w14:solidFill>
          </w14:textFill>
        </w:rPr>
      </w:sdtEndPr>
      <w:sdtContent>
        <w:p w14:paraId="0A4BB176">
          <w:pPr>
            <w:pStyle w:val="67"/>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ADE5931">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其中本期坏账准备收回或转回金额重要的：</w:t>
      </w:r>
    </w:p>
    <w:sdt>
      <w:sdtPr>
        <w:rPr>
          <w:color w:val="000000" w:themeColor="text1"/>
          <w14:textFill>
            <w14:solidFill>
              <w14:schemeClr w14:val="tx1"/>
            </w14:solidFill>
          </w14:textFill>
        </w:rPr>
        <w:alias w:val="是否适用：本期坏账准备收回或转回金额重要的[双击切换]"/>
        <w:tag w:val="_GBC_279266492b924c379c68ded1cd456b96"/>
        <w:id w:val="147451950"/>
        <w:placeholder>
          <w:docPart w:val="GBC22222222222222222222222222222"/>
        </w:placeholder>
      </w:sdtPr>
      <w:sdtEndPr>
        <w:rPr>
          <w:color w:val="000000" w:themeColor="text1"/>
          <w14:textFill>
            <w14:solidFill>
              <w14:schemeClr w14:val="tx1"/>
            </w14:solidFill>
          </w14:textFill>
        </w:rPr>
      </w:sdtEndPr>
      <w:sdtContent>
        <w:p w14:paraId="7F0D1E0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AFB36B8">
      <w:pPr>
        <w:rPr>
          <w:color w:val="000000" w:themeColor="text1"/>
          <w14:textFill>
            <w14:solidFill>
              <w14:schemeClr w14:val="tx1"/>
            </w14:solidFill>
          </w14:textFill>
        </w:rPr>
      </w:pPr>
    </w:p>
    <w:p w14:paraId="3CAEFF3F">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母公司坏账准备情况的说明"/>
        <w:tag w:val="_GBC_3ab55111e91142e6a9275bfe02be4915"/>
        <w:id w:val="147465751"/>
        <w:placeholder>
          <w:docPart w:val="GBC22222222222222222222222222222"/>
        </w:placeholder>
      </w:sdtPr>
      <w:sdtEndPr>
        <w:rPr>
          <w:color w:val="000000" w:themeColor="text1"/>
          <w14:textFill>
            <w14:solidFill>
              <w14:schemeClr w14:val="tx1"/>
            </w14:solidFill>
          </w14:textFill>
        </w:rPr>
      </w:sdtEndPr>
      <w:sdtContent>
        <w:p w14:paraId="213AC289">
          <w:pPr>
            <w:ind w:right="42" w:rightChars="2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29FE86F0">
      <w:pPr>
        <w:ind w:right="-1594" w:rightChars="-759"/>
        <w:rPr>
          <w:color w:val="000000" w:themeColor="text1"/>
          <w14:textFill>
            <w14:solidFill>
              <w14:schemeClr w14:val="tx1"/>
            </w14:solidFill>
          </w14:textFill>
        </w:rPr>
      </w:pPr>
    </w:p>
    <w:p w14:paraId="30A4B63A">
      <w:pPr>
        <w:pStyle w:val="59"/>
        <w:numPr>
          <w:ilvl w:val="0"/>
          <w:numId w:val="118"/>
        </w:numPr>
      </w:pPr>
      <w:r>
        <w:rPr>
          <w:rFonts w:hint="eastAsia"/>
        </w:rPr>
        <w:t>本期实际核销的应收利息情况</w:t>
      </w:r>
    </w:p>
    <w:sdt>
      <w:sdtPr>
        <w:rPr>
          <w:color w:val="000000" w:themeColor="text1"/>
          <w14:textFill>
            <w14:solidFill>
              <w14:schemeClr w14:val="tx1"/>
            </w14:solidFill>
          </w14:textFill>
        </w:rPr>
        <w:alias w:val="是否适用：实际核销的情况[双击切换]"/>
        <w:tag w:val="_GBC_e26e6d4104e24b8ba3faa4e27a6c1045"/>
        <w:id w:val="147480663"/>
        <w:placeholder>
          <w:docPart w:val="GBC22222222222222222222222222222"/>
        </w:placeholder>
      </w:sdtPr>
      <w:sdtEndPr>
        <w:rPr>
          <w:color w:val="000000" w:themeColor="text1"/>
          <w14:textFill>
            <w14:solidFill>
              <w14:schemeClr w14:val="tx1"/>
            </w14:solidFill>
          </w14:textFill>
        </w:rPr>
      </w:sdtEndPr>
      <w:sdtContent>
        <w:p w14:paraId="0301433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BD10F6D">
      <w:pPr>
        <w:rPr>
          <w:color w:val="000000" w:themeColor="text1"/>
          <w14:textFill>
            <w14:solidFill>
              <w14:schemeClr w14:val="tx1"/>
            </w14:solidFill>
          </w14:textFill>
        </w:rPr>
      </w:pPr>
    </w:p>
    <w:p w14:paraId="1990CAF3">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其中重要的应收利息核销情况</w:t>
      </w:r>
    </w:p>
    <w:sdt>
      <w:sdtPr>
        <w:rPr>
          <w:rFonts w:hint="eastAsia"/>
          <w:color w:val="000000" w:themeColor="text1"/>
          <w14:textFill>
            <w14:solidFill>
              <w14:schemeClr w14:val="tx1"/>
            </w14:solidFill>
          </w14:textFill>
        </w:rPr>
        <w:alias w:val="是否适用：母公司重要的核销情况[双击切换]"/>
        <w:tag w:val="_GBC_60da80ce578f488fb72578d4541af9c0"/>
        <w:id w:val="147463478"/>
        <w:placeholder>
          <w:docPart w:val="GBC22222222222222222222222222222"/>
        </w:placeholder>
      </w:sdtPr>
      <w:sdtEndPr>
        <w:rPr>
          <w:rFonts w:hint="eastAsia"/>
          <w:color w:val="000000" w:themeColor="text1"/>
          <w14:textFill>
            <w14:solidFill>
              <w14:schemeClr w14:val="tx1"/>
            </w14:solidFill>
          </w14:textFill>
        </w:rPr>
      </w:sdtEndPr>
      <w:sdtContent>
        <w:p w14:paraId="7E0B6D2B">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B22E88E">
      <w:pPr>
        <w:snapToGrid w:val="0"/>
        <w:spacing w:line="240" w:lineRule="atLeast"/>
        <w:rPr>
          <w:color w:val="000000" w:themeColor="text1"/>
          <w14:textFill>
            <w14:solidFill>
              <w14:schemeClr w14:val="tx1"/>
            </w14:solidFill>
          </w14:textFill>
        </w:rPr>
      </w:pPr>
    </w:p>
    <w:p w14:paraId="5452B880">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核销说明：</w:t>
      </w:r>
    </w:p>
    <w:sdt>
      <w:sdtPr>
        <w:rPr>
          <w:color w:val="000000" w:themeColor="text1"/>
          <w14:textFill>
            <w14:solidFill>
              <w14:schemeClr w14:val="tx1"/>
            </w14:solidFill>
          </w14:textFill>
        </w:rPr>
        <w:alias w:val="是否适用：母公司核销说明[双击切换]"/>
        <w:tag w:val="_GBC_ae6210dfe1cb4aa880cbee38195c69fa"/>
        <w:id w:val="147481863"/>
        <w:placeholder>
          <w:docPart w:val="GBC22222222222222222222222222222"/>
        </w:placeholder>
      </w:sdtPr>
      <w:sdtEndPr>
        <w:rPr>
          <w:color w:val="000000" w:themeColor="text1"/>
          <w14:textFill>
            <w14:solidFill>
              <w14:schemeClr w14:val="tx1"/>
            </w14:solidFill>
          </w14:textFill>
        </w:rPr>
      </w:sdtEndPr>
      <w:sdtContent>
        <w:p w14:paraId="02DF66A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389406D">
      <w:pPr>
        <w:rPr>
          <w:color w:val="000000" w:themeColor="text1"/>
          <w14:textFill>
            <w14:solidFill>
              <w14:schemeClr w14:val="tx1"/>
            </w14:solidFill>
          </w14:textFill>
        </w:rPr>
      </w:pPr>
    </w:p>
    <w:bookmarkEnd w:id="460"/>
    <w:bookmarkEnd w:id="461"/>
    <w:p w14:paraId="7268C923">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bookmarkEnd w:id="462"/>
    </w:p>
    <w:sdt>
      <w:sdtPr>
        <w:rPr>
          <w:color w:val="000000" w:themeColor="text1"/>
          <w14:textFill>
            <w14:solidFill>
              <w14:schemeClr w14:val="tx1"/>
            </w14:solidFill>
          </w14:textFill>
        </w:rPr>
        <w:alias w:val="是否适用：母公司应收利息其他说明[双击切换]"/>
        <w:tag w:val="_GBC_936c374258514f469f2c9bb36b889c43"/>
        <w:id w:val="147459670"/>
        <w:placeholder>
          <w:docPart w:val="GBC22222222222222222222222222222"/>
        </w:placeholder>
      </w:sdtPr>
      <w:sdtEndPr>
        <w:rPr>
          <w:color w:val="000000" w:themeColor="text1"/>
          <w14:textFill>
            <w14:solidFill>
              <w14:schemeClr w14:val="tx1"/>
            </w14:solidFill>
          </w14:textFill>
        </w:rPr>
      </w:sdtEndPr>
      <w:sdtContent>
        <w:p w14:paraId="6A53FED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538A9F8">
      <w:pPr>
        <w:rPr>
          <w:color w:val="000000" w:themeColor="text1"/>
          <w14:textFill>
            <w14:solidFill>
              <w14:schemeClr w14:val="tx1"/>
            </w14:solidFill>
          </w14:textFill>
        </w:rPr>
      </w:pPr>
    </w:p>
    <w:bookmarkEnd w:id="463"/>
    <w:p w14:paraId="6E1A3EF7">
      <w:pPr>
        <w:pStyle w:val="58"/>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应收股利</w:t>
      </w:r>
    </w:p>
    <w:p w14:paraId="2606D58F">
      <w:pPr>
        <w:pStyle w:val="6"/>
        <w:numPr>
          <w:ilvl w:val="0"/>
          <w:numId w:val="119"/>
        </w:numPr>
      </w:pPr>
      <w:bookmarkStart w:id="464" w:name="_Hlk10547188"/>
      <w:bookmarkStart w:id="465" w:name="_Hlk10547199"/>
      <w:r>
        <w:rPr>
          <w:rFonts w:hint="eastAsia"/>
        </w:rPr>
        <w:t>应收股利</w:t>
      </w:r>
    </w:p>
    <w:sdt>
      <w:sdtPr>
        <w:rPr>
          <w:color w:val="000000" w:themeColor="text1"/>
          <w14:textFill>
            <w14:solidFill>
              <w14:schemeClr w14:val="tx1"/>
            </w14:solidFill>
          </w14:textFill>
        </w:rPr>
        <w:alias w:val="是否适用：母公司应收股利[双击切换]"/>
        <w:tag w:val="_GBC_3f36acb68ddd426b990a146c5c14da80"/>
        <w:id w:val="-553161699"/>
      </w:sdtPr>
      <w:sdtEndPr>
        <w:rPr>
          <w:color w:val="000000" w:themeColor="text1"/>
          <w14:textFill>
            <w14:solidFill>
              <w14:schemeClr w14:val="tx1"/>
            </w14:solidFill>
          </w14:textFill>
        </w:rPr>
      </w:sdtEndPr>
      <w:sdtContent>
        <w:p w14:paraId="169EAC8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7DDD3B96">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母公司应收股利"/>
          <w:tag w:val="_GBC_e366134590994916ad440e1f86811baf"/>
          <w:id w:val="-34654822"/>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母公司应收股利"/>
          <w:tag w:val="_GBC_775e6a0d5c9a4f36b4b0b9f8ccda5bad"/>
          <w:id w:val="-143413102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0"/>
        <w:gridCol w:w="2212"/>
        <w:gridCol w:w="2271"/>
      </w:tblGrid>
      <w:tr w14:paraId="38F8B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b87c7fccab6c455e8950ee7fa77c8733"/>
            <w:id w:val="1563358795"/>
          </w:sdtPr>
          <w:sdtEndPr>
            <w:rPr>
              <w:rFonts w:cs="Times New Roman"/>
            </w:rPr>
          </w:sdtEndPr>
          <w:sdtContent>
            <w:tc>
              <w:tcPr>
                <w:tcW w:w="2459" w:type="pct"/>
                <w:vAlign w:val="center"/>
              </w:tcPr>
              <w:p w14:paraId="78A8E48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项目(或被投资单位)</w:t>
                </w:r>
              </w:p>
            </w:tc>
          </w:sdtContent>
        </w:sdt>
        <w:sdt>
          <w:sdtPr>
            <w:rPr>
              <w:rFonts w:cs="Times New Roman"/>
            </w:rPr>
            <w:tag w:val="_PLD_71bd546e51944d7e86945cae947ca7e3"/>
            <w:id w:val="207619018"/>
          </w:sdtPr>
          <w:sdtEndPr>
            <w:rPr>
              <w:rFonts w:cs="Times New Roman"/>
            </w:rPr>
          </w:sdtEndPr>
          <w:sdtContent>
            <w:tc>
              <w:tcPr>
                <w:tcW w:w="1253" w:type="pct"/>
                <w:vAlign w:val="center"/>
              </w:tcPr>
              <w:p w14:paraId="05651F4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a057b5b882e84e6e85ec2267d16598c0"/>
            <w:id w:val="-1326357133"/>
          </w:sdtPr>
          <w:sdtEndPr>
            <w:rPr>
              <w:rFonts w:cs="Times New Roman"/>
            </w:rPr>
          </w:sdtEndPr>
          <w:sdtContent>
            <w:tc>
              <w:tcPr>
                <w:tcW w:w="1286" w:type="pct"/>
                <w:vAlign w:val="center"/>
              </w:tcPr>
              <w:p w14:paraId="4C8B8C67">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tr>
      <w:sdt>
        <w:sdtPr>
          <w:rPr>
            <w:rFonts w:cs="Times New Roman"/>
            <w:color w:val="000000" w:themeColor="text1"/>
            <w:kern w:val="2"/>
            <w14:textFill>
              <w14:solidFill>
                <w14:schemeClr w14:val="tx1"/>
              </w14:solidFill>
            </w14:textFill>
          </w:rPr>
          <w:alias w:val="应收股利明细"/>
          <w:tag w:val="_TUP_1ff5f8f45a2949f1b9c94eaf933424a7"/>
          <w:id w:val="1466622669"/>
          <w:placeholder>
            <w:docPart w:val="{e1ccbac6-b974-4cb2-913d-db31be313061}"/>
          </w:placeholder>
        </w:sdtPr>
        <w:sdtEndPr>
          <w:rPr>
            <w:rFonts w:cs="Times New Roman"/>
            <w:color w:val="000000" w:themeColor="text1"/>
            <w:kern w:val="2"/>
            <w14:textFill>
              <w14:solidFill>
                <w14:schemeClr w14:val="tx1"/>
              </w14:solidFill>
            </w14:textFill>
          </w:rPr>
        </w:sdtEndPr>
        <w:sdtContent>
          <w:tr w14:paraId="3B7C3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tcPr>
              <w:p w14:paraId="188BDD27">
                <w:pPr>
                  <w:rPr>
                    <w:rFonts w:cs="Times New Roman"/>
                  </w:rPr>
                </w:pPr>
                <w:r>
                  <w:rPr>
                    <w:rFonts w:cs="Times New Roman"/>
                  </w:rPr>
                  <w:t>际华三五零二职业装有限公司</w:t>
                </w:r>
              </w:p>
            </w:tc>
            <w:tc>
              <w:tcPr>
                <w:tcW w:w="1253" w:type="pct"/>
                <w:vAlign w:val="center"/>
              </w:tcPr>
              <w:p w14:paraId="02684813">
                <w:pPr>
                  <w:jc w:val="right"/>
                  <w:rPr>
                    <w:rFonts w:cs="Times New Roman"/>
                  </w:rPr>
                </w:pPr>
                <w:r>
                  <w:rPr>
                    <w:rFonts w:cs="Times New Roman"/>
                  </w:rPr>
                  <w:t>2,185,526.79</w:t>
                </w:r>
              </w:p>
            </w:tc>
            <w:tc>
              <w:tcPr>
                <w:tcW w:w="1286" w:type="pct"/>
                <w:vAlign w:val="center"/>
              </w:tcPr>
              <w:p w14:paraId="2A636B75">
                <w:pPr>
                  <w:jc w:val="right"/>
                  <w:rPr>
                    <w:rFonts w:cs="Times New Roman"/>
                  </w:rPr>
                </w:pPr>
                <w:r>
                  <w:rPr>
                    <w:rFonts w:cs="Times New Roman"/>
                  </w:rPr>
                  <w:t>2,185,526.79</w:t>
                </w:r>
              </w:p>
            </w:tc>
          </w:tr>
        </w:sdtContent>
      </w:sdt>
      <w:sdt>
        <w:sdtPr>
          <w:rPr>
            <w:rFonts w:cs="Times New Roman"/>
            <w:color w:val="000000" w:themeColor="text1"/>
            <w:kern w:val="2"/>
            <w14:textFill>
              <w14:solidFill>
                <w14:schemeClr w14:val="tx1"/>
              </w14:solidFill>
            </w14:textFill>
          </w:rPr>
          <w:alias w:val="应收股利明细"/>
          <w:tag w:val="_TUP_1ff5f8f45a2949f1b9c94eaf933424a7"/>
          <w:id w:val="910659992"/>
          <w:placeholder>
            <w:docPart w:val="{e1ccbac6-b974-4cb2-913d-db31be313061}"/>
          </w:placeholder>
        </w:sdtPr>
        <w:sdtEndPr>
          <w:rPr>
            <w:rFonts w:cs="Times New Roman"/>
            <w:color w:val="000000" w:themeColor="text1"/>
            <w:kern w:val="2"/>
            <w14:textFill>
              <w14:solidFill>
                <w14:schemeClr w14:val="tx1"/>
              </w14:solidFill>
            </w14:textFill>
          </w:rPr>
        </w:sdtEndPr>
        <w:sdtContent>
          <w:tr w14:paraId="2ED42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tcPr>
              <w:p w14:paraId="0EB23056">
                <w:pPr>
                  <w:rPr>
                    <w:rFonts w:cs="Times New Roman"/>
                  </w:rPr>
                </w:pPr>
                <w:r>
                  <w:rPr>
                    <w:rFonts w:cs="Times New Roman"/>
                  </w:rPr>
                  <w:t>际华三五零九纺织有限公司</w:t>
                </w:r>
              </w:p>
            </w:tc>
            <w:tc>
              <w:tcPr>
                <w:tcW w:w="1253" w:type="pct"/>
                <w:vAlign w:val="center"/>
              </w:tcPr>
              <w:p w14:paraId="55D479D7">
                <w:pPr>
                  <w:jc w:val="right"/>
                  <w:rPr>
                    <w:rFonts w:cs="Times New Roman"/>
                  </w:rPr>
                </w:pPr>
                <w:r>
                  <w:rPr>
                    <w:rFonts w:cs="Times New Roman"/>
                  </w:rPr>
                  <w:t>17,497,432.37</w:t>
                </w:r>
              </w:p>
            </w:tc>
            <w:tc>
              <w:tcPr>
                <w:tcW w:w="1286" w:type="pct"/>
                <w:vAlign w:val="center"/>
              </w:tcPr>
              <w:p w14:paraId="67129F8C">
                <w:pPr>
                  <w:jc w:val="right"/>
                  <w:rPr>
                    <w:rFonts w:cs="Times New Roman"/>
                  </w:rPr>
                </w:pPr>
                <w:r>
                  <w:rPr>
                    <w:rFonts w:cs="Times New Roman"/>
                  </w:rPr>
                  <w:t>17,497,432.37</w:t>
                </w:r>
              </w:p>
            </w:tc>
          </w:tr>
        </w:sdtContent>
      </w:sdt>
      <w:sdt>
        <w:sdtPr>
          <w:rPr>
            <w:rFonts w:cs="Times New Roman"/>
            <w:color w:val="000000" w:themeColor="text1"/>
            <w:kern w:val="2"/>
            <w14:textFill>
              <w14:solidFill>
                <w14:schemeClr w14:val="tx1"/>
              </w14:solidFill>
            </w14:textFill>
          </w:rPr>
          <w:alias w:val="应收股利明细"/>
          <w:tag w:val="_TUP_1ff5f8f45a2949f1b9c94eaf933424a7"/>
          <w:id w:val="-520549695"/>
          <w:placeholder>
            <w:docPart w:val="{e1ccbac6-b974-4cb2-913d-db31be313061}"/>
          </w:placeholder>
        </w:sdtPr>
        <w:sdtEndPr>
          <w:rPr>
            <w:rFonts w:cs="Times New Roman"/>
            <w:color w:val="000000" w:themeColor="text1"/>
            <w:kern w:val="2"/>
            <w14:textFill>
              <w14:solidFill>
                <w14:schemeClr w14:val="tx1"/>
              </w14:solidFill>
            </w14:textFill>
          </w:rPr>
        </w:sdtEndPr>
        <w:sdtContent>
          <w:tr w14:paraId="44CF0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tcPr>
              <w:p w14:paraId="12CDE66B">
                <w:pPr>
                  <w:rPr>
                    <w:rFonts w:cs="Times New Roman"/>
                  </w:rPr>
                </w:pPr>
                <w:r>
                  <w:rPr>
                    <w:rFonts w:cs="Times New Roman"/>
                  </w:rPr>
                  <w:t>际华三五四二纺织有限公司</w:t>
                </w:r>
              </w:p>
            </w:tc>
            <w:tc>
              <w:tcPr>
                <w:tcW w:w="1253" w:type="pct"/>
                <w:vAlign w:val="center"/>
              </w:tcPr>
              <w:p w14:paraId="27D39047">
                <w:pPr>
                  <w:jc w:val="right"/>
                  <w:rPr>
                    <w:rFonts w:cs="Times New Roman"/>
                  </w:rPr>
                </w:pPr>
                <w:r>
                  <w:rPr>
                    <w:rFonts w:cs="Times New Roman"/>
                  </w:rPr>
                  <w:t>162,627,445.24</w:t>
                </w:r>
              </w:p>
            </w:tc>
            <w:tc>
              <w:tcPr>
                <w:tcW w:w="1286" w:type="pct"/>
                <w:vAlign w:val="center"/>
              </w:tcPr>
              <w:p w14:paraId="6D566469">
                <w:pPr>
                  <w:jc w:val="right"/>
                  <w:rPr>
                    <w:rFonts w:cs="Times New Roman"/>
                  </w:rPr>
                </w:pPr>
                <w:r>
                  <w:rPr>
                    <w:rFonts w:cs="Times New Roman"/>
                  </w:rPr>
                  <w:t>162,627,445.24</w:t>
                </w:r>
              </w:p>
            </w:tc>
          </w:tr>
        </w:sdtContent>
      </w:sdt>
      <w:sdt>
        <w:sdtPr>
          <w:rPr>
            <w:rFonts w:cs="Times New Roman"/>
            <w:color w:val="000000" w:themeColor="text1"/>
            <w:kern w:val="2"/>
            <w14:textFill>
              <w14:solidFill>
                <w14:schemeClr w14:val="tx1"/>
              </w14:solidFill>
            </w14:textFill>
          </w:rPr>
          <w:alias w:val="应收股利明细"/>
          <w:tag w:val="_TUP_1ff5f8f45a2949f1b9c94eaf933424a7"/>
          <w:id w:val="-393743503"/>
          <w:placeholder>
            <w:docPart w:val="{e1ccbac6-b974-4cb2-913d-db31be313061}"/>
          </w:placeholder>
        </w:sdtPr>
        <w:sdtEndPr>
          <w:rPr>
            <w:rFonts w:cs="Times New Roman"/>
            <w:color w:val="000000" w:themeColor="text1"/>
            <w:kern w:val="2"/>
            <w14:textFill>
              <w14:solidFill>
                <w14:schemeClr w14:val="tx1"/>
              </w14:solidFill>
            </w14:textFill>
          </w:rPr>
        </w:sdtEndPr>
        <w:sdtContent>
          <w:tr w14:paraId="26EF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tcPr>
              <w:p w14:paraId="65BB72C7">
                <w:pPr>
                  <w:rPr>
                    <w:rFonts w:cs="Times New Roman"/>
                  </w:rPr>
                </w:pPr>
                <w:r>
                  <w:rPr>
                    <w:rFonts w:cs="Times New Roman"/>
                  </w:rPr>
                  <w:t>际华三五一三实业有限公司</w:t>
                </w:r>
              </w:p>
            </w:tc>
            <w:tc>
              <w:tcPr>
                <w:tcW w:w="1253" w:type="pct"/>
                <w:vAlign w:val="center"/>
              </w:tcPr>
              <w:p w14:paraId="660848DB">
                <w:pPr>
                  <w:jc w:val="right"/>
                  <w:rPr>
                    <w:rFonts w:cs="Times New Roman"/>
                  </w:rPr>
                </w:pPr>
                <w:r>
                  <w:rPr>
                    <w:rFonts w:cs="Times New Roman"/>
                  </w:rPr>
                  <w:t>8,080,806.74</w:t>
                </w:r>
              </w:p>
            </w:tc>
            <w:tc>
              <w:tcPr>
                <w:tcW w:w="1286" w:type="pct"/>
                <w:vAlign w:val="center"/>
              </w:tcPr>
              <w:p w14:paraId="1DBB2F72">
                <w:pPr>
                  <w:jc w:val="right"/>
                  <w:rPr>
                    <w:rFonts w:cs="Times New Roman"/>
                  </w:rPr>
                </w:pPr>
                <w:r>
                  <w:rPr>
                    <w:rFonts w:cs="Times New Roman"/>
                  </w:rPr>
                  <w:t>8,080,806.74</w:t>
                </w:r>
              </w:p>
            </w:tc>
          </w:tr>
        </w:sdtContent>
      </w:sdt>
      <w:sdt>
        <w:sdtPr>
          <w:rPr>
            <w:rFonts w:cs="Times New Roman"/>
            <w:color w:val="000000" w:themeColor="text1"/>
            <w:kern w:val="2"/>
            <w14:textFill>
              <w14:solidFill>
                <w14:schemeClr w14:val="tx1"/>
              </w14:solidFill>
            </w14:textFill>
          </w:rPr>
          <w:alias w:val="应收股利明细"/>
          <w:tag w:val="_TUP_1ff5f8f45a2949f1b9c94eaf933424a7"/>
          <w:id w:val="-1354030777"/>
          <w:placeholder>
            <w:docPart w:val="{e1ccbac6-b974-4cb2-913d-db31be313061}"/>
          </w:placeholder>
        </w:sdtPr>
        <w:sdtEndPr>
          <w:rPr>
            <w:rFonts w:cs="Times New Roman"/>
            <w:color w:val="000000" w:themeColor="text1"/>
            <w:kern w:val="2"/>
            <w14:textFill>
              <w14:solidFill>
                <w14:schemeClr w14:val="tx1"/>
              </w14:solidFill>
            </w14:textFill>
          </w:rPr>
        </w:sdtEndPr>
        <w:sdtContent>
          <w:tr w14:paraId="098F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tcPr>
              <w:p w14:paraId="6D3D53B9">
                <w:pPr>
                  <w:rPr>
                    <w:rFonts w:cs="Times New Roman"/>
                  </w:rPr>
                </w:pPr>
                <w:r>
                  <w:rPr>
                    <w:rFonts w:cs="Times New Roman"/>
                  </w:rPr>
                  <w:t>际华三五一四制革制鞋有限公司</w:t>
                </w:r>
              </w:p>
            </w:tc>
            <w:tc>
              <w:tcPr>
                <w:tcW w:w="1253" w:type="pct"/>
                <w:vAlign w:val="center"/>
              </w:tcPr>
              <w:p w14:paraId="56CA528A">
                <w:pPr>
                  <w:jc w:val="right"/>
                  <w:rPr>
                    <w:rFonts w:cs="Times New Roman"/>
                  </w:rPr>
                </w:pPr>
                <w:r>
                  <w:rPr>
                    <w:rFonts w:cs="Times New Roman"/>
                  </w:rPr>
                  <w:t>6,618,750.00</w:t>
                </w:r>
              </w:p>
            </w:tc>
            <w:tc>
              <w:tcPr>
                <w:tcW w:w="1286" w:type="pct"/>
                <w:vAlign w:val="center"/>
              </w:tcPr>
              <w:p w14:paraId="3DDCEA9F">
                <w:pPr>
                  <w:jc w:val="right"/>
                  <w:rPr>
                    <w:rFonts w:cs="Times New Roman"/>
                  </w:rPr>
                </w:pPr>
                <w:r>
                  <w:rPr>
                    <w:rFonts w:cs="Times New Roman"/>
                  </w:rPr>
                  <w:t>6,618,750.00</w:t>
                </w:r>
              </w:p>
            </w:tc>
          </w:tr>
        </w:sdtContent>
      </w:sdt>
      <w:sdt>
        <w:sdtPr>
          <w:rPr>
            <w:rFonts w:cs="Times New Roman"/>
            <w:color w:val="000000" w:themeColor="text1"/>
            <w:kern w:val="2"/>
            <w14:textFill>
              <w14:solidFill>
                <w14:schemeClr w14:val="tx1"/>
              </w14:solidFill>
            </w14:textFill>
          </w:rPr>
          <w:alias w:val="应收股利明细"/>
          <w:tag w:val="_TUP_1ff5f8f45a2949f1b9c94eaf933424a7"/>
          <w:id w:val="-298851352"/>
          <w:placeholder>
            <w:docPart w:val="{e1ccbac6-b974-4cb2-913d-db31be313061}"/>
          </w:placeholder>
        </w:sdtPr>
        <w:sdtEndPr>
          <w:rPr>
            <w:rFonts w:cs="Times New Roman"/>
            <w:color w:val="000000" w:themeColor="text1"/>
            <w:kern w:val="2"/>
            <w14:textFill>
              <w14:solidFill>
                <w14:schemeClr w14:val="tx1"/>
              </w14:solidFill>
            </w14:textFill>
          </w:rPr>
        </w:sdtEndPr>
        <w:sdtContent>
          <w:tr w14:paraId="2498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tcPr>
              <w:p w14:paraId="711EF14F">
                <w:pPr>
                  <w:rPr>
                    <w:rFonts w:cs="Times New Roman"/>
                  </w:rPr>
                </w:pPr>
                <w:r>
                  <w:rPr>
                    <w:rFonts w:cs="Times New Roman"/>
                  </w:rPr>
                  <w:t>际华三五二二装具饰品有限公司</w:t>
                </w:r>
              </w:p>
            </w:tc>
            <w:tc>
              <w:tcPr>
                <w:tcW w:w="1253" w:type="pct"/>
                <w:vAlign w:val="center"/>
              </w:tcPr>
              <w:p w14:paraId="0FF5F2E0">
                <w:pPr>
                  <w:jc w:val="right"/>
                  <w:rPr>
                    <w:rFonts w:cs="Times New Roman"/>
                  </w:rPr>
                </w:pPr>
                <w:r>
                  <w:rPr>
                    <w:rFonts w:cs="Times New Roman"/>
                  </w:rPr>
                  <w:t>82,634,022.41</w:t>
                </w:r>
              </w:p>
            </w:tc>
            <w:tc>
              <w:tcPr>
                <w:tcW w:w="1286" w:type="pct"/>
                <w:vAlign w:val="center"/>
              </w:tcPr>
              <w:p w14:paraId="71E52AB7">
                <w:pPr>
                  <w:jc w:val="right"/>
                  <w:rPr>
                    <w:rFonts w:cs="Times New Roman"/>
                  </w:rPr>
                </w:pPr>
                <w:r>
                  <w:rPr>
                    <w:rFonts w:cs="Times New Roman"/>
                  </w:rPr>
                  <w:t>82,634,022.41</w:t>
                </w:r>
              </w:p>
            </w:tc>
          </w:tr>
        </w:sdtContent>
      </w:sdt>
      <w:sdt>
        <w:sdtPr>
          <w:rPr>
            <w:rFonts w:cs="Times New Roman"/>
            <w:color w:val="000000" w:themeColor="text1"/>
            <w:kern w:val="2"/>
            <w14:textFill>
              <w14:solidFill>
                <w14:schemeClr w14:val="tx1"/>
              </w14:solidFill>
            </w14:textFill>
          </w:rPr>
          <w:alias w:val="应收股利明细"/>
          <w:tag w:val="_TUP_1ff5f8f45a2949f1b9c94eaf933424a7"/>
          <w:id w:val="-1698296512"/>
          <w:placeholder>
            <w:docPart w:val="{e1ccbac6-b974-4cb2-913d-db31be313061}"/>
          </w:placeholder>
        </w:sdtPr>
        <w:sdtEndPr>
          <w:rPr>
            <w:rFonts w:cs="Times New Roman"/>
            <w:color w:val="000000" w:themeColor="text1"/>
            <w:kern w:val="2"/>
            <w14:textFill>
              <w14:solidFill>
                <w14:schemeClr w14:val="tx1"/>
              </w14:solidFill>
            </w14:textFill>
          </w:rPr>
        </w:sdtEndPr>
        <w:sdtContent>
          <w:tr w14:paraId="717F8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tcPr>
              <w:p w14:paraId="2A255744">
                <w:pPr>
                  <w:rPr>
                    <w:rFonts w:cs="Times New Roman"/>
                  </w:rPr>
                </w:pPr>
                <w:r>
                  <w:rPr>
                    <w:rFonts w:cs="Times New Roman"/>
                  </w:rPr>
                  <w:t>沈阳际华三五四七特种装具有限公司</w:t>
                </w:r>
              </w:p>
            </w:tc>
            <w:tc>
              <w:tcPr>
                <w:tcW w:w="1253" w:type="pct"/>
                <w:vAlign w:val="center"/>
              </w:tcPr>
              <w:p w14:paraId="3E50A1A6">
                <w:pPr>
                  <w:jc w:val="right"/>
                  <w:rPr>
                    <w:rFonts w:cs="Times New Roman"/>
                  </w:rPr>
                </w:pPr>
                <w:r>
                  <w:rPr>
                    <w:rFonts w:cs="Times New Roman"/>
                  </w:rPr>
                  <w:t>3,404,192.02</w:t>
                </w:r>
              </w:p>
            </w:tc>
            <w:tc>
              <w:tcPr>
                <w:tcW w:w="1286" w:type="pct"/>
                <w:vAlign w:val="center"/>
              </w:tcPr>
              <w:p w14:paraId="67788B9F">
                <w:pPr>
                  <w:jc w:val="right"/>
                  <w:rPr>
                    <w:rFonts w:cs="Times New Roman"/>
                  </w:rPr>
                </w:pPr>
                <w:r>
                  <w:rPr>
                    <w:rFonts w:cs="Times New Roman"/>
                  </w:rPr>
                  <w:t>3,404,192.02</w:t>
                </w:r>
              </w:p>
            </w:tc>
          </w:tr>
        </w:sdtContent>
      </w:sdt>
      <w:sdt>
        <w:sdtPr>
          <w:rPr>
            <w:rFonts w:cs="Times New Roman"/>
            <w:color w:val="000000" w:themeColor="text1"/>
            <w:kern w:val="2"/>
            <w14:textFill>
              <w14:solidFill>
                <w14:schemeClr w14:val="tx1"/>
              </w14:solidFill>
            </w14:textFill>
          </w:rPr>
          <w:alias w:val="应收股利明细"/>
          <w:tag w:val="_TUP_1ff5f8f45a2949f1b9c94eaf933424a7"/>
          <w:id w:val="-1715569495"/>
          <w:placeholder>
            <w:docPart w:val="{e1ccbac6-b974-4cb2-913d-db31be313061}"/>
          </w:placeholder>
        </w:sdtPr>
        <w:sdtEndPr>
          <w:rPr>
            <w:rFonts w:cs="Times New Roman"/>
            <w:color w:val="000000" w:themeColor="text1"/>
            <w:kern w:val="2"/>
            <w14:textFill>
              <w14:solidFill>
                <w14:schemeClr w14:val="tx1"/>
              </w14:solidFill>
            </w14:textFill>
          </w:rPr>
        </w:sdtEndPr>
        <w:sdtContent>
          <w:tr w14:paraId="58C3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tcPr>
              <w:p w14:paraId="07F819DD">
                <w:pPr>
                  <w:rPr>
                    <w:rFonts w:cs="Times New Roman"/>
                  </w:rPr>
                </w:pPr>
                <w:r>
                  <w:rPr>
                    <w:rFonts w:cs="Times New Roman"/>
                  </w:rPr>
                  <w:t>岳阳际华置业有限公司</w:t>
                </w:r>
              </w:p>
            </w:tc>
            <w:tc>
              <w:tcPr>
                <w:tcW w:w="1253" w:type="pct"/>
                <w:vAlign w:val="center"/>
              </w:tcPr>
              <w:p w14:paraId="33062B46">
                <w:pPr>
                  <w:jc w:val="right"/>
                  <w:rPr>
                    <w:rFonts w:cs="Times New Roman"/>
                  </w:rPr>
                </w:pPr>
                <w:r>
                  <w:rPr>
                    <w:rFonts w:cs="Times New Roman"/>
                  </w:rPr>
                  <w:t>36,775,459.11</w:t>
                </w:r>
              </w:p>
            </w:tc>
            <w:tc>
              <w:tcPr>
                <w:tcW w:w="1286" w:type="pct"/>
                <w:vAlign w:val="center"/>
              </w:tcPr>
              <w:p w14:paraId="0FD62DCF">
                <w:pPr>
                  <w:jc w:val="right"/>
                  <w:rPr>
                    <w:rFonts w:cs="Times New Roman"/>
                  </w:rPr>
                </w:pPr>
                <w:r>
                  <w:rPr>
                    <w:rFonts w:cs="Times New Roman"/>
                  </w:rPr>
                  <w:t>36,775,459.11</w:t>
                </w:r>
              </w:p>
            </w:tc>
          </w:tr>
        </w:sdtContent>
      </w:sdt>
      <w:sdt>
        <w:sdtPr>
          <w:rPr>
            <w:rFonts w:cs="Times New Roman"/>
            <w:color w:val="000000" w:themeColor="text1"/>
            <w:kern w:val="2"/>
            <w14:textFill>
              <w14:solidFill>
                <w14:schemeClr w14:val="tx1"/>
              </w14:solidFill>
            </w14:textFill>
          </w:rPr>
          <w:alias w:val="应收股利明细"/>
          <w:tag w:val="_TUP_1ff5f8f45a2949f1b9c94eaf933424a7"/>
          <w:id w:val="-1406224289"/>
          <w:placeholder>
            <w:docPart w:val="{e1ccbac6-b974-4cb2-913d-db31be313061}"/>
          </w:placeholder>
        </w:sdtPr>
        <w:sdtEndPr>
          <w:rPr>
            <w:rFonts w:cs="Times New Roman"/>
            <w:color w:val="000000" w:themeColor="text1"/>
            <w:kern w:val="2"/>
            <w14:textFill>
              <w14:solidFill>
                <w14:schemeClr w14:val="tx1"/>
              </w14:solidFill>
            </w14:textFill>
          </w:rPr>
        </w:sdtEndPr>
        <w:sdtContent>
          <w:tr w14:paraId="63DE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tcPr>
              <w:p w14:paraId="6CCF106F">
                <w:pPr>
                  <w:rPr>
                    <w:rFonts w:cs="Times New Roman"/>
                  </w:rPr>
                </w:pPr>
                <w:r>
                  <w:rPr>
                    <w:rFonts w:cs="Times New Roman"/>
                  </w:rPr>
                  <w:t>际华三五一二皮革服装有限公司</w:t>
                </w:r>
              </w:p>
            </w:tc>
            <w:tc>
              <w:tcPr>
                <w:tcW w:w="1253" w:type="pct"/>
                <w:vAlign w:val="center"/>
              </w:tcPr>
              <w:p w14:paraId="0C7CFE1B">
                <w:pPr>
                  <w:jc w:val="right"/>
                  <w:rPr>
                    <w:rFonts w:cs="Times New Roman"/>
                  </w:rPr>
                </w:pPr>
                <w:r>
                  <w:rPr>
                    <w:rFonts w:cs="Times New Roman"/>
                  </w:rPr>
                  <w:t>150,000,000.00</w:t>
                </w:r>
              </w:p>
            </w:tc>
            <w:tc>
              <w:tcPr>
                <w:tcW w:w="1286" w:type="pct"/>
                <w:vAlign w:val="center"/>
              </w:tcPr>
              <w:p w14:paraId="300B3E5F">
                <w:pPr>
                  <w:jc w:val="right"/>
                  <w:rPr>
                    <w:rFonts w:cs="Times New Roman"/>
                  </w:rPr>
                </w:pPr>
              </w:p>
            </w:tc>
          </w:tr>
        </w:sdtContent>
      </w:sdt>
      <w:sdt>
        <w:sdtPr>
          <w:rPr>
            <w:rFonts w:cs="Times New Roman"/>
            <w:color w:val="000000" w:themeColor="text1"/>
            <w:kern w:val="2"/>
            <w14:textFill>
              <w14:solidFill>
                <w14:schemeClr w14:val="tx1"/>
              </w14:solidFill>
            </w14:textFill>
          </w:rPr>
          <w:alias w:val="应收股利明细"/>
          <w:tag w:val="_TUP_1ff5f8f45a2949f1b9c94eaf933424a7"/>
          <w:id w:val="1966845069"/>
          <w:placeholder>
            <w:docPart w:val="{e1ccbac6-b974-4cb2-913d-db31be313061}"/>
          </w:placeholder>
        </w:sdtPr>
        <w:sdtEndPr>
          <w:rPr>
            <w:rFonts w:cs="Times New Roman"/>
            <w:color w:val="000000" w:themeColor="text1"/>
            <w:kern w:val="2"/>
            <w14:textFill>
              <w14:solidFill>
                <w14:schemeClr w14:val="tx1"/>
              </w14:solidFill>
            </w14:textFill>
          </w:rPr>
        </w:sdtEndPr>
        <w:sdtContent>
          <w:tr w14:paraId="03E6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tcPr>
              <w:p w14:paraId="15B64EB4">
                <w:pPr>
                  <w:rPr>
                    <w:rFonts w:cs="Times New Roman"/>
                  </w:rPr>
                </w:pPr>
                <w:r>
                  <w:rPr>
                    <w:rFonts w:cs="Times New Roman"/>
                  </w:rPr>
                  <w:t>新兴际华投资有限公司</w:t>
                </w:r>
              </w:p>
            </w:tc>
            <w:tc>
              <w:tcPr>
                <w:tcW w:w="1253" w:type="pct"/>
                <w:vAlign w:val="center"/>
              </w:tcPr>
              <w:p w14:paraId="4905101D">
                <w:pPr>
                  <w:jc w:val="right"/>
                  <w:rPr>
                    <w:rFonts w:cs="Times New Roman"/>
                  </w:rPr>
                </w:pPr>
                <w:r>
                  <w:rPr>
                    <w:rFonts w:cs="Times New Roman"/>
                  </w:rPr>
                  <w:t>52,107,547.75</w:t>
                </w:r>
              </w:p>
            </w:tc>
            <w:tc>
              <w:tcPr>
                <w:tcW w:w="1286" w:type="pct"/>
                <w:vAlign w:val="center"/>
              </w:tcPr>
              <w:p w14:paraId="7AC1D0D8">
                <w:pPr>
                  <w:jc w:val="right"/>
                  <w:rPr>
                    <w:rFonts w:cs="Times New Roman"/>
                  </w:rPr>
                </w:pPr>
                <w:r>
                  <w:rPr>
                    <w:rFonts w:cs="Times New Roman"/>
                  </w:rPr>
                  <w:t>52,107,547.75</w:t>
                </w:r>
              </w:p>
            </w:tc>
          </w:tr>
        </w:sdtContent>
      </w:sdt>
      <w:tr w14:paraId="6617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e1484a84dae543fcb190b5d5f8a4e713"/>
            <w:id w:val="-95550916"/>
          </w:sdtPr>
          <w:sdtEndPr>
            <w:rPr>
              <w:rFonts w:cs="Times New Roman"/>
            </w:rPr>
          </w:sdtEndPr>
          <w:sdtContent>
            <w:tc>
              <w:tcPr>
                <w:tcW w:w="2459" w:type="pct"/>
                <w:vAlign w:val="center"/>
              </w:tcPr>
              <w:p w14:paraId="5678B722">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c>
          <w:tcPr>
            <w:tcW w:w="1253" w:type="pct"/>
            <w:vAlign w:val="center"/>
          </w:tcPr>
          <w:p w14:paraId="4A37D2C5">
            <w:pPr>
              <w:jc w:val="right"/>
              <w:rPr>
                <w:rFonts w:cs="Times New Roman"/>
              </w:rPr>
            </w:pPr>
            <w:r>
              <w:rPr>
                <w:rFonts w:cs="Times New Roman"/>
              </w:rPr>
              <w:t>521,931,182.43</w:t>
            </w:r>
          </w:p>
        </w:tc>
        <w:tc>
          <w:tcPr>
            <w:tcW w:w="1286" w:type="pct"/>
            <w:vAlign w:val="center"/>
          </w:tcPr>
          <w:p w14:paraId="599524C4">
            <w:pPr>
              <w:jc w:val="right"/>
              <w:rPr>
                <w:rFonts w:cs="Times New Roman"/>
              </w:rPr>
            </w:pPr>
            <w:r>
              <w:rPr>
                <w:rFonts w:cs="Times New Roman"/>
              </w:rPr>
              <w:t>371,931,182.43</w:t>
            </w:r>
          </w:p>
        </w:tc>
      </w:tr>
    </w:tbl>
    <w:p w14:paraId="65FE6987">
      <w:pPr>
        <w:rPr>
          <w:color w:val="000000" w:themeColor="text1"/>
          <w14:textFill>
            <w14:solidFill>
              <w14:schemeClr w14:val="tx1"/>
            </w14:solidFill>
          </w14:textFill>
        </w:rPr>
      </w:pPr>
    </w:p>
    <w:p w14:paraId="6E2257B5"/>
    <w:p w14:paraId="06F9DB20"/>
    <w:bookmarkEnd w:id="464"/>
    <w:bookmarkEnd w:id="465"/>
    <w:p w14:paraId="6D1B4153">
      <w:pPr>
        <w:pStyle w:val="6"/>
        <w:numPr>
          <w:ilvl w:val="0"/>
          <w:numId w:val="119"/>
        </w:numPr>
        <w:rPr>
          <w:rFonts w:cs="宋体"/>
          <w:kern w:val="0"/>
          <w:szCs w:val="24"/>
        </w:rPr>
      </w:pPr>
      <w:bookmarkStart w:id="466" w:name="_Hlk168041814"/>
      <w:bookmarkStart w:id="467" w:name="_Hlk154150045"/>
      <w:bookmarkStart w:id="468" w:name="_Hlk153790907"/>
      <w:r>
        <w:rPr>
          <w:rFonts w:hint="eastAsia" w:cs="宋体"/>
          <w:kern w:val="0"/>
          <w:szCs w:val="24"/>
        </w:rPr>
        <w:t>重要的账龄超过1年的应收股利</w:t>
      </w:r>
    </w:p>
    <w:sdt>
      <w:sdtPr>
        <w:rPr>
          <w:color w:val="000000" w:themeColor="text1"/>
          <w14:textFill>
            <w14:solidFill>
              <w14:schemeClr w14:val="tx1"/>
            </w14:solidFill>
          </w14:textFill>
        </w:rPr>
        <w:alias w:val="是否适用：母公司重要的账龄超过1年的应收股利[双击切换]"/>
        <w:tag w:val="_GBC_5ce593c40926400393bed620009e5006"/>
        <w:id w:val="-15236340"/>
      </w:sdtPr>
      <w:sdtEndPr>
        <w:rPr>
          <w:color w:val="000000" w:themeColor="text1"/>
          <w14:textFill>
            <w14:solidFill>
              <w14:schemeClr w14:val="tx1"/>
            </w14:solidFill>
          </w14:textFill>
        </w:rPr>
      </w:sdtEndPr>
      <w:sdtContent>
        <w:p w14:paraId="3143CD9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6C8D6FB8">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母公司重要的账龄超过1年的应收股利"/>
          <w:tag w:val="_GBC_09188aa6f5ff485991c423defe329875"/>
          <w:id w:val="-1000038458"/>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母公司重要的账龄超过1年的应收股利"/>
          <w:tag w:val="_GBC_228261b7a6c74be6bb1887c8be9607e9"/>
          <w:id w:val="-58846239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30" w:type="dxa"/>
          <w:bottom w:w="0" w:type="dxa"/>
          <w:right w:w="30" w:type="dxa"/>
        </w:tblCellMar>
      </w:tblPr>
      <w:tblGrid>
        <w:gridCol w:w="3039"/>
        <w:gridCol w:w="1493"/>
        <w:gridCol w:w="1772"/>
        <w:gridCol w:w="1416"/>
        <w:gridCol w:w="1097"/>
      </w:tblGrid>
      <w:tr w14:paraId="2B9FE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sdt>
          <w:sdtPr>
            <w:rPr>
              <w:rFonts w:cs="Times New Roman"/>
            </w:rPr>
            <w:tag w:val="_PLD_2864c81ef88b4613912acc52345d3ba1"/>
            <w:id w:val="-1564788374"/>
          </w:sdtPr>
          <w:sdtEndPr>
            <w:rPr>
              <w:rFonts w:cs="Times New Roman"/>
            </w:rPr>
          </w:sdtEndPr>
          <w:sdtContent>
            <w:tc>
              <w:tcPr>
                <w:tcW w:w="1722" w:type="pct"/>
                <w:vAlign w:val="center"/>
              </w:tcPr>
              <w:p w14:paraId="0CBDF2FE">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项目(或被投资单位)</w:t>
                </w:r>
              </w:p>
            </w:tc>
          </w:sdtContent>
        </w:sdt>
        <w:sdt>
          <w:sdtPr>
            <w:rPr>
              <w:rFonts w:cs="Times New Roman"/>
            </w:rPr>
            <w:tag w:val="_PLD_b05f476471f44abd8478bfab2f3c522f"/>
            <w:id w:val="-90788539"/>
          </w:sdtPr>
          <w:sdtEndPr>
            <w:rPr>
              <w:rFonts w:cs="Times New Roman"/>
            </w:rPr>
          </w:sdtEndPr>
          <w:sdtContent>
            <w:tc>
              <w:tcPr>
                <w:tcW w:w="846" w:type="pct"/>
                <w:tcBorders>
                  <w:right w:val="single" w:color="auto" w:sz="4" w:space="0"/>
                </w:tcBorders>
                <w:vAlign w:val="center"/>
              </w:tcPr>
              <w:p w14:paraId="6B624190">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184ea8a4ee2d4969bf52a5e9b113334b"/>
            <w:id w:val="-2133234714"/>
          </w:sdtPr>
          <w:sdtEndPr>
            <w:rPr>
              <w:rFonts w:cs="Times New Roman"/>
            </w:rPr>
          </w:sdtEndPr>
          <w:sdtContent>
            <w:tc>
              <w:tcPr>
                <w:tcW w:w="1005" w:type="pct"/>
                <w:tcBorders>
                  <w:left w:val="single" w:color="auto" w:sz="4" w:space="0"/>
                </w:tcBorders>
                <w:vAlign w:val="center"/>
              </w:tcPr>
              <w:p w14:paraId="60BF83CF">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账龄</w:t>
                </w:r>
              </w:p>
            </w:tc>
          </w:sdtContent>
        </w:sdt>
        <w:sdt>
          <w:sdtPr>
            <w:rPr>
              <w:rFonts w:cs="Times New Roman"/>
            </w:rPr>
            <w:tag w:val="_PLD_5118cdcaebf348a2a460626e6d895e83"/>
            <w:id w:val="-1629623181"/>
          </w:sdtPr>
          <w:sdtEndPr>
            <w:rPr>
              <w:rFonts w:cs="Times New Roman"/>
            </w:rPr>
          </w:sdtEndPr>
          <w:sdtContent>
            <w:tc>
              <w:tcPr>
                <w:tcW w:w="803" w:type="pct"/>
                <w:vAlign w:val="center"/>
              </w:tcPr>
              <w:p w14:paraId="72B6B4C7">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未收回的原因</w:t>
                </w:r>
              </w:p>
            </w:tc>
          </w:sdtContent>
        </w:sdt>
        <w:sdt>
          <w:sdtPr>
            <w:rPr>
              <w:rFonts w:cs="Times New Roman"/>
            </w:rPr>
            <w:tag w:val="_PLD_6b70580f3c734de79a8c5b19dc50eeed"/>
            <w:id w:val="1805273440"/>
          </w:sdtPr>
          <w:sdtEndPr>
            <w:rPr>
              <w:rFonts w:cs="Times New Roman"/>
            </w:rPr>
          </w:sdtEndPr>
          <w:sdtContent>
            <w:tc>
              <w:tcPr>
                <w:tcW w:w="622" w:type="pct"/>
                <w:vAlign w:val="center"/>
              </w:tcPr>
              <w:p w14:paraId="42146DF9">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是否发生减值及其判断依据</w:t>
                </w:r>
              </w:p>
            </w:tc>
          </w:sdtContent>
        </w:sdt>
      </w:tr>
      <w:sdt>
        <w:sdtPr>
          <w:rPr>
            <w:rFonts w:cs="Times New Roman"/>
            <w:color w:val="000000" w:themeColor="text1"/>
            <w14:textFill>
              <w14:solidFill>
                <w14:schemeClr w14:val="tx1"/>
              </w14:solidFill>
            </w14:textFill>
          </w:rPr>
          <w:alias w:val="账龄一年以上的应收股利明细"/>
          <w:tag w:val="_TUP_8a4f09e5e4284919bbd44c0886dde541"/>
          <w:id w:val="-1658447090"/>
          <w:placeholder>
            <w:docPart w:val="{712bd3a6-7736-4c48-8e07-037148df6ccb}"/>
          </w:placeholder>
        </w:sdtPr>
        <w:sdtEndPr>
          <w:rPr>
            <w:rFonts w:cs="Times New Roman"/>
            <w:color w:val="000000" w:themeColor="text1"/>
            <w14:textFill>
              <w14:solidFill>
                <w14:schemeClr w14:val="tx1"/>
              </w14:solidFill>
            </w14:textFill>
          </w:rPr>
        </w:sdtEndPr>
        <w:sdtContent>
          <w:tr w14:paraId="747E5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722" w:type="pct"/>
                <w:vAlign w:val="center"/>
              </w:tcPr>
              <w:p w14:paraId="5EB80BA5">
                <w:pPr>
                  <w:rPr>
                    <w:rFonts w:cs="Times New Roman"/>
                  </w:rPr>
                </w:pPr>
                <w:r>
                  <w:rPr>
                    <w:rFonts w:cs="Times New Roman"/>
                  </w:rPr>
                  <w:t>新兴际华投资有限公司</w:t>
                </w:r>
              </w:p>
            </w:tc>
            <w:tc>
              <w:tcPr>
                <w:tcW w:w="846" w:type="pct"/>
                <w:tcBorders>
                  <w:right w:val="single" w:color="auto" w:sz="4" w:space="0"/>
                </w:tcBorders>
                <w:vAlign w:val="center"/>
              </w:tcPr>
              <w:p w14:paraId="4A555C4B">
                <w:pPr>
                  <w:autoSpaceDE w:val="0"/>
                  <w:autoSpaceDN w:val="0"/>
                  <w:adjustRightInd w:val="0"/>
                  <w:snapToGrid w:val="0"/>
                  <w:spacing w:line="240" w:lineRule="atLeast"/>
                  <w:jc w:val="right"/>
                  <w:rPr>
                    <w:rFonts w:cs="Times New Roman"/>
                  </w:rPr>
                </w:pPr>
                <w:r>
                  <w:rPr>
                    <w:rFonts w:cs="Times New Roman"/>
                  </w:rPr>
                  <w:t>44,854,927.40</w:t>
                </w:r>
              </w:p>
            </w:tc>
            <w:tc>
              <w:tcPr>
                <w:tcW w:w="1005" w:type="pct"/>
                <w:tcBorders>
                  <w:left w:val="single" w:color="auto" w:sz="4" w:space="0"/>
                </w:tcBorders>
                <w:vAlign w:val="center"/>
              </w:tcPr>
              <w:p w14:paraId="0DDC221B">
                <w:pPr>
                  <w:autoSpaceDE w:val="0"/>
                  <w:autoSpaceDN w:val="0"/>
                  <w:adjustRightInd w:val="0"/>
                  <w:snapToGrid w:val="0"/>
                  <w:spacing w:line="240" w:lineRule="atLeast"/>
                  <w:ind w:right="105" w:rightChars="50"/>
                  <w:jc w:val="center"/>
                  <w:rPr>
                    <w:rFonts w:cs="Times New Roman"/>
                  </w:rPr>
                </w:pPr>
                <w:r>
                  <w:rPr>
                    <w:rFonts w:cs="Times New Roman"/>
                  </w:rPr>
                  <w:t>3至4年</w:t>
                </w:r>
              </w:p>
            </w:tc>
            <w:tc>
              <w:tcPr>
                <w:tcW w:w="803" w:type="pct"/>
                <w:vAlign w:val="center"/>
              </w:tcPr>
              <w:p w14:paraId="69BD460D">
                <w:pPr>
                  <w:autoSpaceDE w:val="0"/>
                  <w:autoSpaceDN w:val="0"/>
                  <w:adjustRightInd w:val="0"/>
                  <w:snapToGrid w:val="0"/>
                  <w:spacing w:line="240" w:lineRule="atLeast"/>
                  <w:jc w:val="center"/>
                  <w:rPr>
                    <w:rFonts w:cs="Times New Roman"/>
                  </w:rPr>
                </w:pPr>
                <w:r>
                  <w:rPr>
                    <w:rFonts w:cs="Times New Roman"/>
                  </w:rPr>
                  <w:t>尚未发放</w:t>
                </w:r>
              </w:p>
            </w:tc>
            <w:sdt>
              <w:sdtPr>
                <w:rPr>
                  <w:rFonts w:cs="Times New Roman"/>
                  <w:color w:val="000000" w:themeColor="text1"/>
                  <w14:textFill>
                    <w14:solidFill>
                      <w14:schemeClr w14:val="tx1"/>
                    </w14:solidFill>
                  </w14:textFill>
                </w:rPr>
                <w:alias w:val="账龄一年以上的应收股利明细-相关款项是否发生减值及其判断依据"/>
                <w:tag w:val="_GBC_2d305898769643e79f4e7041dbb3da60"/>
                <w:id w:val="708834788"/>
                <w:comboBox>
                  <w:listItem w:displayText="是" w:value="true"/>
                  <w:listItem w:displayText="否" w:value="false"/>
                </w:comboBox>
              </w:sdtPr>
              <w:sdtEndPr>
                <w:rPr>
                  <w:rFonts w:cs="Times New Roman"/>
                  <w:color w:val="000000" w:themeColor="text1"/>
                  <w14:textFill>
                    <w14:solidFill>
                      <w14:schemeClr w14:val="tx1"/>
                    </w14:solidFill>
                  </w14:textFill>
                </w:rPr>
              </w:sdtEndPr>
              <w:sdtContent>
                <w:tc>
                  <w:tcPr>
                    <w:tcW w:w="622" w:type="pct"/>
                    <w:vAlign w:val="center"/>
                  </w:tcPr>
                  <w:p w14:paraId="7F09129E">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否</w:t>
                    </w:r>
                  </w:p>
                </w:tc>
              </w:sdtContent>
            </w:sdt>
          </w:tr>
        </w:sdtContent>
      </w:sdt>
      <w:sdt>
        <w:sdtPr>
          <w:rPr>
            <w:rFonts w:cs="Times New Roman"/>
            <w:color w:val="000000" w:themeColor="text1"/>
            <w14:textFill>
              <w14:solidFill>
                <w14:schemeClr w14:val="tx1"/>
              </w14:solidFill>
            </w14:textFill>
          </w:rPr>
          <w:alias w:val="账龄一年以上的应收股利明细"/>
          <w:tag w:val="_TUP_8a4f09e5e4284919bbd44c0886dde541"/>
          <w:id w:val="-46536433"/>
          <w:placeholder>
            <w:docPart w:val="{712bd3a6-7736-4c48-8e07-037148df6ccb}"/>
          </w:placeholder>
        </w:sdtPr>
        <w:sdtEndPr>
          <w:rPr>
            <w:rFonts w:cs="Times New Roman"/>
            <w:color w:val="000000" w:themeColor="text1"/>
            <w14:textFill>
              <w14:solidFill>
                <w14:schemeClr w14:val="tx1"/>
              </w14:solidFill>
            </w14:textFill>
          </w:rPr>
        </w:sdtEndPr>
        <w:sdtContent>
          <w:tr w14:paraId="14386A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722" w:type="pct"/>
                <w:vAlign w:val="center"/>
              </w:tcPr>
              <w:p w14:paraId="7114DEC3">
                <w:pPr>
                  <w:rPr>
                    <w:rFonts w:cs="Times New Roman"/>
                  </w:rPr>
                </w:pPr>
                <w:r>
                  <w:rPr>
                    <w:rFonts w:cs="Times New Roman"/>
                  </w:rPr>
                  <w:t>际华三五四二纺织有限公司</w:t>
                </w:r>
              </w:p>
            </w:tc>
            <w:tc>
              <w:tcPr>
                <w:tcW w:w="846" w:type="pct"/>
                <w:tcBorders>
                  <w:right w:val="single" w:color="auto" w:sz="4" w:space="0"/>
                </w:tcBorders>
                <w:vAlign w:val="center"/>
              </w:tcPr>
              <w:p w14:paraId="1163DA6E">
                <w:pPr>
                  <w:autoSpaceDE w:val="0"/>
                  <w:autoSpaceDN w:val="0"/>
                  <w:adjustRightInd w:val="0"/>
                  <w:snapToGrid w:val="0"/>
                  <w:spacing w:line="240" w:lineRule="atLeast"/>
                  <w:jc w:val="right"/>
                  <w:rPr>
                    <w:rFonts w:cs="Times New Roman"/>
                  </w:rPr>
                </w:pPr>
                <w:r>
                  <w:rPr>
                    <w:rFonts w:cs="Times New Roman"/>
                  </w:rPr>
                  <w:t>162,627,445.24</w:t>
                </w:r>
              </w:p>
            </w:tc>
            <w:tc>
              <w:tcPr>
                <w:tcW w:w="1005" w:type="pct"/>
                <w:tcBorders>
                  <w:left w:val="single" w:color="auto" w:sz="4" w:space="0"/>
                </w:tcBorders>
                <w:vAlign w:val="center"/>
              </w:tcPr>
              <w:p w14:paraId="2CCCA196">
                <w:pPr>
                  <w:autoSpaceDE w:val="0"/>
                  <w:autoSpaceDN w:val="0"/>
                  <w:adjustRightInd w:val="0"/>
                  <w:snapToGrid w:val="0"/>
                  <w:spacing w:line="240" w:lineRule="atLeast"/>
                  <w:ind w:right="105" w:rightChars="50"/>
                  <w:jc w:val="center"/>
                  <w:rPr>
                    <w:rFonts w:cs="Times New Roman"/>
                  </w:rPr>
                </w:pPr>
                <w:r>
                  <w:rPr>
                    <w:rFonts w:cs="Times New Roman"/>
                  </w:rPr>
                  <w:t>2-3年，5年以上</w:t>
                </w:r>
              </w:p>
            </w:tc>
            <w:tc>
              <w:tcPr>
                <w:tcW w:w="803" w:type="pct"/>
                <w:vAlign w:val="center"/>
              </w:tcPr>
              <w:p w14:paraId="769DE7C6">
                <w:pPr>
                  <w:autoSpaceDE w:val="0"/>
                  <w:autoSpaceDN w:val="0"/>
                  <w:adjustRightInd w:val="0"/>
                  <w:snapToGrid w:val="0"/>
                  <w:spacing w:line="240" w:lineRule="atLeast"/>
                  <w:jc w:val="center"/>
                  <w:rPr>
                    <w:rFonts w:cs="Times New Roman"/>
                  </w:rPr>
                </w:pPr>
                <w:r>
                  <w:rPr>
                    <w:rFonts w:cs="Times New Roman"/>
                  </w:rPr>
                  <w:t>尚未发放</w:t>
                </w:r>
              </w:p>
            </w:tc>
            <w:sdt>
              <w:sdtPr>
                <w:rPr>
                  <w:rFonts w:cs="Times New Roman"/>
                  <w:color w:val="000000" w:themeColor="text1"/>
                  <w14:textFill>
                    <w14:solidFill>
                      <w14:schemeClr w14:val="tx1"/>
                    </w14:solidFill>
                  </w14:textFill>
                </w:rPr>
                <w:alias w:val="账龄一年以上的应收股利明细-相关款项是否发生减值及其判断依据"/>
                <w:tag w:val="_GBC_2d305898769643e79f4e7041dbb3da60"/>
                <w:id w:val="1143853016"/>
                <w:comboBox>
                  <w:listItem w:displayText="是" w:value="true"/>
                  <w:listItem w:displayText="否" w:value="false"/>
                </w:comboBox>
              </w:sdtPr>
              <w:sdtEndPr>
                <w:rPr>
                  <w:rFonts w:cs="Times New Roman"/>
                  <w:color w:val="000000" w:themeColor="text1"/>
                  <w14:textFill>
                    <w14:solidFill>
                      <w14:schemeClr w14:val="tx1"/>
                    </w14:solidFill>
                  </w14:textFill>
                </w:rPr>
              </w:sdtEndPr>
              <w:sdtContent>
                <w:tc>
                  <w:tcPr>
                    <w:tcW w:w="622" w:type="pct"/>
                    <w:vAlign w:val="center"/>
                  </w:tcPr>
                  <w:p w14:paraId="5244E5E7">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否</w:t>
                    </w:r>
                  </w:p>
                </w:tc>
              </w:sdtContent>
            </w:sdt>
          </w:tr>
        </w:sdtContent>
      </w:sdt>
      <w:sdt>
        <w:sdtPr>
          <w:rPr>
            <w:rFonts w:cs="Times New Roman"/>
            <w:color w:val="000000" w:themeColor="text1"/>
            <w14:textFill>
              <w14:solidFill>
                <w14:schemeClr w14:val="tx1"/>
              </w14:solidFill>
            </w14:textFill>
          </w:rPr>
          <w:alias w:val="账龄一年以上的应收股利明细"/>
          <w:tag w:val="_TUP_8a4f09e5e4284919bbd44c0886dde541"/>
          <w:id w:val="-2144957843"/>
          <w:placeholder>
            <w:docPart w:val="{712bd3a6-7736-4c48-8e07-037148df6ccb}"/>
          </w:placeholder>
        </w:sdtPr>
        <w:sdtEndPr>
          <w:rPr>
            <w:rFonts w:cs="Times New Roman"/>
            <w:color w:val="000000" w:themeColor="text1"/>
            <w14:textFill>
              <w14:solidFill>
                <w14:schemeClr w14:val="tx1"/>
              </w14:solidFill>
            </w14:textFill>
          </w:rPr>
        </w:sdtEndPr>
        <w:sdtContent>
          <w:tr w14:paraId="62FB4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722" w:type="pct"/>
                <w:vAlign w:val="center"/>
              </w:tcPr>
              <w:p w14:paraId="35D2A39F">
                <w:pPr>
                  <w:rPr>
                    <w:rFonts w:cs="Times New Roman"/>
                  </w:rPr>
                </w:pPr>
                <w:r>
                  <w:rPr>
                    <w:rFonts w:cs="Times New Roman"/>
                  </w:rPr>
                  <w:t>际华三五二二装具饰品有限公司</w:t>
                </w:r>
              </w:p>
            </w:tc>
            <w:tc>
              <w:tcPr>
                <w:tcW w:w="846" w:type="pct"/>
                <w:tcBorders>
                  <w:right w:val="single" w:color="auto" w:sz="4" w:space="0"/>
                </w:tcBorders>
                <w:vAlign w:val="center"/>
              </w:tcPr>
              <w:p w14:paraId="70CD2E5D">
                <w:pPr>
                  <w:autoSpaceDE w:val="0"/>
                  <w:autoSpaceDN w:val="0"/>
                  <w:adjustRightInd w:val="0"/>
                  <w:snapToGrid w:val="0"/>
                  <w:spacing w:line="240" w:lineRule="atLeast"/>
                  <w:jc w:val="right"/>
                  <w:rPr>
                    <w:rFonts w:cs="Times New Roman"/>
                  </w:rPr>
                </w:pPr>
                <w:r>
                  <w:rPr>
                    <w:rFonts w:cs="Times New Roman"/>
                  </w:rPr>
                  <w:t>82,634,022.41</w:t>
                </w:r>
              </w:p>
            </w:tc>
            <w:tc>
              <w:tcPr>
                <w:tcW w:w="1005" w:type="pct"/>
                <w:tcBorders>
                  <w:left w:val="single" w:color="auto" w:sz="4" w:space="0"/>
                </w:tcBorders>
                <w:vAlign w:val="center"/>
              </w:tcPr>
              <w:p w14:paraId="02D3C20D">
                <w:pPr>
                  <w:autoSpaceDE w:val="0"/>
                  <w:autoSpaceDN w:val="0"/>
                  <w:adjustRightInd w:val="0"/>
                  <w:snapToGrid w:val="0"/>
                  <w:spacing w:line="240" w:lineRule="atLeast"/>
                  <w:ind w:right="105" w:rightChars="50"/>
                  <w:jc w:val="center"/>
                  <w:rPr>
                    <w:rFonts w:cs="Times New Roman"/>
                  </w:rPr>
                </w:pPr>
                <w:r>
                  <w:rPr>
                    <w:rFonts w:cs="Times New Roman"/>
                  </w:rPr>
                  <w:t>4-5年，5年以上</w:t>
                </w:r>
              </w:p>
            </w:tc>
            <w:tc>
              <w:tcPr>
                <w:tcW w:w="803" w:type="pct"/>
                <w:vAlign w:val="center"/>
              </w:tcPr>
              <w:p w14:paraId="28CDDE1D">
                <w:pPr>
                  <w:autoSpaceDE w:val="0"/>
                  <w:autoSpaceDN w:val="0"/>
                  <w:adjustRightInd w:val="0"/>
                  <w:snapToGrid w:val="0"/>
                  <w:spacing w:line="240" w:lineRule="atLeast"/>
                  <w:jc w:val="center"/>
                  <w:rPr>
                    <w:rFonts w:cs="Times New Roman"/>
                  </w:rPr>
                </w:pPr>
                <w:r>
                  <w:rPr>
                    <w:rFonts w:cs="Times New Roman"/>
                  </w:rPr>
                  <w:t>尚未发放</w:t>
                </w:r>
              </w:p>
            </w:tc>
            <w:sdt>
              <w:sdtPr>
                <w:rPr>
                  <w:rFonts w:cs="Times New Roman"/>
                  <w:color w:val="000000" w:themeColor="text1"/>
                  <w14:textFill>
                    <w14:solidFill>
                      <w14:schemeClr w14:val="tx1"/>
                    </w14:solidFill>
                  </w14:textFill>
                </w:rPr>
                <w:alias w:val="账龄一年以上的应收股利明细-相关款项是否发生减值及其判断依据"/>
                <w:tag w:val="_GBC_2d305898769643e79f4e7041dbb3da60"/>
                <w:id w:val="1465010176"/>
                <w:comboBox>
                  <w:listItem w:displayText="是" w:value="true"/>
                  <w:listItem w:displayText="否" w:value="false"/>
                </w:comboBox>
              </w:sdtPr>
              <w:sdtEndPr>
                <w:rPr>
                  <w:rFonts w:cs="Times New Roman"/>
                  <w:color w:val="000000" w:themeColor="text1"/>
                  <w14:textFill>
                    <w14:solidFill>
                      <w14:schemeClr w14:val="tx1"/>
                    </w14:solidFill>
                  </w14:textFill>
                </w:rPr>
              </w:sdtEndPr>
              <w:sdtContent>
                <w:tc>
                  <w:tcPr>
                    <w:tcW w:w="622" w:type="pct"/>
                    <w:vAlign w:val="center"/>
                  </w:tcPr>
                  <w:p w14:paraId="4A19F33C">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否</w:t>
                    </w:r>
                  </w:p>
                </w:tc>
              </w:sdtContent>
            </w:sdt>
          </w:tr>
        </w:sdtContent>
      </w:sdt>
      <w:sdt>
        <w:sdtPr>
          <w:rPr>
            <w:rFonts w:cs="Times New Roman"/>
            <w:color w:val="000000" w:themeColor="text1"/>
            <w14:textFill>
              <w14:solidFill>
                <w14:schemeClr w14:val="tx1"/>
              </w14:solidFill>
            </w14:textFill>
          </w:rPr>
          <w:alias w:val="账龄一年以上的应收股利明细"/>
          <w:tag w:val="_TUP_8a4f09e5e4284919bbd44c0886dde541"/>
          <w:id w:val="-2013057711"/>
          <w:placeholder>
            <w:docPart w:val="{712bd3a6-7736-4c48-8e07-037148df6ccb}"/>
          </w:placeholder>
        </w:sdtPr>
        <w:sdtEndPr>
          <w:rPr>
            <w:rFonts w:cs="Times New Roman"/>
            <w:color w:val="000000" w:themeColor="text1"/>
            <w14:textFill>
              <w14:solidFill>
                <w14:schemeClr w14:val="tx1"/>
              </w14:solidFill>
            </w14:textFill>
          </w:rPr>
        </w:sdtEndPr>
        <w:sdtContent>
          <w:tr w14:paraId="3D8E3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722" w:type="pct"/>
                <w:vAlign w:val="center"/>
              </w:tcPr>
              <w:p w14:paraId="7810ED11">
                <w:pPr>
                  <w:rPr>
                    <w:rFonts w:cs="Times New Roman"/>
                  </w:rPr>
                </w:pPr>
                <w:r>
                  <w:rPr>
                    <w:rFonts w:cs="Times New Roman"/>
                  </w:rPr>
                  <w:t>岳阳际华置业有限公司</w:t>
                </w:r>
              </w:p>
            </w:tc>
            <w:tc>
              <w:tcPr>
                <w:tcW w:w="846" w:type="pct"/>
                <w:tcBorders>
                  <w:right w:val="single" w:color="auto" w:sz="4" w:space="0"/>
                </w:tcBorders>
                <w:vAlign w:val="center"/>
              </w:tcPr>
              <w:p w14:paraId="61635D5E">
                <w:pPr>
                  <w:autoSpaceDE w:val="0"/>
                  <w:autoSpaceDN w:val="0"/>
                  <w:adjustRightInd w:val="0"/>
                  <w:snapToGrid w:val="0"/>
                  <w:spacing w:line="240" w:lineRule="atLeast"/>
                  <w:jc w:val="right"/>
                  <w:rPr>
                    <w:rFonts w:cs="Times New Roman"/>
                  </w:rPr>
                </w:pPr>
                <w:r>
                  <w:rPr>
                    <w:rFonts w:cs="Times New Roman"/>
                  </w:rPr>
                  <w:t>36,775,459.11</w:t>
                </w:r>
              </w:p>
            </w:tc>
            <w:tc>
              <w:tcPr>
                <w:tcW w:w="1005" w:type="pct"/>
                <w:tcBorders>
                  <w:left w:val="single" w:color="auto" w:sz="4" w:space="0"/>
                </w:tcBorders>
                <w:vAlign w:val="center"/>
              </w:tcPr>
              <w:p w14:paraId="1D1939B7">
                <w:pPr>
                  <w:autoSpaceDE w:val="0"/>
                  <w:autoSpaceDN w:val="0"/>
                  <w:adjustRightInd w:val="0"/>
                  <w:snapToGrid w:val="0"/>
                  <w:spacing w:line="240" w:lineRule="atLeast"/>
                  <w:ind w:right="105" w:rightChars="50"/>
                  <w:jc w:val="center"/>
                  <w:rPr>
                    <w:rFonts w:cs="Times New Roman"/>
                  </w:rPr>
                </w:pPr>
                <w:r>
                  <w:rPr>
                    <w:rFonts w:cs="Times New Roman"/>
                  </w:rPr>
                  <w:t>3至5年</w:t>
                </w:r>
              </w:p>
            </w:tc>
            <w:tc>
              <w:tcPr>
                <w:tcW w:w="803" w:type="pct"/>
                <w:vAlign w:val="center"/>
              </w:tcPr>
              <w:p w14:paraId="11C8FF4F">
                <w:pPr>
                  <w:autoSpaceDE w:val="0"/>
                  <w:autoSpaceDN w:val="0"/>
                  <w:adjustRightInd w:val="0"/>
                  <w:snapToGrid w:val="0"/>
                  <w:spacing w:line="240" w:lineRule="atLeast"/>
                  <w:jc w:val="center"/>
                  <w:rPr>
                    <w:rFonts w:cs="Times New Roman"/>
                  </w:rPr>
                </w:pPr>
                <w:r>
                  <w:rPr>
                    <w:rFonts w:cs="Times New Roman"/>
                  </w:rPr>
                  <w:t>尚未发放</w:t>
                </w:r>
              </w:p>
            </w:tc>
            <w:sdt>
              <w:sdtPr>
                <w:rPr>
                  <w:rFonts w:cs="Times New Roman"/>
                  <w:color w:val="000000" w:themeColor="text1"/>
                  <w14:textFill>
                    <w14:solidFill>
                      <w14:schemeClr w14:val="tx1"/>
                    </w14:solidFill>
                  </w14:textFill>
                </w:rPr>
                <w:alias w:val="账龄一年以上的应收股利明细-相关款项是否发生减值及其判断依据"/>
                <w:tag w:val="_GBC_2d305898769643e79f4e7041dbb3da60"/>
                <w:id w:val="-642352034"/>
                <w:comboBox>
                  <w:listItem w:displayText="是" w:value="true"/>
                  <w:listItem w:displayText="否" w:value="false"/>
                </w:comboBox>
              </w:sdtPr>
              <w:sdtEndPr>
                <w:rPr>
                  <w:rFonts w:cs="Times New Roman"/>
                  <w:color w:val="000000" w:themeColor="text1"/>
                  <w14:textFill>
                    <w14:solidFill>
                      <w14:schemeClr w14:val="tx1"/>
                    </w14:solidFill>
                  </w14:textFill>
                </w:rPr>
              </w:sdtEndPr>
              <w:sdtContent>
                <w:tc>
                  <w:tcPr>
                    <w:tcW w:w="622" w:type="pct"/>
                    <w:vAlign w:val="center"/>
                  </w:tcPr>
                  <w:p w14:paraId="79BC03AF">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否</w:t>
                    </w:r>
                  </w:p>
                </w:tc>
              </w:sdtContent>
            </w:sdt>
          </w:tr>
        </w:sdtContent>
      </w:sdt>
      <w:sdt>
        <w:sdtPr>
          <w:rPr>
            <w:rFonts w:cs="Times New Roman"/>
            <w:color w:val="000000" w:themeColor="text1"/>
            <w14:textFill>
              <w14:solidFill>
                <w14:schemeClr w14:val="tx1"/>
              </w14:solidFill>
            </w14:textFill>
          </w:rPr>
          <w:alias w:val="账龄一年以上的应收股利明细"/>
          <w:tag w:val="_TUP_8a4f09e5e4284919bbd44c0886dde541"/>
          <w:id w:val="1954052007"/>
          <w:placeholder>
            <w:docPart w:val="{712bd3a6-7736-4c48-8e07-037148df6ccb}"/>
          </w:placeholder>
        </w:sdtPr>
        <w:sdtEndPr>
          <w:rPr>
            <w:rFonts w:cs="Times New Roman"/>
            <w:color w:val="000000" w:themeColor="text1"/>
            <w14:textFill>
              <w14:solidFill>
                <w14:schemeClr w14:val="tx1"/>
              </w14:solidFill>
            </w14:textFill>
          </w:rPr>
        </w:sdtEndPr>
        <w:sdtContent>
          <w:tr w14:paraId="2C5B5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722" w:type="pct"/>
                <w:vAlign w:val="center"/>
              </w:tcPr>
              <w:p w14:paraId="1EFFD179">
                <w:pPr>
                  <w:rPr>
                    <w:rFonts w:cs="Times New Roman"/>
                  </w:rPr>
                </w:pPr>
                <w:r>
                  <w:rPr>
                    <w:rFonts w:cs="Times New Roman"/>
                  </w:rPr>
                  <w:t>际华三五零九纺织有限公司</w:t>
                </w:r>
              </w:p>
            </w:tc>
            <w:tc>
              <w:tcPr>
                <w:tcW w:w="846" w:type="pct"/>
                <w:tcBorders>
                  <w:right w:val="single" w:color="auto" w:sz="4" w:space="0"/>
                </w:tcBorders>
                <w:vAlign w:val="center"/>
              </w:tcPr>
              <w:p w14:paraId="5056347E">
                <w:pPr>
                  <w:autoSpaceDE w:val="0"/>
                  <w:autoSpaceDN w:val="0"/>
                  <w:adjustRightInd w:val="0"/>
                  <w:snapToGrid w:val="0"/>
                  <w:spacing w:line="240" w:lineRule="atLeast"/>
                  <w:jc w:val="right"/>
                  <w:rPr>
                    <w:rFonts w:cs="Times New Roman"/>
                  </w:rPr>
                </w:pPr>
                <w:r>
                  <w:rPr>
                    <w:rFonts w:cs="Times New Roman"/>
                  </w:rPr>
                  <w:t>17,497,432.37</w:t>
                </w:r>
              </w:p>
            </w:tc>
            <w:tc>
              <w:tcPr>
                <w:tcW w:w="1005" w:type="pct"/>
                <w:tcBorders>
                  <w:left w:val="single" w:color="auto" w:sz="4" w:space="0"/>
                </w:tcBorders>
                <w:vAlign w:val="center"/>
              </w:tcPr>
              <w:p w14:paraId="62829770">
                <w:pPr>
                  <w:autoSpaceDE w:val="0"/>
                  <w:autoSpaceDN w:val="0"/>
                  <w:adjustRightInd w:val="0"/>
                  <w:snapToGrid w:val="0"/>
                  <w:spacing w:line="240" w:lineRule="atLeast"/>
                  <w:ind w:right="105" w:rightChars="50"/>
                  <w:jc w:val="center"/>
                  <w:rPr>
                    <w:rFonts w:cs="Times New Roman"/>
                  </w:rPr>
                </w:pPr>
                <w:r>
                  <w:rPr>
                    <w:rFonts w:cs="Times New Roman"/>
                  </w:rPr>
                  <w:t>5年以上</w:t>
                </w:r>
              </w:p>
            </w:tc>
            <w:tc>
              <w:tcPr>
                <w:tcW w:w="803" w:type="pct"/>
                <w:vAlign w:val="center"/>
              </w:tcPr>
              <w:p w14:paraId="3B7EE450">
                <w:pPr>
                  <w:autoSpaceDE w:val="0"/>
                  <w:autoSpaceDN w:val="0"/>
                  <w:adjustRightInd w:val="0"/>
                  <w:snapToGrid w:val="0"/>
                  <w:spacing w:line="240" w:lineRule="atLeast"/>
                  <w:jc w:val="center"/>
                  <w:rPr>
                    <w:rFonts w:cs="Times New Roman"/>
                  </w:rPr>
                </w:pPr>
                <w:r>
                  <w:rPr>
                    <w:rFonts w:cs="Times New Roman"/>
                  </w:rPr>
                  <w:t>尚未发放</w:t>
                </w:r>
              </w:p>
            </w:tc>
            <w:sdt>
              <w:sdtPr>
                <w:rPr>
                  <w:rFonts w:cs="Times New Roman"/>
                  <w:color w:val="000000" w:themeColor="text1"/>
                  <w14:textFill>
                    <w14:solidFill>
                      <w14:schemeClr w14:val="tx1"/>
                    </w14:solidFill>
                  </w14:textFill>
                </w:rPr>
                <w:alias w:val="账龄一年以上的应收股利明细-相关款项是否发生减值及其判断依据"/>
                <w:tag w:val="_GBC_2d305898769643e79f4e7041dbb3da60"/>
                <w:id w:val="-1161003478"/>
                <w:comboBox>
                  <w:listItem w:displayText="是" w:value="true"/>
                  <w:listItem w:displayText="否" w:value="false"/>
                </w:comboBox>
              </w:sdtPr>
              <w:sdtEndPr>
                <w:rPr>
                  <w:rFonts w:cs="Times New Roman"/>
                  <w:color w:val="000000" w:themeColor="text1"/>
                  <w14:textFill>
                    <w14:solidFill>
                      <w14:schemeClr w14:val="tx1"/>
                    </w14:solidFill>
                  </w14:textFill>
                </w:rPr>
              </w:sdtEndPr>
              <w:sdtContent>
                <w:tc>
                  <w:tcPr>
                    <w:tcW w:w="622" w:type="pct"/>
                    <w:vAlign w:val="center"/>
                  </w:tcPr>
                  <w:p w14:paraId="1A6DCBCB">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否</w:t>
                    </w:r>
                  </w:p>
                </w:tc>
              </w:sdtContent>
            </w:sdt>
          </w:tr>
        </w:sdtContent>
      </w:sdt>
      <w:sdt>
        <w:sdtPr>
          <w:rPr>
            <w:rFonts w:cs="Times New Roman"/>
            <w:color w:val="000000" w:themeColor="text1"/>
            <w14:textFill>
              <w14:solidFill>
                <w14:schemeClr w14:val="tx1"/>
              </w14:solidFill>
            </w14:textFill>
          </w:rPr>
          <w:alias w:val="账龄一年以上的应收股利明细"/>
          <w:tag w:val="_TUP_8a4f09e5e4284919bbd44c0886dde541"/>
          <w:id w:val="-581988375"/>
          <w:placeholder>
            <w:docPart w:val="{712bd3a6-7736-4c48-8e07-037148df6ccb}"/>
          </w:placeholder>
        </w:sdtPr>
        <w:sdtEndPr>
          <w:rPr>
            <w:rFonts w:cs="Times New Roman"/>
            <w:color w:val="000000" w:themeColor="text1"/>
            <w14:textFill>
              <w14:solidFill>
                <w14:schemeClr w14:val="tx1"/>
              </w14:solidFill>
            </w14:textFill>
          </w:rPr>
        </w:sdtEndPr>
        <w:sdtContent>
          <w:tr w14:paraId="5E3DF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722" w:type="pct"/>
                <w:vAlign w:val="center"/>
              </w:tcPr>
              <w:p w14:paraId="04E99623">
                <w:pPr>
                  <w:rPr>
                    <w:rFonts w:cs="Times New Roman"/>
                  </w:rPr>
                </w:pPr>
                <w:r>
                  <w:rPr>
                    <w:rFonts w:cs="Times New Roman"/>
                  </w:rPr>
                  <w:t>际华三五零二职业装有限公司</w:t>
                </w:r>
              </w:p>
            </w:tc>
            <w:tc>
              <w:tcPr>
                <w:tcW w:w="846" w:type="pct"/>
                <w:tcBorders>
                  <w:right w:val="single" w:color="auto" w:sz="4" w:space="0"/>
                </w:tcBorders>
                <w:vAlign w:val="center"/>
              </w:tcPr>
              <w:p w14:paraId="1A7BB5C8">
                <w:pPr>
                  <w:autoSpaceDE w:val="0"/>
                  <w:autoSpaceDN w:val="0"/>
                  <w:adjustRightInd w:val="0"/>
                  <w:snapToGrid w:val="0"/>
                  <w:spacing w:line="240" w:lineRule="atLeast"/>
                  <w:jc w:val="right"/>
                  <w:rPr>
                    <w:rFonts w:cs="Times New Roman"/>
                  </w:rPr>
                </w:pPr>
                <w:r>
                  <w:rPr>
                    <w:rFonts w:cs="Times New Roman"/>
                  </w:rPr>
                  <w:t>2,185,526.79</w:t>
                </w:r>
              </w:p>
            </w:tc>
            <w:tc>
              <w:tcPr>
                <w:tcW w:w="1005" w:type="pct"/>
                <w:tcBorders>
                  <w:left w:val="single" w:color="auto" w:sz="4" w:space="0"/>
                </w:tcBorders>
                <w:vAlign w:val="center"/>
              </w:tcPr>
              <w:p w14:paraId="416896DB">
                <w:pPr>
                  <w:autoSpaceDE w:val="0"/>
                  <w:autoSpaceDN w:val="0"/>
                  <w:adjustRightInd w:val="0"/>
                  <w:snapToGrid w:val="0"/>
                  <w:spacing w:line="240" w:lineRule="atLeast"/>
                  <w:ind w:right="105" w:rightChars="50"/>
                  <w:jc w:val="center"/>
                  <w:rPr>
                    <w:rFonts w:cs="Times New Roman"/>
                  </w:rPr>
                </w:pPr>
                <w:r>
                  <w:rPr>
                    <w:rFonts w:cs="Times New Roman"/>
                  </w:rPr>
                  <w:t>4-5年，5年以上</w:t>
                </w:r>
              </w:p>
            </w:tc>
            <w:tc>
              <w:tcPr>
                <w:tcW w:w="803" w:type="pct"/>
                <w:vAlign w:val="center"/>
              </w:tcPr>
              <w:p w14:paraId="22925648">
                <w:pPr>
                  <w:autoSpaceDE w:val="0"/>
                  <w:autoSpaceDN w:val="0"/>
                  <w:adjustRightInd w:val="0"/>
                  <w:snapToGrid w:val="0"/>
                  <w:spacing w:line="240" w:lineRule="atLeast"/>
                  <w:jc w:val="center"/>
                  <w:rPr>
                    <w:rFonts w:cs="Times New Roman"/>
                  </w:rPr>
                </w:pPr>
                <w:r>
                  <w:rPr>
                    <w:rFonts w:cs="Times New Roman"/>
                  </w:rPr>
                  <w:t>尚未发放</w:t>
                </w:r>
              </w:p>
            </w:tc>
            <w:sdt>
              <w:sdtPr>
                <w:rPr>
                  <w:rFonts w:cs="Times New Roman"/>
                  <w:color w:val="000000" w:themeColor="text1"/>
                  <w14:textFill>
                    <w14:solidFill>
                      <w14:schemeClr w14:val="tx1"/>
                    </w14:solidFill>
                  </w14:textFill>
                </w:rPr>
                <w:alias w:val="账龄一年以上的应收股利明细-相关款项是否发生减值及其判断依据"/>
                <w:tag w:val="_GBC_2d305898769643e79f4e7041dbb3da60"/>
                <w:id w:val="-1703780948"/>
                <w:comboBox>
                  <w:listItem w:displayText="是" w:value="true"/>
                  <w:listItem w:displayText="否" w:value="false"/>
                </w:comboBox>
              </w:sdtPr>
              <w:sdtEndPr>
                <w:rPr>
                  <w:rFonts w:cs="Times New Roman"/>
                  <w:color w:val="000000" w:themeColor="text1"/>
                  <w14:textFill>
                    <w14:solidFill>
                      <w14:schemeClr w14:val="tx1"/>
                    </w14:solidFill>
                  </w14:textFill>
                </w:rPr>
              </w:sdtEndPr>
              <w:sdtContent>
                <w:tc>
                  <w:tcPr>
                    <w:tcW w:w="622" w:type="pct"/>
                    <w:vAlign w:val="center"/>
                  </w:tcPr>
                  <w:p w14:paraId="7737B5BD">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否</w:t>
                    </w:r>
                  </w:p>
                </w:tc>
              </w:sdtContent>
            </w:sdt>
          </w:tr>
        </w:sdtContent>
      </w:sdt>
      <w:sdt>
        <w:sdtPr>
          <w:rPr>
            <w:rFonts w:cs="Times New Roman"/>
            <w:color w:val="000000" w:themeColor="text1"/>
            <w14:textFill>
              <w14:solidFill>
                <w14:schemeClr w14:val="tx1"/>
              </w14:solidFill>
            </w14:textFill>
          </w:rPr>
          <w:alias w:val="账龄一年以上的应收股利明细"/>
          <w:tag w:val="_TUP_8a4f09e5e4284919bbd44c0886dde541"/>
          <w:id w:val="-1522775007"/>
          <w:placeholder>
            <w:docPart w:val="{712bd3a6-7736-4c48-8e07-037148df6ccb}"/>
          </w:placeholder>
        </w:sdtPr>
        <w:sdtEndPr>
          <w:rPr>
            <w:rFonts w:cs="Times New Roman"/>
            <w:color w:val="000000" w:themeColor="text1"/>
            <w14:textFill>
              <w14:solidFill>
                <w14:schemeClr w14:val="tx1"/>
              </w14:solidFill>
            </w14:textFill>
          </w:rPr>
        </w:sdtEndPr>
        <w:sdtContent>
          <w:tr w14:paraId="7F269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722" w:type="pct"/>
                <w:vAlign w:val="center"/>
              </w:tcPr>
              <w:p w14:paraId="681B43E5">
                <w:pPr>
                  <w:rPr>
                    <w:rFonts w:cs="Times New Roman"/>
                  </w:rPr>
                </w:pPr>
                <w:r>
                  <w:rPr>
                    <w:rFonts w:cs="Times New Roman"/>
                  </w:rPr>
                  <w:t>际华三五一三实业有限公司</w:t>
                </w:r>
              </w:p>
            </w:tc>
            <w:tc>
              <w:tcPr>
                <w:tcW w:w="846" w:type="pct"/>
                <w:tcBorders>
                  <w:right w:val="single" w:color="auto" w:sz="4" w:space="0"/>
                </w:tcBorders>
                <w:vAlign w:val="center"/>
              </w:tcPr>
              <w:p w14:paraId="2FEC5787">
                <w:pPr>
                  <w:autoSpaceDE w:val="0"/>
                  <w:autoSpaceDN w:val="0"/>
                  <w:adjustRightInd w:val="0"/>
                  <w:snapToGrid w:val="0"/>
                  <w:spacing w:line="240" w:lineRule="atLeast"/>
                  <w:jc w:val="right"/>
                  <w:rPr>
                    <w:rFonts w:cs="Times New Roman"/>
                  </w:rPr>
                </w:pPr>
                <w:r>
                  <w:rPr>
                    <w:rFonts w:cs="Times New Roman"/>
                  </w:rPr>
                  <w:t>8,080,806.74</w:t>
                </w:r>
              </w:p>
            </w:tc>
            <w:tc>
              <w:tcPr>
                <w:tcW w:w="1005" w:type="pct"/>
                <w:tcBorders>
                  <w:left w:val="single" w:color="auto" w:sz="4" w:space="0"/>
                </w:tcBorders>
                <w:vAlign w:val="center"/>
              </w:tcPr>
              <w:p w14:paraId="0088F3AB">
                <w:pPr>
                  <w:autoSpaceDE w:val="0"/>
                  <w:autoSpaceDN w:val="0"/>
                  <w:adjustRightInd w:val="0"/>
                  <w:snapToGrid w:val="0"/>
                  <w:spacing w:line="240" w:lineRule="atLeast"/>
                  <w:ind w:right="105" w:rightChars="50"/>
                  <w:jc w:val="center"/>
                  <w:rPr>
                    <w:rFonts w:cs="Times New Roman"/>
                  </w:rPr>
                </w:pPr>
                <w:r>
                  <w:rPr>
                    <w:rFonts w:cs="Times New Roman"/>
                  </w:rPr>
                  <w:t>4至5年</w:t>
                </w:r>
              </w:p>
            </w:tc>
            <w:tc>
              <w:tcPr>
                <w:tcW w:w="803" w:type="pct"/>
                <w:vAlign w:val="center"/>
              </w:tcPr>
              <w:p w14:paraId="53A4D3CC">
                <w:pPr>
                  <w:autoSpaceDE w:val="0"/>
                  <w:autoSpaceDN w:val="0"/>
                  <w:adjustRightInd w:val="0"/>
                  <w:snapToGrid w:val="0"/>
                  <w:spacing w:line="240" w:lineRule="atLeast"/>
                  <w:jc w:val="center"/>
                  <w:rPr>
                    <w:rFonts w:cs="Times New Roman"/>
                  </w:rPr>
                </w:pPr>
                <w:r>
                  <w:rPr>
                    <w:rFonts w:cs="Times New Roman"/>
                  </w:rPr>
                  <w:t>尚未发放</w:t>
                </w:r>
              </w:p>
            </w:tc>
            <w:sdt>
              <w:sdtPr>
                <w:rPr>
                  <w:rFonts w:cs="Times New Roman"/>
                  <w:color w:val="000000" w:themeColor="text1"/>
                  <w14:textFill>
                    <w14:solidFill>
                      <w14:schemeClr w14:val="tx1"/>
                    </w14:solidFill>
                  </w14:textFill>
                </w:rPr>
                <w:alias w:val="账龄一年以上的应收股利明细-相关款项是否发生减值及其判断依据"/>
                <w:tag w:val="_GBC_2d305898769643e79f4e7041dbb3da60"/>
                <w:id w:val="744305574"/>
                <w:comboBox>
                  <w:listItem w:displayText="是" w:value="true"/>
                  <w:listItem w:displayText="否" w:value="false"/>
                </w:comboBox>
              </w:sdtPr>
              <w:sdtEndPr>
                <w:rPr>
                  <w:rFonts w:cs="Times New Roman"/>
                  <w:color w:val="000000" w:themeColor="text1"/>
                  <w14:textFill>
                    <w14:solidFill>
                      <w14:schemeClr w14:val="tx1"/>
                    </w14:solidFill>
                  </w14:textFill>
                </w:rPr>
              </w:sdtEndPr>
              <w:sdtContent>
                <w:tc>
                  <w:tcPr>
                    <w:tcW w:w="622" w:type="pct"/>
                    <w:vAlign w:val="center"/>
                  </w:tcPr>
                  <w:p w14:paraId="7BF2B8B7">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否</w:t>
                    </w:r>
                  </w:p>
                </w:tc>
              </w:sdtContent>
            </w:sdt>
          </w:tr>
        </w:sdtContent>
      </w:sdt>
      <w:sdt>
        <w:sdtPr>
          <w:rPr>
            <w:rFonts w:cs="Times New Roman"/>
            <w:color w:val="000000" w:themeColor="text1"/>
            <w14:textFill>
              <w14:solidFill>
                <w14:schemeClr w14:val="tx1"/>
              </w14:solidFill>
            </w14:textFill>
          </w:rPr>
          <w:alias w:val="账龄一年以上的应收股利明细"/>
          <w:tag w:val="_TUP_8a4f09e5e4284919bbd44c0886dde541"/>
          <w:id w:val="1146704730"/>
          <w:placeholder>
            <w:docPart w:val="{712bd3a6-7736-4c48-8e07-037148df6ccb}"/>
          </w:placeholder>
        </w:sdtPr>
        <w:sdtEndPr>
          <w:rPr>
            <w:rFonts w:cs="Times New Roman"/>
            <w:color w:val="000000" w:themeColor="text1"/>
            <w14:textFill>
              <w14:solidFill>
                <w14:schemeClr w14:val="tx1"/>
              </w14:solidFill>
            </w14:textFill>
          </w:rPr>
        </w:sdtEndPr>
        <w:sdtContent>
          <w:tr w14:paraId="60A25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722" w:type="pct"/>
                <w:vAlign w:val="center"/>
              </w:tcPr>
              <w:p w14:paraId="39D0CA49">
                <w:pPr>
                  <w:rPr>
                    <w:rFonts w:cs="Times New Roman"/>
                  </w:rPr>
                </w:pPr>
                <w:r>
                  <w:rPr>
                    <w:rFonts w:cs="Times New Roman"/>
                  </w:rPr>
                  <w:t>际华三五一四制革制鞋有限公司</w:t>
                </w:r>
              </w:p>
            </w:tc>
            <w:tc>
              <w:tcPr>
                <w:tcW w:w="846" w:type="pct"/>
                <w:tcBorders>
                  <w:right w:val="single" w:color="auto" w:sz="4" w:space="0"/>
                </w:tcBorders>
                <w:vAlign w:val="center"/>
              </w:tcPr>
              <w:p w14:paraId="7F4983F0">
                <w:pPr>
                  <w:autoSpaceDE w:val="0"/>
                  <w:autoSpaceDN w:val="0"/>
                  <w:adjustRightInd w:val="0"/>
                  <w:snapToGrid w:val="0"/>
                  <w:spacing w:line="240" w:lineRule="atLeast"/>
                  <w:jc w:val="right"/>
                  <w:rPr>
                    <w:rFonts w:cs="Times New Roman"/>
                  </w:rPr>
                </w:pPr>
                <w:r>
                  <w:rPr>
                    <w:rFonts w:cs="Times New Roman"/>
                  </w:rPr>
                  <w:t>6,618,750.00</w:t>
                </w:r>
              </w:p>
            </w:tc>
            <w:tc>
              <w:tcPr>
                <w:tcW w:w="1005" w:type="pct"/>
                <w:tcBorders>
                  <w:left w:val="single" w:color="auto" w:sz="4" w:space="0"/>
                </w:tcBorders>
                <w:vAlign w:val="center"/>
              </w:tcPr>
              <w:p w14:paraId="1CDAD423">
                <w:pPr>
                  <w:autoSpaceDE w:val="0"/>
                  <w:autoSpaceDN w:val="0"/>
                  <w:adjustRightInd w:val="0"/>
                  <w:snapToGrid w:val="0"/>
                  <w:spacing w:line="240" w:lineRule="atLeast"/>
                  <w:ind w:right="105" w:rightChars="50"/>
                  <w:jc w:val="center"/>
                  <w:rPr>
                    <w:rFonts w:cs="Times New Roman"/>
                  </w:rPr>
                </w:pPr>
                <w:r>
                  <w:rPr>
                    <w:rFonts w:cs="Times New Roman"/>
                  </w:rPr>
                  <w:t>5年以上</w:t>
                </w:r>
              </w:p>
            </w:tc>
            <w:tc>
              <w:tcPr>
                <w:tcW w:w="803" w:type="pct"/>
                <w:vAlign w:val="center"/>
              </w:tcPr>
              <w:p w14:paraId="03FAB400">
                <w:pPr>
                  <w:autoSpaceDE w:val="0"/>
                  <w:autoSpaceDN w:val="0"/>
                  <w:adjustRightInd w:val="0"/>
                  <w:snapToGrid w:val="0"/>
                  <w:spacing w:line="240" w:lineRule="atLeast"/>
                  <w:jc w:val="center"/>
                  <w:rPr>
                    <w:rFonts w:cs="Times New Roman"/>
                  </w:rPr>
                </w:pPr>
                <w:r>
                  <w:rPr>
                    <w:rFonts w:cs="Times New Roman"/>
                  </w:rPr>
                  <w:t>尚未发放</w:t>
                </w:r>
              </w:p>
            </w:tc>
            <w:sdt>
              <w:sdtPr>
                <w:rPr>
                  <w:rFonts w:cs="Times New Roman"/>
                  <w:color w:val="000000" w:themeColor="text1"/>
                  <w14:textFill>
                    <w14:solidFill>
                      <w14:schemeClr w14:val="tx1"/>
                    </w14:solidFill>
                  </w14:textFill>
                </w:rPr>
                <w:alias w:val="账龄一年以上的应收股利明细-相关款项是否发生减值及其判断依据"/>
                <w:tag w:val="_GBC_2d305898769643e79f4e7041dbb3da60"/>
                <w:id w:val="-319048627"/>
                <w:comboBox>
                  <w:listItem w:displayText="是" w:value="true"/>
                  <w:listItem w:displayText="否" w:value="false"/>
                </w:comboBox>
              </w:sdtPr>
              <w:sdtEndPr>
                <w:rPr>
                  <w:rFonts w:cs="Times New Roman"/>
                  <w:color w:val="000000" w:themeColor="text1"/>
                  <w14:textFill>
                    <w14:solidFill>
                      <w14:schemeClr w14:val="tx1"/>
                    </w14:solidFill>
                  </w14:textFill>
                </w:rPr>
              </w:sdtEndPr>
              <w:sdtContent>
                <w:tc>
                  <w:tcPr>
                    <w:tcW w:w="622" w:type="pct"/>
                    <w:vAlign w:val="center"/>
                  </w:tcPr>
                  <w:p w14:paraId="06DCB721">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否</w:t>
                    </w:r>
                  </w:p>
                </w:tc>
              </w:sdtContent>
            </w:sdt>
          </w:tr>
        </w:sdtContent>
      </w:sdt>
      <w:sdt>
        <w:sdtPr>
          <w:rPr>
            <w:rFonts w:cs="Times New Roman"/>
            <w:color w:val="000000" w:themeColor="text1"/>
            <w14:textFill>
              <w14:solidFill>
                <w14:schemeClr w14:val="tx1"/>
              </w14:solidFill>
            </w14:textFill>
          </w:rPr>
          <w:alias w:val="账龄一年以上的应收股利明细"/>
          <w:tag w:val="_TUP_8a4f09e5e4284919bbd44c0886dde541"/>
          <w:id w:val="-1132013763"/>
          <w:placeholder>
            <w:docPart w:val="{712bd3a6-7736-4c48-8e07-037148df6ccb}"/>
          </w:placeholder>
        </w:sdtPr>
        <w:sdtEndPr>
          <w:rPr>
            <w:rFonts w:cs="Times New Roman"/>
            <w:color w:val="000000" w:themeColor="text1"/>
            <w14:textFill>
              <w14:solidFill>
                <w14:schemeClr w14:val="tx1"/>
              </w14:solidFill>
            </w14:textFill>
          </w:rPr>
        </w:sdtEndPr>
        <w:sdtContent>
          <w:tr w14:paraId="1573F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722" w:type="pct"/>
                <w:vAlign w:val="center"/>
              </w:tcPr>
              <w:p w14:paraId="6FC4623C">
                <w:pPr>
                  <w:rPr>
                    <w:rFonts w:cs="Times New Roman"/>
                  </w:rPr>
                </w:pPr>
                <w:r>
                  <w:rPr>
                    <w:rFonts w:cs="Times New Roman"/>
                  </w:rPr>
                  <w:t>沈阳际华三五四七特种装具有限公司</w:t>
                </w:r>
              </w:p>
            </w:tc>
            <w:tc>
              <w:tcPr>
                <w:tcW w:w="846" w:type="pct"/>
                <w:tcBorders>
                  <w:right w:val="single" w:color="auto" w:sz="4" w:space="0"/>
                </w:tcBorders>
                <w:vAlign w:val="center"/>
              </w:tcPr>
              <w:p w14:paraId="6A094518">
                <w:pPr>
                  <w:autoSpaceDE w:val="0"/>
                  <w:autoSpaceDN w:val="0"/>
                  <w:adjustRightInd w:val="0"/>
                  <w:snapToGrid w:val="0"/>
                  <w:spacing w:line="240" w:lineRule="atLeast"/>
                  <w:jc w:val="right"/>
                  <w:rPr>
                    <w:rFonts w:cs="Times New Roman"/>
                  </w:rPr>
                </w:pPr>
                <w:r>
                  <w:rPr>
                    <w:rFonts w:cs="Times New Roman"/>
                  </w:rPr>
                  <w:t>3,404,192.02</w:t>
                </w:r>
              </w:p>
            </w:tc>
            <w:tc>
              <w:tcPr>
                <w:tcW w:w="1005" w:type="pct"/>
                <w:tcBorders>
                  <w:left w:val="single" w:color="auto" w:sz="4" w:space="0"/>
                </w:tcBorders>
                <w:vAlign w:val="center"/>
              </w:tcPr>
              <w:p w14:paraId="6DFCD7CF">
                <w:pPr>
                  <w:autoSpaceDE w:val="0"/>
                  <w:autoSpaceDN w:val="0"/>
                  <w:adjustRightInd w:val="0"/>
                  <w:snapToGrid w:val="0"/>
                  <w:spacing w:line="240" w:lineRule="atLeast"/>
                  <w:ind w:right="105" w:rightChars="50"/>
                  <w:jc w:val="center"/>
                  <w:rPr>
                    <w:rFonts w:cs="Times New Roman"/>
                  </w:rPr>
                </w:pPr>
                <w:r>
                  <w:rPr>
                    <w:rFonts w:cs="Times New Roman"/>
                  </w:rPr>
                  <w:t>5年以上</w:t>
                </w:r>
              </w:p>
            </w:tc>
            <w:tc>
              <w:tcPr>
                <w:tcW w:w="803" w:type="pct"/>
                <w:vAlign w:val="center"/>
              </w:tcPr>
              <w:p w14:paraId="2D8CB283">
                <w:pPr>
                  <w:autoSpaceDE w:val="0"/>
                  <w:autoSpaceDN w:val="0"/>
                  <w:adjustRightInd w:val="0"/>
                  <w:snapToGrid w:val="0"/>
                  <w:spacing w:line="240" w:lineRule="atLeast"/>
                  <w:jc w:val="center"/>
                  <w:rPr>
                    <w:rFonts w:cs="Times New Roman"/>
                  </w:rPr>
                </w:pPr>
                <w:r>
                  <w:rPr>
                    <w:rFonts w:cs="Times New Roman"/>
                  </w:rPr>
                  <w:t>尚未发放</w:t>
                </w:r>
              </w:p>
            </w:tc>
            <w:sdt>
              <w:sdtPr>
                <w:rPr>
                  <w:rFonts w:cs="Times New Roman"/>
                  <w:color w:val="000000" w:themeColor="text1"/>
                  <w14:textFill>
                    <w14:solidFill>
                      <w14:schemeClr w14:val="tx1"/>
                    </w14:solidFill>
                  </w14:textFill>
                </w:rPr>
                <w:alias w:val="账龄一年以上的应收股利明细-相关款项是否发生减值及其判断依据"/>
                <w:tag w:val="_GBC_2d305898769643e79f4e7041dbb3da60"/>
                <w:id w:val="132145689"/>
                <w:comboBox>
                  <w:listItem w:displayText="是" w:value="true"/>
                  <w:listItem w:displayText="否" w:value="false"/>
                </w:comboBox>
              </w:sdtPr>
              <w:sdtEndPr>
                <w:rPr>
                  <w:rFonts w:cs="Times New Roman"/>
                  <w:color w:val="000000" w:themeColor="text1"/>
                  <w14:textFill>
                    <w14:solidFill>
                      <w14:schemeClr w14:val="tx1"/>
                    </w14:solidFill>
                  </w14:textFill>
                </w:rPr>
              </w:sdtEndPr>
              <w:sdtContent>
                <w:tc>
                  <w:tcPr>
                    <w:tcW w:w="622" w:type="pct"/>
                    <w:vAlign w:val="center"/>
                  </w:tcPr>
                  <w:p w14:paraId="296AA39E">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否</w:t>
                    </w:r>
                  </w:p>
                </w:tc>
              </w:sdtContent>
            </w:sdt>
          </w:tr>
        </w:sdtContent>
      </w:sdt>
      <w:tr w14:paraId="4725DF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sdt>
          <w:sdtPr>
            <w:rPr>
              <w:rFonts w:cs="Times New Roman"/>
            </w:rPr>
            <w:tag w:val="_PLD_2cfd081a6d9a41aca2f3f973d84c14ac"/>
            <w:id w:val="-1234855633"/>
          </w:sdtPr>
          <w:sdtEndPr>
            <w:rPr>
              <w:rFonts w:cs="Times New Roman"/>
            </w:rPr>
          </w:sdtEndPr>
          <w:sdtContent>
            <w:tc>
              <w:tcPr>
                <w:tcW w:w="1722" w:type="pct"/>
              </w:tcPr>
              <w:p w14:paraId="717BDCCA">
                <w:pPr>
                  <w:autoSpaceDE w:val="0"/>
                  <w:autoSpaceDN w:val="0"/>
                  <w:adjustRightInd w:val="0"/>
                  <w:snapToGrid w:val="0"/>
                  <w:spacing w:line="240" w:lineRule="atLeast"/>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c>
          <w:tcPr>
            <w:tcW w:w="846" w:type="pct"/>
            <w:tcBorders>
              <w:right w:val="single" w:color="auto" w:sz="4" w:space="0"/>
            </w:tcBorders>
            <w:vAlign w:val="center"/>
          </w:tcPr>
          <w:p w14:paraId="74E90C99">
            <w:pPr>
              <w:jc w:val="right"/>
              <w:rPr>
                <w:rFonts w:cs="Times New Roman"/>
              </w:rPr>
            </w:pPr>
            <w:r>
              <w:rPr>
                <w:rFonts w:cs="Times New Roman"/>
              </w:rPr>
              <w:t>364,678,562.08</w:t>
            </w:r>
          </w:p>
        </w:tc>
        <w:tc>
          <w:tcPr>
            <w:tcW w:w="1005" w:type="pct"/>
            <w:tcBorders>
              <w:left w:val="single" w:color="auto" w:sz="4" w:space="0"/>
            </w:tcBorders>
          </w:tcPr>
          <w:p w14:paraId="48FD85DF">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803" w:type="pct"/>
          </w:tcPr>
          <w:p w14:paraId="3335B0B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22" w:type="pct"/>
          </w:tcPr>
          <w:p w14:paraId="07B76F2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bl>
    <w:p w14:paraId="6E90C83B"/>
    <w:p w14:paraId="0997203F">
      <w:pPr>
        <w:pStyle w:val="6"/>
        <w:numPr>
          <w:ilvl w:val="0"/>
          <w:numId w:val="119"/>
        </w:numPr>
        <w:rPr>
          <w:rFonts w:cs="宋体"/>
          <w:kern w:val="0"/>
          <w:szCs w:val="24"/>
        </w:rPr>
      </w:pPr>
      <w:r>
        <w:rPr>
          <w:rFonts w:hint="eastAsia" w:cs="宋体"/>
          <w:kern w:val="0"/>
          <w:szCs w:val="24"/>
        </w:rPr>
        <w:t>按坏账计提方法分类披露</w:t>
      </w:r>
    </w:p>
    <w:sdt>
      <w:sdtPr>
        <w:rPr>
          <w:color w:val="000000" w:themeColor="text1"/>
          <w14:textFill>
            <w14:solidFill>
              <w14:schemeClr w14:val="tx1"/>
            </w14:solidFill>
          </w14:textFill>
        </w:rPr>
        <w:alias w:val="是否适用：母公司按坏账计提方法分类披露[双击切换]"/>
        <w:tag w:val="_GBC_606fd71a57c6434eaa16ce805f815d2e"/>
        <w:id w:val="147454884"/>
        <w:placeholder>
          <w:docPart w:val="GBC22222222222222222222222222222"/>
        </w:placeholder>
      </w:sdtPr>
      <w:sdtEndPr>
        <w:rPr>
          <w:color w:val="000000" w:themeColor="text1"/>
          <w14:textFill>
            <w14:solidFill>
              <w14:schemeClr w14:val="tx1"/>
            </w14:solidFill>
          </w14:textFill>
        </w:rPr>
      </w:sdtEndPr>
      <w:sdtContent>
        <w:p w14:paraId="593FDE6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587D8D1">
      <w:pPr>
        <w:rPr>
          <w:color w:val="000000" w:themeColor="text1"/>
          <w14:textFill>
            <w14:solidFill>
              <w14:schemeClr w14:val="tx1"/>
            </w14:solidFill>
          </w14:textFill>
        </w:rPr>
      </w:pPr>
    </w:p>
    <w:p w14:paraId="4CB93199">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w:t>
      </w:r>
    </w:p>
    <w:sdt>
      <w:sdtPr>
        <w:rPr>
          <w:color w:val="000000" w:themeColor="text1"/>
          <w14:textFill>
            <w14:solidFill>
              <w14:schemeClr w14:val="tx1"/>
            </w14:solidFill>
          </w14:textFill>
        </w:rPr>
        <w:alias w:val="是否适用：母公司按单项计提坏账准备的详细情况[双击切换]"/>
        <w:tag w:val="_GBC_02d5c836df9842559c42aa2f751aa5ba"/>
        <w:id w:val="147480076"/>
        <w:placeholder>
          <w:docPart w:val="GBC22222222222222222222222222222"/>
        </w:placeholder>
      </w:sdtPr>
      <w:sdtEndPr>
        <w:rPr>
          <w:color w:val="000000" w:themeColor="text1"/>
          <w14:textFill>
            <w14:solidFill>
              <w14:schemeClr w14:val="tx1"/>
            </w14:solidFill>
          </w14:textFill>
        </w:rPr>
      </w:sdtEndPr>
      <w:sdtContent>
        <w:p w14:paraId="22FB122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8823704">
      <w:pPr>
        <w:rPr>
          <w:color w:val="000000" w:themeColor="text1"/>
          <w14:textFill>
            <w14:solidFill>
              <w14:schemeClr w14:val="tx1"/>
            </w14:solidFill>
          </w14:textFill>
        </w:rPr>
      </w:pPr>
    </w:p>
    <w:p w14:paraId="31285280">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按单项计提坏账准备的说明：</w:t>
      </w:r>
    </w:p>
    <w:sdt>
      <w:sdtPr>
        <w:rPr>
          <w:color w:val="000000" w:themeColor="text1"/>
          <w14:textFill>
            <w14:solidFill>
              <w14:schemeClr w14:val="tx1"/>
            </w14:solidFill>
          </w14:textFill>
        </w:rPr>
        <w:alias w:val="是否适用：母公司按单项计提坏账准备的说明[双击切换]"/>
        <w:tag w:val="_GBC_4af2b30a86cf42d091fd1188b15fbce6"/>
        <w:id w:val="147459085"/>
        <w:placeholder>
          <w:docPart w:val="GBC22222222222222222222222222222"/>
        </w:placeholder>
      </w:sdtPr>
      <w:sdtEndPr>
        <w:rPr>
          <w:color w:val="000000" w:themeColor="text1"/>
          <w14:textFill>
            <w14:solidFill>
              <w14:schemeClr w14:val="tx1"/>
            </w14:solidFill>
          </w14:textFill>
        </w:rPr>
      </w:sdtEndPr>
      <w:sdtContent>
        <w:p w14:paraId="13E08AB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31EA5C0">
      <w:pPr>
        <w:rPr>
          <w:color w:val="000000" w:themeColor="text1"/>
          <w14:textFill>
            <w14:solidFill>
              <w14:schemeClr w14:val="tx1"/>
            </w14:solidFill>
          </w14:textFill>
        </w:rPr>
      </w:pPr>
    </w:p>
    <w:p w14:paraId="7F75CBC0">
      <w:pPr>
        <w:rPr>
          <w:rFonts w:ascii="Calibri" w:hAnsi="Calibri" w:cs="Times New Roman"/>
          <w:bCs w:val="0"/>
          <w:color w:val="000000" w:themeColor="text1"/>
          <w:szCs w:val="22"/>
          <w14:textFill>
            <w14:solidFill>
              <w14:schemeClr w14:val="tx1"/>
            </w14:solidFill>
          </w14:textFill>
        </w:rPr>
      </w:pPr>
      <w:r>
        <w:rPr>
          <w:rFonts w:hint="eastAsia" w:ascii="Calibri" w:hAnsi="Calibri" w:cs="Times New Roman"/>
          <w:color w:val="000000" w:themeColor="text1"/>
          <w:szCs w:val="22"/>
          <w14:textFill>
            <w14:solidFill>
              <w14:schemeClr w14:val="tx1"/>
            </w14:solidFill>
          </w14:textFill>
        </w:rPr>
        <w:t>按组合计提坏账准备：</w:t>
      </w:r>
    </w:p>
    <w:sdt>
      <w:sdtPr>
        <w:rPr>
          <w:rFonts w:ascii="Calibri" w:hAnsi="Calibri" w:cs="Times New Roman"/>
          <w:bCs w:val="0"/>
          <w:color w:val="000000" w:themeColor="text1"/>
          <w:szCs w:val="22"/>
          <w14:textFill>
            <w14:solidFill>
              <w14:schemeClr w14:val="tx1"/>
            </w14:solidFill>
          </w14:textFill>
        </w:rPr>
        <w:alias w:val="是否适用：母公司按组合计提坏账准备的详细情况[双击切换]"/>
        <w:tag w:val="_GBC_9f9d44f1ec164a3da4b2c14d4d129121"/>
        <w:id w:val="147453804"/>
        <w:placeholder>
          <w:docPart w:val="GBC22222222222222222222222222222"/>
        </w:placeholder>
      </w:sdtPr>
      <w:sdtEndPr>
        <w:rPr>
          <w:rFonts w:ascii="Calibri" w:hAnsi="Calibri" w:cs="Times New Roman"/>
          <w:bCs w:val="0"/>
          <w:color w:val="000000" w:themeColor="text1"/>
          <w:szCs w:val="22"/>
          <w14:textFill>
            <w14:solidFill>
              <w14:schemeClr w14:val="tx1"/>
            </w14:solidFill>
          </w14:textFill>
        </w:rPr>
      </w:sdtEndPr>
      <w:sdtContent>
        <w:p w14:paraId="7670933B">
          <w:pPr>
            <w:rPr>
              <w:color w:val="000000" w:themeColor="text1"/>
              <w14:textFill>
                <w14:solidFill>
                  <w14:schemeClr w14:val="tx1"/>
                </w14:solidFill>
              </w14:textFill>
            </w:rPr>
          </w:pPr>
          <w:r>
            <w:rPr>
              <w:rFonts w:ascii="宋体" w:hAnsi="宋体" w:cs="Times New Roman"/>
              <w:bCs w:val="0"/>
              <w:color w:val="000000" w:themeColor="text1"/>
              <w:szCs w:val="22"/>
              <w14:textFill>
                <w14:solidFill>
                  <w14:schemeClr w14:val="tx1"/>
                </w14:solidFill>
              </w14:textFill>
            </w:rPr>
            <w:fldChar w:fldCharType="begin"/>
          </w:r>
          <w:r>
            <w:rPr>
              <w:rFonts w:hint="eastAsia" w:ascii="宋体" w:hAnsi="宋体" w:cs="Times New Roman"/>
              <w:color w:val="000000" w:themeColor="text1"/>
              <w:szCs w:val="22"/>
              <w14:textFill>
                <w14:solidFill>
                  <w14:schemeClr w14:val="tx1"/>
                </w14:solidFill>
              </w14:textFill>
            </w:rPr>
            <w:instrText xml:space="preserve"> MACROBUTTON  SnrToggleCheckbox □适用 </w:instrText>
          </w:r>
          <w:r>
            <w:rPr>
              <w:rFonts w:ascii="宋体" w:hAnsi="宋体" w:cs="Times New Roman"/>
              <w:bCs w:val="0"/>
              <w:color w:val="000000" w:themeColor="text1"/>
              <w:szCs w:val="22"/>
              <w14:textFill>
                <w14:solidFill>
                  <w14:schemeClr w14:val="tx1"/>
                </w14:solidFill>
              </w14:textFill>
            </w:rPr>
            <w:fldChar w:fldCharType="end"/>
          </w:r>
          <w:r>
            <w:rPr>
              <w:rFonts w:ascii="宋体" w:hAnsi="宋体" w:cs="Times New Roman"/>
              <w:bCs w:val="0"/>
              <w:color w:val="000000" w:themeColor="text1"/>
              <w:szCs w:val="22"/>
              <w14:textFill>
                <w14:solidFill>
                  <w14:schemeClr w14:val="tx1"/>
                </w14:solidFill>
              </w14:textFill>
            </w:rPr>
            <w:fldChar w:fldCharType="begin"/>
          </w:r>
          <w:r>
            <w:rPr>
              <w:rFonts w:hint="eastAsia" w:ascii="宋体" w:hAnsi="宋体" w:cs="Times New Roman"/>
              <w:color w:val="000000" w:themeColor="text1"/>
              <w:szCs w:val="22"/>
              <w14:textFill>
                <w14:solidFill>
                  <w14:schemeClr w14:val="tx1"/>
                </w14:solidFill>
              </w14:textFill>
            </w:rPr>
            <w:instrText xml:space="preserve"> MACROBUTTON  SnrToggleCheckbox √不适用 </w:instrText>
          </w:r>
          <w:r>
            <w:rPr>
              <w:rFonts w:ascii="宋体" w:hAnsi="宋体" w:cs="Times New Roman"/>
              <w:bCs w:val="0"/>
              <w:color w:val="000000" w:themeColor="text1"/>
              <w:szCs w:val="22"/>
              <w14:textFill>
                <w14:solidFill>
                  <w14:schemeClr w14:val="tx1"/>
                </w14:solidFill>
              </w14:textFill>
            </w:rPr>
            <w:fldChar w:fldCharType="end"/>
          </w:r>
        </w:p>
      </w:sdtContent>
    </w:sdt>
    <w:p w14:paraId="1014BF4E">
      <w:pPr>
        <w:rPr>
          <w:rFonts w:ascii="Calibri" w:hAnsi="Calibri" w:cs="Times New Roman"/>
          <w:b/>
          <w:bCs w:val="0"/>
          <w:color w:val="000000" w:themeColor="text1"/>
          <w:szCs w:val="22"/>
          <w14:textFill>
            <w14:solidFill>
              <w14:schemeClr w14:val="tx1"/>
            </w14:solidFill>
          </w14:textFill>
        </w:rPr>
      </w:pPr>
    </w:p>
    <w:bookmarkEnd w:id="466"/>
    <w:bookmarkEnd w:id="467"/>
    <w:bookmarkEnd w:id="468"/>
    <w:p w14:paraId="5EBFA0E5">
      <w:pPr>
        <w:pStyle w:val="6"/>
        <w:numPr>
          <w:ilvl w:val="0"/>
          <w:numId w:val="119"/>
        </w:numPr>
        <w:rPr>
          <w:rFonts w:cs="宋体"/>
          <w:kern w:val="0"/>
          <w:szCs w:val="24"/>
        </w:rPr>
      </w:pPr>
      <w:bookmarkStart w:id="469" w:name="_Hlk10547212"/>
      <w:bookmarkEnd w:id="469"/>
      <w:bookmarkStart w:id="470" w:name="_Hlk10547224"/>
      <w:r>
        <w:rPr>
          <w:rFonts w:hint="eastAsia" w:cs="宋体"/>
          <w:kern w:val="0"/>
          <w:szCs w:val="24"/>
        </w:rPr>
        <w:t>按预期信用损失一般模型计提坏账准备</w:t>
      </w:r>
    </w:p>
    <w:sdt>
      <w:sdtPr>
        <w:rPr>
          <w:color w:val="000000" w:themeColor="text1"/>
          <w14:textFill>
            <w14:solidFill>
              <w14:schemeClr w14:val="tx1"/>
            </w14:solidFill>
          </w14:textFill>
        </w:rPr>
        <w:alias w:val="是否适用：母公司应收股利坏账准备调节表[双击切换]"/>
        <w:tag w:val="_GBC_9d130aecb6cb4874ac083fcdce5ee739"/>
        <w:id w:val="147461605"/>
        <w:placeholder>
          <w:docPart w:val="GBC22222222222222222222222222222"/>
        </w:placeholder>
      </w:sdtPr>
      <w:sdtEndPr>
        <w:rPr>
          <w:color w:val="000000" w:themeColor="text1"/>
          <w14:textFill>
            <w14:solidFill>
              <w14:schemeClr w14:val="tx1"/>
            </w14:solidFill>
          </w14:textFill>
        </w:rPr>
      </w:sdtEndPr>
      <w:sdtContent>
        <w:p w14:paraId="0BB190D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470"/>
    <w:p w14:paraId="3A87CC8A">
      <w:pPr>
        <w:pStyle w:val="6"/>
        <w:numPr>
          <w:ilvl w:val="0"/>
          <w:numId w:val="119"/>
        </w:numPr>
        <w:rPr>
          <w:rFonts w:cs="宋体"/>
          <w:kern w:val="0"/>
          <w:szCs w:val="24"/>
        </w:rPr>
      </w:pPr>
      <w:bookmarkStart w:id="471" w:name="_Hlk168042003"/>
      <w:bookmarkStart w:id="472" w:name="_Hlk153792018"/>
      <w:bookmarkStart w:id="473" w:name="_Hlk154150256"/>
      <w:r>
        <w:rPr>
          <w:rFonts w:hint="eastAsia" w:cs="宋体"/>
          <w:kern w:val="0"/>
          <w:szCs w:val="24"/>
        </w:rPr>
        <w:t>坏账准备的情况</w:t>
      </w:r>
    </w:p>
    <w:sdt>
      <w:sdtPr>
        <w:rPr>
          <w:color w:val="000000" w:themeColor="text1"/>
          <w14:textFill>
            <w14:solidFill>
              <w14:schemeClr w14:val="tx1"/>
            </w14:solidFill>
          </w14:textFill>
        </w:rPr>
        <w:alias w:val="是否适用：母公司坏账准备情况[双击切换]"/>
        <w:tag w:val="_GBC_4359768bbe6b4db5aaabe9fec181f50a"/>
        <w:id w:val="147458747"/>
        <w:placeholder>
          <w:docPart w:val="GBC22222222222222222222222222222"/>
        </w:placeholder>
      </w:sdtPr>
      <w:sdtEndPr>
        <w:rPr>
          <w:color w:val="000000" w:themeColor="text1"/>
          <w14:textFill>
            <w14:solidFill>
              <w14:schemeClr w14:val="tx1"/>
            </w14:solidFill>
          </w14:textFill>
        </w:rPr>
      </w:sdtEndPr>
      <w:sdtContent>
        <w:p w14:paraId="61AD3267">
          <w:pPr>
            <w:pStyle w:val="67"/>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54AA36F">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其中本期坏账准备收回或转回金额重要的：</w:t>
      </w:r>
    </w:p>
    <w:sdt>
      <w:sdtPr>
        <w:rPr>
          <w:color w:val="000000" w:themeColor="text1"/>
          <w14:textFill>
            <w14:solidFill>
              <w14:schemeClr w14:val="tx1"/>
            </w14:solidFill>
          </w14:textFill>
        </w:rPr>
        <w:alias w:val="是否适用：母公司本期坏账准备收回或转回金额重要的[双击切换]"/>
        <w:tag w:val="_GBC_15c983ff27c348dab992de66b12c1147"/>
        <w:id w:val="147454070"/>
        <w:placeholder>
          <w:docPart w:val="GBC22222222222222222222222222222"/>
        </w:placeholder>
      </w:sdtPr>
      <w:sdtEndPr>
        <w:rPr>
          <w:color w:val="000000" w:themeColor="text1"/>
          <w14:textFill>
            <w14:solidFill>
              <w14:schemeClr w14:val="tx1"/>
            </w14:solidFill>
          </w14:textFill>
        </w:rPr>
      </w:sdtEndPr>
      <w:sdtContent>
        <w:p w14:paraId="3F31579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595EFAE">
      <w:pPr>
        <w:rPr>
          <w:color w:val="000000" w:themeColor="text1"/>
          <w14:textFill>
            <w14:solidFill>
              <w14:schemeClr w14:val="tx1"/>
            </w14:solidFill>
          </w14:textFill>
        </w:rPr>
      </w:pPr>
    </w:p>
    <w:p w14:paraId="17833154">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母公司坏账准备情况的说明"/>
        <w:tag w:val="_GBC_c23d2aac5be544dab9d6cfeb3fe4c5b9"/>
        <w:id w:val="147450971"/>
        <w:placeholder>
          <w:docPart w:val="GBC22222222222222222222222222222"/>
        </w:placeholder>
      </w:sdtPr>
      <w:sdtEndPr>
        <w:rPr>
          <w:color w:val="000000" w:themeColor="text1"/>
          <w14:textFill>
            <w14:solidFill>
              <w14:schemeClr w14:val="tx1"/>
            </w14:solidFill>
          </w14:textFill>
        </w:rPr>
      </w:sdtEndPr>
      <w:sdtContent>
        <w:p w14:paraId="42A245D7">
          <w:pPr>
            <w:ind w:right="42" w:rightChars="2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57654527">
      <w:pPr>
        <w:ind w:right="-1594" w:rightChars="-759"/>
        <w:rPr>
          <w:color w:val="000000" w:themeColor="text1"/>
          <w14:textFill>
            <w14:solidFill>
              <w14:schemeClr w14:val="tx1"/>
            </w14:solidFill>
          </w14:textFill>
        </w:rPr>
      </w:pPr>
    </w:p>
    <w:p w14:paraId="63FB8BA6">
      <w:pPr>
        <w:pStyle w:val="6"/>
        <w:numPr>
          <w:ilvl w:val="0"/>
          <w:numId w:val="119"/>
        </w:numPr>
        <w:rPr>
          <w:rFonts w:cs="宋体"/>
          <w:kern w:val="0"/>
          <w:szCs w:val="24"/>
        </w:rPr>
      </w:pPr>
      <w:bookmarkStart w:id="474" w:name="_Hlk155883151"/>
      <w:r>
        <w:rPr>
          <w:rFonts w:hint="eastAsia" w:cs="宋体"/>
          <w:kern w:val="0"/>
          <w:szCs w:val="24"/>
        </w:rPr>
        <w:t>本期实际核销的应收股利情况</w:t>
      </w:r>
    </w:p>
    <w:sdt>
      <w:sdtPr>
        <w:rPr>
          <w:color w:val="000000" w:themeColor="text1"/>
          <w14:textFill>
            <w14:solidFill>
              <w14:schemeClr w14:val="tx1"/>
            </w14:solidFill>
          </w14:textFill>
        </w:rPr>
        <w:alias w:val="是否适用：母公司实际核销的情况[双击切换]"/>
        <w:tag w:val="_GBC_aa389cb741114553a4e1a7aed4aa319e"/>
        <w:id w:val="147469309"/>
        <w:placeholder>
          <w:docPart w:val="GBC22222222222222222222222222222"/>
        </w:placeholder>
      </w:sdtPr>
      <w:sdtEndPr>
        <w:rPr>
          <w:color w:val="000000" w:themeColor="text1"/>
          <w14:textFill>
            <w14:solidFill>
              <w14:schemeClr w14:val="tx1"/>
            </w14:solidFill>
          </w14:textFill>
        </w:rPr>
      </w:sdtEndPr>
      <w:sdtContent>
        <w:p w14:paraId="3A9CAC5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40161CE">
      <w:pPr>
        <w:rPr>
          <w:color w:val="000000" w:themeColor="text1"/>
          <w14:textFill>
            <w14:solidFill>
              <w14:schemeClr w14:val="tx1"/>
            </w14:solidFill>
          </w14:textFill>
        </w:rPr>
      </w:pPr>
    </w:p>
    <w:bookmarkEnd w:id="474"/>
    <w:p w14:paraId="6858F079">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其中重要的应收股利核销情况</w:t>
      </w:r>
    </w:p>
    <w:sdt>
      <w:sdtPr>
        <w:rPr>
          <w:rFonts w:hint="eastAsia"/>
          <w:color w:val="000000" w:themeColor="text1"/>
          <w14:textFill>
            <w14:solidFill>
              <w14:schemeClr w14:val="tx1"/>
            </w14:solidFill>
          </w14:textFill>
        </w:rPr>
        <w:alias w:val="是否适用：母公司重要的核销情况[双击切换]"/>
        <w:tag w:val="_GBC_146148b0997846e4bafed15556419cf8"/>
        <w:id w:val="147465081"/>
        <w:placeholder>
          <w:docPart w:val="GBC22222222222222222222222222222"/>
        </w:placeholder>
      </w:sdtPr>
      <w:sdtEndPr>
        <w:rPr>
          <w:rFonts w:hint="eastAsia"/>
          <w:color w:val="000000" w:themeColor="text1"/>
          <w14:textFill>
            <w14:solidFill>
              <w14:schemeClr w14:val="tx1"/>
            </w14:solidFill>
          </w14:textFill>
        </w:rPr>
      </w:sdtEndPr>
      <w:sdtContent>
        <w:p w14:paraId="2A1327D4">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D24B26D">
      <w:pPr>
        <w:snapToGrid w:val="0"/>
        <w:spacing w:line="240" w:lineRule="atLeast"/>
        <w:rPr>
          <w:color w:val="000000" w:themeColor="text1"/>
          <w14:textFill>
            <w14:solidFill>
              <w14:schemeClr w14:val="tx1"/>
            </w14:solidFill>
          </w14:textFill>
        </w:rPr>
      </w:pPr>
    </w:p>
    <w:p w14:paraId="2C2A57C3">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核销说明：</w:t>
      </w:r>
    </w:p>
    <w:sdt>
      <w:sdtPr>
        <w:rPr>
          <w:color w:val="000000" w:themeColor="text1"/>
          <w14:textFill>
            <w14:solidFill>
              <w14:schemeClr w14:val="tx1"/>
            </w14:solidFill>
          </w14:textFill>
        </w:rPr>
        <w:alias w:val="是否适用：母公司核销说明[双击切换]"/>
        <w:tag w:val="_GBC_61aa391f7973406cadb21e662d9b01ec"/>
        <w:id w:val="147468531"/>
        <w:placeholder>
          <w:docPart w:val="GBC22222222222222222222222222222"/>
        </w:placeholder>
      </w:sdtPr>
      <w:sdtEndPr>
        <w:rPr>
          <w:color w:val="000000" w:themeColor="text1"/>
          <w14:textFill>
            <w14:solidFill>
              <w14:schemeClr w14:val="tx1"/>
            </w14:solidFill>
          </w14:textFill>
        </w:rPr>
      </w:sdtEndPr>
      <w:sdtContent>
        <w:p w14:paraId="5AD8136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ABD059D">
      <w:pPr>
        <w:rPr>
          <w:color w:val="000000" w:themeColor="text1"/>
          <w14:textFill>
            <w14:solidFill>
              <w14:schemeClr w14:val="tx1"/>
            </w14:solidFill>
          </w14:textFill>
        </w:rPr>
      </w:pPr>
    </w:p>
    <w:bookmarkEnd w:id="471"/>
    <w:bookmarkEnd w:id="472"/>
    <w:bookmarkEnd w:id="473"/>
    <w:p w14:paraId="563F23AF">
      <w:pPr>
        <w:rPr>
          <w:color w:val="000000" w:themeColor="text1"/>
          <w14:textFill>
            <w14:solidFill>
              <w14:schemeClr w14:val="tx1"/>
            </w14:solidFill>
          </w14:textFill>
        </w:rPr>
      </w:pPr>
      <w:bookmarkStart w:id="475" w:name="_Hlk10547234"/>
      <w:bookmarkStart w:id="476" w:name="_Hlk10547244"/>
      <w:r>
        <w:rPr>
          <w:rFonts w:hint="eastAsia"/>
          <w:color w:val="000000" w:themeColor="text1"/>
          <w14:textFill>
            <w14:solidFill>
              <w14:schemeClr w14:val="tx1"/>
            </w14:solidFill>
          </w14:textFill>
        </w:rPr>
        <w:t>其他说明：</w:t>
      </w:r>
      <w:bookmarkEnd w:id="475"/>
    </w:p>
    <w:sdt>
      <w:sdtPr>
        <w:rPr>
          <w:color w:val="000000" w:themeColor="text1"/>
          <w14:textFill>
            <w14:solidFill>
              <w14:schemeClr w14:val="tx1"/>
            </w14:solidFill>
          </w14:textFill>
        </w:rPr>
        <w:alias w:val="是否适用：母公司应收股利其他说明[双击切换]"/>
        <w:tag w:val="_GBC_79a2eb8844e84fe3b78bb5ffcf2a57d5"/>
        <w:id w:val="147466121"/>
        <w:placeholder>
          <w:docPart w:val="GBC22222222222222222222222222222"/>
        </w:placeholder>
      </w:sdtPr>
      <w:sdtEndPr>
        <w:rPr>
          <w:color w:val="000000" w:themeColor="text1"/>
          <w14:textFill>
            <w14:solidFill>
              <w14:schemeClr w14:val="tx1"/>
            </w14:solidFill>
          </w14:textFill>
        </w:rPr>
      </w:sdtEndPr>
      <w:sdtContent>
        <w:p w14:paraId="6E08920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0149A69">
      <w:pPr>
        <w:rPr>
          <w:color w:val="000000" w:themeColor="text1"/>
          <w14:textFill>
            <w14:solidFill>
              <w14:schemeClr w14:val="tx1"/>
            </w14:solidFill>
          </w14:textFill>
        </w:rPr>
      </w:pPr>
    </w:p>
    <w:bookmarkEnd w:id="476"/>
    <w:p w14:paraId="3A49B5AD">
      <w:pPr>
        <w:pStyle w:val="58"/>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其他应收款</w:t>
      </w:r>
    </w:p>
    <w:p w14:paraId="7C11CFD0">
      <w:pPr>
        <w:pStyle w:val="59"/>
        <w:numPr>
          <w:ilvl w:val="0"/>
          <w:numId w:val="120"/>
        </w:numPr>
      </w:pPr>
      <w:bookmarkStart w:id="477" w:name="_Hlk153797719"/>
      <w:bookmarkStart w:id="478" w:name="_Hlk168042601"/>
      <w:r>
        <w:rPr>
          <w:rFonts w:hint="eastAsia"/>
        </w:rPr>
        <w:t>按账龄披露</w:t>
      </w:r>
    </w:p>
    <w:sdt>
      <w:sdtPr>
        <w:rPr>
          <w:color w:val="000000" w:themeColor="text1"/>
          <w14:textFill>
            <w14:solidFill>
              <w14:schemeClr w14:val="tx1"/>
            </w14:solidFill>
          </w14:textFill>
        </w:rPr>
        <w:alias w:val="是否适用：母公司其他应收款按账龄披露[双击切换]"/>
        <w:tag w:val="_GBC_5b9c67da114b4f51b08890c9615bd1d4"/>
        <w:id w:val="-101194099"/>
      </w:sdtPr>
      <w:sdtEndPr>
        <w:rPr>
          <w:color w:val="000000" w:themeColor="text1"/>
          <w14:textFill>
            <w14:solidFill>
              <w14:schemeClr w14:val="tx1"/>
            </w14:solidFill>
          </w14:textFill>
        </w:rPr>
      </w:sdtEndPr>
      <w:sdtContent>
        <w:p w14:paraId="0690B75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32F0FAB9">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母公司其他应收款按账龄披露"/>
          <w:tag w:val="_GBC_6ab414dc01fc4a13acb3e3755a5cc201"/>
          <w:id w:val="775059382"/>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母公司其他应收款按账龄披露"/>
          <w:tag w:val="_GBC_043422dceaa24b4d9763b5cc6404b654"/>
          <w:id w:val="-46250584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994"/>
        <w:gridCol w:w="2914"/>
        <w:gridCol w:w="2915"/>
      </w:tblGrid>
      <w:tr w14:paraId="1F0B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cs="Times New Roman"/>
            </w:rPr>
            <w:tag w:val="_PLD_af35a4cb8d9748a7bccbc4e491ccfe60"/>
            <w:id w:val="-2079666712"/>
          </w:sdtPr>
          <w:sdtEndPr>
            <w:rPr>
              <w:rFonts w:cs="Times New Roman"/>
            </w:rPr>
          </w:sdtEndPr>
          <w:sdtContent>
            <w:tc>
              <w:tcPr>
                <w:tcW w:w="1696" w:type="pct"/>
                <w:tcBorders>
                  <w:top w:val="single" w:color="auto" w:sz="4" w:space="0"/>
                  <w:left w:val="single" w:color="auto" w:sz="4" w:space="0"/>
                  <w:bottom w:val="single" w:color="auto" w:sz="4" w:space="0"/>
                  <w:right w:val="single" w:color="auto" w:sz="4" w:space="0"/>
                </w:tcBorders>
                <w:vAlign w:val="center"/>
              </w:tcPr>
              <w:p w14:paraId="6B2130B6">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账龄</w:t>
                </w:r>
              </w:p>
            </w:tc>
          </w:sdtContent>
        </w:sdt>
        <w:sdt>
          <w:sdtPr>
            <w:rPr>
              <w:rFonts w:cs="Times New Roman"/>
            </w:rPr>
            <w:tag w:val="_PLD_21e0bb0de0cb4a07bdd466a200c90bfc"/>
            <w:id w:val="-1543893742"/>
          </w:sdtPr>
          <w:sdtEndPr>
            <w:rPr>
              <w:rFonts w:cs="Times New Roman"/>
            </w:rPr>
          </w:sdtEndPr>
          <w:sdtContent>
            <w:tc>
              <w:tcPr>
                <w:tcW w:w="1651" w:type="pct"/>
                <w:tcBorders>
                  <w:top w:val="single" w:color="auto" w:sz="4" w:space="0"/>
                  <w:left w:val="single" w:color="auto" w:sz="4" w:space="0"/>
                  <w:bottom w:val="single" w:color="auto" w:sz="4" w:space="0"/>
                  <w:right w:val="single" w:color="auto" w:sz="4" w:space="0"/>
                </w:tcBorders>
                <w:vAlign w:val="center"/>
              </w:tcPr>
              <w:p w14:paraId="05C7D6A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期末账面余额</w:t>
                </w:r>
              </w:p>
            </w:tc>
          </w:sdtContent>
        </w:sdt>
        <w:tc>
          <w:tcPr>
            <w:tcW w:w="1651" w:type="pct"/>
            <w:tcBorders>
              <w:top w:val="single" w:color="auto" w:sz="4" w:space="0"/>
              <w:left w:val="single" w:color="auto" w:sz="4" w:space="0"/>
              <w:bottom w:val="single" w:color="auto" w:sz="4" w:space="0"/>
              <w:right w:val="single" w:color="auto" w:sz="4" w:space="0"/>
            </w:tcBorders>
          </w:tcPr>
          <w:sdt>
            <w:sdtPr>
              <w:rPr>
                <w:rFonts w:cs="Times New Roman"/>
              </w:rPr>
              <w:tag w:val="_PLD_6e9631382f39495983e2cd57b3906040"/>
              <w:id w:val="-944301862"/>
            </w:sdtPr>
            <w:sdtEndPr>
              <w:rPr>
                <w:rFonts w:cs="Times New Roman"/>
              </w:rPr>
            </w:sdtEndPr>
            <w:sdtContent>
              <w:p w14:paraId="280FFE1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期初账面余额</w:t>
                </w:r>
              </w:p>
            </w:sdtContent>
          </w:sdt>
        </w:tc>
      </w:tr>
      <w:tr w14:paraId="096C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cs="Times New Roman"/>
            </w:rPr>
            <w:tag w:val="_PLD_8df0e2537e2d4d3292953be1ba7504eb"/>
            <w:id w:val="-1399592508"/>
          </w:sdtPr>
          <w:sdtEndPr>
            <w:rPr>
              <w:rFonts w:cs="Times New Roman"/>
            </w:rPr>
          </w:sdtEndPr>
          <w:sdtContent>
            <w:tc>
              <w:tcPr>
                <w:tcW w:w="1696" w:type="pct"/>
                <w:tcBorders>
                  <w:top w:val="single" w:color="auto" w:sz="4" w:space="0"/>
                  <w:left w:val="single" w:color="auto" w:sz="4" w:space="0"/>
                  <w:bottom w:val="single" w:color="auto" w:sz="4" w:space="0"/>
                  <w:right w:val="single" w:color="auto" w:sz="4" w:space="0"/>
                </w:tcBorders>
              </w:tcPr>
              <w:p w14:paraId="6694A4F1">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1年以内（含1年）</w:t>
                </w:r>
              </w:p>
            </w:tc>
          </w:sdtContent>
        </w:sdt>
        <w:tc>
          <w:tcPr>
            <w:tcW w:w="1651" w:type="pct"/>
            <w:tcBorders>
              <w:top w:val="single" w:color="auto" w:sz="4" w:space="0"/>
              <w:left w:val="single" w:color="auto" w:sz="4" w:space="0"/>
              <w:bottom w:val="single" w:color="auto" w:sz="4" w:space="0"/>
              <w:right w:val="single" w:color="auto" w:sz="4" w:space="0"/>
            </w:tcBorders>
            <w:vAlign w:val="center"/>
          </w:tcPr>
          <w:p w14:paraId="0677C445">
            <w:pPr>
              <w:jc w:val="right"/>
              <w:rPr>
                <w:rFonts w:cs="Times New Roman"/>
              </w:rPr>
            </w:pPr>
            <w:r>
              <w:rPr>
                <w:rFonts w:cs="Times New Roman"/>
              </w:rPr>
              <w:t>956,339,554.04</w:t>
            </w:r>
          </w:p>
        </w:tc>
        <w:tc>
          <w:tcPr>
            <w:tcW w:w="1651" w:type="pct"/>
            <w:tcBorders>
              <w:top w:val="single" w:color="auto" w:sz="4" w:space="0"/>
              <w:left w:val="single" w:color="auto" w:sz="4" w:space="0"/>
              <w:bottom w:val="single" w:color="auto" w:sz="4" w:space="0"/>
              <w:right w:val="single" w:color="auto" w:sz="4" w:space="0"/>
            </w:tcBorders>
            <w:vAlign w:val="center"/>
          </w:tcPr>
          <w:p w14:paraId="00E36F7C">
            <w:pPr>
              <w:jc w:val="right"/>
              <w:rPr>
                <w:rFonts w:cs="Times New Roman"/>
              </w:rPr>
            </w:pPr>
            <w:r>
              <w:rPr>
                <w:rFonts w:cs="Times New Roman"/>
              </w:rPr>
              <w:t>636,103,922.59</w:t>
            </w:r>
          </w:p>
        </w:tc>
      </w:tr>
      <w:sdt>
        <w:sdtPr>
          <w:rPr>
            <w:rFonts w:cs="Times New Roman"/>
            <w:color w:val="000000" w:themeColor="text1"/>
            <w14:textFill>
              <w14:solidFill>
                <w14:schemeClr w14:val="tx1"/>
              </w14:solidFill>
            </w14:textFill>
          </w:rPr>
          <w:alias w:val="一年以内其他应收款金额明细"/>
          <w:tag w:val="_TUP_c742176b3ab849fb88f254a72bb03c20"/>
          <w:id w:val="1793863033"/>
          <w:placeholder>
            <w:docPart w:val="{476a5c04-f013-4308-ae31-27fca4933a80}"/>
          </w:placeholder>
        </w:sdtPr>
        <w:sdtEndPr>
          <w:rPr>
            <w:rFonts w:cs="Times New Roman"/>
            <w:color w:val="000000" w:themeColor="text1"/>
            <w14:textFill>
              <w14:solidFill>
                <w14:schemeClr w14:val="tx1"/>
              </w14:solidFill>
            </w14:textFill>
          </w:rPr>
        </w:sdtEndPr>
        <w:sdtContent>
          <w:tr w14:paraId="0BEB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14:paraId="0FD9032F">
                <w:pPr>
                  <w:rPr>
                    <w:rFonts w:cs="Times New Roman"/>
                  </w:rPr>
                </w:pPr>
                <w:r>
                  <w:rPr>
                    <w:rFonts w:cs="Times New Roman"/>
                  </w:rPr>
                  <w:t>1年以内小计</w:t>
                </w:r>
              </w:p>
            </w:tc>
            <w:tc>
              <w:tcPr>
                <w:tcW w:w="1651" w:type="pct"/>
                <w:tcBorders>
                  <w:top w:val="single" w:color="auto" w:sz="4" w:space="0"/>
                  <w:left w:val="single" w:color="auto" w:sz="4" w:space="0"/>
                  <w:bottom w:val="single" w:color="auto" w:sz="4" w:space="0"/>
                  <w:right w:val="single" w:color="auto" w:sz="4" w:space="0"/>
                </w:tcBorders>
                <w:vAlign w:val="center"/>
              </w:tcPr>
              <w:p w14:paraId="531C7150">
                <w:pPr>
                  <w:jc w:val="right"/>
                  <w:rPr>
                    <w:rFonts w:cs="Times New Roman"/>
                  </w:rPr>
                </w:pPr>
                <w:r>
                  <w:rPr>
                    <w:rFonts w:cs="Times New Roman"/>
                  </w:rPr>
                  <w:t>956,339,554.04</w:t>
                </w:r>
              </w:p>
            </w:tc>
            <w:tc>
              <w:tcPr>
                <w:tcW w:w="1651" w:type="pct"/>
                <w:tcBorders>
                  <w:top w:val="single" w:color="auto" w:sz="4" w:space="0"/>
                  <w:left w:val="single" w:color="auto" w:sz="4" w:space="0"/>
                  <w:bottom w:val="single" w:color="auto" w:sz="4" w:space="0"/>
                  <w:right w:val="single" w:color="auto" w:sz="4" w:space="0"/>
                </w:tcBorders>
                <w:vAlign w:val="center"/>
              </w:tcPr>
              <w:p w14:paraId="429A2808">
                <w:pPr>
                  <w:jc w:val="right"/>
                  <w:rPr>
                    <w:rFonts w:cs="Times New Roman"/>
                  </w:rPr>
                </w:pPr>
                <w:r>
                  <w:rPr>
                    <w:rFonts w:cs="Times New Roman"/>
                  </w:rPr>
                  <w:t>636,103,922.59</w:t>
                </w:r>
              </w:p>
            </w:tc>
          </w:tr>
        </w:sdtContent>
      </w:sdt>
      <w:sdt>
        <w:sdtPr>
          <w:rPr>
            <w:rFonts w:cs="Times New Roman"/>
          </w:rPr>
          <w:alias w:val="一年以内其他应收款金额明细"/>
          <w:tag w:val="_TUP_c742176b3ab849fb88f254a72bb03c20"/>
          <w:id w:val="1905712448"/>
          <w:placeholder>
            <w:docPart w:val="{476a5c04-f013-4308-ae31-27fca4933a80}"/>
          </w:placeholder>
        </w:sdtPr>
        <w:sdtEndPr>
          <w:rPr>
            <w:rFonts w:cs="Times New Roman"/>
          </w:rPr>
        </w:sdtEndPr>
        <w:sdtContent>
          <w:tr w14:paraId="48B6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cs="Times New Roman"/>
                </w:rPr>
                <w:tag w:val="_PLD_e008e6e14e8844f782b3c3da46eece9e"/>
                <w:id w:val="-729073152"/>
              </w:sdtPr>
              <w:sdtEndPr>
                <w:rPr>
                  <w:rFonts w:cs="Times New Roman"/>
                </w:rPr>
              </w:sdtEndPr>
              <w:sdtContent>
                <w:tc>
                  <w:tcPr>
                    <w:tcW w:w="1696" w:type="pct"/>
                    <w:tcBorders>
                      <w:top w:val="single" w:color="auto" w:sz="4" w:space="0"/>
                      <w:left w:val="single" w:color="auto" w:sz="4" w:space="0"/>
                      <w:bottom w:val="single" w:color="auto" w:sz="4" w:space="0"/>
                      <w:right w:val="single" w:color="auto" w:sz="4" w:space="0"/>
                    </w:tcBorders>
                  </w:tcPr>
                  <w:p w14:paraId="417B3522">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1至2年</w:t>
                    </w:r>
                  </w:p>
                </w:tc>
              </w:sdtContent>
            </w:sdt>
            <w:tc>
              <w:tcPr>
                <w:tcW w:w="1651" w:type="pct"/>
                <w:tcBorders>
                  <w:top w:val="single" w:color="auto" w:sz="4" w:space="0"/>
                  <w:left w:val="single" w:color="auto" w:sz="4" w:space="0"/>
                  <w:bottom w:val="single" w:color="auto" w:sz="4" w:space="0"/>
                  <w:right w:val="single" w:color="auto" w:sz="4" w:space="0"/>
                </w:tcBorders>
                <w:vAlign w:val="center"/>
              </w:tcPr>
              <w:p w14:paraId="706DCC23">
                <w:pPr>
                  <w:jc w:val="right"/>
                  <w:rPr>
                    <w:rFonts w:cs="Times New Roman"/>
                  </w:rPr>
                </w:pPr>
                <w:r>
                  <w:rPr>
                    <w:rFonts w:cs="Times New Roman"/>
                  </w:rPr>
                  <w:t>525,607,659.38</w:t>
                </w:r>
              </w:p>
            </w:tc>
            <w:tc>
              <w:tcPr>
                <w:tcW w:w="1651" w:type="pct"/>
                <w:tcBorders>
                  <w:top w:val="single" w:color="auto" w:sz="4" w:space="0"/>
                  <w:left w:val="single" w:color="auto" w:sz="4" w:space="0"/>
                  <w:bottom w:val="single" w:color="auto" w:sz="4" w:space="0"/>
                  <w:right w:val="single" w:color="auto" w:sz="4" w:space="0"/>
                </w:tcBorders>
                <w:vAlign w:val="center"/>
              </w:tcPr>
              <w:p w14:paraId="5468A0CB">
                <w:pPr>
                  <w:jc w:val="right"/>
                  <w:rPr>
                    <w:rFonts w:cs="Times New Roman"/>
                  </w:rPr>
                </w:pPr>
                <w:r>
                  <w:rPr>
                    <w:rFonts w:cs="Times New Roman"/>
                  </w:rPr>
                  <w:t>530,303,721.70</w:t>
                </w:r>
              </w:p>
            </w:tc>
          </w:tr>
        </w:sdtContent>
      </w:sdt>
      <w:tr w14:paraId="4A59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cs="Times New Roman"/>
            </w:rPr>
            <w:tag w:val="_PLD_ee6951d665494f92b328a25519437421"/>
            <w:id w:val="1006478524"/>
          </w:sdtPr>
          <w:sdtEndPr>
            <w:rPr>
              <w:rFonts w:cs="Times New Roman"/>
            </w:rPr>
          </w:sdtEndPr>
          <w:sdtContent>
            <w:tc>
              <w:tcPr>
                <w:tcW w:w="1696" w:type="pct"/>
                <w:tcBorders>
                  <w:top w:val="single" w:color="auto" w:sz="4" w:space="0"/>
                  <w:left w:val="single" w:color="auto" w:sz="4" w:space="0"/>
                  <w:bottom w:val="single" w:color="auto" w:sz="4" w:space="0"/>
                  <w:right w:val="single" w:color="auto" w:sz="4" w:space="0"/>
                </w:tcBorders>
              </w:tcPr>
              <w:p w14:paraId="0F9A9831">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2至3年</w:t>
                </w:r>
              </w:p>
            </w:tc>
          </w:sdtContent>
        </w:sdt>
        <w:tc>
          <w:tcPr>
            <w:tcW w:w="1651" w:type="pct"/>
            <w:tcBorders>
              <w:top w:val="single" w:color="auto" w:sz="4" w:space="0"/>
              <w:left w:val="single" w:color="auto" w:sz="4" w:space="0"/>
              <w:bottom w:val="single" w:color="auto" w:sz="4" w:space="0"/>
              <w:right w:val="single" w:color="auto" w:sz="4" w:space="0"/>
            </w:tcBorders>
            <w:vAlign w:val="center"/>
          </w:tcPr>
          <w:p w14:paraId="166625CE">
            <w:pPr>
              <w:jc w:val="right"/>
              <w:rPr>
                <w:rFonts w:cs="Times New Roman"/>
              </w:rPr>
            </w:pPr>
            <w:r>
              <w:rPr>
                <w:rFonts w:cs="Times New Roman"/>
              </w:rPr>
              <w:t>1,128,919,069.96</w:t>
            </w:r>
          </w:p>
        </w:tc>
        <w:tc>
          <w:tcPr>
            <w:tcW w:w="1651" w:type="pct"/>
            <w:tcBorders>
              <w:top w:val="single" w:color="auto" w:sz="4" w:space="0"/>
              <w:left w:val="single" w:color="auto" w:sz="4" w:space="0"/>
              <w:bottom w:val="single" w:color="auto" w:sz="4" w:space="0"/>
              <w:right w:val="single" w:color="auto" w:sz="4" w:space="0"/>
            </w:tcBorders>
            <w:vAlign w:val="center"/>
          </w:tcPr>
          <w:p w14:paraId="17E21E1B">
            <w:pPr>
              <w:jc w:val="right"/>
              <w:rPr>
                <w:rFonts w:cs="Times New Roman"/>
              </w:rPr>
            </w:pPr>
            <w:r>
              <w:rPr>
                <w:rFonts w:cs="Times New Roman"/>
              </w:rPr>
              <w:t>1,128,928,352.84</w:t>
            </w:r>
          </w:p>
        </w:tc>
      </w:tr>
      <w:tr w14:paraId="25026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cs="Times New Roman"/>
            </w:rPr>
            <w:tag w:val="_PLD_19c8059c48ef46edb90d083a1536be0a"/>
            <w:id w:val="504088853"/>
          </w:sdtPr>
          <w:sdtEndPr>
            <w:rPr>
              <w:rFonts w:cs="Times New Roman"/>
            </w:rPr>
          </w:sdtEndPr>
          <w:sdtContent>
            <w:tc>
              <w:tcPr>
                <w:tcW w:w="1696" w:type="pct"/>
                <w:tcBorders>
                  <w:top w:val="single" w:color="auto" w:sz="4" w:space="0"/>
                  <w:left w:val="single" w:color="auto" w:sz="4" w:space="0"/>
                  <w:bottom w:val="single" w:color="auto" w:sz="4" w:space="0"/>
                  <w:right w:val="single" w:color="auto" w:sz="4" w:space="0"/>
                </w:tcBorders>
              </w:tcPr>
              <w:p w14:paraId="7FC39F12">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3至4年</w:t>
                </w:r>
              </w:p>
            </w:tc>
          </w:sdtContent>
        </w:sdt>
        <w:tc>
          <w:tcPr>
            <w:tcW w:w="1651" w:type="pct"/>
            <w:tcBorders>
              <w:top w:val="single" w:color="auto" w:sz="4" w:space="0"/>
              <w:left w:val="single" w:color="auto" w:sz="4" w:space="0"/>
              <w:bottom w:val="single" w:color="auto" w:sz="4" w:space="0"/>
              <w:right w:val="single" w:color="auto" w:sz="4" w:space="0"/>
            </w:tcBorders>
            <w:vAlign w:val="center"/>
          </w:tcPr>
          <w:p w14:paraId="77582EC2">
            <w:pPr>
              <w:jc w:val="right"/>
              <w:rPr>
                <w:rFonts w:cs="Times New Roman"/>
              </w:rPr>
            </w:pPr>
            <w:r>
              <w:rPr>
                <w:rFonts w:cs="Times New Roman"/>
              </w:rPr>
              <w:t>523,831,816.59</w:t>
            </w:r>
          </w:p>
        </w:tc>
        <w:tc>
          <w:tcPr>
            <w:tcW w:w="1651" w:type="pct"/>
            <w:tcBorders>
              <w:top w:val="single" w:color="auto" w:sz="4" w:space="0"/>
              <w:left w:val="single" w:color="auto" w:sz="4" w:space="0"/>
              <w:bottom w:val="single" w:color="auto" w:sz="4" w:space="0"/>
              <w:right w:val="single" w:color="auto" w:sz="4" w:space="0"/>
            </w:tcBorders>
            <w:vAlign w:val="center"/>
          </w:tcPr>
          <w:p w14:paraId="7E9C35B7">
            <w:pPr>
              <w:jc w:val="right"/>
              <w:rPr>
                <w:rFonts w:cs="Times New Roman"/>
              </w:rPr>
            </w:pPr>
            <w:r>
              <w:rPr>
                <w:rFonts w:cs="Times New Roman"/>
              </w:rPr>
              <w:t>523,831,816.59</w:t>
            </w:r>
          </w:p>
        </w:tc>
      </w:tr>
      <w:tr w14:paraId="62CC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cs="Times New Roman"/>
            </w:rPr>
            <w:tag w:val="_PLD_b298a3c895f14c3d8bc5f363374651da"/>
            <w:id w:val="-2006041844"/>
          </w:sdtPr>
          <w:sdtEndPr>
            <w:rPr>
              <w:rFonts w:cs="Times New Roman"/>
            </w:rPr>
          </w:sdtEndPr>
          <w:sdtContent>
            <w:tc>
              <w:tcPr>
                <w:tcW w:w="1696" w:type="pct"/>
                <w:tcBorders>
                  <w:top w:val="single" w:color="auto" w:sz="4" w:space="0"/>
                  <w:left w:val="single" w:color="auto" w:sz="4" w:space="0"/>
                  <w:bottom w:val="single" w:color="auto" w:sz="4" w:space="0"/>
                  <w:right w:val="single" w:color="auto" w:sz="4" w:space="0"/>
                </w:tcBorders>
              </w:tcPr>
              <w:p w14:paraId="75931E12">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4至5年</w:t>
                </w:r>
              </w:p>
            </w:tc>
          </w:sdtContent>
        </w:sdt>
        <w:tc>
          <w:tcPr>
            <w:tcW w:w="1651" w:type="pct"/>
            <w:tcBorders>
              <w:top w:val="single" w:color="auto" w:sz="4" w:space="0"/>
              <w:left w:val="single" w:color="auto" w:sz="4" w:space="0"/>
              <w:bottom w:val="single" w:color="auto" w:sz="4" w:space="0"/>
              <w:right w:val="single" w:color="auto" w:sz="4" w:space="0"/>
            </w:tcBorders>
            <w:vAlign w:val="center"/>
          </w:tcPr>
          <w:p w14:paraId="35A88B68">
            <w:pPr>
              <w:jc w:val="right"/>
              <w:rPr>
                <w:rFonts w:cs="Times New Roman"/>
              </w:rPr>
            </w:pPr>
            <w:r>
              <w:rPr>
                <w:rFonts w:cs="Times New Roman"/>
              </w:rPr>
              <w:t>327,274,659.19</w:t>
            </w:r>
          </w:p>
        </w:tc>
        <w:tc>
          <w:tcPr>
            <w:tcW w:w="1651" w:type="pct"/>
            <w:tcBorders>
              <w:top w:val="single" w:color="auto" w:sz="4" w:space="0"/>
              <w:left w:val="single" w:color="auto" w:sz="4" w:space="0"/>
              <w:bottom w:val="single" w:color="auto" w:sz="4" w:space="0"/>
              <w:right w:val="single" w:color="auto" w:sz="4" w:space="0"/>
            </w:tcBorders>
            <w:vAlign w:val="center"/>
          </w:tcPr>
          <w:p w14:paraId="1E64EE9B">
            <w:pPr>
              <w:jc w:val="right"/>
              <w:rPr>
                <w:rFonts w:cs="Times New Roman"/>
              </w:rPr>
            </w:pPr>
            <w:r>
              <w:rPr>
                <w:rFonts w:cs="Times New Roman"/>
              </w:rPr>
              <w:t>327,274,659.19</w:t>
            </w:r>
          </w:p>
        </w:tc>
      </w:tr>
      <w:tr w14:paraId="1D77D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cs="Times New Roman"/>
            </w:rPr>
            <w:tag w:val="_PLD_ccc4cc7ed06d4ea3a540432ddce2561e"/>
            <w:id w:val="-1618294844"/>
          </w:sdtPr>
          <w:sdtEndPr>
            <w:rPr>
              <w:rFonts w:cs="Times New Roman"/>
            </w:rPr>
          </w:sdtEndPr>
          <w:sdtContent>
            <w:tc>
              <w:tcPr>
                <w:tcW w:w="1696" w:type="pct"/>
                <w:tcBorders>
                  <w:top w:val="single" w:color="auto" w:sz="4" w:space="0"/>
                  <w:left w:val="single" w:color="auto" w:sz="4" w:space="0"/>
                  <w:bottom w:val="single" w:color="auto" w:sz="4" w:space="0"/>
                  <w:right w:val="single" w:color="auto" w:sz="4" w:space="0"/>
                </w:tcBorders>
              </w:tcPr>
              <w:p w14:paraId="41F22E80">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5年以上</w:t>
                </w:r>
              </w:p>
            </w:tc>
          </w:sdtContent>
        </w:sdt>
        <w:tc>
          <w:tcPr>
            <w:tcW w:w="1651" w:type="pct"/>
            <w:tcBorders>
              <w:top w:val="single" w:color="auto" w:sz="4" w:space="0"/>
              <w:left w:val="single" w:color="auto" w:sz="4" w:space="0"/>
              <w:bottom w:val="single" w:color="auto" w:sz="4" w:space="0"/>
              <w:right w:val="single" w:color="auto" w:sz="4" w:space="0"/>
            </w:tcBorders>
            <w:vAlign w:val="center"/>
          </w:tcPr>
          <w:p w14:paraId="3F095B7E">
            <w:pPr>
              <w:jc w:val="right"/>
              <w:rPr>
                <w:rFonts w:cs="Times New Roman"/>
              </w:rPr>
            </w:pPr>
            <w:r>
              <w:rPr>
                <w:rFonts w:cs="Times New Roman"/>
              </w:rPr>
              <w:t>4,186,047,981.07</w:t>
            </w:r>
          </w:p>
        </w:tc>
        <w:tc>
          <w:tcPr>
            <w:tcW w:w="1651" w:type="pct"/>
            <w:tcBorders>
              <w:top w:val="single" w:color="auto" w:sz="4" w:space="0"/>
              <w:left w:val="single" w:color="auto" w:sz="4" w:space="0"/>
              <w:bottom w:val="single" w:color="auto" w:sz="4" w:space="0"/>
              <w:right w:val="single" w:color="auto" w:sz="4" w:space="0"/>
            </w:tcBorders>
            <w:vAlign w:val="center"/>
          </w:tcPr>
          <w:p w14:paraId="0F5878FE">
            <w:pPr>
              <w:jc w:val="right"/>
              <w:rPr>
                <w:rFonts w:cs="Times New Roman"/>
              </w:rPr>
            </w:pPr>
            <w:r>
              <w:rPr>
                <w:rFonts w:cs="Times New Roman"/>
              </w:rPr>
              <w:t>4,186,047,981.07</w:t>
            </w:r>
          </w:p>
        </w:tc>
      </w:tr>
      <w:sdt>
        <w:sdtPr>
          <w:rPr>
            <w:rFonts w:cs="Times New Roman"/>
          </w:rPr>
          <w:alias w:val="按账龄分析法计提坏账准备的其他应收款明细"/>
          <w:tag w:val="_TUP_70e701285bcd4d3fbc2500e1bffedd20"/>
          <w:id w:val="-107050481"/>
          <w:placeholder>
            <w:docPart w:val="{476a5c04-f013-4308-ae31-27fca4933a80}"/>
          </w:placeholder>
        </w:sdtPr>
        <w:sdtEndPr>
          <w:rPr>
            <w:rFonts w:cs="Times New Roman"/>
          </w:rPr>
        </w:sdtEndPr>
        <w:sdtContent>
          <w:sdt>
            <w:sdtPr>
              <w:rPr>
                <w:rFonts w:cs="Times New Roman"/>
              </w:rPr>
              <w:alias w:val="按账龄分析法计提坏账准备的其他应收款明细"/>
              <w:tag w:val="_TUP_70e701285bcd4d3fbc2500e1bffedd20"/>
              <w:id w:val="-329137370"/>
              <w:placeholder>
                <w:docPart w:val="{476a5c04-f013-4308-ae31-27fca4933a80}"/>
              </w:placeholder>
            </w:sdtPr>
            <w:sdtEndPr>
              <w:rPr>
                <w:rFonts w:cs="Times New Roman"/>
              </w:rPr>
            </w:sdtEndPr>
            <w:sdtContent>
              <w:tr w14:paraId="15B64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cs="Times New Roman"/>
                    </w:rPr>
                    <w:tag w:val="_PLD_c286552b3b484fc99df2efbca16217a3"/>
                    <w:id w:val="222037120"/>
                  </w:sdtPr>
                  <w:sdtEndPr>
                    <w:rPr>
                      <w:rFonts w:cs="Times New Roman"/>
                    </w:rPr>
                  </w:sdtEndPr>
                  <w:sdtContent>
                    <w:tc>
                      <w:tcPr>
                        <w:tcW w:w="1696" w:type="pct"/>
                        <w:tcBorders>
                          <w:top w:val="single" w:color="auto" w:sz="4" w:space="0"/>
                          <w:left w:val="single" w:color="auto" w:sz="4" w:space="0"/>
                          <w:bottom w:val="single" w:color="auto" w:sz="4" w:space="0"/>
                          <w:right w:val="single" w:color="auto" w:sz="4" w:space="0"/>
                        </w:tcBorders>
                        <w:vAlign w:val="center"/>
                      </w:tcPr>
                      <w:p w14:paraId="5822137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sdtContent>
                </w:sdt>
                <w:tc>
                  <w:tcPr>
                    <w:tcW w:w="1651" w:type="pct"/>
                    <w:tcBorders>
                      <w:top w:val="single" w:color="auto" w:sz="4" w:space="0"/>
                      <w:left w:val="single" w:color="auto" w:sz="4" w:space="0"/>
                      <w:bottom w:val="single" w:color="auto" w:sz="4" w:space="0"/>
                      <w:right w:val="single" w:color="auto" w:sz="4" w:space="0"/>
                    </w:tcBorders>
                    <w:vAlign w:val="center"/>
                  </w:tcPr>
                  <w:p w14:paraId="2265E38C">
                    <w:pPr>
                      <w:jc w:val="right"/>
                      <w:rPr>
                        <w:rFonts w:cs="Times New Roman"/>
                      </w:rPr>
                    </w:pPr>
                    <w:r>
                      <w:rPr>
                        <w:rFonts w:cs="Times New Roman"/>
                      </w:rPr>
                      <w:t>7,648,020,740.23</w:t>
                    </w:r>
                  </w:p>
                </w:tc>
                <w:tc>
                  <w:tcPr>
                    <w:tcW w:w="1651" w:type="pct"/>
                    <w:tcBorders>
                      <w:top w:val="single" w:color="auto" w:sz="4" w:space="0"/>
                      <w:left w:val="single" w:color="auto" w:sz="4" w:space="0"/>
                      <w:bottom w:val="single" w:color="auto" w:sz="4" w:space="0"/>
                      <w:right w:val="single" w:color="auto" w:sz="4" w:space="0"/>
                    </w:tcBorders>
                    <w:vAlign w:val="center"/>
                  </w:tcPr>
                  <w:p w14:paraId="49FF6A3B">
                    <w:pPr>
                      <w:jc w:val="right"/>
                      <w:rPr>
                        <w:rFonts w:cs="Times New Roman"/>
                      </w:rPr>
                    </w:pPr>
                    <w:r>
                      <w:rPr>
                        <w:rFonts w:cs="Times New Roman"/>
                      </w:rPr>
                      <w:t>7,332,490,453.98</w:t>
                    </w:r>
                  </w:p>
                </w:tc>
              </w:tr>
            </w:sdtContent>
          </w:sdt>
        </w:sdtContent>
      </w:sdt>
    </w:tbl>
    <w:p w14:paraId="3EDFA231"/>
    <w:bookmarkEnd w:id="477"/>
    <w:bookmarkEnd w:id="478"/>
    <w:p w14:paraId="72C4C838">
      <w:pPr>
        <w:pStyle w:val="59"/>
        <w:numPr>
          <w:ilvl w:val="0"/>
          <w:numId w:val="120"/>
        </w:numPr>
      </w:pPr>
      <w:bookmarkStart w:id="479" w:name="_Hlk10547648"/>
      <w:r>
        <w:rPr>
          <w:rFonts w:hint="eastAsia"/>
        </w:rPr>
        <w:t>按款项性质分类情况</w:t>
      </w:r>
    </w:p>
    <w:sdt>
      <w:sdtPr>
        <w:rPr>
          <w:color w:val="000000" w:themeColor="text1"/>
          <w14:textFill>
            <w14:solidFill>
              <w14:schemeClr w14:val="tx1"/>
            </w14:solidFill>
          </w14:textFill>
        </w:rPr>
        <w:alias w:val="是否适用：母公司其他应收款按款项性质分类情况[双击切换]"/>
        <w:tag w:val="_GBC_101fec10ac1f41f39330610cac041192"/>
        <w:id w:val="147463770"/>
        <w:placeholder>
          <w:docPart w:val="GBC22222222222222222222222222222"/>
        </w:placeholder>
      </w:sdtPr>
      <w:sdtEndPr>
        <w:rPr>
          <w:color w:val="000000" w:themeColor="text1"/>
          <w14:textFill>
            <w14:solidFill>
              <w14:schemeClr w14:val="tx1"/>
            </w14:solidFill>
          </w14:textFill>
        </w:rPr>
      </w:sdtEndPr>
      <w:sdtContent>
        <w:p w14:paraId="04BB31D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B012EC2">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母公司其他应收款按款项性质分类情况"/>
          <w:tag w:val="_GBC_cdfadb9bdd864b32a99df11dec001a83"/>
          <w:id w:val="1474725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母公司其他应收款按款项性质分类情况"/>
          <w:tag w:val="_GBC_cac854cfb75144bc86635f44f78d6611"/>
          <w:id w:val="1474533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2906"/>
        <w:gridCol w:w="2917"/>
      </w:tblGrid>
      <w:tr w14:paraId="59787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797d39f4d1fd488e93d36af61d0bebfd"/>
            <w:id w:val="147451209"/>
          </w:sdtPr>
          <w:sdtEndPr>
            <w:rPr>
              <w:rFonts w:cs="Times New Roman"/>
            </w:rPr>
          </w:sdtEndPr>
          <w:sdtContent>
            <w:tc>
              <w:tcPr>
                <w:tcW w:w="1700" w:type="pct"/>
                <w:vAlign w:val="center"/>
              </w:tcPr>
              <w:p w14:paraId="1A6CCCFE">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款项性质</w:t>
                </w:r>
              </w:p>
            </w:tc>
          </w:sdtContent>
        </w:sdt>
        <w:sdt>
          <w:sdtPr>
            <w:rPr>
              <w:rFonts w:cs="Times New Roman"/>
            </w:rPr>
            <w:tag w:val="_PLD_7853db088d0a4b218482e741ebbac8e0"/>
            <w:id w:val="147472696"/>
          </w:sdtPr>
          <w:sdtEndPr>
            <w:rPr>
              <w:rFonts w:cs="Times New Roman"/>
            </w:rPr>
          </w:sdtEndPr>
          <w:sdtContent>
            <w:tc>
              <w:tcPr>
                <w:tcW w:w="1647" w:type="pct"/>
                <w:vAlign w:val="center"/>
              </w:tcPr>
              <w:p w14:paraId="7A98FA40">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期末账面余额</w:t>
                </w:r>
              </w:p>
            </w:tc>
          </w:sdtContent>
        </w:sdt>
        <w:sdt>
          <w:sdtPr>
            <w:rPr>
              <w:rFonts w:cs="Times New Roman"/>
            </w:rPr>
            <w:tag w:val="_PLD_56ab744bffee4ad28664bdf9e16551e2"/>
            <w:id w:val="147479509"/>
          </w:sdtPr>
          <w:sdtEndPr>
            <w:rPr>
              <w:rFonts w:cs="Times New Roman"/>
            </w:rPr>
          </w:sdtEndPr>
          <w:sdtContent>
            <w:tc>
              <w:tcPr>
                <w:tcW w:w="1653" w:type="pct"/>
                <w:vAlign w:val="center"/>
              </w:tcPr>
              <w:p w14:paraId="7483E56F">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期初账面余额</w:t>
                </w:r>
              </w:p>
            </w:tc>
          </w:sdtContent>
        </w:sdt>
      </w:tr>
      <w:tr w14:paraId="3167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48F8AFFC">
            <w:pPr>
              <w:rPr>
                <w:rFonts w:cs="Times New Roman"/>
                <w:highlight w:val="yellow"/>
              </w:rPr>
            </w:pPr>
            <w:r>
              <w:rPr>
                <w:rFonts w:cs="Times New Roman"/>
                <w:color w:val="000000"/>
              </w:rPr>
              <w:t>备用金</w:t>
            </w:r>
          </w:p>
        </w:tc>
        <w:tc>
          <w:tcPr>
            <w:tcW w:w="1647" w:type="pct"/>
            <w:vAlign w:val="center"/>
          </w:tcPr>
          <w:p w14:paraId="2744B3EE">
            <w:pPr>
              <w:jc w:val="right"/>
              <w:rPr>
                <w:rFonts w:cs="Times New Roman"/>
              </w:rPr>
            </w:pPr>
            <w:r>
              <w:rPr>
                <w:rFonts w:cs="Times New Roman"/>
                <w:color w:val="000000"/>
              </w:rPr>
              <w:t>1,817,010.32</w:t>
            </w:r>
          </w:p>
        </w:tc>
        <w:tc>
          <w:tcPr>
            <w:tcW w:w="1653" w:type="pct"/>
            <w:vAlign w:val="center"/>
          </w:tcPr>
          <w:p w14:paraId="15C21E5E">
            <w:pPr>
              <w:jc w:val="right"/>
              <w:rPr>
                <w:rFonts w:cs="Times New Roman"/>
              </w:rPr>
            </w:pPr>
            <w:r>
              <w:rPr>
                <w:rFonts w:cs="Times New Roman"/>
                <w:color w:val="000000"/>
              </w:rPr>
              <w:t>1,443,792.73</w:t>
            </w:r>
          </w:p>
        </w:tc>
      </w:tr>
      <w:tr w14:paraId="0DAA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16F12157">
            <w:pPr>
              <w:rPr>
                <w:rFonts w:cs="Times New Roman"/>
                <w:highlight w:val="yellow"/>
              </w:rPr>
            </w:pPr>
            <w:r>
              <w:rPr>
                <w:rFonts w:cs="Times New Roman"/>
                <w:color w:val="000000"/>
              </w:rPr>
              <w:t>往来款</w:t>
            </w:r>
          </w:p>
        </w:tc>
        <w:tc>
          <w:tcPr>
            <w:tcW w:w="1647" w:type="pct"/>
            <w:vAlign w:val="center"/>
          </w:tcPr>
          <w:p w14:paraId="35D04D9A">
            <w:pPr>
              <w:jc w:val="right"/>
              <w:rPr>
                <w:rFonts w:cs="Times New Roman"/>
              </w:rPr>
            </w:pPr>
            <w:r>
              <w:rPr>
                <w:rFonts w:cs="Times New Roman"/>
                <w:color w:val="000000"/>
              </w:rPr>
              <w:t>2,168,292,062.23</w:t>
            </w:r>
          </w:p>
        </w:tc>
        <w:tc>
          <w:tcPr>
            <w:tcW w:w="1653" w:type="pct"/>
            <w:vAlign w:val="center"/>
          </w:tcPr>
          <w:p w14:paraId="43C4E846">
            <w:pPr>
              <w:jc w:val="right"/>
              <w:rPr>
                <w:rFonts w:cs="Times New Roman"/>
              </w:rPr>
            </w:pPr>
            <w:r>
              <w:rPr>
                <w:rFonts w:cs="Times New Roman"/>
                <w:color w:val="000000"/>
              </w:rPr>
              <w:t>2,054,137,632.52</w:t>
            </w:r>
          </w:p>
        </w:tc>
      </w:tr>
      <w:tr w14:paraId="1B7B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013BF120">
            <w:pPr>
              <w:rPr>
                <w:rFonts w:cs="Times New Roman"/>
                <w:highlight w:val="yellow"/>
              </w:rPr>
            </w:pPr>
            <w:r>
              <w:rPr>
                <w:rFonts w:cs="Times New Roman"/>
                <w:color w:val="000000"/>
              </w:rPr>
              <w:t>所属企业借款</w:t>
            </w:r>
          </w:p>
        </w:tc>
        <w:tc>
          <w:tcPr>
            <w:tcW w:w="1647" w:type="pct"/>
            <w:vAlign w:val="center"/>
          </w:tcPr>
          <w:p w14:paraId="63CF4490">
            <w:pPr>
              <w:jc w:val="right"/>
              <w:rPr>
                <w:rFonts w:cs="Times New Roman"/>
              </w:rPr>
            </w:pPr>
            <w:r>
              <w:rPr>
                <w:rFonts w:cs="Times New Roman"/>
                <w:color w:val="000000"/>
              </w:rPr>
              <w:t>2,294,963,309.30</w:t>
            </w:r>
          </w:p>
        </w:tc>
        <w:tc>
          <w:tcPr>
            <w:tcW w:w="1653" w:type="pct"/>
            <w:vAlign w:val="center"/>
          </w:tcPr>
          <w:p w14:paraId="6C1E94F6">
            <w:pPr>
              <w:jc w:val="right"/>
              <w:rPr>
                <w:rFonts w:cs="Times New Roman"/>
              </w:rPr>
            </w:pPr>
            <w:r>
              <w:rPr>
                <w:rFonts w:cs="Times New Roman"/>
                <w:color w:val="000000"/>
              </w:rPr>
              <w:t>2,110,463,309.30</w:t>
            </w:r>
          </w:p>
        </w:tc>
      </w:tr>
      <w:tr w14:paraId="0ED2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290B5C96">
            <w:pPr>
              <w:rPr>
                <w:rFonts w:cs="Times New Roman"/>
                <w:highlight w:val="yellow"/>
              </w:rPr>
            </w:pPr>
            <w:r>
              <w:rPr>
                <w:rFonts w:cs="Times New Roman"/>
                <w:color w:val="000000"/>
              </w:rPr>
              <w:t>企业借款利息</w:t>
            </w:r>
          </w:p>
        </w:tc>
        <w:tc>
          <w:tcPr>
            <w:tcW w:w="1647" w:type="pct"/>
            <w:vAlign w:val="center"/>
          </w:tcPr>
          <w:p w14:paraId="3E59E46E">
            <w:pPr>
              <w:jc w:val="right"/>
              <w:rPr>
                <w:rFonts w:cs="Times New Roman"/>
              </w:rPr>
            </w:pPr>
            <w:r>
              <w:rPr>
                <w:rFonts w:cs="Times New Roman"/>
                <w:color w:val="000000"/>
              </w:rPr>
              <w:t>530,478,750.22</w:t>
            </w:r>
          </w:p>
        </w:tc>
        <w:tc>
          <w:tcPr>
            <w:tcW w:w="1653" w:type="pct"/>
            <w:vAlign w:val="center"/>
          </w:tcPr>
          <w:p w14:paraId="38C50A34">
            <w:pPr>
              <w:jc w:val="right"/>
              <w:rPr>
                <w:rFonts w:cs="Times New Roman"/>
              </w:rPr>
            </w:pPr>
            <w:r>
              <w:rPr>
                <w:rFonts w:cs="Times New Roman"/>
                <w:color w:val="000000"/>
              </w:rPr>
              <w:t>513,979,156.89</w:t>
            </w:r>
          </w:p>
        </w:tc>
      </w:tr>
      <w:tr w14:paraId="3BFA4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1D69B56E">
            <w:pPr>
              <w:rPr>
                <w:rFonts w:cs="Times New Roman"/>
                <w:highlight w:val="yellow"/>
              </w:rPr>
            </w:pPr>
            <w:r>
              <w:rPr>
                <w:rFonts w:cs="Times New Roman"/>
                <w:color w:val="000000"/>
              </w:rPr>
              <w:t>项目资金</w:t>
            </w:r>
          </w:p>
        </w:tc>
        <w:tc>
          <w:tcPr>
            <w:tcW w:w="1647" w:type="pct"/>
            <w:vAlign w:val="center"/>
          </w:tcPr>
          <w:p w14:paraId="281A1660">
            <w:pPr>
              <w:jc w:val="right"/>
              <w:rPr>
                <w:rFonts w:cs="Times New Roman"/>
              </w:rPr>
            </w:pPr>
            <w:r>
              <w:rPr>
                <w:rFonts w:cs="Times New Roman"/>
                <w:color w:val="000000"/>
              </w:rPr>
              <w:t>2,648,610,314.42</w:t>
            </w:r>
          </w:p>
        </w:tc>
        <w:tc>
          <w:tcPr>
            <w:tcW w:w="1653" w:type="pct"/>
            <w:vAlign w:val="center"/>
          </w:tcPr>
          <w:p w14:paraId="5372575D">
            <w:pPr>
              <w:jc w:val="right"/>
              <w:rPr>
                <w:rFonts w:cs="Times New Roman"/>
              </w:rPr>
            </w:pPr>
            <w:r>
              <w:rPr>
                <w:rFonts w:cs="Times New Roman"/>
                <w:color w:val="000000"/>
              </w:rPr>
              <w:t>2,648,610,314.42</w:t>
            </w:r>
          </w:p>
        </w:tc>
      </w:tr>
      <w:tr w14:paraId="5BAD4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17B54EAD">
            <w:pPr>
              <w:rPr>
                <w:rFonts w:cs="Times New Roman"/>
                <w:highlight w:val="yellow"/>
              </w:rPr>
            </w:pPr>
            <w:r>
              <w:rPr>
                <w:rFonts w:cs="Times New Roman"/>
                <w:color w:val="000000"/>
              </w:rPr>
              <w:t>其他</w:t>
            </w:r>
          </w:p>
        </w:tc>
        <w:tc>
          <w:tcPr>
            <w:tcW w:w="1647" w:type="pct"/>
            <w:vAlign w:val="center"/>
          </w:tcPr>
          <w:p w14:paraId="542A758C">
            <w:pPr>
              <w:jc w:val="right"/>
              <w:rPr>
                <w:rFonts w:cs="Times New Roman"/>
              </w:rPr>
            </w:pPr>
            <w:r>
              <w:rPr>
                <w:rFonts w:cs="Times New Roman"/>
                <w:color w:val="000000"/>
              </w:rPr>
              <w:t>3,859,293.74</w:t>
            </w:r>
          </w:p>
        </w:tc>
        <w:tc>
          <w:tcPr>
            <w:tcW w:w="1653" w:type="pct"/>
            <w:vAlign w:val="center"/>
          </w:tcPr>
          <w:p w14:paraId="70092A67">
            <w:pPr>
              <w:jc w:val="right"/>
              <w:rPr>
                <w:rFonts w:cs="Times New Roman"/>
              </w:rPr>
            </w:pPr>
            <w:r>
              <w:rPr>
                <w:rFonts w:cs="Times New Roman"/>
                <w:color w:val="000000"/>
              </w:rPr>
              <w:t>3,856,248.12</w:t>
            </w:r>
          </w:p>
        </w:tc>
      </w:tr>
      <w:tr w14:paraId="244DF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0742C6BC">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647" w:type="pct"/>
            <w:vAlign w:val="center"/>
          </w:tcPr>
          <w:p w14:paraId="15797EF7">
            <w:pPr>
              <w:jc w:val="right"/>
              <w:rPr>
                <w:rFonts w:cs="Times New Roman"/>
              </w:rPr>
            </w:pPr>
            <w:r>
              <w:rPr>
                <w:rFonts w:cs="Times New Roman"/>
                <w:color w:val="000000"/>
              </w:rPr>
              <w:t>7,648,020,740.23</w:t>
            </w:r>
          </w:p>
        </w:tc>
        <w:tc>
          <w:tcPr>
            <w:tcW w:w="1653" w:type="pct"/>
            <w:vAlign w:val="center"/>
          </w:tcPr>
          <w:p w14:paraId="05C3F8BB">
            <w:pPr>
              <w:jc w:val="right"/>
              <w:rPr>
                <w:rFonts w:cs="Times New Roman"/>
              </w:rPr>
            </w:pPr>
            <w:r>
              <w:rPr>
                <w:rFonts w:cs="Times New Roman"/>
                <w:color w:val="000000"/>
              </w:rPr>
              <w:t>7,332,490,453.98</w:t>
            </w:r>
          </w:p>
        </w:tc>
      </w:tr>
    </w:tbl>
    <w:p w14:paraId="3DD9F0B4">
      <w:pPr>
        <w:rPr>
          <w:color w:val="000000" w:themeColor="text1"/>
          <w14:textFill>
            <w14:solidFill>
              <w14:schemeClr w14:val="tx1"/>
            </w14:solidFill>
          </w14:textFill>
        </w:rPr>
      </w:pPr>
    </w:p>
    <w:bookmarkEnd w:id="479"/>
    <w:p w14:paraId="5E393421">
      <w:pPr>
        <w:pStyle w:val="59"/>
        <w:numPr>
          <w:ilvl w:val="0"/>
          <w:numId w:val="120"/>
        </w:numPr>
      </w:pPr>
      <w:bookmarkStart w:id="480" w:name="_Hlk10547765"/>
      <w:r>
        <w:rPr>
          <w:rFonts w:hint="eastAsia"/>
        </w:rPr>
        <w:t>坏账准备计提情况</w:t>
      </w:r>
    </w:p>
    <w:sdt>
      <w:sdtPr>
        <w:rPr>
          <w:color w:val="000000" w:themeColor="text1"/>
          <w14:textFill>
            <w14:solidFill>
              <w14:schemeClr w14:val="tx1"/>
            </w14:solidFill>
          </w14:textFill>
        </w:rPr>
        <w:alias w:val="是否适用：母公司其他应收款坏账准备调节表[双击切换]"/>
        <w:tag w:val="_GBC_550996ad46c8493eb98c011d7acf7dfb"/>
        <w:id w:val="147470159"/>
        <w:placeholder>
          <w:docPart w:val="GBC22222222222222222222222222222"/>
        </w:placeholder>
      </w:sdtPr>
      <w:sdtEndPr>
        <w:rPr>
          <w:color w:val="000000" w:themeColor="text1"/>
          <w14:textFill>
            <w14:solidFill>
              <w14:schemeClr w14:val="tx1"/>
            </w14:solidFill>
          </w14:textFill>
        </w:rPr>
      </w:sdtEndPr>
      <w:sdtContent>
        <w:p w14:paraId="624FAF2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D0C21CA">
      <w:pPr>
        <w:autoSpaceDE w:val="0"/>
        <w:autoSpaceDN w:val="0"/>
        <w:adjustRightInd w:val="0"/>
        <w:ind w:right="105" w:rightChars="5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母公司其他应收款坏账准备调节表"/>
          <w:tag w:val="_GBC_10c7491cbac54cf6a1a375367db16baf"/>
          <w:id w:val="1474619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母公司其他应收款坏账准备调节表"/>
          <w:tag w:val="_GBC_01762fded69841c1b87d684f3bcfb97f"/>
          <w:id w:val="1474568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4"/>
        <w:gridCol w:w="1596"/>
        <w:gridCol w:w="1532"/>
        <w:gridCol w:w="1935"/>
        <w:gridCol w:w="1666"/>
      </w:tblGrid>
      <w:tr w14:paraId="23562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cs="Times New Roman"/>
            </w:rPr>
            <w:tag w:val="_PLD_a620ef8c0fe0407b955c4f58530e0b21"/>
            <w:id w:val="147474800"/>
          </w:sdtPr>
          <w:sdtEndPr>
            <w:rPr>
              <w:rFonts w:ascii="Times New Roman" w:hAnsi="Times New Roman" w:cs="Times New Roman"/>
            </w:rPr>
          </w:sdtEndPr>
          <w:sdtContent>
            <w:tc>
              <w:tcPr>
                <w:tcW w:w="1186" w:type="pct"/>
                <w:vMerge w:val="restart"/>
                <w:vAlign w:val="center"/>
              </w:tcPr>
              <w:p w14:paraId="6B8CD6CB">
                <w:pPr>
                  <w:pStyle w:val="69"/>
                  <w:spacing w:after="0" w:line="240" w:lineRule="auto"/>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坏账准备</w:t>
                </w:r>
              </w:p>
            </w:tc>
          </w:sdtContent>
        </w:sdt>
        <w:sdt>
          <w:sdtPr>
            <w:rPr>
              <w:rFonts w:ascii="Times New Roman" w:hAnsi="Times New Roman" w:cs="Times New Roman"/>
            </w:rPr>
            <w:tag w:val="_PLD_8699e9827a744831bf2fdadfa1ac52e1"/>
            <w:id w:val="147482471"/>
          </w:sdtPr>
          <w:sdtEndPr>
            <w:rPr>
              <w:rFonts w:ascii="Times New Roman" w:hAnsi="Times New Roman" w:cs="Times New Roman"/>
            </w:rPr>
          </w:sdtEndPr>
          <w:sdtContent>
            <w:tc>
              <w:tcPr>
                <w:tcW w:w="904" w:type="pct"/>
                <w:vAlign w:val="center"/>
              </w:tcPr>
              <w:p w14:paraId="0F54C74B">
                <w:pPr>
                  <w:pStyle w:val="69"/>
                  <w:spacing w:after="0" w:line="240" w:lineRule="auto"/>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第一阶段</w:t>
                </w:r>
              </w:p>
            </w:tc>
          </w:sdtContent>
        </w:sdt>
        <w:sdt>
          <w:sdtPr>
            <w:rPr>
              <w:rFonts w:ascii="Times New Roman" w:hAnsi="Times New Roman" w:cs="Times New Roman"/>
            </w:rPr>
            <w:tag w:val="_PLD_d2f5c6d4cf0d4a86b39dc41f67fe87db"/>
            <w:id w:val="147470095"/>
          </w:sdtPr>
          <w:sdtEndPr>
            <w:rPr>
              <w:rFonts w:ascii="Times New Roman" w:hAnsi="Times New Roman" w:cs="Times New Roman"/>
            </w:rPr>
          </w:sdtEndPr>
          <w:sdtContent>
            <w:tc>
              <w:tcPr>
                <w:tcW w:w="868" w:type="pct"/>
              </w:tcPr>
              <w:p w14:paraId="7012B73C">
                <w:pPr>
                  <w:pStyle w:val="69"/>
                  <w:spacing w:after="0" w:line="240" w:lineRule="auto"/>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第二阶段</w:t>
                </w:r>
              </w:p>
            </w:tc>
          </w:sdtContent>
        </w:sdt>
        <w:sdt>
          <w:sdtPr>
            <w:rPr>
              <w:rFonts w:ascii="Times New Roman" w:hAnsi="Times New Roman" w:cs="Times New Roman"/>
            </w:rPr>
            <w:tag w:val="_PLD_a09c7daba8c14a6498c7b83b77c97c72"/>
            <w:id w:val="147456835"/>
          </w:sdtPr>
          <w:sdtEndPr>
            <w:rPr>
              <w:rFonts w:ascii="Times New Roman" w:hAnsi="Times New Roman" w:cs="Times New Roman"/>
            </w:rPr>
          </w:sdtEndPr>
          <w:sdtContent>
            <w:tc>
              <w:tcPr>
                <w:tcW w:w="1096" w:type="pct"/>
              </w:tcPr>
              <w:p w14:paraId="6975BE7A">
                <w:pPr>
                  <w:pStyle w:val="69"/>
                  <w:spacing w:after="0" w:line="240" w:lineRule="auto"/>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第三阶段</w:t>
                </w:r>
              </w:p>
            </w:tc>
          </w:sdtContent>
        </w:sdt>
        <w:sdt>
          <w:sdtPr>
            <w:rPr>
              <w:rFonts w:ascii="Times New Roman" w:hAnsi="Times New Roman" w:cs="Times New Roman"/>
            </w:rPr>
            <w:tag w:val="_PLD_1ec064a14a75404dac24adc5e6ddd253"/>
            <w:id w:val="147457458"/>
          </w:sdtPr>
          <w:sdtEndPr>
            <w:rPr>
              <w:rFonts w:ascii="Times New Roman" w:hAnsi="Times New Roman" w:cs="Times New Roman"/>
            </w:rPr>
          </w:sdtEndPr>
          <w:sdtContent>
            <w:tc>
              <w:tcPr>
                <w:tcW w:w="943" w:type="pct"/>
                <w:vMerge w:val="restart"/>
                <w:vAlign w:val="center"/>
              </w:tcPr>
              <w:p w14:paraId="7B665643">
                <w:pPr>
                  <w:pStyle w:val="69"/>
                  <w:spacing w:line="240" w:lineRule="auto"/>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合计</w:t>
                </w:r>
              </w:p>
            </w:tc>
          </w:sdtContent>
        </w:sdt>
      </w:tr>
      <w:tr w14:paraId="3A39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pct"/>
            <w:vMerge w:val="continue"/>
            <w:vAlign w:val="center"/>
          </w:tcPr>
          <w:p w14:paraId="5023A3B6">
            <w:pPr>
              <w:jc w:val="center"/>
              <w:rPr>
                <w:rFonts w:cs="Times New Roman"/>
                <w:color w:val="000000" w:themeColor="text1"/>
                <w14:textFill>
                  <w14:solidFill>
                    <w14:schemeClr w14:val="tx1"/>
                  </w14:solidFill>
                </w14:textFill>
              </w:rPr>
            </w:pPr>
          </w:p>
        </w:tc>
        <w:sdt>
          <w:sdtPr>
            <w:rPr>
              <w:rFonts w:ascii="Times New Roman" w:hAnsi="Times New Roman" w:cs="Times New Roman"/>
            </w:rPr>
            <w:tag w:val="_PLD_506da2a2f1db4ead819aa958edd702e2"/>
            <w:id w:val="147472280"/>
          </w:sdtPr>
          <w:sdtEndPr>
            <w:rPr>
              <w:rFonts w:ascii="Times New Roman" w:hAnsi="Times New Roman" w:cs="Times New Roman"/>
            </w:rPr>
          </w:sdtEndPr>
          <w:sdtContent>
            <w:tc>
              <w:tcPr>
                <w:tcW w:w="904" w:type="pct"/>
                <w:vAlign w:val="center"/>
              </w:tcPr>
              <w:p w14:paraId="795756DB">
                <w:pPr>
                  <w:pStyle w:val="69"/>
                  <w:spacing w:line="240" w:lineRule="auto"/>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未来12个月预期信用损失</w:t>
                </w:r>
              </w:p>
            </w:tc>
          </w:sdtContent>
        </w:sdt>
        <w:sdt>
          <w:sdtPr>
            <w:rPr>
              <w:rFonts w:ascii="Times New Roman" w:hAnsi="Times New Roman" w:cs="Times New Roman"/>
            </w:rPr>
            <w:tag w:val="_PLD_23a6590eef0649d4af75d4845c12f263"/>
            <w:id w:val="147467096"/>
          </w:sdtPr>
          <w:sdtEndPr>
            <w:rPr>
              <w:rFonts w:ascii="Times New Roman" w:hAnsi="Times New Roman" w:cs="Times New Roman"/>
            </w:rPr>
          </w:sdtEndPr>
          <w:sdtContent>
            <w:tc>
              <w:tcPr>
                <w:tcW w:w="868" w:type="pct"/>
                <w:vAlign w:val="center"/>
              </w:tcPr>
              <w:p w14:paraId="39C4DF68">
                <w:pPr>
                  <w:pStyle w:val="69"/>
                  <w:spacing w:line="240" w:lineRule="auto"/>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整个存续期预期信用损失(未发生信用减值)</w:t>
                </w:r>
              </w:p>
            </w:tc>
          </w:sdtContent>
        </w:sdt>
        <w:sdt>
          <w:sdtPr>
            <w:rPr>
              <w:rFonts w:ascii="Times New Roman" w:hAnsi="Times New Roman" w:cs="Times New Roman"/>
            </w:rPr>
            <w:tag w:val="_PLD_44518f4265ac43078f96c79efe9dd487"/>
            <w:id w:val="147473549"/>
          </w:sdtPr>
          <w:sdtEndPr>
            <w:rPr>
              <w:rFonts w:ascii="Times New Roman" w:hAnsi="Times New Roman" w:cs="Times New Roman"/>
            </w:rPr>
          </w:sdtEndPr>
          <w:sdtContent>
            <w:tc>
              <w:tcPr>
                <w:tcW w:w="1096" w:type="pct"/>
                <w:vAlign w:val="center"/>
              </w:tcPr>
              <w:p w14:paraId="4C6C295A">
                <w:pPr>
                  <w:pStyle w:val="69"/>
                  <w:spacing w:line="240" w:lineRule="auto"/>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整个存续期预期信用损失(已发生信用减值)</w:t>
                </w:r>
              </w:p>
            </w:tc>
          </w:sdtContent>
        </w:sdt>
        <w:tc>
          <w:tcPr>
            <w:tcW w:w="943" w:type="pct"/>
            <w:vMerge w:val="continue"/>
          </w:tcPr>
          <w:p w14:paraId="7F0A7B6A">
            <w:pPr>
              <w:jc w:val="center"/>
              <w:rPr>
                <w:rFonts w:cs="Times New Roman"/>
                <w:color w:val="000000" w:themeColor="text1"/>
                <w14:textFill>
                  <w14:solidFill>
                    <w14:schemeClr w14:val="tx1"/>
                  </w14:solidFill>
                </w14:textFill>
              </w:rPr>
            </w:pPr>
          </w:p>
        </w:tc>
      </w:tr>
      <w:tr w14:paraId="39AE2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pct"/>
            <w:vAlign w:val="center"/>
          </w:tcPr>
          <w:p w14:paraId="2C7E762E">
            <w:pPr>
              <w:pStyle w:val="69"/>
              <w:spacing w:after="0" w:line="240" w:lineRule="auto"/>
              <w:jc w:val="both"/>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2025年1月1日余额</w:t>
            </w:r>
          </w:p>
        </w:tc>
        <w:tc>
          <w:tcPr>
            <w:tcW w:w="904" w:type="pct"/>
            <w:vAlign w:val="center"/>
          </w:tcPr>
          <w:p w14:paraId="1D4F3589">
            <w:pPr>
              <w:jc w:val="right"/>
              <w:textAlignment w:val="center"/>
              <w:rPr>
                <w:rFonts w:cs="Times New Roman"/>
              </w:rPr>
            </w:pPr>
            <w:r>
              <w:rPr>
                <w:rFonts w:cs="Times New Roman"/>
                <w:color w:val="000000"/>
              </w:rPr>
              <w:t>17,009,348.34</w:t>
            </w:r>
          </w:p>
        </w:tc>
        <w:tc>
          <w:tcPr>
            <w:tcW w:w="868" w:type="pct"/>
            <w:vAlign w:val="center"/>
          </w:tcPr>
          <w:p w14:paraId="1A477300">
            <w:pPr>
              <w:jc w:val="right"/>
              <w:rPr>
                <w:rFonts w:cs="Times New Roman"/>
              </w:rPr>
            </w:pPr>
          </w:p>
        </w:tc>
        <w:tc>
          <w:tcPr>
            <w:tcW w:w="1096" w:type="pct"/>
            <w:vAlign w:val="center"/>
          </w:tcPr>
          <w:p w14:paraId="59B62697">
            <w:pPr>
              <w:jc w:val="right"/>
              <w:textAlignment w:val="center"/>
              <w:rPr>
                <w:rFonts w:cs="Times New Roman"/>
              </w:rPr>
            </w:pPr>
            <w:r>
              <w:rPr>
                <w:rFonts w:cs="Times New Roman"/>
                <w:color w:val="000000"/>
              </w:rPr>
              <w:t>951,564,471.90</w:t>
            </w:r>
          </w:p>
        </w:tc>
        <w:tc>
          <w:tcPr>
            <w:tcW w:w="943" w:type="pct"/>
            <w:vAlign w:val="center"/>
          </w:tcPr>
          <w:p w14:paraId="5F78ED94">
            <w:pPr>
              <w:jc w:val="right"/>
              <w:textAlignment w:val="center"/>
              <w:rPr>
                <w:rFonts w:cs="Times New Roman"/>
              </w:rPr>
            </w:pPr>
            <w:r>
              <w:rPr>
                <w:rFonts w:cs="Times New Roman"/>
                <w:color w:val="000000"/>
              </w:rPr>
              <w:t>968,573,820.24</w:t>
            </w:r>
          </w:p>
        </w:tc>
      </w:tr>
      <w:tr w14:paraId="3282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pct"/>
            <w:vAlign w:val="center"/>
          </w:tcPr>
          <w:p w14:paraId="4C1CC932">
            <w:pPr>
              <w:pStyle w:val="69"/>
              <w:spacing w:after="0" w:line="240" w:lineRule="auto"/>
              <w:jc w:val="both"/>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2025年1月1日余额在本期</w:t>
            </w:r>
          </w:p>
        </w:tc>
        <w:tc>
          <w:tcPr>
            <w:tcW w:w="904" w:type="pct"/>
            <w:vAlign w:val="center"/>
          </w:tcPr>
          <w:p w14:paraId="4F59C104">
            <w:pPr>
              <w:jc w:val="right"/>
              <w:rPr>
                <w:rFonts w:cs="Times New Roman"/>
              </w:rPr>
            </w:pPr>
          </w:p>
        </w:tc>
        <w:tc>
          <w:tcPr>
            <w:tcW w:w="868" w:type="pct"/>
            <w:vAlign w:val="center"/>
          </w:tcPr>
          <w:p w14:paraId="6ECED6B0">
            <w:pPr>
              <w:jc w:val="right"/>
              <w:rPr>
                <w:rFonts w:cs="Times New Roman"/>
              </w:rPr>
            </w:pPr>
          </w:p>
        </w:tc>
        <w:tc>
          <w:tcPr>
            <w:tcW w:w="1096" w:type="pct"/>
            <w:vAlign w:val="center"/>
          </w:tcPr>
          <w:p w14:paraId="3D8B7E20">
            <w:pPr>
              <w:jc w:val="right"/>
              <w:rPr>
                <w:rFonts w:cs="Times New Roman"/>
              </w:rPr>
            </w:pPr>
          </w:p>
        </w:tc>
        <w:tc>
          <w:tcPr>
            <w:tcW w:w="943" w:type="pct"/>
            <w:vAlign w:val="center"/>
          </w:tcPr>
          <w:p w14:paraId="078F398E">
            <w:pPr>
              <w:jc w:val="right"/>
              <w:rPr>
                <w:rFonts w:cs="Times New Roman"/>
              </w:rPr>
            </w:pPr>
          </w:p>
        </w:tc>
      </w:tr>
      <w:tr w14:paraId="1D95A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pct"/>
            <w:vAlign w:val="center"/>
          </w:tcPr>
          <w:p w14:paraId="338F92D0">
            <w:pPr>
              <w:pStyle w:val="69"/>
              <w:spacing w:after="0" w:line="240" w:lineRule="auto"/>
              <w:jc w:val="both"/>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本期计提</w:t>
            </w:r>
          </w:p>
        </w:tc>
        <w:tc>
          <w:tcPr>
            <w:tcW w:w="904" w:type="pct"/>
            <w:vAlign w:val="center"/>
          </w:tcPr>
          <w:p w14:paraId="565B5009">
            <w:pPr>
              <w:jc w:val="right"/>
              <w:textAlignment w:val="center"/>
              <w:rPr>
                <w:rFonts w:cs="Times New Roman"/>
              </w:rPr>
            </w:pPr>
            <w:r>
              <w:rPr>
                <w:rFonts w:cs="Times New Roman"/>
                <w:color w:val="000000"/>
              </w:rPr>
              <w:t>-4,641.44</w:t>
            </w:r>
          </w:p>
        </w:tc>
        <w:tc>
          <w:tcPr>
            <w:tcW w:w="868" w:type="pct"/>
            <w:vAlign w:val="center"/>
          </w:tcPr>
          <w:p w14:paraId="65DD80A6">
            <w:pPr>
              <w:jc w:val="right"/>
              <w:rPr>
                <w:rFonts w:cs="Times New Roman"/>
              </w:rPr>
            </w:pPr>
          </w:p>
        </w:tc>
        <w:tc>
          <w:tcPr>
            <w:tcW w:w="1096" w:type="pct"/>
            <w:vAlign w:val="center"/>
          </w:tcPr>
          <w:p w14:paraId="336C3FA2">
            <w:pPr>
              <w:jc w:val="right"/>
              <w:textAlignment w:val="center"/>
              <w:rPr>
                <w:rFonts w:cs="Times New Roman"/>
              </w:rPr>
            </w:pPr>
            <w:r>
              <w:rPr>
                <w:rFonts w:cs="Times New Roman"/>
                <w:color w:val="000000"/>
              </w:rPr>
              <w:t>24,747,743.83</w:t>
            </w:r>
          </w:p>
        </w:tc>
        <w:tc>
          <w:tcPr>
            <w:tcW w:w="943" w:type="pct"/>
            <w:vAlign w:val="center"/>
          </w:tcPr>
          <w:p w14:paraId="3E574762">
            <w:pPr>
              <w:jc w:val="right"/>
              <w:textAlignment w:val="center"/>
              <w:rPr>
                <w:rFonts w:cs="Times New Roman"/>
              </w:rPr>
            </w:pPr>
            <w:r>
              <w:rPr>
                <w:rFonts w:cs="Times New Roman"/>
                <w:color w:val="000000"/>
              </w:rPr>
              <w:t>24,743,102.39</w:t>
            </w:r>
          </w:p>
        </w:tc>
      </w:tr>
      <w:tr w14:paraId="2E58A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pct"/>
            <w:vAlign w:val="center"/>
          </w:tcPr>
          <w:p w14:paraId="13A95429">
            <w:pPr>
              <w:pStyle w:val="69"/>
              <w:spacing w:after="0" w:line="240" w:lineRule="auto"/>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本期转回</w:t>
            </w:r>
          </w:p>
        </w:tc>
        <w:tc>
          <w:tcPr>
            <w:tcW w:w="904" w:type="pct"/>
            <w:vAlign w:val="center"/>
          </w:tcPr>
          <w:p w14:paraId="663F1084">
            <w:pPr>
              <w:jc w:val="right"/>
              <w:rPr>
                <w:rFonts w:cs="Times New Roman"/>
              </w:rPr>
            </w:pPr>
          </w:p>
        </w:tc>
        <w:tc>
          <w:tcPr>
            <w:tcW w:w="868" w:type="pct"/>
            <w:vAlign w:val="center"/>
          </w:tcPr>
          <w:p w14:paraId="29A848B2">
            <w:pPr>
              <w:jc w:val="right"/>
              <w:rPr>
                <w:rFonts w:cs="Times New Roman"/>
              </w:rPr>
            </w:pPr>
          </w:p>
        </w:tc>
        <w:tc>
          <w:tcPr>
            <w:tcW w:w="1096" w:type="pct"/>
            <w:vAlign w:val="center"/>
          </w:tcPr>
          <w:p w14:paraId="43CE9F5A">
            <w:pPr>
              <w:jc w:val="right"/>
              <w:rPr>
                <w:rFonts w:cs="Times New Roman"/>
              </w:rPr>
            </w:pPr>
          </w:p>
        </w:tc>
        <w:tc>
          <w:tcPr>
            <w:tcW w:w="943" w:type="pct"/>
            <w:vAlign w:val="center"/>
          </w:tcPr>
          <w:p w14:paraId="7F438BFF">
            <w:pPr>
              <w:jc w:val="right"/>
              <w:rPr>
                <w:rFonts w:cs="Times New Roman"/>
              </w:rPr>
            </w:pPr>
          </w:p>
        </w:tc>
      </w:tr>
      <w:tr w14:paraId="67AD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pct"/>
            <w:vAlign w:val="center"/>
          </w:tcPr>
          <w:p w14:paraId="568F14E6">
            <w:pPr>
              <w:pStyle w:val="69"/>
              <w:spacing w:after="0" w:line="240" w:lineRule="auto"/>
              <w:jc w:val="both"/>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本期转销</w:t>
            </w:r>
          </w:p>
        </w:tc>
        <w:tc>
          <w:tcPr>
            <w:tcW w:w="904" w:type="pct"/>
            <w:vAlign w:val="center"/>
          </w:tcPr>
          <w:p w14:paraId="196BE19A">
            <w:pPr>
              <w:jc w:val="right"/>
              <w:rPr>
                <w:rFonts w:cs="Times New Roman"/>
              </w:rPr>
            </w:pPr>
          </w:p>
        </w:tc>
        <w:tc>
          <w:tcPr>
            <w:tcW w:w="868" w:type="pct"/>
            <w:vAlign w:val="center"/>
          </w:tcPr>
          <w:p w14:paraId="1FF5C59D">
            <w:pPr>
              <w:jc w:val="right"/>
              <w:rPr>
                <w:rFonts w:cs="Times New Roman"/>
              </w:rPr>
            </w:pPr>
          </w:p>
        </w:tc>
        <w:tc>
          <w:tcPr>
            <w:tcW w:w="1096" w:type="pct"/>
            <w:vAlign w:val="center"/>
          </w:tcPr>
          <w:p w14:paraId="3D4F02D9">
            <w:pPr>
              <w:jc w:val="right"/>
              <w:rPr>
                <w:rFonts w:cs="Times New Roman"/>
              </w:rPr>
            </w:pPr>
          </w:p>
        </w:tc>
        <w:tc>
          <w:tcPr>
            <w:tcW w:w="943" w:type="pct"/>
            <w:vAlign w:val="center"/>
          </w:tcPr>
          <w:p w14:paraId="20FE1DCA">
            <w:pPr>
              <w:jc w:val="right"/>
              <w:rPr>
                <w:rFonts w:cs="Times New Roman"/>
              </w:rPr>
            </w:pPr>
          </w:p>
        </w:tc>
      </w:tr>
      <w:tr w14:paraId="6231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pct"/>
            <w:vAlign w:val="center"/>
          </w:tcPr>
          <w:p w14:paraId="44CF4D36">
            <w:pPr>
              <w:pStyle w:val="69"/>
              <w:spacing w:after="0" w:line="240" w:lineRule="auto"/>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本期核销</w:t>
            </w:r>
          </w:p>
        </w:tc>
        <w:tc>
          <w:tcPr>
            <w:tcW w:w="904" w:type="pct"/>
            <w:vAlign w:val="center"/>
          </w:tcPr>
          <w:p w14:paraId="3E7526BC">
            <w:pPr>
              <w:jc w:val="right"/>
              <w:rPr>
                <w:rFonts w:cs="Times New Roman"/>
              </w:rPr>
            </w:pPr>
          </w:p>
        </w:tc>
        <w:tc>
          <w:tcPr>
            <w:tcW w:w="868" w:type="pct"/>
            <w:vAlign w:val="center"/>
          </w:tcPr>
          <w:p w14:paraId="68AA86B3">
            <w:pPr>
              <w:jc w:val="right"/>
              <w:rPr>
                <w:rFonts w:cs="Times New Roman"/>
              </w:rPr>
            </w:pPr>
          </w:p>
        </w:tc>
        <w:tc>
          <w:tcPr>
            <w:tcW w:w="1096" w:type="pct"/>
            <w:vAlign w:val="center"/>
          </w:tcPr>
          <w:p w14:paraId="659C2B2D">
            <w:pPr>
              <w:jc w:val="right"/>
              <w:rPr>
                <w:rFonts w:cs="Times New Roman"/>
              </w:rPr>
            </w:pPr>
          </w:p>
        </w:tc>
        <w:tc>
          <w:tcPr>
            <w:tcW w:w="943" w:type="pct"/>
            <w:vAlign w:val="center"/>
          </w:tcPr>
          <w:p w14:paraId="1480E165">
            <w:pPr>
              <w:jc w:val="right"/>
              <w:rPr>
                <w:rFonts w:cs="Times New Roman"/>
              </w:rPr>
            </w:pPr>
          </w:p>
        </w:tc>
      </w:tr>
      <w:tr w14:paraId="6F53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pct"/>
            <w:vAlign w:val="center"/>
          </w:tcPr>
          <w:p w14:paraId="54C2BA79">
            <w:pPr>
              <w:pStyle w:val="69"/>
              <w:spacing w:after="0" w:line="240" w:lineRule="auto"/>
              <w:jc w:val="both"/>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其他变动</w:t>
            </w:r>
          </w:p>
        </w:tc>
        <w:tc>
          <w:tcPr>
            <w:tcW w:w="904" w:type="pct"/>
            <w:vAlign w:val="center"/>
          </w:tcPr>
          <w:p w14:paraId="354C2FDC">
            <w:pPr>
              <w:jc w:val="right"/>
              <w:rPr>
                <w:rFonts w:cs="Times New Roman"/>
              </w:rPr>
            </w:pPr>
          </w:p>
        </w:tc>
        <w:tc>
          <w:tcPr>
            <w:tcW w:w="868" w:type="pct"/>
            <w:vAlign w:val="center"/>
          </w:tcPr>
          <w:p w14:paraId="6C80AF75">
            <w:pPr>
              <w:jc w:val="right"/>
              <w:rPr>
                <w:rFonts w:cs="Times New Roman"/>
              </w:rPr>
            </w:pPr>
          </w:p>
        </w:tc>
        <w:tc>
          <w:tcPr>
            <w:tcW w:w="1096" w:type="pct"/>
            <w:vAlign w:val="center"/>
          </w:tcPr>
          <w:p w14:paraId="420FAD07">
            <w:pPr>
              <w:jc w:val="right"/>
              <w:rPr>
                <w:rFonts w:cs="Times New Roman"/>
              </w:rPr>
            </w:pPr>
          </w:p>
        </w:tc>
        <w:tc>
          <w:tcPr>
            <w:tcW w:w="943" w:type="pct"/>
            <w:vAlign w:val="center"/>
          </w:tcPr>
          <w:p w14:paraId="26A44612">
            <w:pPr>
              <w:jc w:val="right"/>
              <w:rPr>
                <w:rFonts w:cs="Times New Roman"/>
              </w:rPr>
            </w:pPr>
          </w:p>
        </w:tc>
      </w:tr>
      <w:tr w14:paraId="0082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pct"/>
            <w:vAlign w:val="center"/>
          </w:tcPr>
          <w:p w14:paraId="42F75E5C">
            <w:pPr>
              <w:pStyle w:val="69"/>
              <w:spacing w:after="0" w:line="240" w:lineRule="auto"/>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2025年6月30日余额</w:t>
            </w:r>
          </w:p>
        </w:tc>
        <w:tc>
          <w:tcPr>
            <w:tcW w:w="904" w:type="pct"/>
            <w:vAlign w:val="center"/>
          </w:tcPr>
          <w:p w14:paraId="3E404A29">
            <w:pPr>
              <w:jc w:val="right"/>
              <w:textAlignment w:val="center"/>
              <w:rPr>
                <w:rFonts w:cs="Times New Roman"/>
              </w:rPr>
            </w:pPr>
            <w:r>
              <w:rPr>
                <w:rFonts w:cs="Times New Roman"/>
                <w:color w:val="000000"/>
              </w:rPr>
              <w:t>17,004,706.90</w:t>
            </w:r>
          </w:p>
        </w:tc>
        <w:tc>
          <w:tcPr>
            <w:tcW w:w="868" w:type="pct"/>
            <w:vAlign w:val="center"/>
          </w:tcPr>
          <w:p w14:paraId="09BA9E24">
            <w:pPr>
              <w:jc w:val="right"/>
              <w:rPr>
                <w:rFonts w:cs="Times New Roman"/>
              </w:rPr>
            </w:pPr>
          </w:p>
        </w:tc>
        <w:tc>
          <w:tcPr>
            <w:tcW w:w="1096" w:type="pct"/>
            <w:vAlign w:val="center"/>
          </w:tcPr>
          <w:p w14:paraId="3A5DE1E7">
            <w:pPr>
              <w:jc w:val="right"/>
              <w:textAlignment w:val="center"/>
              <w:rPr>
                <w:rFonts w:cs="Times New Roman"/>
              </w:rPr>
            </w:pPr>
            <w:r>
              <w:rPr>
                <w:rFonts w:cs="Times New Roman"/>
                <w:color w:val="000000"/>
              </w:rPr>
              <w:t>976,312,215.73</w:t>
            </w:r>
          </w:p>
        </w:tc>
        <w:tc>
          <w:tcPr>
            <w:tcW w:w="943" w:type="pct"/>
            <w:vAlign w:val="center"/>
          </w:tcPr>
          <w:p w14:paraId="1C485C15">
            <w:pPr>
              <w:jc w:val="right"/>
              <w:textAlignment w:val="center"/>
              <w:rPr>
                <w:rFonts w:cs="Times New Roman"/>
              </w:rPr>
            </w:pPr>
            <w:r>
              <w:rPr>
                <w:rFonts w:cs="Times New Roman"/>
                <w:color w:val="000000"/>
              </w:rPr>
              <w:t>993,316,922.63</w:t>
            </w:r>
          </w:p>
        </w:tc>
      </w:tr>
    </w:tbl>
    <w:p w14:paraId="67600D7B">
      <w:pPr>
        <w:rPr>
          <w:color w:val="000000" w:themeColor="text1"/>
          <w14:textFill>
            <w14:solidFill>
              <w14:schemeClr w14:val="tx1"/>
            </w14:solidFill>
          </w14:textFill>
        </w:rPr>
      </w:pPr>
    </w:p>
    <w:p w14:paraId="5EF9E35B">
      <w:pPr>
        <w:autoSpaceDE w:val="0"/>
        <w:autoSpaceDN w:val="0"/>
        <w:adjustRightInd w:val="0"/>
        <w:ind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各阶段划分依据和坏账准备计提比例</w:t>
      </w:r>
    </w:p>
    <w:sdt>
      <w:sdtPr>
        <w:rPr>
          <w:rFonts w:cs="Times New Roman"/>
          <w:bCs w:val="0"/>
          <w:color w:val="000000" w:themeColor="text1"/>
          <w:szCs w:val="22"/>
          <w14:textFill>
            <w14:solidFill>
              <w14:schemeClr w14:val="tx1"/>
            </w14:solidFill>
          </w14:textFill>
        </w:rPr>
        <w:alias w:val="其他应收款各阶段划分依据和坏账准备计提比例"/>
        <w:tag w:val="_GBC_d1deab3352d44521aa56c337c4c1cf70"/>
        <w:id w:val="147466529"/>
        <w:placeholder>
          <w:docPart w:val="GBC22222222222222222222222222222"/>
        </w:placeholder>
      </w:sdtPr>
      <w:sdtEndPr>
        <w:rPr>
          <w:rFonts w:cs="Times New Roman"/>
          <w:bCs w:val="0"/>
          <w:color w:val="000000" w:themeColor="text1"/>
          <w:szCs w:val="22"/>
          <w14:textFill>
            <w14:solidFill>
              <w14:schemeClr w14:val="tx1"/>
            </w14:solidFill>
          </w14:textFill>
        </w:rPr>
      </w:sdtEndPr>
      <w:sdtContent>
        <w:p w14:paraId="3E897756">
          <w:pPr>
            <w:rPr>
              <w:rFonts w:cs="Times New Roman"/>
              <w:bCs w:val="0"/>
              <w:color w:val="000000" w:themeColor="text1"/>
              <w:szCs w:val="22"/>
              <w14:textFill>
                <w14:solidFill>
                  <w14:schemeClr w14:val="tx1"/>
                </w14:solidFill>
              </w14:textFill>
            </w:rPr>
          </w:pPr>
          <w:r>
            <w:rPr>
              <w:rFonts w:hint="eastAsia" w:cs="Times New Roman"/>
              <w:bCs w:val="0"/>
              <w:color w:val="000000" w:themeColor="text1"/>
              <w:szCs w:val="22"/>
              <w14:textFill>
                <w14:solidFill>
                  <w14:schemeClr w14:val="tx1"/>
                </w14:solidFill>
              </w14:textFill>
            </w:rPr>
            <w:t>无</w:t>
          </w:r>
        </w:p>
      </w:sdtContent>
    </w:sdt>
    <w:p w14:paraId="2793136B">
      <w:pPr>
        <w:rPr>
          <w:rFonts w:cs="Times New Roman"/>
          <w:bCs w:val="0"/>
          <w:color w:val="000000" w:themeColor="text1"/>
          <w:szCs w:val="22"/>
          <w14:textFill>
            <w14:solidFill>
              <w14:schemeClr w14:val="tx1"/>
            </w14:solidFill>
          </w14:textFill>
        </w:rPr>
      </w:pPr>
    </w:p>
    <w:p w14:paraId="607E0003">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对本期发生损失准备变动的其他应收款账面余额显著变动的情况说明：</w:t>
      </w:r>
    </w:p>
    <w:sdt>
      <w:sdtPr>
        <w:rPr>
          <w:color w:val="000000" w:themeColor="text1"/>
          <w14:textFill>
            <w14:solidFill>
              <w14:schemeClr w14:val="tx1"/>
            </w14:solidFill>
          </w14:textFill>
        </w:rPr>
        <w:alias w:val="是否适用：母公司其他应收款本期发生损失准备变动且账面余额显著变动的情况说明[双击切换]"/>
        <w:tag w:val="_GBC_51a7e143899e4bf4887327bb018327b9"/>
        <w:id w:val="147479066"/>
        <w:placeholder>
          <w:docPart w:val="GBC22222222222222222222222222222"/>
        </w:placeholder>
      </w:sdtPr>
      <w:sdtEndPr>
        <w:rPr>
          <w:color w:val="000000" w:themeColor="text1"/>
          <w14:textFill>
            <w14:solidFill>
              <w14:schemeClr w14:val="tx1"/>
            </w14:solidFill>
          </w14:textFill>
        </w:rPr>
      </w:sdtEndPr>
      <w:sdtContent>
        <w:p w14:paraId="6EDF60A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192734C">
      <w:pPr>
        <w:rPr>
          <w:color w:val="000000" w:themeColor="text1"/>
          <w14:textFill>
            <w14:solidFill>
              <w14:schemeClr w14:val="tx1"/>
            </w14:solidFill>
          </w14:textFill>
        </w:rPr>
      </w:pPr>
    </w:p>
    <w:p w14:paraId="4D4A75BD">
      <w:pPr>
        <w:rPr>
          <w:color w:val="000000" w:themeColor="text1"/>
          <w14:textFill>
            <w14:solidFill>
              <w14:schemeClr w14:val="tx1"/>
            </w14:solidFill>
          </w14:textFill>
        </w:rPr>
      </w:pPr>
      <w:r>
        <w:rPr>
          <w:rFonts w:hint="eastAsia"/>
          <w:color w:val="000000" w:themeColor="text1"/>
          <w14:textFill>
            <w14:solidFill>
              <w14:schemeClr w14:val="tx1"/>
            </w14:solidFill>
          </w14:textFill>
        </w:rPr>
        <w:t>本期坏账准备计提金额以及评估金融工具的信用风险是否显著增加的采用依据：</w:t>
      </w:r>
    </w:p>
    <w:sdt>
      <w:sdtPr>
        <w:rPr>
          <w:color w:val="000000" w:themeColor="text1"/>
          <w14:textFill>
            <w14:solidFill>
              <w14:schemeClr w14:val="tx1"/>
            </w14:solidFill>
          </w14:textFill>
        </w:rPr>
        <w:alias w:val="是否适用：母公司其他应收款坏账准备计提金额以及评估金融工具的信用风险是否显著增加的采用依据[双击切换]"/>
        <w:tag w:val="_GBC_d5682930254743bebaaf3c46f4513c04"/>
        <w:id w:val="147463455"/>
        <w:placeholder>
          <w:docPart w:val="GBC22222222222222222222222222222"/>
        </w:placeholder>
      </w:sdtPr>
      <w:sdtEndPr>
        <w:rPr>
          <w:color w:val="000000" w:themeColor="text1"/>
          <w14:textFill>
            <w14:solidFill>
              <w14:schemeClr w14:val="tx1"/>
            </w14:solidFill>
          </w14:textFill>
        </w:rPr>
      </w:sdtEndPr>
      <w:sdtContent>
        <w:p w14:paraId="3D9A3E2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12605B8">
      <w:pPr>
        <w:rPr>
          <w:color w:val="000000" w:themeColor="text1"/>
          <w14:textFill>
            <w14:solidFill>
              <w14:schemeClr w14:val="tx1"/>
            </w14:solidFill>
          </w14:textFill>
        </w:rPr>
      </w:pPr>
    </w:p>
    <w:bookmarkEnd w:id="480"/>
    <w:p w14:paraId="7F662A2D">
      <w:pPr>
        <w:pStyle w:val="59"/>
        <w:numPr>
          <w:ilvl w:val="0"/>
          <w:numId w:val="120"/>
        </w:numPr>
      </w:pPr>
      <w:bookmarkStart w:id="481" w:name="_Hlk10548122"/>
      <w:r>
        <w:rPr>
          <w:rFonts w:hint="eastAsia"/>
        </w:rPr>
        <w:t>坏账准备的情况</w:t>
      </w:r>
    </w:p>
    <w:sdt>
      <w:sdtPr>
        <w:rPr>
          <w:color w:val="000000" w:themeColor="text1"/>
          <w14:textFill>
            <w14:solidFill>
              <w14:schemeClr w14:val="tx1"/>
            </w14:solidFill>
          </w14:textFill>
        </w:rPr>
        <w:alias w:val="是否适用：其他应收款坏账准备[双击切换]"/>
        <w:tag w:val="_GBC_746f45a984d44f56a795e5587d8e7cf2"/>
        <w:id w:val="147471377"/>
        <w:placeholder>
          <w:docPart w:val="GBC22222222222222222222222222222"/>
        </w:placeholder>
      </w:sdtPr>
      <w:sdtEndPr>
        <w:rPr>
          <w:color w:val="000000" w:themeColor="text1"/>
          <w14:textFill>
            <w14:solidFill>
              <w14:schemeClr w14:val="tx1"/>
            </w14:solidFill>
          </w14:textFill>
        </w:rPr>
      </w:sdtEndPr>
      <w:sdtContent>
        <w:p w14:paraId="76B5A72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4AF3996">
      <w:pPr>
        <w:pStyle w:val="63"/>
        <w:snapToGrid w:val="0"/>
        <w:spacing w:line="240" w:lineRule="atLeast"/>
        <w:ind w:left="425"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其他应收款坏账准备"/>
          <w:tag w:val="_GBC_61bb3d08ce2d41d5ad87b4c691e409ad"/>
          <w:id w:val="1474667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其他应收款坏账准备"/>
          <w:tag w:val="_GBC_d9e85c814c564e7782149971f7c23ba2"/>
          <w:id w:val="1474706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202"/>
        <w:gridCol w:w="1539"/>
        <w:gridCol w:w="1434"/>
        <w:gridCol w:w="987"/>
        <w:gridCol w:w="1062"/>
        <w:gridCol w:w="1060"/>
        <w:gridCol w:w="1539"/>
      </w:tblGrid>
      <w:tr w14:paraId="2F1A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cs="Times New Roman"/>
            </w:rPr>
            <w:tag w:val="_PLD_eb515a63c0e744098c94b279d63caf4e"/>
            <w:id w:val="147462213"/>
          </w:sdtPr>
          <w:sdtEndPr>
            <w:rPr>
              <w:rFonts w:cs="Times New Roman"/>
            </w:rPr>
          </w:sdtEndPr>
          <w:sdtContent>
            <w:tc>
              <w:tcPr>
                <w:tcW w:w="729" w:type="pct"/>
                <w:vMerge w:val="restart"/>
                <w:shd w:val="clear" w:color="auto" w:fill="auto"/>
                <w:vAlign w:val="center"/>
              </w:tcPr>
              <w:p w14:paraId="4D9B1268">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类别</w:t>
                </w:r>
              </w:p>
            </w:tc>
          </w:sdtContent>
        </w:sdt>
        <w:sdt>
          <w:sdtPr>
            <w:rPr>
              <w:rFonts w:cs="Times New Roman"/>
            </w:rPr>
            <w:tag w:val="_PLD_a39850dac4d142e8b7a712dce9edad36"/>
            <w:id w:val="147475993"/>
          </w:sdtPr>
          <w:sdtEndPr>
            <w:rPr>
              <w:rFonts w:cs="Times New Roman"/>
            </w:rPr>
          </w:sdtEndPr>
          <w:sdtContent>
            <w:tc>
              <w:tcPr>
                <w:tcW w:w="807" w:type="pct"/>
                <w:vMerge w:val="restart"/>
                <w:shd w:val="clear" w:color="auto" w:fill="auto"/>
                <w:vAlign w:val="center"/>
              </w:tcPr>
              <w:p w14:paraId="3B82158D">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sdt>
          <w:sdtPr>
            <w:rPr>
              <w:rFonts w:cs="Times New Roman"/>
            </w:rPr>
            <w:tag w:val="_PLD_96686c7add8a4f2a8fa109c753f44a0b"/>
            <w:id w:val="147456769"/>
          </w:sdtPr>
          <w:sdtEndPr>
            <w:rPr>
              <w:rFonts w:cs="Times New Roman"/>
            </w:rPr>
          </w:sdtEndPr>
          <w:sdtContent>
            <w:tc>
              <w:tcPr>
                <w:tcW w:w="2657" w:type="pct"/>
                <w:gridSpan w:val="4"/>
                <w:shd w:val="clear" w:color="auto" w:fill="auto"/>
                <w:vAlign w:val="center"/>
              </w:tcPr>
              <w:p w14:paraId="7B203BC7">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本期变动金额</w:t>
                </w:r>
              </w:p>
            </w:tc>
          </w:sdtContent>
        </w:sdt>
        <w:sdt>
          <w:sdtPr>
            <w:rPr>
              <w:rFonts w:cs="Times New Roman"/>
            </w:rPr>
            <w:tag w:val="_PLD_2aef0abd937f4f5283fac84c8a1afc2d"/>
            <w:id w:val="147468909"/>
          </w:sdtPr>
          <w:sdtEndPr>
            <w:rPr>
              <w:rFonts w:cs="Times New Roman"/>
            </w:rPr>
          </w:sdtEndPr>
          <w:sdtContent>
            <w:tc>
              <w:tcPr>
                <w:tcW w:w="807" w:type="pct"/>
                <w:vMerge w:val="restart"/>
                <w:shd w:val="clear" w:color="auto" w:fill="auto"/>
                <w:vAlign w:val="center"/>
              </w:tcPr>
              <w:p w14:paraId="76994980">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tr>
      <w:tr w14:paraId="69D4B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29" w:type="pct"/>
            <w:vMerge w:val="continue"/>
            <w:shd w:val="clear" w:color="auto" w:fill="FFFFFF"/>
          </w:tcPr>
          <w:p w14:paraId="50C845DB">
            <w:pPr>
              <w:widowControl w:val="0"/>
              <w:jc w:val="center"/>
              <w:rPr>
                <w:rFonts w:cs="Times New Roman"/>
                <w:color w:val="000000" w:themeColor="text1"/>
                <w14:textFill>
                  <w14:solidFill>
                    <w14:schemeClr w14:val="tx1"/>
                  </w14:solidFill>
                </w14:textFill>
              </w:rPr>
            </w:pPr>
          </w:p>
        </w:tc>
        <w:tc>
          <w:tcPr>
            <w:tcW w:w="807" w:type="pct"/>
            <w:vMerge w:val="continue"/>
            <w:shd w:val="clear" w:color="auto" w:fill="FFFFFF"/>
          </w:tcPr>
          <w:p w14:paraId="26F68D04">
            <w:pPr>
              <w:widowControl w:val="0"/>
              <w:jc w:val="center"/>
              <w:rPr>
                <w:rFonts w:cs="Times New Roman"/>
                <w:color w:val="000000" w:themeColor="text1"/>
                <w14:textFill>
                  <w14:solidFill>
                    <w14:schemeClr w14:val="tx1"/>
                  </w14:solidFill>
                </w14:textFill>
              </w:rPr>
            </w:pPr>
          </w:p>
        </w:tc>
        <w:sdt>
          <w:sdtPr>
            <w:rPr>
              <w:rFonts w:cs="Times New Roman"/>
            </w:rPr>
            <w:tag w:val="_PLD_0d882cd108804ecc85c8ea70ca9a0022"/>
            <w:id w:val="147473035"/>
          </w:sdtPr>
          <w:sdtEndPr>
            <w:rPr>
              <w:rFonts w:cs="Times New Roman"/>
            </w:rPr>
          </w:sdtEndPr>
          <w:sdtContent>
            <w:tc>
              <w:tcPr>
                <w:tcW w:w="753" w:type="pct"/>
                <w:shd w:val="clear" w:color="auto" w:fill="auto"/>
                <w:vAlign w:val="center"/>
              </w:tcPr>
              <w:p w14:paraId="724572FF">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计提</w:t>
                </w:r>
              </w:p>
            </w:tc>
          </w:sdtContent>
        </w:sdt>
        <w:sdt>
          <w:sdtPr>
            <w:rPr>
              <w:rFonts w:cs="Times New Roman"/>
            </w:rPr>
            <w:tag w:val="_PLD_e2116bf770074307b5326d2e261c8b91"/>
            <w:id w:val="147461185"/>
          </w:sdtPr>
          <w:sdtEndPr>
            <w:rPr>
              <w:rFonts w:cs="Times New Roman"/>
            </w:rPr>
          </w:sdtEndPr>
          <w:sdtContent>
            <w:tc>
              <w:tcPr>
                <w:tcW w:w="607" w:type="pct"/>
                <w:shd w:val="clear" w:color="auto" w:fill="auto"/>
                <w:vAlign w:val="center"/>
              </w:tcPr>
              <w:p w14:paraId="11732BCD">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收回或转回</w:t>
                </w:r>
              </w:p>
            </w:tc>
          </w:sdtContent>
        </w:sdt>
        <w:sdt>
          <w:sdtPr>
            <w:rPr>
              <w:rFonts w:cs="Times New Roman"/>
            </w:rPr>
            <w:tag w:val="_PLD_ecb1755ff206448580b99e0999e516f9"/>
            <w:id w:val="147472816"/>
          </w:sdtPr>
          <w:sdtEndPr>
            <w:rPr>
              <w:rFonts w:cs="Times New Roman"/>
            </w:rPr>
          </w:sdtEndPr>
          <w:sdtContent>
            <w:tc>
              <w:tcPr>
                <w:tcW w:w="649" w:type="pct"/>
                <w:shd w:val="clear" w:color="auto" w:fill="auto"/>
                <w:vAlign w:val="center"/>
              </w:tcPr>
              <w:p w14:paraId="57EEEA75">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转销或核销</w:t>
                </w:r>
              </w:p>
            </w:tc>
          </w:sdtContent>
        </w:sdt>
        <w:tc>
          <w:tcPr>
            <w:tcW w:w="648" w:type="pct"/>
            <w:shd w:val="clear" w:color="auto" w:fill="auto"/>
            <w:vAlign w:val="center"/>
          </w:tcPr>
          <w:sdt>
            <w:sdtPr>
              <w:rPr>
                <w:rFonts w:cs="Times New Roman"/>
              </w:rPr>
              <w:tag w:val="_PLD_1b39a62bca3c4844a14e6b043f874971"/>
              <w:id w:val="147481278"/>
            </w:sdtPr>
            <w:sdtEndPr>
              <w:rPr>
                <w:rFonts w:cs="Times New Roman"/>
              </w:rPr>
            </w:sdtEndPr>
            <w:sdtContent>
              <w:p w14:paraId="31CB98AF">
                <w:pPr>
                  <w:widowControl w:val="0"/>
                  <w:jc w:val="righ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其他变动</w:t>
                </w:r>
              </w:p>
            </w:sdtContent>
          </w:sdt>
        </w:tc>
        <w:tc>
          <w:tcPr>
            <w:tcW w:w="807" w:type="pct"/>
            <w:vMerge w:val="continue"/>
            <w:shd w:val="clear" w:color="auto" w:fill="FFFFFF"/>
          </w:tcPr>
          <w:p w14:paraId="61963983">
            <w:pPr>
              <w:widowControl w:val="0"/>
              <w:jc w:val="right"/>
              <w:rPr>
                <w:rFonts w:cs="Times New Roman"/>
                <w:color w:val="000000" w:themeColor="text1"/>
                <w14:textFill>
                  <w14:solidFill>
                    <w14:schemeClr w14:val="tx1"/>
                  </w14:solidFill>
                </w14:textFill>
              </w:rPr>
            </w:pPr>
          </w:p>
        </w:tc>
      </w:tr>
      <w:tr w14:paraId="39C0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29" w:type="pct"/>
          </w:tcPr>
          <w:p w14:paraId="183A0EC8">
            <w:pPr>
              <w:textAlignment w:val="top"/>
              <w:rPr>
                <w:rFonts w:cs="Times New Roman"/>
              </w:rPr>
            </w:pPr>
            <w:r>
              <w:rPr>
                <w:rFonts w:cs="Times New Roman"/>
                <w:color w:val="000000"/>
                <w:lang w:bidi="ar"/>
              </w:rPr>
              <w:t>坏账准备</w:t>
            </w:r>
          </w:p>
        </w:tc>
        <w:tc>
          <w:tcPr>
            <w:tcW w:w="807" w:type="pct"/>
            <w:vAlign w:val="center"/>
          </w:tcPr>
          <w:p w14:paraId="70BD8EBD">
            <w:pPr>
              <w:jc w:val="right"/>
              <w:textAlignment w:val="center"/>
              <w:rPr>
                <w:rFonts w:cs="Times New Roman"/>
              </w:rPr>
            </w:pPr>
            <w:r>
              <w:rPr>
                <w:rFonts w:cs="Times New Roman"/>
                <w:color w:val="000000"/>
              </w:rPr>
              <w:t>968,573,820.24</w:t>
            </w:r>
          </w:p>
        </w:tc>
        <w:tc>
          <w:tcPr>
            <w:tcW w:w="753" w:type="pct"/>
            <w:vAlign w:val="center"/>
          </w:tcPr>
          <w:p w14:paraId="0CF4DF6F">
            <w:pPr>
              <w:jc w:val="right"/>
              <w:textAlignment w:val="center"/>
              <w:rPr>
                <w:rFonts w:cs="Times New Roman"/>
              </w:rPr>
            </w:pPr>
            <w:r>
              <w:rPr>
                <w:rFonts w:cs="Times New Roman"/>
                <w:color w:val="000000"/>
              </w:rPr>
              <w:t>24,743,102.39</w:t>
            </w:r>
          </w:p>
        </w:tc>
        <w:tc>
          <w:tcPr>
            <w:tcW w:w="607" w:type="pct"/>
            <w:vAlign w:val="center"/>
          </w:tcPr>
          <w:p w14:paraId="35B094A9">
            <w:pPr>
              <w:jc w:val="right"/>
              <w:rPr>
                <w:rFonts w:cs="Times New Roman"/>
              </w:rPr>
            </w:pPr>
          </w:p>
        </w:tc>
        <w:tc>
          <w:tcPr>
            <w:tcW w:w="649" w:type="pct"/>
            <w:vAlign w:val="center"/>
          </w:tcPr>
          <w:p w14:paraId="7001F3EE">
            <w:pPr>
              <w:jc w:val="right"/>
              <w:rPr>
                <w:rFonts w:cs="Times New Roman"/>
              </w:rPr>
            </w:pPr>
          </w:p>
        </w:tc>
        <w:tc>
          <w:tcPr>
            <w:tcW w:w="648" w:type="pct"/>
            <w:vAlign w:val="center"/>
          </w:tcPr>
          <w:p w14:paraId="5BD8B040">
            <w:pPr>
              <w:jc w:val="right"/>
              <w:rPr>
                <w:rFonts w:cs="Times New Roman"/>
              </w:rPr>
            </w:pPr>
          </w:p>
        </w:tc>
        <w:tc>
          <w:tcPr>
            <w:tcW w:w="807" w:type="pct"/>
            <w:vAlign w:val="center"/>
          </w:tcPr>
          <w:p w14:paraId="17F49D06">
            <w:pPr>
              <w:jc w:val="right"/>
              <w:textAlignment w:val="center"/>
              <w:rPr>
                <w:rFonts w:cs="Times New Roman"/>
              </w:rPr>
            </w:pPr>
            <w:r>
              <w:rPr>
                <w:rFonts w:cs="Times New Roman"/>
                <w:color w:val="000000"/>
              </w:rPr>
              <w:t>993,316,922.63</w:t>
            </w:r>
          </w:p>
        </w:tc>
      </w:tr>
      <w:tr w14:paraId="7AD0E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29" w:type="pct"/>
          </w:tcPr>
          <w:p w14:paraId="6AECCE31">
            <w:pPr>
              <w:widowControl w:val="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807" w:type="pct"/>
            <w:vAlign w:val="center"/>
          </w:tcPr>
          <w:p w14:paraId="22A1CF9B">
            <w:pPr>
              <w:jc w:val="right"/>
              <w:textAlignment w:val="center"/>
              <w:rPr>
                <w:rFonts w:cs="Times New Roman"/>
              </w:rPr>
            </w:pPr>
            <w:r>
              <w:rPr>
                <w:rFonts w:cs="Times New Roman"/>
                <w:color w:val="000000"/>
              </w:rPr>
              <w:t>968,573,820.24</w:t>
            </w:r>
          </w:p>
        </w:tc>
        <w:tc>
          <w:tcPr>
            <w:tcW w:w="753" w:type="pct"/>
            <w:vAlign w:val="center"/>
          </w:tcPr>
          <w:p w14:paraId="39A69DF0">
            <w:pPr>
              <w:jc w:val="right"/>
              <w:textAlignment w:val="center"/>
              <w:rPr>
                <w:rFonts w:cs="Times New Roman"/>
              </w:rPr>
            </w:pPr>
            <w:r>
              <w:rPr>
                <w:rFonts w:cs="Times New Roman"/>
                <w:color w:val="000000"/>
              </w:rPr>
              <w:t>24,743,102.39</w:t>
            </w:r>
          </w:p>
        </w:tc>
        <w:tc>
          <w:tcPr>
            <w:tcW w:w="607" w:type="pct"/>
            <w:vAlign w:val="center"/>
          </w:tcPr>
          <w:p w14:paraId="0272E5FA">
            <w:pPr>
              <w:jc w:val="right"/>
              <w:rPr>
                <w:rFonts w:cs="Times New Roman"/>
              </w:rPr>
            </w:pPr>
          </w:p>
        </w:tc>
        <w:tc>
          <w:tcPr>
            <w:tcW w:w="649" w:type="pct"/>
            <w:vAlign w:val="center"/>
          </w:tcPr>
          <w:p w14:paraId="159C1498">
            <w:pPr>
              <w:jc w:val="right"/>
              <w:rPr>
                <w:rFonts w:cs="Times New Roman"/>
              </w:rPr>
            </w:pPr>
          </w:p>
        </w:tc>
        <w:tc>
          <w:tcPr>
            <w:tcW w:w="648" w:type="pct"/>
            <w:vAlign w:val="center"/>
          </w:tcPr>
          <w:p w14:paraId="18DF7935">
            <w:pPr>
              <w:jc w:val="right"/>
              <w:rPr>
                <w:rFonts w:cs="Times New Roman"/>
              </w:rPr>
            </w:pPr>
          </w:p>
        </w:tc>
        <w:tc>
          <w:tcPr>
            <w:tcW w:w="807" w:type="pct"/>
            <w:vAlign w:val="center"/>
          </w:tcPr>
          <w:p w14:paraId="5946F485">
            <w:pPr>
              <w:jc w:val="right"/>
              <w:textAlignment w:val="center"/>
              <w:rPr>
                <w:rFonts w:cs="Times New Roman"/>
              </w:rPr>
            </w:pPr>
            <w:r>
              <w:rPr>
                <w:rFonts w:cs="Times New Roman"/>
                <w:color w:val="000000"/>
              </w:rPr>
              <w:t>993,316,922.63</w:t>
            </w:r>
          </w:p>
        </w:tc>
      </w:tr>
    </w:tbl>
    <w:p w14:paraId="7A82E18A">
      <w:pPr>
        <w:rPr>
          <w:color w:val="000000" w:themeColor="text1"/>
          <w14:textFill>
            <w14:solidFill>
              <w14:schemeClr w14:val="tx1"/>
            </w14:solidFill>
          </w14:textFill>
        </w:rPr>
      </w:pPr>
    </w:p>
    <w:bookmarkEnd w:id="481"/>
    <w:p w14:paraId="5C0575E7">
      <w:pPr>
        <w:rPr>
          <w:color w:val="000000" w:themeColor="text1"/>
          <w14:textFill>
            <w14:solidFill>
              <w14:schemeClr w14:val="tx1"/>
            </w14:solidFill>
          </w14:textFill>
        </w:rPr>
      </w:pPr>
      <w:bookmarkStart w:id="482" w:name="_Hlk168055794"/>
      <w:r>
        <w:rPr>
          <w:rFonts w:hint="eastAsia"/>
          <w:color w:val="000000" w:themeColor="text1"/>
          <w14:textFill>
            <w14:solidFill>
              <w14:schemeClr w14:val="tx1"/>
            </w14:solidFill>
          </w14:textFill>
        </w:rPr>
        <w:t>其中本期坏账准备转回或收回金额重要的：</w:t>
      </w:r>
    </w:p>
    <w:sdt>
      <w:sdtPr>
        <w:rPr>
          <w:color w:val="000000" w:themeColor="text1"/>
          <w14:textFill>
            <w14:solidFill>
              <w14:schemeClr w14:val="tx1"/>
            </w14:solidFill>
          </w14:textFill>
        </w:rPr>
        <w:alias w:val="是否适用：母公司其他应收款坏账准备转回或收回金额重要的[双击切换]"/>
        <w:tag w:val="_GBC_98cb10e0ff8642ad9141960d4dbb7d85"/>
        <w:id w:val="147460174"/>
        <w:placeholder>
          <w:docPart w:val="GBC22222222222222222222222222222"/>
        </w:placeholder>
      </w:sdtPr>
      <w:sdtEndPr>
        <w:rPr>
          <w:color w:val="000000" w:themeColor="text1"/>
          <w14:textFill>
            <w14:solidFill>
              <w14:schemeClr w14:val="tx1"/>
            </w14:solidFill>
          </w14:textFill>
        </w:rPr>
      </w:sdtEndPr>
      <w:sdtContent>
        <w:p w14:paraId="1CD49902">
          <w:pPr>
            <w:ind w:right="-1594" w:rightChars="-759"/>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CC4AB89">
      <w:pPr>
        <w:ind w:right="-1594" w:rightChars="-759"/>
        <w:rPr>
          <w:color w:val="000000" w:themeColor="text1"/>
          <w14:textFill>
            <w14:solidFill>
              <w14:schemeClr w14:val="tx1"/>
            </w14:solidFill>
          </w14:textFill>
        </w:rPr>
      </w:pPr>
    </w:p>
    <w:p w14:paraId="60F2CE38">
      <w:pPr>
        <w:ind w:right="-1594" w:rightChars="-759"/>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其他应收款坏账准备情况的说明"/>
        <w:tag w:val="_GBC_83e986a007b44d029c897d7f19741e02"/>
        <w:id w:val="147451652"/>
        <w:placeholder>
          <w:docPart w:val="GBC22222222222222222222222222222"/>
        </w:placeholder>
      </w:sdtPr>
      <w:sdtEndPr>
        <w:rPr>
          <w:color w:val="000000" w:themeColor="text1"/>
          <w14:textFill>
            <w14:solidFill>
              <w14:schemeClr w14:val="tx1"/>
            </w14:solidFill>
          </w14:textFill>
        </w:rPr>
      </w:sdtEndPr>
      <w:sdtContent>
        <w:p w14:paraId="3C56E75C">
          <w:pPr>
            <w:ind w:right="-1594" w:rightChars="-759"/>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5CCF64A1">
      <w:pPr>
        <w:ind w:right="-1594" w:rightChars="-759"/>
        <w:rPr>
          <w:color w:val="000000" w:themeColor="text1"/>
          <w14:textFill>
            <w14:solidFill>
              <w14:schemeClr w14:val="tx1"/>
            </w14:solidFill>
          </w14:textFill>
        </w:rPr>
      </w:pPr>
    </w:p>
    <w:bookmarkEnd w:id="482"/>
    <w:p w14:paraId="790E6B41">
      <w:pPr>
        <w:pStyle w:val="59"/>
        <w:numPr>
          <w:ilvl w:val="0"/>
          <w:numId w:val="120"/>
        </w:numPr>
      </w:pPr>
      <w:r>
        <w:rPr>
          <w:rFonts w:hint="eastAsia"/>
        </w:rPr>
        <w:t>本期实际核销的其他应收款情况</w:t>
      </w:r>
    </w:p>
    <w:sdt>
      <w:sdtPr>
        <w:rPr>
          <w:color w:val="000000" w:themeColor="text1"/>
          <w14:textFill>
            <w14:solidFill>
              <w14:schemeClr w14:val="tx1"/>
            </w14:solidFill>
          </w14:textFill>
        </w:rPr>
        <w:alias w:val="是否适用：母公司本期实际核销的其他应收款情况[双击切换]"/>
        <w:tag w:val="_GBC_dd1095756d2b471688ce5b700380fafc"/>
        <w:id w:val="147479474"/>
        <w:placeholder>
          <w:docPart w:val="GBC22222222222222222222222222222"/>
        </w:placeholder>
      </w:sdtPr>
      <w:sdtEndPr>
        <w:rPr>
          <w:color w:val="000000" w:themeColor="text1"/>
          <w14:textFill>
            <w14:solidFill>
              <w14:schemeClr w14:val="tx1"/>
            </w14:solidFill>
          </w14:textFill>
        </w:rPr>
      </w:sdtEndPr>
      <w:sdtContent>
        <w:p w14:paraId="56F9EE3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C4D9ED8">
      <w:pPr>
        <w:rPr>
          <w:color w:val="000000" w:themeColor="text1"/>
          <w14:textFill>
            <w14:solidFill>
              <w14:schemeClr w14:val="tx1"/>
            </w14:solidFill>
          </w14:textFill>
        </w:rPr>
      </w:pPr>
    </w:p>
    <w:p w14:paraId="0D577B0B">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其中重要的其他应收款核销情况：</w:t>
      </w:r>
    </w:p>
    <w:sdt>
      <w:sdtPr>
        <w:rPr>
          <w:color w:val="000000" w:themeColor="text1"/>
          <w14:textFill>
            <w14:solidFill>
              <w14:schemeClr w14:val="tx1"/>
            </w14:solidFill>
          </w14:textFill>
        </w:rPr>
        <w:alias w:val="是否适用：母公司其中重要的其他应收款核销情况[双击切换]"/>
        <w:tag w:val="_GBC_5dff1eacde3a41d6914cb7afef2e2acf"/>
        <w:id w:val="147454585"/>
        <w:placeholder>
          <w:docPart w:val="GBC22222222222222222222222222222"/>
        </w:placeholder>
      </w:sdtPr>
      <w:sdtEndPr>
        <w:rPr>
          <w:color w:val="000000" w:themeColor="text1"/>
          <w14:textFill>
            <w14:solidFill>
              <w14:schemeClr w14:val="tx1"/>
            </w14:solidFill>
          </w14:textFill>
        </w:rPr>
      </w:sdtEndPr>
      <w:sdtContent>
        <w:p w14:paraId="44EAD75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8C8A4D0">
      <w:pPr>
        <w:rPr>
          <w:color w:val="000000" w:themeColor="text1"/>
          <w14:textFill>
            <w14:solidFill>
              <w14:schemeClr w14:val="tx1"/>
            </w14:solidFill>
          </w14:textFill>
        </w:rPr>
      </w:pPr>
    </w:p>
    <w:p w14:paraId="7A5BF3AD">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其他应收款核销说明：</w:t>
      </w:r>
    </w:p>
    <w:sdt>
      <w:sdtPr>
        <w:rPr>
          <w:bCs w:val="0"/>
          <w:color w:val="000000" w:themeColor="text1"/>
          <w14:textFill>
            <w14:solidFill>
              <w14:schemeClr w14:val="tx1"/>
            </w14:solidFill>
          </w14:textFill>
        </w:rPr>
        <w:alias w:val="是否适用：母公司其他应收款核销说明[双击切换]"/>
        <w:tag w:val="_GBC_7e98a555990349648a39fba0c7228ab7"/>
        <w:id w:val="147468086"/>
        <w:placeholder>
          <w:docPart w:val="GBC22222222222222222222222222222"/>
        </w:placeholder>
      </w:sdtPr>
      <w:sdtEndPr>
        <w:rPr>
          <w:bCs w:val="0"/>
          <w:color w:val="000000" w:themeColor="text1"/>
          <w14:textFill>
            <w14:solidFill>
              <w14:schemeClr w14:val="tx1"/>
            </w14:solidFill>
          </w14:textFill>
        </w:rPr>
      </w:sdtEndPr>
      <w:sdtContent>
        <w:p w14:paraId="528F30B2">
          <w:pPr>
            <w:snapToGrid w:val="0"/>
            <w:spacing w:line="240" w:lineRule="atLeast"/>
            <w:rPr>
              <w:color w:val="000000" w:themeColor="text1"/>
              <w14:textFill>
                <w14:solidFill>
                  <w14:schemeClr w14:val="tx1"/>
                </w14:solidFill>
              </w14:textFill>
            </w:rPr>
          </w:pPr>
          <w:r>
            <w:rPr>
              <w:rFonts w:ascii="宋体" w:hAnsi="宋体"/>
              <w:bCs w:val="0"/>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bCs w:val="0"/>
              <w:color w:val="000000" w:themeColor="text1"/>
              <w14:textFill>
                <w14:solidFill>
                  <w14:schemeClr w14:val="tx1"/>
                </w14:solidFill>
              </w14:textFill>
            </w:rPr>
            <w:fldChar w:fldCharType="end"/>
          </w:r>
          <w:r>
            <w:rPr>
              <w:rFonts w:ascii="宋体" w:hAnsi="宋体"/>
              <w:bCs w:val="0"/>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bCs w:val="0"/>
              <w:color w:val="000000" w:themeColor="text1"/>
              <w14:textFill>
                <w14:solidFill>
                  <w14:schemeClr w14:val="tx1"/>
                </w14:solidFill>
              </w14:textFill>
            </w:rPr>
            <w:fldChar w:fldCharType="end"/>
          </w:r>
        </w:p>
      </w:sdtContent>
    </w:sdt>
    <w:p w14:paraId="29785A92">
      <w:pPr>
        <w:rPr>
          <w:color w:val="000000" w:themeColor="text1"/>
          <w14:textFill>
            <w14:solidFill>
              <w14:schemeClr w14:val="tx1"/>
            </w14:solidFill>
          </w14:textFill>
        </w:rPr>
      </w:pPr>
    </w:p>
    <w:p w14:paraId="41B1E693">
      <w:pPr>
        <w:pStyle w:val="59"/>
        <w:numPr>
          <w:ilvl w:val="0"/>
          <w:numId w:val="120"/>
        </w:numPr>
      </w:pPr>
      <w:r>
        <w:rPr>
          <w:rFonts w:hint="eastAsia"/>
        </w:rPr>
        <w:t>按欠款方归集的期末余额前五名的其他应收款情况</w:t>
      </w:r>
    </w:p>
    <w:sdt>
      <w:sdtPr>
        <w:rPr>
          <w:color w:val="000000" w:themeColor="text1"/>
          <w14:textFill>
            <w14:solidFill>
              <w14:schemeClr w14:val="tx1"/>
            </w14:solidFill>
          </w14:textFill>
        </w:rPr>
        <w:alias w:val="是否适用：母公司按欠款方归集的期末余额前五名的其他应收款情况[双击切换]"/>
        <w:tag w:val="_GBC_c31bd7806af645a4b98780e353753bee"/>
        <w:id w:val="147479063"/>
        <w:placeholder>
          <w:docPart w:val="GBC22222222222222222222222222222"/>
        </w:placeholder>
      </w:sdtPr>
      <w:sdtEndPr>
        <w:rPr>
          <w:color w:val="000000" w:themeColor="text1"/>
          <w14:textFill>
            <w14:solidFill>
              <w14:schemeClr w14:val="tx1"/>
            </w14:solidFill>
          </w14:textFill>
        </w:rPr>
      </w:sdtEndPr>
      <w:sdtContent>
        <w:p w14:paraId="3923E20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A1189D1">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母公司财务附注：其他应收账款前五名欠款情况"/>
          <w:tag w:val="_GBC_5eaec4085c10422f90a7a09ee515d922"/>
          <w:id w:val="1474747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母公司财务附注：其他应收账款前五名欠款情况"/>
          <w:tag w:val="_GBC_76fb156b47fb495eb1748f1f6ffdfc64"/>
          <w:id w:val="1474588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915"/>
        <w:gridCol w:w="1676"/>
        <w:gridCol w:w="985"/>
        <w:gridCol w:w="1383"/>
        <w:gridCol w:w="1362"/>
        <w:gridCol w:w="1502"/>
      </w:tblGrid>
      <w:tr w14:paraId="2DE3A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cs="Times New Roman"/>
            </w:rPr>
            <w:tag w:val="_PLD_1bf4103fa73c4527ab273af4182bdac9"/>
            <w:id w:val="147470954"/>
          </w:sdtPr>
          <w:sdtEndPr>
            <w:rPr>
              <w:rFonts w:cs="Times New Roman"/>
            </w:rPr>
          </w:sdtEndPr>
          <w:sdtContent>
            <w:tc>
              <w:tcPr>
                <w:tcW w:w="1084" w:type="pct"/>
                <w:vAlign w:val="center"/>
              </w:tcPr>
              <w:p w14:paraId="4BF417F0">
                <w:pPr>
                  <w:ind w:right="105"/>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单位名称</w:t>
                </w:r>
              </w:p>
            </w:tc>
          </w:sdtContent>
        </w:sdt>
        <w:sdt>
          <w:sdtPr>
            <w:rPr>
              <w:rFonts w:cs="Times New Roman"/>
            </w:rPr>
            <w:tag w:val="_PLD_2272ceae47e74a6489bfeb2c73aa1f4a"/>
            <w:id w:val="147464860"/>
          </w:sdtPr>
          <w:sdtEndPr>
            <w:rPr>
              <w:rFonts w:cs="Times New Roman"/>
            </w:rPr>
          </w:sdtEndPr>
          <w:sdtContent>
            <w:tc>
              <w:tcPr>
                <w:tcW w:w="949" w:type="pct"/>
                <w:vAlign w:val="center"/>
              </w:tcPr>
              <w:p w14:paraId="26C7411C">
                <w:pPr>
                  <w:ind w:right="73"/>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13e1362304be4663873f1e8f72848948"/>
            <w:id w:val="147470494"/>
          </w:sdtPr>
          <w:sdtEndPr>
            <w:rPr>
              <w:rFonts w:cs="Times New Roman"/>
            </w:rPr>
          </w:sdtEndPr>
          <w:sdtContent>
            <w:tc>
              <w:tcPr>
                <w:tcW w:w="558" w:type="pct"/>
                <w:vAlign w:val="center"/>
              </w:tcPr>
              <w:p w14:paraId="005BEE4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占其他应收款期末余额合计数的比例(%)</w:t>
                </w:r>
              </w:p>
            </w:tc>
          </w:sdtContent>
        </w:sdt>
        <w:sdt>
          <w:sdtPr>
            <w:rPr>
              <w:rFonts w:cs="Times New Roman"/>
            </w:rPr>
            <w:tag w:val="_PLD_13e90710aaf8432b8989b8a8d1ceae0c"/>
            <w:id w:val="147456482"/>
          </w:sdtPr>
          <w:sdtEndPr>
            <w:rPr>
              <w:rFonts w:cs="Times New Roman"/>
            </w:rPr>
          </w:sdtEndPr>
          <w:sdtContent>
            <w:tc>
              <w:tcPr>
                <w:tcW w:w="784" w:type="pct"/>
                <w:vAlign w:val="center"/>
              </w:tcPr>
              <w:p w14:paraId="43460BC3">
                <w:pPr>
                  <w:ind w:right="73"/>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款项的性质</w:t>
                </w:r>
              </w:p>
            </w:tc>
          </w:sdtContent>
        </w:sdt>
        <w:sdt>
          <w:sdtPr>
            <w:rPr>
              <w:rFonts w:cs="Times New Roman"/>
            </w:rPr>
            <w:tag w:val="_PLD_fcefa3ecef954c579974ef8beaeadf3a"/>
            <w:id w:val="147479620"/>
          </w:sdtPr>
          <w:sdtEndPr>
            <w:rPr>
              <w:rFonts w:cs="Times New Roman"/>
            </w:rPr>
          </w:sdtEndPr>
          <w:sdtContent>
            <w:tc>
              <w:tcPr>
                <w:tcW w:w="772" w:type="pct"/>
                <w:vAlign w:val="center"/>
              </w:tcPr>
              <w:p w14:paraId="34DDD585">
                <w:pPr>
                  <w:ind w:right="73"/>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账龄</w:t>
                </w:r>
              </w:p>
            </w:tc>
          </w:sdtContent>
        </w:sdt>
        <w:sdt>
          <w:sdtPr>
            <w:rPr>
              <w:rFonts w:cs="Times New Roman"/>
            </w:rPr>
            <w:tag w:val="_PLD_f2c7137b0fd6426d9d9640429eb47701"/>
            <w:id w:val="147451812"/>
          </w:sdtPr>
          <w:sdtEndPr>
            <w:rPr>
              <w:rFonts w:cs="Times New Roman"/>
            </w:rPr>
          </w:sdtEndPr>
          <w:sdtContent>
            <w:tc>
              <w:tcPr>
                <w:tcW w:w="850" w:type="pct"/>
                <w:vAlign w:val="center"/>
              </w:tcPr>
              <w:p w14:paraId="1A971EE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坏账准备</w:t>
                </w:r>
              </w:p>
              <w:p w14:paraId="71C7EB59">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tr>
      <w:tr w14:paraId="1447D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084" w:type="pct"/>
          </w:tcPr>
          <w:p w14:paraId="3DC897D8">
            <w:pPr>
              <w:jc w:val="both"/>
              <w:textAlignment w:val="center"/>
              <w:rPr>
                <w:rFonts w:cs="Times New Roman"/>
              </w:rPr>
            </w:pPr>
            <w:r>
              <w:rPr>
                <w:rFonts w:cs="Times New Roman"/>
                <w:color w:val="000000"/>
              </w:rPr>
              <w:t>际华置业（兰州）有限公司</w:t>
            </w:r>
          </w:p>
        </w:tc>
        <w:tc>
          <w:tcPr>
            <w:tcW w:w="949" w:type="pct"/>
            <w:vAlign w:val="center"/>
          </w:tcPr>
          <w:p w14:paraId="560EC86A">
            <w:pPr>
              <w:jc w:val="right"/>
              <w:textAlignment w:val="center"/>
              <w:rPr>
                <w:rFonts w:cs="Times New Roman"/>
              </w:rPr>
            </w:pPr>
            <w:r>
              <w:rPr>
                <w:rFonts w:cs="Times New Roman"/>
                <w:color w:val="000000"/>
              </w:rPr>
              <w:t>1,056,716,157.94</w:t>
            </w:r>
          </w:p>
        </w:tc>
        <w:tc>
          <w:tcPr>
            <w:tcW w:w="558" w:type="pct"/>
            <w:vAlign w:val="center"/>
          </w:tcPr>
          <w:p w14:paraId="5C9FA820">
            <w:pPr>
              <w:jc w:val="right"/>
              <w:textAlignment w:val="center"/>
              <w:rPr>
                <w:rFonts w:cs="Times New Roman"/>
              </w:rPr>
            </w:pPr>
            <w:r>
              <w:rPr>
                <w:rFonts w:cs="Times New Roman"/>
                <w:color w:val="000000"/>
              </w:rPr>
              <w:t>13.82</w:t>
            </w:r>
          </w:p>
        </w:tc>
        <w:tc>
          <w:tcPr>
            <w:tcW w:w="784" w:type="pct"/>
            <w:vAlign w:val="center"/>
          </w:tcPr>
          <w:p w14:paraId="6A408CD3">
            <w:pPr>
              <w:jc w:val="center"/>
              <w:textAlignment w:val="center"/>
              <w:rPr>
                <w:rFonts w:cs="Times New Roman"/>
              </w:rPr>
            </w:pPr>
            <w:r>
              <w:rPr>
                <w:rFonts w:cs="Times New Roman"/>
                <w:color w:val="000000"/>
              </w:rPr>
              <w:t>项目资金</w:t>
            </w:r>
          </w:p>
        </w:tc>
        <w:tc>
          <w:tcPr>
            <w:tcW w:w="772" w:type="pct"/>
            <w:vAlign w:val="center"/>
          </w:tcPr>
          <w:p w14:paraId="4DEAD93E">
            <w:pPr>
              <w:jc w:val="center"/>
              <w:textAlignment w:val="center"/>
              <w:rPr>
                <w:rFonts w:cs="Times New Roman"/>
              </w:rPr>
            </w:pPr>
            <w:r>
              <w:rPr>
                <w:rFonts w:cs="Times New Roman"/>
                <w:color w:val="000000"/>
              </w:rPr>
              <w:t>5年以上</w:t>
            </w:r>
          </w:p>
        </w:tc>
        <w:tc>
          <w:tcPr>
            <w:tcW w:w="850" w:type="pct"/>
            <w:vAlign w:val="center"/>
          </w:tcPr>
          <w:p w14:paraId="2CF97359">
            <w:pPr>
              <w:jc w:val="right"/>
              <w:rPr>
                <w:rFonts w:cs="Times New Roman"/>
              </w:rPr>
            </w:pPr>
          </w:p>
        </w:tc>
      </w:tr>
      <w:tr w14:paraId="10D13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084" w:type="pct"/>
          </w:tcPr>
          <w:p w14:paraId="61E677FB">
            <w:pPr>
              <w:jc w:val="both"/>
              <w:textAlignment w:val="center"/>
              <w:rPr>
                <w:rFonts w:cs="Times New Roman"/>
              </w:rPr>
            </w:pPr>
            <w:r>
              <w:rPr>
                <w:rFonts w:cs="Times New Roman"/>
                <w:color w:val="000000"/>
              </w:rPr>
              <w:t>长春际华投资建设有限公司</w:t>
            </w:r>
          </w:p>
        </w:tc>
        <w:tc>
          <w:tcPr>
            <w:tcW w:w="949" w:type="pct"/>
            <w:vAlign w:val="center"/>
          </w:tcPr>
          <w:p w14:paraId="24FB8804">
            <w:pPr>
              <w:jc w:val="right"/>
              <w:textAlignment w:val="center"/>
              <w:rPr>
                <w:rFonts w:cs="Times New Roman"/>
              </w:rPr>
            </w:pPr>
            <w:r>
              <w:rPr>
                <w:rFonts w:cs="Times New Roman"/>
                <w:color w:val="000000"/>
              </w:rPr>
              <w:t>890,406,754.19</w:t>
            </w:r>
          </w:p>
        </w:tc>
        <w:tc>
          <w:tcPr>
            <w:tcW w:w="558" w:type="pct"/>
            <w:vAlign w:val="center"/>
          </w:tcPr>
          <w:p w14:paraId="4D72318D">
            <w:pPr>
              <w:jc w:val="right"/>
              <w:textAlignment w:val="center"/>
              <w:rPr>
                <w:rFonts w:cs="Times New Roman"/>
              </w:rPr>
            </w:pPr>
            <w:r>
              <w:rPr>
                <w:rFonts w:cs="Times New Roman"/>
                <w:color w:val="000000"/>
              </w:rPr>
              <w:t>11.64</w:t>
            </w:r>
          </w:p>
        </w:tc>
        <w:tc>
          <w:tcPr>
            <w:tcW w:w="784" w:type="pct"/>
            <w:vAlign w:val="center"/>
          </w:tcPr>
          <w:p w14:paraId="23D94746">
            <w:pPr>
              <w:jc w:val="center"/>
              <w:textAlignment w:val="center"/>
              <w:rPr>
                <w:rFonts w:cs="Times New Roman"/>
              </w:rPr>
            </w:pPr>
            <w:r>
              <w:rPr>
                <w:rFonts w:cs="Times New Roman"/>
                <w:color w:val="000000"/>
              </w:rPr>
              <w:t>项目资金、所属企业借款</w:t>
            </w:r>
          </w:p>
        </w:tc>
        <w:tc>
          <w:tcPr>
            <w:tcW w:w="772" w:type="pct"/>
            <w:vAlign w:val="center"/>
          </w:tcPr>
          <w:p w14:paraId="73FA7CBD">
            <w:pPr>
              <w:jc w:val="center"/>
              <w:textAlignment w:val="center"/>
              <w:rPr>
                <w:rFonts w:cs="Times New Roman"/>
              </w:rPr>
            </w:pPr>
            <w:r>
              <w:rPr>
                <w:rFonts w:cs="Times New Roman"/>
                <w:color w:val="000000"/>
              </w:rPr>
              <w:t>1年以内，1-5年，5年以上</w:t>
            </w:r>
          </w:p>
        </w:tc>
        <w:tc>
          <w:tcPr>
            <w:tcW w:w="850" w:type="pct"/>
            <w:vAlign w:val="center"/>
          </w:tcPr>
          <w:p w14:paraId="60B1B54E">
            <w:pPr>
              <w:jc w:val="right"/>
              <w:rPr>
                <w:rFonts w:cs="Times New Roman"/>
              </w:rPr>
            </w:pPr>
          </w:p>
        </w:tc>
      </w:tr>
      <w:tr w14:paraId="32A1A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084" w:type="pct"/>
          </w:tcPr>
          <w:p w14:paraId="373832D3">
            <w:pPr>
              <w:jc w:val="both"/>
              <w:textAlignment w:val="center"/>
              <w:rPr>
                <w:rFonts w:cs="Times New Roman"/>
              </w:rPr>
            </w:pPr>
            <w:r>
              <w:rPr>
                <w:rFonts w:cs="Times New Roman"/>
                <w:color w:val="000000"/>
              </w:rPr>
              <w:t>重庆际华目的地中心实业有限公司</w:t>
            </w:r>
          </w:p>
        </w:tc>
        <w:tc>
          <w:tcPr>
            <w:tcW w:w="949" w:type="pct"/>
            <w:vAlign w:val="center"/>
          </w:tcPr>
          <w:p w14:paraId="528D845C">
            <w:pPr>
              <w:jc w:val="right"/>
              <w:textAlignment w:val="center"/>
              <w:rPr>
                <w:rFonts w:cs="Times New Roman"/>
              </w:rPr>
            </w:pPr>
            <w:r>
              <w:rPr>
                <w:rFonts w:cs="Times New Roman"/>
                <w:color w:val="000000"/>
              </w:rPr>
              <w:t>813,849,269.59</w:t>
            </w:r>
          </w:p>
        </w:tc>
        <w:tc>
          <w:tcPr>
            <w:tcW w:w="558" w:type="pct"/>
            <w:vAlign w:val="center"/>
          </w:tcPr>
          <w:p w14:paraId="79479CF9">
            <w:pPr>
              <w:jc w:val="right"/>
              <w:textAlignment w:val="center"/>
              <w:rPr>
                <w:rFonts w:cs="Times New Roman"/>
              </w:rPr>
            </w:pPr>
            <w:r>
              <w:rPr>
                <w:rFonts w:cs="Times New Roman"/>
                <w:color w:val="000000"/>
              </w:rPr>
              <w:t>10.64</w:t>
            </w:r>
          </w:p>
        </w:tc>
        <w:tc>
          <w:tcPr>
            <w:tcW w:w="784" w:type="pct"/>
            <w:vAlign w:val="center"/>
          </w:tcPr>
          <w:p w14:paraId="51AAB8C7">
            <w:pPr>
              <w:jc w:val="center"/>
              <w:textAlignment w:val="center"/>
              <w:rPr>
                <w:rFonts w:cs="Times New Roman"/>
              </w:rPr>
            </w:pPr>
            <w:r>
              <w:rPr>
                <w:rFonts w:cs="Times New Roman"/>
                <w:color w:val="000000"/>
              </w:rPr>
              <w:t>项目资金、所属企业借款</w:t>
            </w:r>
          </w:p>
        </w:tc>
        <w:tc>
          <w:tcPr>
            <w:tcW w:w="772" w:type="pct"/>
            <w:vAlign w:val="center"/>
          </w:tcPr>
          <w:p w14:paraId="07873BFE">
            <w:pPr>
              <w:jc w:val="center"/>
              <w:textAlignment w:val="center"/>
              <w:rPr>
                <w:rFonts w:cs="Times New Roman"/>
              </w:rPr>
            </w:pPr>
            <w:r>
              <w:rPr>
                <w:rFonts w:cs="Times New Roman"/>
                <w:color w:val="000000"/>
              </w:rPr>
              <w:t>1年以内，1-5年，5年以上</w:t>
            </w:r>
          </w:p>
        </w:tc>
        <w:tc>
          <w:tcPr>
            <w:tcW w:w="850" w:type="pct"/>
            <w:vAlign w:val="center"/>
          </w:tcPr>
          <w:p w14:paraId="770570BA">
            <w:pPr>
              <w:jc w:val="right"/>
              <w:rPr>
                <w:rFonts w:cs="Times New Roman"/>
              </w:rPr>
            </w:pPr>
          </w:p>
        </w:tc>
      </w:tr>
      <w:tr w14:paraId="33E70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084" w:type="pct"/>
          </w:tcPr>
          <w:p w14:paraId="5EC45568">
            <w:pPr>
              <w:jc w:val="both"/>
              <w:textAlignment w:val="center"/>
              <w:rPr>
                <w:rFonts w:cs="Times New Roman"/>
              </w:rPr>
            </w:pPr>
            <w:r>
              <w:rPr>
                <w:rFonts w:cs="Times New Roman"/>
                <w:color w:val="000000"/>
              </w:rPr>
              <w:t>青海际华江源实业有限公司</w:t>
            </w:r>
          </w:p>
        </w:tc>
        <w:tc>
          <w:tcPr>
            <w:tcW w:w="949" w:type="pct"/>
            <w:vAlign w:val="center"/>
          </w:tcPr>
          <w:p w14:paraId="2EE9248F">
            <w:pPr>
              <w:jc w:val="right"/>
              <w:textAlignment w:val="center"/>
              <w:rPr>
                <w:rFonts w:cs="Times New Roman"/>
              </w:rPr>
            </w:pPr>
            <w:r>
              <w:rPr>
                <w:rFonts w:cs="Times New Roman"/>
                <w:color w:val="000000"/>
              </w:rPr>
              <w:t>710,907,572.84</w:t>
            </w:r>
          </w:p>
        </w:tc>
        <w:tc>
          <w:tcPr>
            <w:tcW w:w="558" w:type="pct"/>
            <w:vAlign w:val="center"/>
          </w:tcPr>
          <w:p w14:paraId="1B394418">
            <w:pPr>
              <w:jc w:val="right"/>
              <w:textAlignment w:val="center"/>
              <w:rPr>
                <w:rFonts w:cs="Times New Roman"/>
              </w:rPr>
            </w:pPr>
            <w:r>
              <w:rPr>
                <w:rFonts w:cs="Times New Roman"/>
                <w:color w:val="000000"/>
              </w:rPr>
              <w:t>9.30</w:t>
            </w:r>
          </w:p>
        </w:tc>
        <w:tc>
          <w:tcPr>
            <w:tcW w:w="784" w:type="pct"/>
            <w:vAlign w:val="center"/>
          </w:tcPr>
          <w:p w14:paraId="0CFC66E4">
            <w:pPr>
              <w:jc w:val="center"/>
              <w:textAlignment w:val="center"/>
              <w:rPr>
                <w:rFonts w:cs="Times New Roman"/>
              </w:rPr>
            </w:pPr>
            <w:r>
              <w:rPr>
                <w:rFonts w:cs="Times New Roman"/>
                <w:color w:val="000000"/>
              </w:rPr>
              <w:t>往来款</w:t>
            </w:r>
          </w:p>
        </w:tc>
        <w:tc>
          <w:tcPr>
            <w:tcW w:w="772" w:type="pct"/>
            <w:vAlign w:val="center"/>
          </w:tcPr>
          <w:p w14:paraId="12649EF7">
            <w:pPr>
              <w:jc w:val="center"/>
              <w:textAlignment w:val="center"/>
              <w:rPr>
                <w:rFonts w:cs="Times New Roman"/>
              </w:rPr>
            </w:pPr>
            <w:r>
              <w:rPr>
                <w:rFonts w:cs="Times New Roman"/>
                <w:color w:val="000000"/>
              </w:rPr>
              <w:t>1-5年，5年以上</w:t>
            </w:r>
          </w:p>
        </w:tc>
        <w:tc>
          <w:tcPr>
            <w:tcW w:w="850" w:type="pct"/>
            <w:vAlign w:val="center"/>
          </w:tcPr>
          <w:p w14:paraId="7C79AB13">
            <w:pPr>
              <w:jc w:val="right"/>
              <w:textAlignment w:val="center"/>
              <w:rPr>
                <w:rFonts w:cs="Times New Roman"/>
              </w:rPr>
            </w:pPr>
            <w:r>
              <w:rPr>
                <w:rFonts w:cs="Times New Roman"/>
                <w:color w:val="000000"/>
              </w:rPr>
              <w:t>701,386,192.84</w:t>
            </w:r>
          </w:p>
        </w:tc>
      </w:tr>
      <w:tr w14:paraId="42EA4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084" w:type="pct"/>
          </w:tcPr>
          <w:p w14:paraId="2347D894">
            <w:pPr>
              <w:jc w:val="both"/>
              <w:textAlignment w:val="center"/>
              <w:rPr>
                <w:rFonts w:cs="Times New Roman"/>
              </w:rPr>
            </w:pPr>
            <w:r>
              <w:rPr>
                <w:rFonts w:cs="Times New Roman"/>
                <w:color w:val="000000"/>
              </w:rPr>
              <w:t>际华连锁商务有限公司</w:t>
            </w:r>
          </w:p>
        </w:tc>
        <w:tc>
          <w:tcPr>
            <w:tcW w:w="949" w:type="pct"/>
            <w:vAlign w:val="center"/>
          </w:tcPr>
          <w:p w14:paraId="789F8330">
            <w:pPr>
              <w:jc w:val="right"/>
              <w:textAlignment w:val="center"/>
              <w:rPr>
                <w:rFonts w:cs="Times New Roman"/>
              </w:rPr>
            </w:pPr>
            <w:r>
              <w:rPr>
                <w:rFonts w:cs="Times New Roman"/>
                <w:color w:val="000000"/>
              </w:rPr>
              <w:t>536,359,395.20</w:t>
            </w:r>
          </w:p>
        </w:tc>
        <w:tc>
          <w:tcPr>
            <w:tcW w:w="558" w:type="pct"/>
            <w:vAlign w:val="center"/>
          </w:tcPr>
          <w:p w14:paraId="40676338">
            <w:pPr>
              <w:jc w:val="right"/>
              <w:textAlignment w:val="center"/>
              <w:rPr>
                <w:rFonts w:cs="Times New Roman"/>
              </w:rPr>
            </w:pPr>
            <w:r>
              <w:rPr>
                <w:rFonts w:cs="Times New Roman"/>
                <w:color w:val="000000"/>
              </w:rPr>
              <w:t>7.01</w:t>
            </w:r>
          </w:p>
        </w:tc>
        <w:tc>
          <w:tcPr>
            <w:tcW w:w="784" w:type="pct"/>
            <w:vAlign w:val="center"/>
          </w:tcPr>
          <w:p w14:paraId="4F16820D">
            <w:pPr>
              <w:jc w:val="center"/>
              <w:textAlignment w:val="center"/>
              <w:rPr>
                <w:rFonts w:cs="Times New Roman"/>
              </w:rPr>
            </w:pPr>
            <w:r>
              <w:rPr>
                <w:rFonts w:cs="Times New Roman"/>
                <w:color w:val="000000"/>
              </w:rPr>
              <w:t>所属企业借款、往来款</w:t>
            </w:r>
          </w:p>
        </w:tc>
        <w:tc>
          <w:tcPr>
            <w:tcW w:w="772" w:type="pct"/>
            <w:vAlign w:val="center"/>
          </w:tcPr>
          <w:p w14:paraId="446AB916">
            <w:pPr>
              <w:jc w:val="center"/>
              <w:textAlignment w:val="center"/>
              <w:rPr>
                <w:rFonts w:cs="Times New Roman"/>
              </w:rPr>
            </w:pPr>
            <w:r>
              <w:rPr>
                <w:rFonts w:cs="Times New Roman"/>
                <w:color w:val="000000"/>
              </w:rPr>
              <w:t>1年以内，1-5年，5年以上</w:t>
            </w:r>
          </w:p>
        </w:tc>
        <w:tc>
          <w:tcPr>
            <w:tcW w:w="850" w:type="pct"/>
            <w:vAlign w:val="center"/>
          </w:tcPr>
          <w:p w14:paraId="2217022F">
            <w:pPr>
              <w:jc w:val="right"/>
              <w:rPr>
                <w:rFonts w:cs="Times New Roman"/>
              </w:rPr>
            </w:pPr>
          </w:p>
        </w:tc>
      </w:tr>
      <w:tr w14:paraId="4CCF0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084" w:type="pct"/>
          </w:tcPr>
          <w:p w14:paraId="104566CF">
            <w:pPr>
              <w:ind w:right="105"/>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949" w:type="pct"/>
            <w:vAlign w:val="center"/>
          </w:tcPr>
          <w:p w14:paraId="278A03C7">
            <w:pPr>
              <w:jc w:val="right"/>
              <w:textAlignment w:val="center"/>
              <w:rPr>
                <w:rFonts w:cs="Times New Roman"/>
              </w:rPr>
            </w:pPr>
            <w:r>
              <w:rPr>
                <w:rFonts w:cs="Times New Roman"/>
                <w:color w:val="000000"/>
              </w:rPr>
              <w:t>4,008,239,149.76</w:t>
            </w:r>
          </w:p>
        </w:tc>
        <w:tc>
          <w:tcPr>
            <w:tcW w:w="558" w:type="pct"/>
            <w:vAlign w:val="center"/>
          </w:tcPr>
          <w:p w14:paraId="56C1A56D">
            <w:pPr>
              <w:jc w:val="right"/>
              <w:textAlignment w:val="center"/>
              <w:rPr>
                <w:rFonts w:cs="Times New Roman"/>
              </w:rPr>
            </w:pPr>
            <w:r>
              <w:rPr>
                <w:rFonts w:cs="Times New Roman"/>
                <w:color w:val="000000"/>
              </w:rPr>
              <w:t>52.41</w:t>
            </w:r>
          </w:p>
        </w:tc>
        <w:tc>
          <w:tcPr>
            <w:tcW w:w="784" w:type="pct"/>
          </w:tcPr>
          <w:p w14:paraId="03145AD9">
            <w:pPr>
              <w:ind w:right="73"/>
              <w:jc w:val="center"/>
              <w:rPr>
                <w:rFonts w:cs="Times New Roman"/>
                <w:color w:val="000000" w:themeColor="text1"/>
                <w14:textFill>
                  <w14:solidFill>
                    <w14:schemeClr w14:val="tx1"/>
                  </w14:solidFill>
                </w14:textFill>
              </w:rPr>
            </w:pPr>
            <w:r>
              <w:rPr>
                <w:rFonts w:cs="Times New Roman"/>
                <w:color w:val="000000"/>
              </w:rPr>
              <w:t>/</w:t>
            </w:r>
          </w:p>
        </w:tc>
        <w:tc>
          <w:tcPr>
            <w:tcW w:w="772" w:type="pct"/>
          </w:tcPr>
          <w:p w14:paraId="6677AA2C">
            <w:pPr>
              <w:ind w:right="73"/>
              <w:jc w:val="center"/>
              <w:rPr>
                <w:rFonts w:cs="Times New Roman"/>
                <w:color w:val="000000" w:themeColor="text1"/>
                <w14:textFill>
                  <w14:solidFill>
                    <w14:schemeClr w14:val="tx1"/>
                  </w14:solidFill>
                </w14:textFill>
              </w:rPr>
            </w:pPr>
            <w:r>
              <w:rPr>
                <w:rFonts w:cs="Times New Roman"/>
                <w:color w:val="000000"/>
              </w:rPr>
              <w:t>/</w:t>
            </w:r>
          </w:p>
        </w:tc>
        <w:tc>
          <w:tcPr>
            <w:tcW w:w="850" w:type="pct"/>
            <w:vAlign w:val="center"/>
          </w:tcPr>
          <w:p w14:paraId="3ADFAF35">
            <w:pPr>
              <w:jc w:val="right"/>
              <w:textAlignment w:val="center"/>
              <w:rPr>
                <w:rFonts w:cs="Times New Roman"/>
              </w:rPr>
            </w:pPr>
            <w:r>
              <w:rPr>
                <w:rFonts w:cs="Times New Roman"/>
                <w:color w:val="000000"/>
              </w:rPr>
              <w:t>701,386,192.84</w:t>
            </w:r>
          </w:p>
        </w:tc>
      </w:tr>
    </w:tbl>
    <w:p w14:paraId="3AA478B3">
      <w:pPr>
        <w:rPr>
          <w:color w:val="000000" w:themeColor="text1"/>
          <w14:textFill>
            <w14:solidFill>
              <w14:schemeClr w14:val="tx1"/>
            </w14:solidFill>
          </w14:textFill>
        </w:rPr>
      </w:pPr>
    </w:p>
    <w:p w14:paraId="2D28DC5B">
      <w:pPr>
        <w:pStyle w:val="59"/>
        <w:numPr>
          <w:ilvl w:val="0"/>
          <w:numId w:val="120"/>
        </w:numPr>
      </w:pPr>
      <w:bookmarkStart w:id="483" w:name="_Hlk168057150"/>
      <w:bookmarkStart w:id="484" w:name="_Hlk153798113"/>
      <w:r>
        <w:rPr>
          <w:rFonts w:hint="eastAsia"/>
        </w:rPr>
        <w:t>因资金集中管理而列报于其他应收款</w:t>
      </w:r>
    </w:p>
    <w:sdt>
      <w:sdtPr>
        <w:rPr>
          <w:color w:val="000000" w:themeColor="text1"/>
          <w14:textFill>
            <w14:solidFill>
              <w14:schemeClr w14:val="tx1"/>
            </w14:solidFill>
          </w14:textFill>
        </w:rPr>
        <w:alias w:val="是否适用：母公司因资金集中管理而列报于其他应收款[双击切换]"/>
        <w:tag w:val="_GBC_e0997ad9657c40258adda569dcfcbb5a"/>
        <w:id w:val="147472065"/>
        <w:placeholder>
          <w:docPart w:val="GBC22222222222222222222222222222"/>
        </w:placeholder>
      </w:sdtPr>
      <w:sdtEndPr>
        <w:rPr>
          <w:color w:val="000000" w:themeColor="text1"/>
          <w14:textFill>
            <w14:solidFill>
              <w14:schemeClr w14:val="tx1"/>
            </w14:solidFill>
          </w14:textFill>
        </w:rPr>
      </w:sdtEndPr>
      <w:sdtContent>
        <w:p w14:paraId="187C4D18">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BE3DA9F">
      <w:pPr>
        <w:snapToGrid w:val="0"/>
        <w:spacing w:line="240" w:lineRule="atLeast"/>
        <w:rPr>
          <w:color w:val="000000" w:themeColor="text1"/>
          <w14:textFill>
            <w14:solidFill>
              <w14:schemeClr w14:val="tx1"/>
            </w14:solidFill>
          </w14:textFill>
        </w:rPr>
      </w:pPr>
    </w:p>
    <w:bookmarkEnd w:id="483"/>
    <w:bookmarkEnd w:id="484"/>
    <w:p w14:paraId="7A5398C9">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说明：</w:t>
      </w:r>
    </w:p>
    <w:sdt>
      <w:sdtPr>
        <w:rPr>
          <w:color w:val="000000" w:themeColor="text1"/>
          <w14:textFill>
            <w14:solidFill>
              <w14:schemeClr w14:val="tx1"/>
            </w14:solidFill>
          </w14:textFill>
        </w:rPr>
        <w:alias w:val="是否适用：母公司其他应收款的其他说明[双击切换]"/>
        <w:tag w:val="_GBC_2e0f632cbc7d4916b89bf8824f4b71f0"/>
        <w:id w:val="147465023"/>
        <w:placeholder>
          <w:docPart w:val="GBC22222222222222222222222222222"/>
        </w:placeholder>
      </w:sdtPr>
      <w:sdtEndPr>
        <w:rPr>
          <w:color w:val="000000" w:themeColor="text1"/>
          <w14:textFill>
            <w14:solidFill>
              <w14:schemeClr w14:val="tx1"/>
            </w14:solidFill>
          </w14:textFill>
        </w:rPr>
      </w:sdtEndPr>
      <w:sdtContent>
        <w:p w14:paraId="3ACF24F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C7E5D73">
      <w:pPr>
        <w:rPr>
          <w:color w:val="000000" w:themeColor="text1"/>
          <w14:textFill>
            <w14:solidFill>
              <w14:schemeClr w14:val="tx1"/>
            </w14:solidFill>
          </w14:textFill>
        </w:rPr>
      </w:pPr>
    </w:p>
    <w:p w14:paraId="15101C7A">
      <w:pPr>
        <w:rPr>
          <w:color w:val="000000" w:themeColor="text1"/>
          <w14:textFill>
            <w14:solidFill>
              <w14:schemeClr w14:val="tx1"/>
            </w14:solidFill>
          </w14:textFill>
        </w:rPr>
        <w:sectPr>
          <w:pgSz w:w="11906" w:h="16838"/>
          <w:pgMar w:top="1525" w:right="1276" w:bottom="1440" w:left="1797" w:header="856" w:footer="992" w:gutter="0"/>
          <w:cols w:space="425" w:num="1"/>
          <w:docGrid w:linePitch="312" w:charSpace="0"/>
        </w:sectPr>
      </w:pPr>
    </w:p>
    <w:p w14:paraId="3A12F6B5">
      <w:pPr>
        <w:pStyle w:val="57"/>
        <w:numPr>
          <w:ilvl w:val="0"/>
          <w:numId w:val="116"/>
        </w:num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长期股权投资</w:t>
      </w:r>
    </w:p>
    <w:sdt>
      <w:sdtPr>
        <w:rPr>
          <w:color w:val="000000" w:themeColor="text1"/>
          <w14:textFill>
            <w14:solidFill>
              <w14:schemeClr w14:val="tx1"/>
            </w14:solidFill>
          </w14:textFill>
        </w:rPr>
        <w:alias w:val="是否适用：母公司长期股权投资[双击切换]"/>
        <w:tag w:val="_GBC_61071b9a58624e83bfc4232808751b95"/>
        <w:id w:val="147453844"/>
        <w:lock w:val="contentLocked"/>
        <w:placeholder>
          <w:docPart w:val="GBC22222222222222222222222222222"/>
        </w:placeholder>
      </w:sdtPr>
      <w:sdtEndPr>
        <w:rPr>
          <w:color w:val="000000" w:themeColor="text1"/>
          <w14:textFill>
            <w14:solidFill>
              <w14:schemeClr w14:val="tx1"/>
            </w14:solidFill>
          </w14:textFill>
        </w:rPr>
      </w:sdtEndPr>
      <w:sdtContent>
        <w:p w14:paraId="13858B0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2984001">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母公司财务附注：长期股权投资"/>
          <w:tag w:val="_GBC_ee2c3454a2494dfca9c0a07bba82ed3d"/>
          <w:id w:val="1474762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母公司财务附注：长期股权投资"/>
          <w:tag w:val="_GBC_4b4d1a2b986f475e8058a041d2f5a6f9"/>
          <w:id w:val="1474550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3547"/>
        <w:gridCol w:w="1741"/>
        <w:gridCol w:w="1702"/>
        <w:gridCol w:w="1702"/>
        <w:gridCol w:w="1744"/>
        <w:gridCol w:w="1722"/>
        <w:gridCol w:w="1705"/>
      </w:tblGrid>
      <w:tr w14:paraId="454E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cs="Times New Roman"/>
            </w:rPr>
            <w:tag w:val="_PLD_69c4a2f49545484e8b3a149f64c9d21f"/>
            <w:id w:val="147457031"/>
          </w:sdtPr>
          <w:sdtEndPr>
            <w:rPr>
              <w:rFonts w:cs="Times New Roman"/>
            </w:rPr>
          </w:sdtEndPr>
          <w:sdtContent>
            <w:tc>
              <w:tcPr>
                <w:tcW w:w="1279" w:type="pct"/>
                <w:vMerge w:val="restart"/>
                <w:vAlign w:val="center"/>
              </w:tcPr>
              <w:p w14:paraId="72ECE2B7">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f7d0566caa554c4c823029a05c5319eb"/>
            <w:id w:val="147456113"/>
          </w:sdtPr>
          <w:sdtEndPr>
            <w:rPr>
              <w:rFonts w:cs="Times New Roman"/>
            </w:rPr>
          </w:sdtEndPr>
          <w:sdtContent>
            <w:tc>
              <w:tcPr>
                <w:tcW w:w="1856" w:type="pct"/>
                <w:gridSpan w:val="3"/>
                <w:vAlign w:val="center"/>
              </w:tcPr>
              <w:p w14:paraId="09722BD2">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期末余额</w:t>
                </w:r>
              </w:p>
            </w:tc>
          </w:sdtContent>
        </w:sdt>
        <w:sdt>
          <w:sdtPr>
            <w:rPr>
              <w:rFonts w:cs="Times New Roman"/>
            </w:rPr>
            <w:tag w:val="_PLD_9d2cfae2492a49c2b441d1371a5e4673"/>
            <w:id w:val="147476166"/>
          </w:sdtPr>
          <w:sdtEndPr>
            <w:rPr>
              <w:rFonts w:cs="Times New Roman"/>
            </w:rPr>
          </w:sdtEndPr>
          <w:sdtContent>
            <w:tc>
              <w:tcPr>
                <w:tcW w:w="1865" w:type="pct"/>
                <w:gridSpan w:val="3"/>
                <w:vAlign w:val="center"/>
              </w:tcPr>
              <w:p w14:paraId="1E66425F">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期初余额</w:t>
                </w:r>
              </w:p>
            </w:tc>
          </w:sdtContent>
        </w:sdt>
      </w:tr>
      <w:tr w14:paraId="0BE5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279" w:type="pct"/>
            <w:vMerge w:val="continue"/>
            <w:vAlign w:val="center"/>
          </w:tcPr>
          <w:p w14:paraId="4FB4B785">
            <w:pPr>
              <w:jc w:val="center"/>
              <w:rPr>
                <w:rFonts w:cs="Times New Roman"/>
                <w:color w:val="000000" w:themeColor="text1"/>
                <w14:textFill>
                  <w14:solidFill>
                    <w14:schemeClr w14:val="tx1"/>
                  </w14:solidFill>
                </w14:textFill>
              </w:rPr>
            </w:pPr>
          </w:p>
        </w:tc>
        <w:sdt>
          <w:sdtPr>
            <w:rPr>
              <w:rFonts w:cs="Times New Roman"/>
            </w:rPr>
            <w:tag w:val="_PLD_9f664b17996c45f08a57544a9ec7e340"/>
            <w:id w:val="147479519"/>
          </w:sdtPr>
          <w:sdtEndPr>
            <w:rPr>
              <w:rFonts w:cs="Times New Roman"/>
            </w:rPr>
          </w:sdtEndPr>
          <w:sdtContent>
            <w:tc>
              <w:tcPr>
                <w:tcW w:w="628" w:type="pct"/>
                <w:vAlign w:val="center"/>
              </w:tcPr>
              <w:p w14:paraId="19B5903E">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账面余额</w:t>
                </w:r>
              </w:p>
            </w:tc>
          </w:sdtContent>
        </w:sdt>
        <w:sdt>
          <w:sdtPr>
            <w:rPr>
              <w:rFonts w:cs="Times New Roman"/>
            </w:rPr>
            <w:tag w:val="_PLD_5c150a7367994fc29e7f8b50d7ff2eab"/>
            <w:id w:val="147473370"/>
          </w:sdtPr>
          <w:sdtEndPr>
            <w:rPr>
              <w:rFonts w:cs="Times New Roman"/>
            </w:rPr>
          </w:sdtEndPr>
          <w:sdtContent>
            <w:tc>
              <w:tcPr>
                <w:tcW w:w="614" w:type="pct"/>
                <w:vAlign w:val="center"/>
              </w:tcPr>
              <w:p w14:paraId="020183CF">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减值准备</w:t>
                </w:r>
              </w:p>
            </w:tc>
          </w:sdtContent>
        </w:sdt>
        <w:sdt>
          <w:sdtPr>
            <w:rPr>
              <w:rFonts w:cs="Times New Roman"/>
            </w:rPr>
            <w:tag w:val="_PLD_3db48da0eacd49568929884577dae51b"/>
            <w:id w:val="147470181"/>
          </w:sdtPr>
          <w:sdtEndPr>
            <w:rPr>
              <w:rFonts w:cs="Times New Roman"/>
            </w:rPr>
          </w:sdtEndPr>
          <w:sdtContent>
            <w:tc>
              <w:tcPr>
                <w:tcW w:w="614" w:type="pct"/>
                <w:vAlign w:val="center"/>
              </w:tcPr>
              <w:p w14:paraId="6CFB64A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账面价值</w:t>
                </w:r>
              </w:p>
            </w:tc>
          </w:sdtContent>
        </w:sdt>
        <w:sdt>
          <w:sdtPr>
            <w:rPr>
              <w:rFonts w:cs="Times New Roman"/>
            </w:rPr>
            <w:tag w:val="_PLD_00d8a1d3b6754b52929b2c46a2e716c9"/>
            <w:id w:val="147459675"/>
          </w:sdtPr>
          <w:sdtEndPr>
            <w:rPr>
              <w:rFonts w:cs="Times New Roman"/>
            </w:rPr>
          </w:sdtEndPr>
          <w:sdtContent>
            <w:tc>
              <w:tcPr>
                <w:tcW w:w="629" w:type="pct"/>
                <w:vAlign w:val="center"/>
              </w:tcPr>
              <w:p w14:paraId="51352512">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账面余额</w:t>
                </w:r>
              </w:p>
            </w:tc>
          </w:sdtContent>
        </w:sdt>
        <w:sdt>
          <w:sdtPr>
            <w:rPr>
              <w:rFonts w:cs="Times New Roman"/>
            </w:rPr>
            <w:tag w:val="_PLD_0f2c77fc41ea456bab34653dee178805"/>
            <w:id w:val="147462277"/>
          </w:sdtPr>
          <w:sdtEndPr>
            <w:rPr>
              <w:rFonts w:cs="Times New Roman"/>
            </w:rPr>
          </w:sdtEndPr>
          <w:sdtContent>
            <w:tc>
              <w:tcPr>
                <w:tcW w:w="621" w:type="pct"/>
                <w:vAlign w:val="center"/>
              </w:tcPr>
              <w:p w14:paraId="0EB3521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减值准备</w:t>
                </w:r>
              </w:p>
            </w:tc>
          </w:sdtContent>
        </w:sdt>
        <w:sdt>
          <w:sdtPr>
            <w:rPr>
              <w:rFonts w:cs="Times New Roman"/>
            </w:rPr>
            <w:tag w:val="_PLD_9ae07ed9769c419fa280d4c5ad3f03d7"/>
            <w:id w:val="147464563"/>
          </w:sdtPr>
          <w:sdtEndPr>
            <w:rPr>
              <w:rFonts w:cs="Times New Roman"/>
            </w:rPr>
          </w:sdtEndPr>
          <w:sdtContent>
            <w:tc>
              <w:tcPr>
                <w:tcW w:w="615" w:type="pct"/>
                <w:vAlign w:val="center"/>
              </w:tcPr>
              <w:p w14:paraId="3440F403">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账面价值</w:t>
                </w:r>
              </w:p>
            </w:tc>
          </w:sdtContent>
        </w:sdt>
      </w:tr>
      <w:tr w14:paraId="0580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279" w:type="pct"/>
          </w:tcPr>
          <w:p w14:paraId="7271CF64">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对子公司投资</w:t>
            </w:r>
          </w:p>
        </w:tc>
        <w:tc>
          <w:tcPr>
            <w:tcW w:w="628" w:type="pct"/>
            <w:vAlign w:val="center"/>
          </w:tcPr>
          <w:p w14:paraId="5E94E08E">
            <w:pPr>
              <w:jc w:val="right"/>
              <w:textAlignment w:val="center"/>
              <w:rPr>
                <w:rFonts w:cs="Times New Roman"/>
              </w:rPr>
            </w:pPr>
            <w:r>
              <w:rPr>
                <w:rFonts w:cs="Times New Roman"/>
                <w:color w:val="000000"/>
              </w:rPr>
              <w:t>6,663,462,344.74</w:t>
            </w:r>
          </w:p>
        </w:tc>
        <w:tc>
          <w:tcPr>
            <w:tcW w:w="614" w:type="pct"/>
            <w:vAlign w:val="center"/>
          </w:tcPr>
          <w:p w14:paraId="77CDE7A4">
            <w:pPr>
              <w:jc w:val="right"/>
              <w:textAlignment w:val="center"/>
              <w:rPr>
                <w:rFonts w:cs="Times New Roman"/>
              </w:rPr>
            </w:pPr>
            <w:r>
              <w:rPr>
                <w:rFonts w:cs="Times New Roman"/>
                <w:color w:val="000000"/>
              </w:rPr>
              <w:t>36,907,975.79</w:t>
            </w:r>
          </w:p>
        </w:tc>
        <w:tc>
          <w:tcPr>
            <w:tcW w:w="614" w:type="pct"/>
            <w:vAlign w:val="center"/>
          </w:tcPr>
          <w:p w14:paraId="45DB3346">
            <w:pPr>
              <w:jc w:val="right"/>
              <w:textAlignment w:val="center"/>
              <w:rPr>
                <w:rFonts w:cs="Times New Roman"/>
              </w:rPr>
            </w:pPr>
            <w:r>
              <w:rPr>
                <w:rFonts w:cs="Times New Roman"/>
                <w:color w:val="000000"/>
              </w:rPr>
              <w:t>6,626,554,368.95</w:t>
            </w:r>
          </w:p>
        </w:tc>
        <w:tc>
          <w:tcPr>
            <w:tcW w:w="629" w:type="pct"/>
            <w:vAlign w:val="center"/>
          </w:tcPr>
          <w:p w14:paraId="3FDE6979">
            <w:pPr>
              <w:jc w:val="right"/>
              <w:textAlignment w:val="center"/>
              <w:rPr>
                <w:rFonts w:cs="Times New Roman"/>
              </w:rPr>
            </w:pPr>
            <w:r>
              <w:rPr>
                <w:rFonts w:cs="Times New Roman"/>
                <w:color w:val="000000"/>
              </w:rPr>
              <w:t>6,648,208,908.67</w:t>
            </w:r>
          </w:p>
        </w:tc>
        <w:tc>
          <w:tcPr>
            <w:tcW w:w="621" w:type="pct"/>
            <w:vAlign w:val="center"/>
          </w:tcPr>
          <w:p w14:paraId="75A6BEAA">
            <w:pPr>
              <w:jc w:val="right"/>
              <w:textAlignment w:val="center"/>
              <w:rPr>
                <w:rFonts w:cs="Times New Roman"/>
              </w:rPr>
            </w:pPr>
            <w:r>
              <w:rPr>
                <w:rFonts w:cs="Times New Roman"/>
                <w:color w:val="000000"/>
              </w:rPr>
              <w:t>36,907,975.79</w:t>
            </w:r>
          </w:p>
        </w:tc>
        <w:tc>
          <w:tcPr>
            <w:tcW w:w="615" w:type="pct"/>
            <w:vAlign w:val="center"/>
          </w:tcPr>
          <w:p w14:paraId="15243E75">
            <w:pPr>
              <w:jc w:val="right"/>
              <w:textAlignment w:val="center"/>
              <w:rPr>
                <w:rFonts w:cs="Times New Roman"/>
              </w:rPr>
            </w:pPr>
            <w:r>
              <w:rPr>
                <w:rFonts w:cs="Times New Roman"/>
                <w:color w:val="000000"/>
              </w:rPr>
              <w:t>6,611,300,932.88</w:t>
            </w:r>
          </w:p>
        </w:tc>
      </w:tr>
      <w:tr w14:paraId="2E745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279" w:type="pct"/>
          </w:tcPr>
          <w:p w14:paraId="4C00234A">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对联营、合营企业投资</w:t>
            </w:r>
          </w:p>
        </w:tc>
        <w:tc>
          <w:tcPr>
            <w:tcW w:w="628" w:type="pct"/>
            <w:vAlign w:val="center"/>
          </w:tcPr>
          <w:p w14:paraId="5192B7B5">
            <w:pPr>
              <w:jc w:val="right"/>
              <w:textAlignment w:val="center"/>
              <w:rPr>
                <w:rFonts w:cs="Times New Roman"/>
              </w:rPr>
            </w:pPr>
            <w:r>
              <w:rPr>
                <w:rFonts w:cs="Times New Roman"/>
                <w:color w:val="000000"/>
              </w:rPr>
              <w:t>1,074,626.77</w:t>
            </w:r>
          </w:p>
        </w:tc>
        <w:tc>
          <w:tcPr>
            <w:tcW w:w="614" w:type="pct"/>
            <w:vAlign w:val="center"/>
          </w:tcPr>
          <w:p w14:paraId="2EEEC25F">
            <w:pPr>
              <w:jc w:val="right"/>
              <w:rPr>
                <w:rFonts w:cs="Times New Roman"/>
              </w:rPr>
            </w:pPr>
          </w:p>
        </w:tc>
        <w:tc>
          <w:tcPr>
            <w:tcW w:w="614" w:type="pct"/>
            <w:vAlign w:val="center"/>
          </w:tcPr>
          <w:p w14:paraId="5065AC46">
            <w:pPr>
              <w:jc w:val="right"/>
              <w:textAlignment w:val="center"/>
              <w:rPr>
                <w:rFonts w:cs="Times New Roman"/>
              </w:rPr>
            </w:pPr>
            <w:r>
              <w:rPr>
                <w:rFonts w:cs="Times New Roman"/>
                <w:color w:val="000000"/>
              </w:rPr>
              <w:t>1,074,626.77</w:t>
            </w:r>
          </w:p>
        </w:tc>
        <w:tc>
          <w:tcPr>
            <w:tcW w:w="629" w:type="pct"/>
            <w:vAlign w:val="center"/>
          </w:tcPr>
          <w:p w14:paraId="32554980">
            <w:pPr>
              <w:jc w:val="right"/>
              <w:textAlignment w:val="center"/>
              <w:rPr>
                <w:rFonts w:cs="Times New Roman"/>
              </w:rPr>
            </w:pPr>
            <w:r>
              <w:rPr>
                <w:rFonts w:cs="Times New Roman"/>
                <w:color w:val="000000"/>
              </w:rPr>
              <w:t>1,068,839.26</w:t>
            </w:r>
          </w:p>
        </w:tc>
        <w:tc>
          <w:tcPr>
            <w:tcW w:w="621" w:type="pct"/>
            <w:vAlign w:val="center"/>
          </w:tcPr>
          <w:p w14:paraId="2D4EDE01">
            <w:pPr>
              <w:jc w:val="right"/>
              <w:rPr>
                <w:rFonts w:cs="Times New Roman"/>
              </w:rPr>
            </w:pPr>
          </w:p>
        </w:tc>
        <w:tc>
          <w:tcPr>
            <w:tcW w:w="615" w:type="pct"/>
            <w:vAlign w:val="center"/>
          </w:tcPr>
          <w:p w14:paraId="62C7BF54">
            <w:pPr>
              <w:jc w:val="right"/>
              <w:textAlignment w:val="center"/>
              <w:rPr>
                <w:rFonts w:cs="Times New Roman"/>
              </w:rPr>
            </w:pPr>
            <w:r>
              <w:rPr>
                <w:rFonts w:cs="Times New Roman"/>
                <w:color w:val="000000"/>
              </w:rPr>
              <w:t>1,068,839.26</w:t>
            </w:r>
          </w:p>
        </w:tc>
      </w:tr>
      <w:tr w14:paraId="637A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279" w:type="pct"/>
            <w:vAlign w:val="center"/>
          </w:tcPr>
          <w:p w14:paraId="401D5438">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628" w:type="pct"/>
            <w:vAlign w:val="center"/>
          </w:tcPr>
          <w:p w14:paraId="4EF88375">
            <w:pPr>
              <w:jc w:val="right"/>
              <w:textAlignment w:val="center"/>
              <w:rPr>
                <w:rFonts w:cs="Times New Roman"/>
              </w:rPr>
            </w:pPr>
            <w:r>
              <w:rPr>
                <w:rFonts w:cs="Times New Roman"/>
                <w:color w:val="000000"/>
              </w:rPr>
              <w:t>6,664,536,971.51</w:t>
            </w:r>
          </w:p>
        </w:tc>
        <w:tc>
          <w:tcPr>
            <w:tcW w:w="614" w:type="pct"/>
            <w:vAlign w:val="center"/>
          </w:tcPr>
          <w:p w14:paraId="7F1769F1">
            <w:pPr>
              <w:jc w:val="right"/>
              <w:textAlignment w:val="center"/>
              <w:rPr>
                <w:rFonts w:cs="Times New Roman"/>
              </w:rPr>
            </w:pPr>
            <w:r>
              <w:rPr>
                <w:rFonts w:cs="Times New Roman"/>
                <w:color w:val="000000"/>
              </w:rPr>
              <w:t>36,907,975.79</w:t>
            </w:r>
          </w:p>
        </w:tc>
        <w:tc>
          <w:tcPr>
            <w:tcW w:w="614" w:type="pct"/>
            <w:vAlign w:val="center"/>
          </w:tcPr>
          <w:p w14:paraId="1C7E192A">
            <w:pPr>
              <w:jc w:val="right"/>
              <w:textAlignment w:val="center"/>
              <w:rPr>
                <w:rFonts w:cs="Times New Roman"/>
              </w:rPr>
            </w:pPr>
            <w:r>
              <w:rPr>
                <w:rFonts w:cs="Times New Roman"/>
                <w:color w:val="000000"/>
              </w:rPr>
              <w:t>6,627,628,995.72</w:t>
            </w:r>
          </w:p>
        </w:tc>
        <w:tc>
          <w:tcPr>
            <w:tcW w:w="629" w:type="pct"/>
            <w:vAlign w:val="center"/>
          </w:tcPr>
          <w:p w14:paraId="7141F130">
            <w:pPr>
              <w:jc w:val="right"/>
              <w:textAlignment w:val="center"/>
              <w:rPr>
                <w:rFonts w:cs="Times New Roman"/>
              </w:rPr>
            </w:pPr>
            <w:r>
              <w:rPr>
                <w:rFonts w:cs="Times New Roman"/>
                <w:color w:val="000000"/>
              </w:rPr>
              <w:t>6,649,277,747.93</w:t>
            </w:r>
          </w:p>
        </w:tc>
        <w:tc>
          <w:tcPr>
            <w:tcW w:w="621" w:type="pct"/>
            <w:vAlign w:val="center"/>
          </w:tcPr>
          <w:p w14:paraId="25AB446D">
            <w:pPr>
              <w:jc w:val="right"/>
              <w:textAlignment w:val="center"/>
              <w:rPr>
                <w:rFonts w:cs="Times New Roman"/>
              </w:rPr>
            </w:pPr>
            <w:r>
              <w:rPr>
                <w:rFonts w:cs="Times New Roman"/>
                <w:color w:val="000000"/>
              </w:rPr>
              <w:t>36,907,975.79</w:t>
            </w:r>
          </w:p>
        </w:tc>
        <w:tc>
          <w:tcPr>
            <w:tcW w:w="615" w:type="pct"/>
            <w:vAlign w:val="center"/>
          </w:tcPr>
          <w:p w14:paraId="26EFE52A">
            <w:pPr>
              <w:jc w:val="right"/>
              <w:textAlignment w:val="center"/>
              <w:rPr>
                <w:rFonts w:cs="Times New Roman"/>
              </w:rPr>
            </w:pPr>
            <w:r>
              <w:rPr>
                <w:rFonts w:cs="Times New Roman"/>
                <w:color w:val="000000"/>
              </w:rPr>
              <w:t>6,612,369,772.14</w:t>
            </w:r>
          </w:p>
        </w:tc>
      </w:tr>
    </w:tbl>
    <w:p w14:paraId="2254EFA2">
      <w:pPr>
        <w:rPr>
          <w:color w:val="000000" w:themeColor="text1"/>
          <w14:textFill>
            <w14:solidFill>
              <w14:schemeClr w14:val="tx1"/>
            </w14:solidFill>
          </w14:textFill>
        </w:rPr>
      </w:pPr>
    </w:p>
    <w:p w14:paraId="0ED2E2E1">
      <w:pPr>
        <w:pStyle w:val="58"/>
        <w:numPr>
          <w:ilvl w:val="0"/>
          <w:numId w:val="121"/>
        </w:numPr>
        <w:rPr>
          <w:rFonts w:ascii="宋体" w:hAnsi="宋体"/>
          <w:color w:val="000000" w:themeColor="text1"/>
          <w14:textFill>
            <w14:solidFill>
              <w14:schemeClr w14:val="tx1"/>
            </w14:solidFill>
          </w14:textFill>
        </w:rPr>
      </w:pPr>
      <w:bookmarkStart w:id="485" w:name="_Hlk106375342"/>
      <w:bookmarkStart w:id="486" w:name="_Hlk199855034"/>
      <w:r>
        <w:rPr>
          <w:rFonts w:hint="eastAsia" w:ascii="宋体" w:hAnsi="宋体"/>
          <w:color w:val="000000" w:themeColor="text1"/>
          <w14:textFill>
            <w14:solidFill>
              <w14:schemeClr w14:val="tx1"/>
            </w14:solidFill>
          </w14:textFill>
        </w:rPr>
        <w:t>对子公司投资</w:t>
      </w:r>
    </w:p>
    <w:sdt>
      <w:sdtPr>
        <w:rPr>
          <w:color w:val="000000" w:themeColor="text1"/>
          <w14:textFill>
            <w14:solidFill>
              <w14:schemeClr w14:val="tx1"/>
            </w14:solidFill>
          </w14:textFill>
        </w:rPr>
        <w:alias w:val="是否适用：母公司对子公司投资[双击切换]"/>
        <w:tag w:val="_GBC_c52cee49247d42a9a79deabbd4c8635c"/>
        <w:id w:val="-924564338"/>
      </w:sdtPr>
      <w:sdtEndPr>
        <w:rPr>
          <w:color w:val="000000" w:themeColor="text1"/>
          <w14:textFill>
            <w14:solidFill>
              <w14:schemeClr w14:val="tx1"/>
            </w14:solidFill>
          </w14:textFill>
        </w:rPr>
      </w:sdtEndPr>
      <w:sdtContent>
        <w:p w14:paraId="76C9456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74FD413E">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母公司财务附注：对子公司投资"/>
          <w:tag w:val="_GBC_84c410d0b81f42e3adfddc3699487310"/>
          <w:id w:val="1153026737"/>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母公司财务附注：对子公司投资"/>
          <w:tag w:val="_GBC_97fad72310ba4b849377b0e1cebf7303"/>
          <w:id w:val="126858384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7"/>
        <w:gridCol w:w="2104"/>
        <w:gridCol w:w="1813"/>
        <w:gridCol w:w="1827"/>
        <w:gridCol w:w="2178"/>
        <w:gridCol w:w="2186"/>
      </w:tblGrid>
      <w:tr w14:paraId="38A38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blHeader/>
        </w:trPr>
        <w:sdt>
          <w:sdtPr>
            <w:rPr>
              <w:rFonts w:cs="Times New Roman"/>
            </w:rPr>
            <w:tag w:val="_PLD_5e30a804ceaa4024b238d79c66b2f2dd"/>
            <w:id w:val="1609547054"/>
          </w:sdtPr>
          <w:sdtEndPr>
            <w:rPr>
              <w:rFonts w:cs="Times New Roman"/>
            </w:rPr>
          </w:sdtEndPr>
          <w:sdtContent>
            <w:tc>
              <w:tcPr>
                <w:tcW w:w="1351" w:type="pct"/>
                <w:vMerge w:val="restart"/>
                <w:tcBorders>
                  <w:top w:val="single" w:color="auto" w:sz="4" w:space="0"/>
                  <w:left w:val="single" w:color="auto" w:sz="4" w:space="0"/>
                  <w:right w:val="single" w:color="auto" w:sz="4" w:space="0"/>
                </w:tcBorders>
                <w:vAlign w:val="center"/>
              </w:tcPr>
              <w:p w14:paraId="1F0EDA24">
                <w:pPr>
                  <w:jc w:val="center"/>
                  <w:rPr>
                    <w:rFonts w:cs="Times New Roman"/>
                  </w:rPr>
                </w:pPr>
                <w:r>
                  <w:rPr>
                    <w:rFonts w:cs="Times New Roman"/>
                  </w:rPr>
                  <w:t>被投资单位</w:t>
                </w:r>
              </w:p>
            </w:tc>
          </w:sdtContent>
        </w:sdt>
        <w:sdt>
          <w:sdtPr>
            <w:rPr>
              <w:rFonts w:cs="Times New Roman"/>
            </w:rPr>
            <w:tag w:val="_PLD_414e7de75190451298fb101077dd4f51"/>
            <w:id w:val="-161002246"/>
          </w:sdtPr>
          <w:sdtEndPr>
            <w:rPr>
              <w:rFonts w:cs="Times New Roman"/>
            </w:rPr>
          </w:sdtEndPr>
          <w:sdtContent>
            <w:tc>
              <w:tcPr>
                <w:tcW w:w="759" w:type="pct"/>
                <w:vMerge w:val="restart"/>
                <w:tcBorders>
                  <w:top w:val="single" w:color="auto" w:sz="4" w:space="0"/>
                  <w:left w:val="single" w:color="auto" w:sz="4" w:space="0"/>
                  <w:right w:val="single" w:color="auto" w:sz="4" w:space="0"/>
                </w:tcBorders>
                <w:vAlign w:val="center"/>
              </w:tcPr>
              <w:p w14:paraId="68EC1802">
                <w:pPr>
                  <w:jc w:val="center"/>
                  <w:rPr>
                    <w:rFonts w:cs="Times New Roman"/>
                  </w:rPr>
                </w:pPr>
                <w:r>
                  <w:rPr>
                    <w:rFonts w:cs="Times New Roman"/>
                  </w:rPr>
                  <w:t>期初余额（账面价值）</w:t>
                </w:r>
              </w:p>
            </w:tc>
          </w:sdtContent>
        </w:sdt>
        <w:sdt>
          <w:sdtPr>
            <w:rPr>
              <w:rFonts w:cs="Times New Roman"/>
            </w:rPr>
            <w:tag w:val="_PLD_13c296ca5c774a46b83afc3a9c08fdab"/>
            <w:id w:val="1580874316"/>
          </w:sdtPr>
          <w:sdtEndPr>
            <w:rPr>
              <w:rFonts w:cs="Times New Roman"/>
            </w:rPr>
          </w:sdtEndPr>
          <w:sdtContent>
            <w:tc>
              <w:tcPr>
                <w:tcW w:w="654" w:type="pct"/>
                <w:vMerge w:val="restart"/>
                <w:tcBorders>
                  <w:top w:val="single" w:color="auto" w:sz="4" w:space="0"/>
                  <w:left w:val="single" w:color="auto" w:sz="4" w:space="0"/>
                  <w:right w:val="single" w:color="auto" w:sz="4" w:space="0"/>
                </w:tcBorders>
                <w:vAlign w:val="center"/>
              </w:tcPr>
              <w:p w14:paraId="050BFC01">
                <w:pPr>
                  <w:jc w:val="center"/>
                  <w:rPr>
                    <w:rFonts w:cs="Times New Roman"/>
                  </w:rPr>
                </w:pPr>
                <w:r>
                  <w:rPr>
                    <w:rFonts w:cs="Times New Roman"/>
                  </w:rPr>
                  <w:t>减值准备期初余额</w:t>
                </w:r>
              </w:p>
            </w:tc>
          </w:sdtContent>
        </w:sdt>
        <w:sdt>
          <w:sdtPr>
            <w:rPr>
              <w:rFonts w:cs="Times New Roman"/>
            </w:rPr>
            <w:tag w:val="_PLD_38d284e511fe4000a53245d837ffe0fb"/>
            <w:id w:val="-1017073233"/>
          </w:sdtPr>
          <w:sdtEndPr>
            <w:rPr>
              <w:rFonts w:cs="Times New Roman"/>
            </w:rPr>
          </w:sdtEndPr>
          <w:sdtContent>
            <w:tc>
              <w:tcPr>
                <w:tcW w:w="659" w:type="pct"/>
                <w:tcBorders>
                  <w:top w:val="single" w:color="auto" w:sz="4" w:space="0"/>
                  <w:left w:val="single" w:color="auto" w:sz="4" w:space="0"/>
                  <w:bottom w:val="single" w:color="auto" w:sz="4" w:space="0"/>
                  <w:right w:val="single" w:color="auto" w:sz="4" w:space="0"/>
                </w:tcBorders>
                <w:vAlign w:val="center"/>
              </w:tcPr>
              <w:p w14:paraId="3B6CD47A">
                <w:pPr>
                  <w:jc w:val="center"/>
                  <w:rPr>
                    <w:rFonts w:cs="Times New Roman"/>
                  </w:rPr>
                </w:pPr>
                <w:r>
                  <w:rPr>
                    <w:rFonts w:cs="Times New Roman"/>
                  </w:rPr>
                  <w:t>本期增减变动</w:t>
                </w:r>
              </w:p>
            </w:tc>
          </w:sdtContent>
        </w:sdt>
        <w:sdt>
          <w:sdtPr>
            <w:rPr>
              <w:rFonts w:cs="Times New Roman"/>
            </w:rPr>
            <w:tag w:val="_PLD_f92255f6ae8b4ccdb039b28bf9204156"/>
            <w:id w:val="-42063162"/>
          </w:sdtPr>
          <w:sdtEndPr>
            <w:rPr>
              <w:rFonts w:cs="Times New Roman"/>
            </w:rPr>
          </w:sdtEndPr>
          <w:sdtContent>
            <w:tc>
              <w:tcPr>
                <w:tcW w:w="786" w:type="pct"/>
                <w:vMerge w:val="restart"/>
                <w:tcBorders>
                  <w:top w:val="single" w:color="auto" w:sz="4" w:space="0"/>
                  <w:left w:val="single" w:color="auto" w:sz="4" w:space="0"/>
                  <w:right w:val="single" w:color="auto" w:sz="4" w:space="0"/>
                </w:tcBorders>
                <w:vAlign w:val="center"/>
              </w:tcPr>
              <w:p w14:paraId="2FEE1BF4">
                <w:pPr>
                  <w:jc w:val="center"/>
                  <w:rPr>
                    <w:rFonts w:cs="Times New Roman"/>
                  </w:rPr>
                </w:pPr>
                <w:r>
                  <w:rPr>
                    <w:rFonts w:cs="Times New Roman"/>
                  </w:rPr>
                  <w:t>期末余额（账面价值）</w:t>
                </w:r>
              </w:p>
            </w:tc>
          </w:sdtContent>
        </w:sdt>
        <w:sdt>
          <w:sdtPr>
            <w:rPr>
              <w:rFonts w:cs="Times New Roman"/>
            </w:rPr>
            <w:tag w:val="_PLD_2f11e6808a6f4c8b9936f3229bb0c312"/>
            <w:id w:val="1183940914"/>
          </w:sdtPr>
          <w:sdtEndPr>
            <w:rPr>
              <w:rFonts w:cs="Times New Roman"/>
            </w:rPr>
          </w:sdtEndPr>
          <w:sdtContent>
            <w:tc>
              <w:tcPr>
                <w:tcW w:w="789" w:type="pct"/>
                <w:vMerge w:val="restart"/>
                <w:tcBorders>
                  <w:top w:val="single" w:color="auto" w:sz="4" w:space="0"/>
                  <w:left w:val="single" w:color="auto" w:sz="4" w:space="0"/>
                  <w:right w:val="single" w:color="auto" w:sz="4" w:space="0"/>
                </w:tcBorders>
                <w:vAlign w:val="center"/>
              </w:tcPr>
              <w:p w14:paraId="75E59CC7">
                <w:pPr>
                  <w:jc w:val="center"/>
                  <w:rPr>
                    <w:rFonts w:cs="Times New Roman"/>
                  </w:rPr>
                </w:pPr>
                <w:r>
                  <w:rPr>
                    <w:rFonts w:cs="Times New Roman"/>
                  </w:rPr>
                  <w:t>减值准备期末余额</w:t>
                </w:r>
              </w:p>
            </w:tc>
          </w:sdtContent>
        </w:sdt>
      </w:tr>
      <w:tr w14:paraId="5E6F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blHeader/>
        </w:trPr>
        <w:tc>
          <w:tcPr>
            <w:tcW w:w="1351" w:type="pct"/>
            <w:vMerge w:val="continue"/>
            <w:tcBorders>
              <w:left w:val="single" w:color="auto" w:sz="4" w:space="0"/>
              <w:bottom w:val="single" w:color="auto" w:sz="4" w:space="0"/>
              <w:right w:val="single" w:color="auto" w:sz="4" w:space="0"/>
            </w:tcBorders>
            <w:vAlign w:val="center"/>
          </w:tcPr>
          <w:p w14:paraId="6C864C24">
            <w:pPr>
              <w:jc w:val="center"/>
              <w:rPr>
                <w:rFonts w:cs="Times New Roman"/>
              </w:rPr>
            </w:pPr>
          </w:p>
        </w:tc>
        <w:tc>
          <w:tcPr>
            <w:tcW w:w="759" w:type="pct"/>
            <w:vMerge w:val="continue"/>
            <w:tcBorders>
              <w:left w:val="single" w:color="auto" w:sz="4" w:space="0"/>
              <w:bottom w:val="single" w:color="auto" w:sz="4" w:space="0"/>
              <w:right w:val="single" w:color="auto" w:sz="4" w:space="0"/>
            </w:tcBorders>
            <w:vAlign w:val="center"/>
          </w:tcPr>
          <w:p w14:paraId="0CB2656D">
            <w:pPr>
              <w:jc w:val="center"/>
              <w:rPr>
                <w:rFonts w:cs="Times New Roman"/>
              </w:rPr>
            </w:pPr>
          </w:p>
        </w:tc>
        <w:tc>
          <w:tcPr>
            <w:tcW w:w="654" w:type="pct"/>
            <w:vMerge w:val="continue"/>
            <w:tcBorders>
              <w:left w:val="single" w:color="auto" w:sz="4" w:space="0"/>
              <w:bottom w:val="single" w:color="auto" w:sz="4" w:space="0"/>
              <w:right w:val="single" w:color="auto" w:sz="4" w:space="0"/>
            </w:tcBorders>
            <w:vAlign w:val="center"/>
          </w:tcPr>
          <w:p w14:paraId="43CC394D">
            <w:pPr>
              <w:jc w:val="center"/>
              <w:rPr>
                <w:rFonts w:cs="Times New Roman"/>
              </w:rPr>
            </w:pPr>
          </w:p>
        </w:tc>
        <w:sdt>
          <w:sdtPr>
            <w:rPr>
              <w:rFonts w:cs="Times New Roman"/>
            </w:rPr>
            <w:tag w:val="_PLD_f5b021383bb548b49923eb6da9f9508b"/>
            <w:id w:val="-1116060703"/>
          </w:sdtPr>
          <w:sdtEndPr>
            <w:rPr>
              <w:rFonts w:cs="Times New Roman"/>
            </w:rPr>
          </w:sdtEndPr>
          <w:sdtContent>
            <w:tc>
              <w:tcPr>
                <w:tcW w:w="659" w:type="pct"/>
                <w:tcBorders>
                  <w:top w:val="single" w:color="auto" w:sz="4" w:space="0"/>
                  <w:left w:val="single" w:color="auto" w:sz="4" w:space="0"/>
                  <w:bottom w:val="single" w:color="auto" w:sz="4" w:space="0"/>
                  <w:right w:val="single" w:color="auto" w:sz="4" w:space="0"/>
                </w:tcBorders>
                <w:vAlign w:val="center"/>
              </w:tcPr>
              <w:p w14:paraId="40EA8D26">
                <w:pPr>
                  <w:jc w:val="center"/>
                  <w:rPr>
                    <w:rFonts w:cs="Times New Roman"/>
                  </w:rPr>
                </w:pPr>
                <w:r>
                  <w:rPr>
                    <w:rFonts w:cs="Times New Roman"/>
                  </w:rPr>
                  <w:t>追加投资</w:t>
                </w:r>
              </w:p>
            </w:tc>
          </w:sdtContent>
        </w:sdt>
        <w:tc>
          <w:tcPr>
            <w:tcW w:w="786" w:type="pct"/>
            <w:vMerge w:val="continue"/>
            <w:tcBorders>
              <w:left w:val="single" w:color="auto" w:sz="4" w:space="0"/>
              <w:bottom w:val="single" w:color="auto" w:sz="4" w:space="0"/>
              <w:right w:val="single" w:color="auto" w:sz="4" w:space="0"/>
            </w:tcBorders>
            <w:vAlign w:val="center"/>
          </w:tcPr>
          <w:p w14:paraId="5E0E5481">
            <w:pPr>
              <w:jc w:val="center"/>
              <w:rPr>
                <w:rFonts w:cs="Times New Roman"/>
              </w:rPr>
            </w:pPr>
          </w:p>
        </w:tc>
        <w:tc>
          <w:tcPr>
            <w:tcW w:w="789" w:type="pct"/>
            <w:vMerge w:val="continue"/>
            <w:tcBorders>
              <w:left w:val="single" w:color="auto" w:sz="4" w:space="0"/>
              <w:bottom w:val="single" w:color="auto" w:sz="4" w:space="0"/>
              <w:right w:val="single" w:color="auto" w:sz="4" w:space="0"/>
            </w:tcBorders>
            <w:vAlign w:val="center"/>
          </w:tcPr>
          <w:p w14:paraId="4812D228">
            <w:pPr>
              <w:jc w:val="center"/>
              <w:rPr>
                <w:rFonts w:cs="Times New Roman"/>
              </w:rPr>
            </w:pPr>
          </w:p>
        </w:tc>
      </w:tr>
      <w:sdt>
        <w:sdtPr>
          <w:rPr>
            <w:rFonts w:cs="Times New Roman"/>
          </w:rPr>
          <w:alias w:val="对子公司投资明细"/>
          <w:tag w:val="_TUP_321065c012a14e8eb3b6aecf92f7a7bb"/>
          <w:id w:val="1560667579"/>
          <w:placeholder>
            <w:docPart w:val="{31e701fb-1afd-481e-b699-3b89320895e4}"/>
          </w:placeholder>
        </w:sdtPr>
        <w:sdtEndPr>
          <w:rPr>
            <w:rFonts w:cs="Times New Roman"/>
          </w:rPr>
        </w:sdtEndPr>
        <w:sdtContent>
          <w:tr w14:paraId="20E64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1DC6E52D">
                <w:pPr>
                  <w:rPr>
                    <w:rFonts w:cs="Times New Roman"/>
                  </w:rPr>
                </w:pPr>
                <w:r>
                  <w:rPr>
                    <w:rFonts w:cs="Times New Roman"/>
                  </w:rPr>
                  <w:t>咸阳际华新三零印染有限公司</w:t>
                </w:r>
              </w:p>
            </w:tc>
            <w:tc>
              <w:tcPr>
                <w:tcW w:w="759" w:type="pct"/>
                <w:tcBorders>
                  <w:top w:val="single" w:color="auto" w:sz="4" w:space="0"/>
                  <w:left w:val="single" w:color="auto" w:sz="4" w:space="0"/>
                  <w:bottom w:val="single" w:color="auto" w:sz="4" w:space="0"/>
                  <w:right w:val="single" w:color="auto" w:sz="4" w:space="0"/>
                </w:tcBorders>
              </w:tcPr>
              <w:p w14:paraId="3344E637">
                <w:pPr>
                  <w:jc w:val="right"/>
                  <w:rPr>
                    <w:rFonts w:cs="Times New Roman"/>
                  </w:rPr>
                </w:pPr>
              </w:p>
            </w:tc>
            <w:tc>
              <w:tcPr>
                <w:tcW w:w="654" w:type="pct"/>
                <w:tcBorders>
                  <w:top w:val="single" w:color="auto" w:sz="4" w:space="0"/>
                  <w:left w:val="single" w:color="auto" w:sz="4" w:space="0"/>
                  <w:bottom w:val="single" w:color="auto" w:sz="4" w:space="0"/>
                  <w:right w:val="single" w:color="auto" w:sz="4" w:space="0"/>
                </w:tcBorders>
                <w:vAlign w:val="center"/>
              </w:tcPr>
              <w:p w14:paraId="45D31494">
                <w:pPr>
                  <w:jc w:val="right"/>
                  <w:rPr>
                    <w:rFonts w:cs="Times New Roman"/>
                  </w:rPr>
                </w:pPr>
                <w:r>
                  <w:rPr>
                    <w:rFonts w:cs="Times New Roman"/>
                  </w:rPr>
                  <w:t>36,907,975.79</w:t>
                </w:r>
              </w:p>
            </w:tc>
            <w:tc>
              <w:tcPr>
                <w:tcW w:w="659" w:type="pct"/>
                <w:tcBorders>
                  <w:top w:val="single" w:color="auto" w:sz="4" w:space="0"/>
                  <w:left w:val="single" w:color="auto" w:sz="4" w:space="0"/>
                  <w:bottom w:val="single" w:color="auto" w:sz="4" w:space="0"/>
                  <w:right w:val="single" w:color="auto" w:sz="4" w:space="0"/>
                </w:tcBorders>
              </w:tcPr>
              <w:p w14:paraId="0647E79D">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tcPr>
              <w:p w14:paraId="072E0841">
                <w:pPr>
                  <w:jc w:val="right"/>
                  <w:rPr>
                    <w:rFonts w:cs="Times New Roman"/>
                  </w:rPr>
                </w:pPr>
              </w:p>
            </w:tc>
            <w:tc>
              <w:tcPr>
                <w:tcW w:w="789" w:type="pct"/>
                <w:tcBorders>
                  <w:top w:val="single" w:color="auto" w:sz="4" w:space="0"/>
                  <w:left w:val="single" w:color="auto" w:sz="4" w:space="0"/>
                  <w:bottom w:val="single" w:color="auto" w:sz="4" w:space="0"/>
                  <w:right w:val="single" w:color="auto" w:sz="4" w:space="0"/>
                </w:tcBorders>
                <w:vAlign w:val="center"/>
              </w:tcPr>
              <w:p w14:paraId="26829BCF">
                <w:pPr>
                  <w:jc w:val="right"/>
                  <w:rPr>
                    <w:rFonts w:cs="Times New Roman"/>
                  </w:rPr>
                </w:pPr>
                <w:r>
                  <w:rPr>
                    <w:rFonts w:cs="Times New Roman"/>
                  </w:rPr>
                  <w:t>36,907,975.79</w:t>
                </w:r>
              </w:p>
            </w:tc>
          </w:tr>
        </w:sdtContent>
      </w:sdt>
      <w:sdt>
        <w:sdtPr>
          <w:rPr>
            <w:rFonts w:cs="Times New Roman"/>
          </w:rPr>
          <w:alias w:val="对子公司投资明细"/>
          <w:tag w:val="_TUP_321065c012a14e8eb3b6aecf92f7a7bb"/>
          <w:id w:val="-1456321959"/>
          <w:placeholder>
            <w:docPart w:val="{31e701fb-1afd-481e-b699-3b89320895e4}"/>
          </w:placeholder>
        </w:sdtPr>
        <w:sdtEndPr>
          <w:rPr>
            <w:rFonts w:cs="Times New Roman"/>
          </w:rPr>
        </w:sdtEndPr>
        <w:sdtContent>
          <w:tr w14:paraId="6115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7B7372D1">
                <w:pPr>
                  <w:rPr>
                    <w:rFonts w:cs="Times New Roman"/>
                  </w:rPr>
                </w:pPr>
                <w:r>
                  <w:rPr>
                    <w:rFonts w:cs="Times New Roman"/>
                  </w:rPr>
                  <w:t>际华连锁商务有限公司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25963CD8">
                <w:pPr>
                  <w:jc w:val="right"/>
                  <w:rPr>
                    <w:rFonts w:cs="Times New Roman"/>
                  </w:rPr>
                </w:pPr>
                <w:r>
                  <w:rPr>
                    <w:rFonts w:cs="Times New Roman"/>
                  </w:rPr>
                  <w:t>51,204,495.33</w:t>
                </w:r>
              </w:p>
            </w:tc>
            <w:tc>
              <w:tcPr>
                <w:tcW w:w="654" w:type="pct"/>
                <w:tcBorders>
                  <w:top w:val="single" w:color="auto" w:sz="4" w:space="0"/>
                  <w:left w:val="single" w:color="auto" w:sz="4" w:space="0"/>
                  <w:bottom w:val="single" w:color="auto" w:sz="4" w:space="0"/>
                  <w:right w:val="single" w:color="auto" w:sz="4" w:space="0"/>
                </w:tcBorders>
              </w:tcPr>
              <w:p w14:paraId="6AC4EFEA">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tcPr>
              <w:p w14:paraId="57540FE7">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65F92A64">
                <w:pPr>
                  <w:jc w:val="right"/>
                  <w:rPr>
                    <w:rFonts w:cs="Times New Roman"/>
                  </w:rPr>
                </w:pPr>
                <w:r>
                  <w:rPr>
                    <w:rFonts w:cs="Times New Roman"/>
                  </w:rPr>
                  <w:t>51,204,495.33</w:t>
                </w:r>
              </w:p>
            </w:tc>
            <w:tc>
              <w:tcPr>
                <w:tcW w:w="789" w:type="pct"/>
                <w:tcBorders>
                  <w:top w:val="single" w:color="auto" w:sz="4" w:space="0"/>
                  <w:left w:val="single" w:color="auto" w:sz="4" w:space="0"/>
                  <w:bottom w:val="single" w:color="auto" w:sz="4" w:space="0"/>
                  <w:right w:val="single" w:color="auto" w:sz="4" w:space="0"/>
                </w:tcBorders>
              </w:tcPr>
              <w:p w14:paraId="3CD77081">
                <w:pPr>
                  <w:jc w:val="right"/>
                  <w:rPr>
                    <w:rFonts w:cs="Times New Roman"/>
                  </w:rPr>
                </w:pPr>
              </w:p>
            </w:tc>
          </w:tr>
        </w:sdtContent>
      </w:sdt>
      <w:sdt>
        <w:sdtPr>
          <w:rPr>
            <w:rFonts w:cs="Times New Roman"/>
          </w:rPr>
          <w:alias w:val="对子公司投资明细"/>
          <w:tag w:val="_TUP_321065c012a14e8eb3b6aecf92f7a7bb"/>
          <w:id w:val="-2143422286"/>
          <w:placeholder>
            <w:docPart w:val="{31e701fb-1afd-481e-b699-3b89320895e4}"/>
          </w:placeholder>
        </w:sdtPr>
        <w:sdtEndPr>
          <w:rPr>
            <w:rFonts w:cs="Times New Roman"/>
          </w:rPr>
        </w:sdtEndPr>
        <w:sdtContent>
          <w:tr w14:paraId="4F47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7835DA0F">
                <w:pPr>
                  <w:rPr>
                    <w:rFonts w:cs="Times New Roman"/>
                  </w:rPr>
                </w:pPr>
                <w:r>
                  <w:rPr>
                    <w:rFonts w:cs="Times New Roman"/>
                  </w:rPr>
                  <w:t>长春际华投资建设有限公司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60B336FD">
                <w:pPr>
                  <w:jc w:val="right"/>
                  <w:rPr>
                    <w:rFonts w:cs="Times New Roman"/>
                  </w:rPr>
                </w:pPr>
                <w:r>
                  <w:rPr>
                    <w:rFonts w:cs="Times New Roman"/>
                  </w:rPr>
                  <w:t>808,168,944.79</w:t>
                </w:r>
              </w:p>
            </w:tc>
            <w:tc>
              <w:tcPr>
                <w:tcW w:w="654" w:type="pct"/>
                <w:tcBorders>
                  <w:top w:val="single" w:color="auto" w:sz="4" w:space="0"/>
                  <w:left w:val="single" w:color="auto" w:sz="4" w:space="0"/>
                  <w:bottom w:val="single" w:color="auto" w:sz="4" w:space="0"/>
                  <w:right w:val="single" w:color="auto" w:sz="4" w:space="0"/>
                </w:tcBorders>
              </w:tcPr>
              <w:p w14:paraId="2625B29A">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tcPr>
              <w:p w14:paraId="22BFF903">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27986AE9">
                <w:pPr>
                  <w:jc w:val="right"/>
                  <w:rPr>
                    <w:rFonts w:cs="Times New Roman"/>
                  </w:rPr>
                </w:pPr>
                <w:r>
                  <w:rPr>
                    <w:rFonts w:cs="Times New Roman"/>
                  </w:rPr>
                  <w:t>808,168,944.79</w:t>
                </w:r>
              </w:p>
            </w:tc>
            <w:tc>
              <w:tcPr>
                <w:tcW w:w="789" w:type="pct"/>
                <w:tcBorders>
                  <w:top w:val="single" w:color="auto" w:sz="4" w:space="0"/>
                  <w:left w:val="single" w:color="auto" w:sz="4" w:space="0"/>
                  <w:bottom w:val="single" w:color="auto" w:sz="4" w:space="0"/>
                  <w:right w:val="single" w:color="auto" w:sz="4" w:space="0"/>
                </w:tcBorders>
              </w:tcPr>
              <w:p w14:paraId="29CEF7C6">
                <w:pPr>
                  <w:jc w:val="right"/>
                  <w:rPr>
                    <w:rFonts w:cs="Times New Roman"/>
                  </w:rPr>
                </w:pPr>
              </w:p>
            </w:tc>
          </w:tr>
        </w:sdtContent>
      </w:sdt>
      <w:sdt>
        <w:sdtPr>
          <w:rPr>
            <w:rFonts w:cs="Times New Roman"/>
          </w:rPr>
          <w:alias w:val="对子公司投资明细"/>
          <w:tag w:val="_TUP_321065c012a14e8eb3b6aecf92f7a7bb"/>
          <w:id w:val="890301244"/>
          <w:placeholder>
            <w:docPart w:val="{31e701fb-1afd-481e-b699-3b89320895e4}"/>
          </w:placeholder>
        </w:sdtPr>
        <w:sdtEndPr>
          <w:rPr>
            <w:rFonts w:cs="Times New Roman"/>
          </w:rPr>
        </w:sdtEndPr>
        <w:sdtContent>
          <w:tr w14:paraId="669BF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35FDA6B7">
                <w:pPr>
                  <w:rPr>
                    <w:rFonts w:cs="Times New Roman"/>
                  </w:rPr>
                </w:pPr>
                <w:r>
                  <w:rPr>
                    <w:rFonts w:cs="Times New Roman"/>
                  </w:rPr>
                  <w:t>际华（邢台）投资有限公司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644CB75A">
                <w:pPr>
                  <w:jc w:val="right"/>
                  <w:rPr>
                    <w:rFonts w:cs="Times New Roman"/>
                  </w:rPr>
                </w:pPr>
                <w:r>
                  <w:rPr>
                    <w:rFonts w:cs="Times New Roman"/>
                  </w:rPr>
                  <w:t>66,829,000.00</w:t>
                </w:r>
              </w:p>
            </w:tc>
            <w:tc>
              <w:tcPr>
                <w:tcW w:w="654" w:type="pct"/>
                <w:tcBorders>
                  <w:top w:val="single" w:color="auto" w:sz="4" w:space="0"/>
                  <w:left w:val="single" w:color="auto" w:sz="4" w:space="0"/>
                  <w:bottom w:val="single" w:color="auto" w:sz="4" w:space="0"/>
                  <w:right w:val="single" w:color="auto" w:sz="4" w:space="0"/>
                </w:tcBorders>
              </w:tcPr>
              <w:p w14:paraId="5D90A703">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tcPr>
              <w:p w14:paraId="5FD90970">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609430CC">
                <w:pPr>
                  <w:jc w:val="right"/>
                  <w:rPr>
                    <w:rFonts w:cs="Times New Roman"/>
                  </w:rPr>
                </w:pPr>
                <w:r>
                  <w:rPr>
                    <w:rFonts w:cs="Times New Roman"/>
                  </w:rPr>
                  <w:t>66,829,000.00</w:t>
                </w:r>
              </w:p>
            </w:tc>
            <w:tc>
              <w:tcPr>
                <w:tcW w:w="789" w:type="pct"/>
                <w:tcBorders>
                  <w:top w:val="single" w:color="auto" w:sz="4" w:space="0"/>
                  <w:left w:val="single" w:color="auto" w:sz="4" w:space="0"/>
                  <w:bottom w:val="single" w:color="auto" w:sz="4" w:space="0"/>
                  <w:right w:val="single" w:color="auto" w:sz="4" w:space="0"/>
                </w:tcBorders>
              </w:tcPr>
              <w:p w14:paraId="08E6867B">
                <w:pPr>
                  <w:jc w:val="right"/>
                  <w:rPr>
                    <w:rFonts w:cs="Times New Roman"/>
                  </w:rPr>
                </w:pPr>
              </w:p>
            </w:tc>
          </w:tr>
        </w:sdtContent>
      </w:sdt>
      <w:sdt>
        <w:sdtPr>
          <w:rPr>
            <w:rFonts w:cs="Times New Roman"/>
          </w:rPr>
          <w:alias w:val="对子公司投资明细"/>
          <w:tag w:val="_TUP_321065c012a14e8eb3b6aecf92f7a7bb"/>
          <w:id w:val="-1136339966"/>
          <w:placeholder>
            <w:docPart w:val="{31e701fb-1afd-481e-b699-3b89320895e4}"/>
          </w:placeholder>
        </w:sdtPr>
        <w:sdtEndPr>
          <w:rPr>
            <w:rFonts w:cs="Times New Roman"/>
          </w:rPr>
        </w:sdtEndPr>
        <w:sdtContent>
          <w:tr w14:paraId="34559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2D474940">
                <w:pPr>
                  <w:rPr>
                    <w:rFonts w:cs="Times New Roman"/>
                  </w:rPr>
                </w:pPr>
                <w:r>
                  <w:rPr>
                    <w:rFonts w:cs="Times New Roman"/>
                  </w:rPr>
                  <w:t>新兴际华国际贸易有限公司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6A1C1ABC">
                <w:pPr>
                  <w:jc w:val="right"/>
                  <w:rPr>
                    <w:rFonts w:cs="Times New Roman"/>
                  </w:rPr>
                </w:pPr>
                <w:r>
                  <w:rPr>
                    <w:rFonts w:cs="Times New Roman"/>
                  </w:rPr>
                  <w:t>27,661,232.19</w:t>
                </w:r>
              </w:p>
            </w:tc>
            <w:tc>
              <w:tcPr>
                <w:tcW w:w="654" w:type="pct"/>
                <w:tcBorders>
                  <w:top w:val="single" w:color="auto" w:sz="4" w:space="0"/>
                  <w:left w:val="single" w:color="auto" w:sz="4" w:space="0"/>
                  <w:bottom w:val="single" w:color="auto" w:sz="4" w:space="0"/>
                  <w:right w:val="single" w:color="auto" w:sz="4" w:space="0"/>
                </w:tcBorders>
              </w:tcPr>
              <w:p w14:paraId="042043D8">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tcPr>
              <w:p w14:paraId="3ECE7D17">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349652B6">
                <w:pPr>
                  <w:jc w:val="right"/>
                  <w:rPr>
                    <w:rFonts w:cs="Times New Roman"/>
                  </w:rPr>
                </w:pPr>
                <w:r>
                  <w:rPr>
                    <w:rFonts w:cs="Times New Roman"/>
                  </w:rPr>
                  <w:t>27,661,232.19</w:t>
                </w:r>
              </w:p>
            </w:tc>
            <w:tc>
              <w:tcPr>
                <w:tcW w:w="789" w:type="pct"/>
                <w:tcBorders>
                  <w:top w:val="single" w:color="auto" w:sz="4" w:space="0"/>
                  <w:left w:val="single" w:color="auto" w:sz="4" w:space="0"/>
                  <w:bottom w:val="single" w:color="auto" w:sz="4" w:space="0"/>
                  <w:right w:val="single" w:color="auto" w:sz="4" w:space="0"/>
                </w:tcBorders>
              </w:tcPr>
              <w:p w14:paraId="4B52616E">
                <w:pPr>
                  <w:jc w:val="right"/>
                  <w:rPr>
                    <w:rFonts w:cs="Times New Roman"/>
                  </w:rPr>
                </w:pPr>
              </w:p>
            </w:tc>
          </w:tr>
        </w:sdtContent>
      </w:sdt>
      <w:sdt>
        <w:sdtPr>
          <w:rPr>
            <w:rFonts w:cs="Times New Roman"/>
          </w:rPr>
          <w:alias w:val="对子公司投资明细"/>
          <w:tag w:val="_TUP_321065c012a14e8eb3b6aecf92f7a7bb"/>
          <w:id w:val="-943687059"/>
          <w:placeholder>
            <w:docPart w:val="{31e701fb-1afd-481e-b699-3b89320895e4}"/>
          </w:placeholder>
        </w:sdtPr>
        <w:sdtEndPr>
          <w:rPr>
            <w:rFonts w:cs="Times New Roman"/>
          </w:rPr>
        </w:sdtEndPr>
        <w:sdtContent>
          <w:tr w14:paraId="6B9B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10F7EF8D">
                <w:pPr>
                  <w:rPr>
                    <w:rFonts w:cs="Times New Roman"/>
                  </w:rPr>
                </w:pPr>
                <w:r>
                  <w:rPr>
                    <w:rFonts w:cs="Times New Roman"/>
                  </w:rPr>
                  <w:t>际华三五四三针织服饰有限公司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4D3388E6">
                <w:pPr>
                  <w:jc w:val="right"/>
                  <w:rPr>
                    <w:rFonts w:cs="Times New Roman"/>
                  </w:rPr>
                </w:pPr>
                <w:r>
                  <w:rPr>
                    <w:rFonts w:cs="Times New Roman"/>
                  </w:rPr>
                  <w:t>233,579,122.54</w:t>
                </w:r>
              </w:p>
            </w:tc>
            <w:tc>
              <w:tcPr>
                <w:tcW w:w="654" w:type="pct"/>
                <w:tcBorders>
                  <w:top w:val="single" w:color="auto" w:sz="4" w:space="0"/>
                  <w:left w:val="single" w:color="auto" w:sz="4" w:space="0"/>
                  <w:bottom w:val="single" w:color="auto" w:sz="4" w:space="0"/>
                  <w:right w:val="single" w:color="auto" w:sz="4" w:space="0"/>
                </w:tcBorders>
              </w:tcPr>
              <w:p w14:paraId="6DCDCDB8">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tcPr>
              <w:p w14:paraId="49DBFCD3">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253E17AB">
                <w:pPr>
                  <w:jc w:val="right"/>
                  <w:rPr>
                    <w:rFonts w:cs="Times New Roman"/>
                  </w:rPr>
                </w:pPr>
                <w:r>
                  <w:rPr>
                    <w:rFonts w:cs="Times New Roman"/>
                  </w:rPr>
                  <w:t>233,579,122.54</w:t>
                </w:r>
              </w:p>
            </w:tc>
            <w:tc>
              <w:tcPr>
                <w:tcW w:w="789" w:type="pct"/>
                <w:tcBorders>
                  <w:top w:val="single" w:color="auto" w:sz="4" w:space="0"/>
                  <w:left w:val="single" w:color="auto" w:sz="4" w:space="0"/>
                  <w:bottom w:val="single" w:color="auto" w:sz="4" w:space="0"/>
                  <w:right w:val="single" w:color="auto" w:sz="4" w:space="0"/>
                </w:tcBorders>
              </w:tcPr>
              <w:p w14:paraId="72A24030">
                <w:pPr>
                  <w:jc w:val="right"/>
                  <w:rPr>
                    <w:rFonts w:cs="Times New Roman"/>
                  </w:rPr>
                </w:pPr>
              </w:p>
            </w:tc>
          </w:tr>
        </w:sdtContent>
      </w:sdt>
      <w:sdt>
        <w:sdtPr>
          <w:rPr>
            <w:rFonts w:cs="Times New Roman"/>
          </w:rPr>
          <w:alias w:val="对子公司投资明细"/>
          <w:tag w:val="_TUP_321065c012a14e8eb3b6aecf92f7a7bb"/>
          <w:id w:val="140933604"/>
          <w:placeholder>
            <w:docPart w:val="{31e701fb-1afd-481e-b699-3b89320895e4}"/>
          </w:placeholder>
        </w:sdtPr>
        <w:sdtEndPr>
          <w:rPr>
            <w:rFonts w:cs="Times New Roman"/>
          </w:rPr>
        </w:sdtEndPr>
        <w:sdtContent>
          <w:tr w14:paraId="6C44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18B3C386">
                <w:pPr>
                  <w:rPr>
                    <w:rFonts w:cs="Times New Roman"/>
                  </w:rPr>
                </w:pPr>
                <w:r>
                  <w:rPr>
                    <w:rFonts w:cs="Times New Roman"/>
                  </w:rPr>
                  <w:t>际华三五零二职业装有限公司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3824CF47">
                <w:pPr>
                  <w:jc w:val="right"/>
                  <w:rPr>
                    <w:rFonts w:cs="Times New Roman"/>
                  </w:rPr>
                </w:pPr>
                <w:r>
                  <w:rPr>
                    <w:rFonts w:cs="Times New Roman"/>
                  </w:rPr>
                  <w:t>235,556,667.51</w:t>
                </w:r>
              </w:p>
            </w:tc>
            <w:tc>
              <w:tcPr>
                <w:tcW w:w="654" w:type="pct"/>
                <w:tcBorders>
                  <w:top w:val="single" w:color="auto" w:sz="4" w:space="0"/>
                  <w:left w:val="single" w:color="auto" w:sz="4" w:space="0"/>
                  <w:bottom w:val="single" w:color="auto" w:sz="4" w:space="0"/>
                  <w:right w:val="single" w:color="auto" w:sz="4" w:space="0"/>
                </w:tcBorders>
              </w:tcPr>
              <w:p w14:paraId="5B81D271">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44ADF849">
                <w:pPr>
                  <w:jc w:val="right"/>
                  <w:rPr>
                    <w:rFonts w:cs="Times New Roman"/>
                  </w:rPr>
                </w:pPr>
                <w:r>
                  <w:rPr>
                    <w:rFonts w:cs="Times New Roman"/>
                  </w:rPr>
                  <w:t>10,253,436.07</w:t>
                </w:r>
              </w:p>
            </w:tc>
            <w:tc>
              <w:tcPr>
                <w:tcW w:w="786" w:type="pct"/>
                <w:tcBorders>
                  <w:top w:val="single" w:color="auto" w:sz="4" w:space="0"/>
                  <w:left w:val="single" w:color="auto" w:sz="4" w:space="0"/>
                  <w:bottom w:val="single" w:color="auto" w:sz="4" w:space="0"/>
                  <w:right w:val="single" w:color="auto" w:sz="4" w:space="0"/>
                </w:tcBorders>
                <w:vAlign w:val="center"/>
              </w:tcPr>
              <w:p w14:paraId="79D58EB5">
                <w:pPr>
                  <w:jc w:val="right"/>
                  <w:rPr>
                    <w:rFonts w:cs="Times New Roman"/>
                  </w:rPr>
                </w:pPr>
                <w:r>
                  <w:rPr>
                    <w:rFonts w:cs="Times New Roman"/>
                  </w:rPr>
                  <w:t>245,810,103.58</w:t>
                </w:r>
              </w:p>
            </w:tc>
            <w:tc>
              <w:tcPr>
                <w:tcW w:w="789" w:type="pct"/>
                <w:tcBorders>
                  <w:top w:val="single" w:color="auto" w:sz="4" w:space="0"/>
                  <w:left w:val="single" w:color="auto" w:sz="4" w:space="0"/>
                  <w:bottom w:val="single" w:color="auto" w:sz="4" w:space="0"/>
                  <w:right w:val="single" w:color="auto" w:sz="4" w:space="0"/>
                </w:tcBorders>
              </w:tcPr>
              <w:p w14:paraId="417E6F33">
                <w:pPr>
                  <w:jc w:val="right"/>
                  <w:rPr>
                    <w:rFonts w:cs="Times New Roman"/>
                  </w:rPr>
                </w:pPr>
              </w:p>
            </w:tc>
          </w:tr>
        </w:sdtContent>
      </w:sdt>
      <w:sdt>
        <w:sdtPr>
          <w:rPr>
            <w:rFonts w:cs="Times New Roman"/>
          </w:rPr>
          <w:alias w:val="对子公司投资明细"/>
          <w:tag w:val="_TUP_321065c012a14e8eb3b6aecf92f7a7bb"/>
          <w:id w:val="-2030863779"/>
          <w:placeholder>
            <w:docPart w:val="{31e701fb-1afd-481e-b699-3b89320895e4}"/>
          </w:placeholder>
        </w:sdtPr>
        <w:sdtEndPr>
          <w:rPr>
            <w:rFonts w:cs="Times New Roman"/>
          </w:rPr>
        </w:sdtEndPr>
        <w:sdtContent>
          <w:tr w14:paraId="72AF1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27E279C5">
                <w:pPr>
                  <w:rPr>
                    <w:rFonts w:cs="Times New Roman"/>
                  </w:rPr>
                </w:pPr>
                <w:r>
                  <w:rPr>
                    <w:rFonts w:cs="Times New Roman"/>
                  </w:rPr>
                  <w:t>南京际华三五〇三服装有限公司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52BDCF41">
                <w:pPr>
                  <w:jc w:val="right"/>
                  <w:rPr>
                    <w:rFonts w:cs="Times New Roman"/>
                  </w:rPr>
                </w:pPr>
                <w:r>
                  <w:rPr>
                    <w:rFonts w:cs="Times New Roman"/>
                  </w:rPr>
                  <w:t>56,096,213.14</w:t>
                </w:r>
              </w:p>
            </w:tc>
            <w:tc>
              <w:tcPr>
                <w:tcW w:w="654" w:type="pct"/>
                <w:tcBorders>
                  <w:top w:val="single" w:color="auto" w:sz="4" w:space="0"/>
                  <w:left w:val="single" w:color="auto" w:sz="4" w:space="0"/>
                  <w:bottom w:val="single" w:color="auto" w:sz="4" w:space="0"/>
                  <w:right w:val="single" w:color="auto" w:sz="4" w:space="0"/>
                </w:tcBorders>
              </w:tcPr>
              <w:p w14:paraId="3BDA2C70">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41A98BED">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2957E399">
                <w:pPr>
                  <w:jc w:val="right"/>
                  <w:rPr>
                    <w:rFonts w:cs="Times New Roman"/>
                  </w:rPr>
                </w:pPr>
                <w:r>
                  <w:rPr>
                    <w:rFonts w:cs="Times New Roman"/>
                  </w:rPr>
                  <w:t>56,096,213.14</w:t>
                </w:r>
              </w:p>
            </w:tc>
            <w:tc>
              <w:tcPr>
                <w:tcW w:w="789" w:type="pct"/>
                <w:tcBorders>
                  <w:top w:val="single" w:color="auto" w:sz="4" w:space="0"/>
                  <w:left w:val="single" w:color="auto" w:sz="4" w:space="0"/>
                  <w:bottom w:val="single" w:color="auto" w:sz="4" w:space="0"/>
                  <w:right w:val="single" w:color="auto" w:sz="4" w:space="0"/>
                </w:tcBorders>
              </w:tcPr>
              <w:p w14:paraId="15B2E66B">
                <w:pPr>
                  <w:jc w:val="right"/>
                  <w:rPr>
                    <w:rFonts w:cs="Times New Roman"/>
                  </w:rPr>
                </w:pPr>
              </w:p>
            </w:tc>
          </w:tr>
        </w:sdtContent>
      </w:sdt>
      <w:sdt>
        <w:sdtPr>
          <w:rPr>
            <w:rFonts w:cs="Times New Roman"/>
          </w:rPr>
          <w:alias w:val="对子公司投资明细"/>
          <w:tag w:val="_TUP_321065c012a14e8eb3b6aecf92f7a7bb"/>
          <w:id w:val="-1651902035"/>
          <w:placeholder>
            <w:docPart w:val="{31e701fb-1afd-481e-b699-3b89320895e4}"/>
          </w:placeholder>
        </w:sdtPr>
        <w:sdtEndPr>
          <w:rPr>
            <w:rFonts w:cs="Times New Roman"/>
          </w:rPr>
        </w:sdtEndPr>
        <w:sdtContent>
          <w:tr w14:paraId="1F803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1465AE57">
                <w:pPr>
                  <w:rPr>
                    <w:rFonts w:cs="Times New Roman"/>
                  </w:rPr>
                </w:pPr>
                <w:r>
                  <w:rPr>
                    <w:rFonts w:cs="Times New Roman"/>
                  </w:rPr>
                  <w:t>际华三五零六纺织服装有限公司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4FF3AF51">
                <w:pPr>
                  <w:jc w:val="right"/>
                  <w:rPr>
                    <w:rFonts w:cs="Times New Roman"/>
                  </w:rPr>
                </w:pPr>
                <w:r>
                  <w:rPr>
                    <w:rFonts w:cs="Times New Roman"/>
                  </w:rPr>
                  <w:t>160,308,197.52</w:t>
                </w:r>
              </w:p>
            </w:tc>
            <w:tc>
              <w:tcPr>
                <w:tcW w:w="654" w:type="pct"/>
                <w:tcBorders>
                  <w:top w:val="single" w:color="auto" w:sz="4" w:space="0"/>
                  <w:left w:val="single" w:color="auto" w:sz="4" w:space="0"/>
                  <w:bottom w:val="single" w:color="auto" w:sz="4" w:space="0"/>
                  <w:right w:val="single" w:color="auto" w:sz="4" w:space="0"/>
                </w:tcBorders>
              </w:tcPr>
              <w:p w14:paraId="409AF038">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0C07AE29">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26C12831">
                <w:pPr>
                  <w:jc w:val="right"/>
                  <w:rPr>
                    <w:rFonts w:cs="Times New Roman"/>
                  </w:rPr>
                </w:pPr>
                <w:r>
                  <w:rPr>
                    <w:rFonts w:cs="Times New Roman"/>
                  </w:rPr>
                  <w:t>160,308,197.52</w:t>
                </w:r>
              </w:p>
            </w:tc>
            <w:tc>
              <w:tcPr>
                <w:tcW w:w="789" w:type="pct"/>
                <w:tcBorders>
                  <w:top w:val="single" w:color="auto" w:sz="4" w:space="0"/>
                  <w:left w:val="single" w:color="auto" w:sz="4" w:space="0"/>
                  <w:bottom w:val="single" w:color="auto" w:sz="4" w:space="0"/>
                  <w:right w:val="single" w:color="auto" w:sz="4" w:space="0"/>
                </w:tcBorders>
              </w:tcPr>
              <w:p w14:paraId="1A25BF20">
                <w:pPr>
                  <w:jc w:val="right"/>
                  <w:rPr>
                    <w:rFonts w:cs="Times New Roman"/>
                  </w:rPr>
                </w:pPr>
              </w:p>
            </w:tc>
          </w:tr>
        </w:sdtContent>
      </w:sdt>
      <w:sdt>
        <w:sdtPr>
          <w:rPr>
            <w:rFonts w:cs="Times New Roman"/>
          </w:rPr>
          <w:alias w:val="对子公司投资明细"/>
          <w:tag w:val="_TUP_321065c012a14e8eb3b6aecf92f7a7bb"/>
          <w:id w:val="-750115751"/>
          <w:placeholder>
            <w:docPart w:val="{31e701fb-1afd-481e-b699-3b89320895e4}"/>
          </w:placeholder>
        </w:sdtPr>
        <w:sdtEndPr>
          <w:rPr>
            <w:rFonts w:cs="Times New Roman"/>
          </w:rPr>
        </w:sdtEndPr>
        <w:sdtContent>
          <w:tr w14:paraId="6F0F6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385FF477">
                <w:pPr>
                  <w:rPr>
                    <w:rFonts w:cs="Times New Roman"/>
                  </w:rPr>
                </w:pPr>
                <w:r>
                  <w:rPr>
                    <w:rFonts w:cs="Times New Roman"/>
                  </w:rPr>
                  <w:t>际华三五三四制衣有限公司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6FF865DE">
                <w:pPr>
                  <w:jc w:val="right"/>
                  <w:rPr>
                    <w:rFonts w:cs="Times New Roman"/>
                  </w:rPr>
                </w:pPr>
                <w:r>
                  <w:rPr>
                    <w:rFonts w:cs="Times New Roman"/>
                  </w:rPr>
                  <w:t>487,663,549.50</w:t>
                </w:r>
              </w:p>
            </w:tc>
            <w:tc>
              <w:tcPr>
                <w:tcW w:w="654" w:type="pct"/>
                <w:tcBorders>
                  <w:top w:val="single" w:color="auto" w:sz="4" w:space="0"/>
                  <w:left w:val="single" w:color="auto" w:sz="4" w:space="0"/>
                  <w:bottom w:val="single" w:color="auto" w:sz="4" w:space="0"/>
                  <w:right w:val="single" w:color="auto" w:sz="4" w:space="0"/>
                </w:tcBorders>
              </w:tcPr>
              <w:p w14:paraId="3CC314DE">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12C88471">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1C8F6EBB">
                <w:pPr>
                  <w:jc w:val="right"/>
                  <w:rPr>
                    <w:rFonts w:cs="Times New Roman"/>
                  </w:rPr>
                </w:pPr>
                <w:r>
                  <w:rPr>
                    <w:rFonts w:cs="Times New Roman"/>
                  </w:rPr>
                  <w:t>487,663,549.50</w:t>
                </w:r>
              </w:p>
            </w:tc>
            <w:tc>
              <w:tcPr>
                <w:tcW w:w="789" w:type="pct"/>
                <w:tcBorders>
                  <w:top w:val="single" w:color="auto" w:sz="4" w:space="0"/>
                  <w:left w:val="single" w:color="auto" w:sz="4" w:space="0"/>
                  <w:bottom w:val="single" w:color="auto" w:sz="4" w:space="0"/>
                  <w:right w:val="single" w:color="auto" w:sz="4" w:space="0"/>
                </w:tcBorders>
              </w:tcPr>
              <w:p w14:paraId="7E8E62DE">
                <w:pPr>
                  <w:jc w:val="right"/>
                  <w:rPr>
                    <w:rFonts w:cs="Times New Roman"/>
                  </w:rPr>
                </w:pPr>
              </w:p>
            </w:tc>
          </w:tr>
        </w:sdtContent>
      </w:sdt>
      <w:sdt>
        <w:sdtPr>
          <w:rPr>
            <w:rFonts w:cs="Times New Roman"/>
          </w:rPr>
          <w:alias w:val="对子公司投资明细"/>
          <w:tag w:val="_TUP_321065c012a14e8eb3b6aecf92f7a7bb"/>
          <w:id w:val="-1148967673"/>
          <w:placeholder>
            <w:docPart w:val="{31e701fb-1afd-481e-b699-3b89320895e4}"/>
          </w:placeholder>
        </w:sdtPr>
        <w:sdtEndPr>
          <w:rPr>
            <w:rFonts w:cs="Times New Roman"/>
          </w:rPr>
        </w:sdtEndPr>
        <w:sdtContent>
          <w:tr w14:paraId="3472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24B0B862">
                <w:pPr>
                  <w:rPr>
                    <w:rFonts w:cs="Times New Roman"/>
                  </w:rPr>
                </w:pPr>
                <w:r>
                  <w:rPr>
                    <w:rFonts w:cs="Times New Roman"/>
                  </w:rPr>
                  <w:t>际华三五三六实业有限公司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01070A38">
                <w:pPr>
                  <w:jc w:val="right"/>
                  <w:rPr>
                    <w:rFonts w:cs="Times New Roman"/>
                  </w:rPr>
                </w:pPr>
                <w:r>
                  <w:rPr>
                    <w:rFonts w:cs="Times New Roman"/>
                  </w:rPr>
                  <w:t>176,429,937.87</w:t>
                </w:r>
              </w:p>
            </w:tc>
            <w:tc>
              <w:tcPr>
                <w:tcW w:w="654" w:type="pct"/>
                <w:tcBorders>
                  <w:top w:val="single" w:color="auto" w:sz="4" w:space="0"/>
                  <w:left w:val="single" w:color="auto" w:sz="4" w:space="0"/>
                  <w:bottom w:val="single" w:color="auto" w:sz="4" w:space="0"/>
                  <w:right w:val="single" w:color="auto" w:sz="4" w:space="0"/>
                </w:tcBorders>
              </w:tcPr>
              <w:p w14:paraId="08648308">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7EB8F9B7">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3E893773">
                <w:pPr>
                  <w:jc w:val="right"/>
                  <w:rPr>
                    <w:rFonts w:cs="Times New Roman"/>
                  </w:rPr>
                </w:pPr>
                <w:r>
                  <w:rPr>
                    <w:rFonts w:cs="Times New Roman"/>
                  </w:rPr>
                  <w:t>176,429,937.87</w:t>
                </w:r>
              </w:p>
            </w:tc>
            <w:tc>
              <w:tcPr>
                <w:tcW w:w="789" w:type="pct"/>
                <w:tcBorders>
                  <w:top w:val="single" w:color="auto" w:sz="4" w:space="0"/>
                  <w:left w:val="single" w:color="auto" w:sz="4" w:space="0"/>
                  <w:bottom w:val="single" w:color="auto" w:sz="4" w:space="0"/>
                  <w:right w:val="single" w:color="auto" w:sz="4" w:space="0"/>
                </w:tcBorders>
              </w:tcPr>
              <w:p w14:paraId="7C1BBB1B">
                <w:pPr>
                  <w:jc w:val="right"/>
                  <w:rPr>
                    <w:rFonts w:cs="Times New Roman"/>
                  </w:rPr>
                </w:pPr>
              </w:p>
            </w:tc>
          </w:tr>
        </w:sdtContent>
      </w:sdt>
      <w:sdt>
        <w:sdtPr>
          <w:rPr>
            <w:rFonts w:cs="Times New Roman"/>
          </w:rPr>
          <w:alias w:val="对子公司投资明细"/>
          <w:tag w:val="_TUP_321065c012a14e8eb3b6aecf92f7a7bb"/>
          <w:id w:val="-874318915"/>
          <w:placeholder>
            <w:docPart w:val="{31e701fb-1afd-481e-b699-3b89320895e4}"/>
          </w:placeholder>
        </w:sdtPr>
        <w:sdtEndPr>
          <w:rPr>
            <w:rFonts w:cs="Times New Roman"/>
          </w:rPr>
        </w:sdtEndPr>
        <w:sdtContent>
          <w:tr w14:paraId="12BF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5AAE2BFD">
                <w:pPr>
                  <w:rPr>
                    <w:rFonts w:cs="Times New Roman"/>
                  </w:rPr>
                </w:pPr>
                <w:r>
                  <w:rPr>
                    <w:rFonts w:cs="Times New Roman"/>
                  </w:rPr>
                  <w:t>新疆际华七五五五职业装有限公司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1D21F837">
                <w:pPr>
                  <w:jc w:val="right"/>
                  <w:rPr>
                    <w:rFonts w:cs="Times New Roman"/>
                  </w:rPr>
                </w:pPr>
                <w:r>
                  <w:rPr>
                    <w:rFonts w:cs="Times New Roman"/>
                  </w:rPr>
                  <w:t>62,179,295.70</w:t>
                </w:r>
              </w:p>
            </w:tc>
            <w:tc>
              <w:tcPr>
                <w:tcW w:w="654" w:type="pct"/>
                <w:tcBorders>
                  <w:top w:val="single" w:color="auto" w:sz="4" w:space="0"/>
                  <w:left w:val="single" w:color="auto" w:sz="4" w:space="0"/>
                  <w:bottom w:val="single" w:color="auto" w:sz="4" w:space="0"/>
                  <w:right w:val="single" w:color="auto" w:sz="4" w:space="0"/>
                </w:tcBorders>
              </w:tcPr>
              <w:p w14:paraId="5C8E19DC">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2FD6F175">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4EF256AE">
                <w:pPr>
                  <w:jc w:val="right"/>
                  <w:rPr>
                    <w:rFonts w:cs="Times New Roman"/>
                  </w:rPr>
                </w:pPr>
                <w:r>
                  <w:rPr>
                    <w:rFonts w:cs="Times New Roman"/>
                  </w:rPr>
                  <w:t>62,179,295.70</w:t>
                </w:r>
              </w:p>
            </w:tc>
            <w:tc>
              <w:tcPr>
                <w:tcW w:w="789" w:type="pct"/>
                <w:tcBorders>
                  <w:top w:val="single" w:color="auto" w:sz="4" w:space="0"/>
                  <w:left w:val="single" w:color="auto" w:sz="4" w:space="0"/>
                  <w:bottom w:val="single" w:color="auto" w:sz="4" w:space="0"/>
                  <w:right w:val="single" w:color="auto" w:sz="4" w:space="0"/>
                </w:tcBorders>
              </w:tcPr>
              <w:p w14:paraId="67E7AE59">
                <w:pPr>
                  <w:jc w:val="right"/>
                  <w:rPr>
                    <w:rFonts w:cs="Times New Roman"/>
                  </w:rPr>
                </w:pPr>
              </w:p>
            </w:tc>
          </w:tr>
        </w:sdtContent>
      </w:sdt>
      <w:sdt>
        <w:sdtPr>
          <w:rPr>
            <w:rFonts w:cs="Times New Roman"/>
          </w:rPr>
          <w:alias w:val="对子公司投资明细"/>
          <w:tag w:val="_TUP_321065c012a14e8eb3b6aecf92f7a7bb"/>
          <w:id w:val="291795199"/>
          <w:placeholder>
            <w:docPart w:val="{31e701fb-1afd-481e-b699-3b89320895e4}"/>
          </w:placeholder>
        </w:sdtPr>
        <w:sdtEndPr>
          <w:rPr>
            <w:rFonts w:cs="Times New Roman"/>
          </w:rPr>
        </w:sdtEndPr>
        <w:sdtContent>
          <w:tr w14:paraId="19BF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3FEBD8B8">
                <w:pPr>
                  <w:rPr>
                    <w:rFonts w:cs="Times New Roman"/>
                  </w:rPr>
                </w:pPr>
                <w:r>
                  <w:rPr>
                    <w:rFonts w:cs="Times New Roman"/>
                  </w:rPr>
                  <w:t>际华三五零九纺织有限公司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6FE1DA5B">
                <w:pPr>
                  <w:jc w:val="right"/>
                  <w:rPr>
                    <w:rFonts w:cs="Times New Roman"/>
                  </w:rPr>
                </w:pPr>
                <w:r>
                  <w:rPr>
                    <w:rFonts w:cs="Times New Roman"/>
                  </w:rPr>
                  <w:t>211,645,686.15</w:t>
                </w:r>
              </w:p>
            </w:tc>
            <w:tc>
              <w:tcPr>
                <w:tcW w:w="654" w:type="pct"/>
                <w:tcBorders>
                  <w:top w:val="single" w:color="auto" w:sz="4" w:space="0"/>
                  <w:left w:val="single" w:color="auto" w:sz="4" w:space="0"/>
                  <w:bottom w:val="single" w:color="auto" w:sz="4" w:space="0"/>
                  <w:right w:val="single" w:color="auto" w:sz="4" w:space="0"/>
                </w:tcBorders>
              </w:tcPr>
              <w:p w14:paraId="05847597">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19B1ACD7">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0C7DAEB0">
                <w:pPr>
                  <w:jc w:val="right"/>
                  <w:rPr>
                    <w:rFonts w:cs="Times New Roman"/>
                  </w:rPr>
                </w:pPr>
                <w:r>
                  <w:rPr>
                    <w:rFonts w:cs="Times New Roman"/>
                  </w:rPr>
                  <w:t>211,645,686.15</w:t>
                </w:r>
              </w:p>
            </w:tc>
            <w:tc>
              <w:tcPr>
                <w:tcW w:w="789" w:type="pct"/>
                <w:tcBorders>
                  <w:top w:val="single" w:color="auto" w:sz="4" w:space="0"/>
                  <w:left w:val="single" w:color="auto" w:sz="4" w:space="0"/>
                  <w:bottom w:val="single" w:color="auto" w:sz="4" w:space="0"/>
                  <w:right w:val="single" w:color="auto" w:sz="4" w:space="0"/>
                </w:tcBorders>
              </w:tcPr>
              <w:p w14:paraId="58F82A78">
                <w:pPr>
                  <w:jc w:val="right"/>
                  <w:rPr>
                    <w:rFonts w:cs="Times New Roman"/>
                  </w:rPr>
                </w:pPr>
              </w:p>
            </w:tc>
          </w:tr>
        </w:sdtContent>
      </w:sdt>
      <w:sdt>
        <w:sdtPr>
          <w:rPr>
            <w:rFonts w:cs="Times New Roman"/>
          </w:rPr>
          <w:alias w:val="对子公司投资明细"/>
          <w:tag w:val="_TUP_321065c012a14e8eb3b6aecf92f7a7bb"/>
          <w:id w:val="1279613569"/>
          <w:placeholder>
            <w:docPart w:val="{31e701fb-1afd-481e-b699-3b89320895e4}"/>
          </w:placeholder>
        </w:sdtPr>
        <w:sdtEndPr>
          <w:rPr>
            <w:rFonts w:cs="Times New Roman"/>
          </w:rPr>
        </w:sdtEndPr>
        <w:sdtContent>
          <w:tr w14:paraId="4EAC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49625193">
                <w:pPr>
                  <w:rPr>
                    <w:rFonts w:cs="Times New Roman"/>
                  </w:rPr>
                </w:pPr>
                <w:r>
                  <w:rPr>
                    <w:rFonts w:cs="Times New Roman"/>
                  </w:rPr>
                  <w:t>际华三五一一实业有限公司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7C7A5BF1">
                <w:pPr>
                  <w:jc w:val="right"/>
                  <w:rPr>
                    <w:rFonts w:cs="Times New Roman"/>
                  </w:rPr>
                </w:pPr>
                <w:r>
                  <w:rPr>
                    <w:rFonts w:cs="Times New Roman"/>
                  </w:rPr>
                  <w:t>58,913,424.40</w:t>
                </w:r>
              </w:p>
            </w:tc>
            <w:tc>
              <w:tcPr>
                <w:tcW w:w="654" w:type="pct"/>
                <w:tcBorders>
                  <w:top w:val="single" w:color="auto" w:sz="4" w:space="0"/>
                  <w:left w:val="single" w:color="auto" w:sz="4" w:space="0"/>
                  <w:bottom w:val="single" w:color="auto" w:sz="4" w:space="0"/>
                  <w:right w:val="single" w:color="auto" w:sz="4" w:space="0"/>
                </w:tcBorders>
              </w:tcPr>
              <w:p w14:paraId="675B1B50">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41103406">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6FF4FF7C">
                <w:pPr>
                  <w:jc w:val="right"/>
                  <w:rPr>
                    <w:rFonts w:cs="Times New Roman"/>
                  </w:rPr>
                </w:pPr>
                <w:r>
                  <w:rPr>
                    <w:rFonts w:cs="Times New Roman"/>
                  </w:rPr>
                  <w:t>58,913,424.40</w:t>
                </w:r>
              </w:p>
            </w:tc>
            <w:tc>
              <w:tcPr>
                <w:tcW w:w="789" w:type="pct"/>
                <w:tcBorders>
                  <w:top w:val="single" w:color="auto" w:sz="4" w:space="0"/>
                  <w:left w:val="single" w:color="auto" w:sz="4" w:space="0"/>
                  <w:bottom w:val="single" w:color="auto" w:sz="4" w:space="0"/>
                  <w:right w:val="single" w:color="auto" w:sz="4" w:space="0"/>
                </w:tcBorders>
              </w:tcPr>
              <w:p w14:paraId="6A836B3E">
                <w:pPr>
                  <w:jc w:val="right"/>
                  <w:rPr>
                    <w:rFonts w:cs="Times New Roman"/>
                  </w:rPr>
                </w:pPr>
              </w:p>
            </w:tc>
          </w:tr>
        </w:sdtContent>
      </w:sdt>
      <w:sdt>
        <w:sdtPr>
          <w:rPr>
            <w:rFonts w:cs="Times New Roman"/>
          </w:rPr>
          <w:alias w:val="对子公司投资明细"/>
          <w:tag w:val="_TUP_321065c012a14e8eb3b6aecf92f7a7bb"/>
          <w:id w:val="1888376642"/>
          <w:placeholder>
            <w:docPart w:val="{31e701fb-1afd-481e-b699-3b89320895e4}"/>
          </w:placeholder>
        </w:sdtPr>
        <w:sdtEndPr>
          <w:rPr>
            <w:rFonts w:cs="Times New Roman"/>
          </w:rPr>
        </w:sdtEndPr>
        <w:sdtContent>
          <w:tr w14:paraId="4BE04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566AD043">
                <w:pPr>
                  <w:rPr>
                    <w:rFonts w:cs="Times New Roman"/>
                  </w:rPr>
                </w:pPr>
                <w:r>
                  <w:rPr>
                    <w:rFonts w:cs="Times New Roman"/>
                  </w:rPr>
                  <w:t>际华三五四二纺织有限公司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66F0E1E6">
                <w:pPr>
                  <w:jc w:val="right"/>
                  <w:rPr>
                    <w:rFonts w:cs="Times New Roman"/>
                  </w:rPr>
                </w:pPr>
                <w:r>
                  <w:rPr>
                    <w:rFonts w:cs="Times New Roman"/>
                  </w:rPr>
                  <w:t>226,184,300.00</w:t>
                </w:r>
              </w:p>
            </w:tc>
            <w:tc>
              <w:tcPr>
                <w:tcW w:w="654" w:type="pct"/>
                <w:tcBorders>
                  <w:top w:val="single" w:color="auto" w:sz="4" w:space="0"/>
                  <w:left w:val="single" w:color="auto" w:sz="4" w:space="0"/>
                  <w:bottom w:val="single" w:color="auto" w:sz="4" w:space="0"/>
                  <w:right w:val="single" w:color="auto" w:sz="4" w:space="0"/>
                </w:tcBorders>
              </w:tcPr>
              <w:p w14:paraId="14702004">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2CE54F62">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29F5F124">
                <w:pPr>
                  <w:jc w:val="right"/>
                  <w:rPr>
                    <w:rFonts w:cs="Times New Roman"/>
                  </w:rPr>
                </w:pPr>
                <w:r>
                  <w:rPr>
                    <w:rFonts w:cs="Times New Roman"/>
                  </w:rPr>
                  <w:t>226,184,300.00</w:t>
                </w:r>
              </w:p>
            </w:tc>
            <w:tc>
              <w:tcPr>
                <w:tcW w:w="789" w:type="pct"/>
                <w:tcBorders>
                  <w:top w:val="single" w:color="auto" w:sz="4" w:space="0"/>
                  <w:left w:val="single" w:color="auto" w:sz="4" w:space="0"/>
                  <w:bottom w:val="single" w:color="auto" w:sz="4" w:space="0"/>
                  <w:right w:val="single" w:color="auto" w:sz="4" w:space="0"/>
                </w:tcBorders>
              </w:tcPr>
              <w:p w14:paraId="1C894B8A">
                <w:pPr>
                  <w:jc w:val="right"/>
                  <w:rPr>
                    <w:rFonts w:cs="Times New Roman"/>
                  </w:rPr>
                </w:pPr>
              </w:p>
            </w:tc>
          </w:tr>
        </w:sdtContent>
      </w:sdt>
      <w:sdt>
        <w:sdtPr>
          <w:rPr>
            <w:rFonts w:cs="Times New Roman"/>
          </w:rPr>
          <w:alias w:val="对子公司投资明细"/>
          <w:tag w:val="_TUP_321065c012a14e8eb3b6aecf92f7a7bb"/>
          <w:id w:val="-687291514"/>
          <w:placeholder>
            <w:docPart w:val="{31e701fb-1afd-481e-b699-3b89320895e4}"/>
          </w:placeholder>
        </w:sdtPr>
        <w:sdtEndPr>
          <w:rPr>
            <w:rFonts w:cs="Times New Roman"/>
          </w:rPr>
        </w:sdtEndPr>
        <w:sdtContent>
          <w:tr w14:paraId="52A8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5FF1385E">
                <w:pPr>
                  <w:rPr>
                    <w:rFonts w:cs="Times New Roman"/>
                  </w:rPr>
                </w:pPr>
                <w:r>
                  <w:rPr>
                    <w:rFonts w:cs="Times New Roman"/>
                  </w:rPr>
                  <w:t>际华三五一二皮革服装有限公司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232CF70D">
                <w:pPr>
                  <w:jc w:val="right"/>
                  <w:rPr>
                    <w:rFonts w:cs="Times New Roman"/>
                  </w:rPr>
                </w:pPr>
                <w:r>
                  <w:rPr>
                    <w:rFonts w:cs="Times New Roman"/>
                  </w:rPr>
                  <w:t>129,862,876.03</w:t>
                </w:r>
              </w:p>
            </w:tc>
            <w:tc>
              <w:tcPr>
                <w:tcW w:w="654" w:type="pct"/>
                <w:tcBorders>
                  <w:top w:val="single" w:color="auto" w:sz="4" w:space="0"/>
                  <w:left w:val="single" w:color="auto" w:sz="4" w:space="0"/>
                  <w:bottom w:val="single" w:color="auto" w:sz="4" w:space="0"/>
                  <w:right w:val="single" w:color="auto" w:sz="4" w:space="0"/>
                </w:tcBorders>
              </w:tcPr>
              <w:p w14:paraId="0D7B20BD">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6189FFB4">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276235FD">
                <w:pPr>
                  <w:jc w:val="right"/>
                  <w:rPr>
                    <w:rFonts w:cs="Times New Roman"/>
                  </w:rPr>
                </w:pPr>
                <w:r>
                  <w:rPr>
                    <w:rFonts w:cs="Times New Roman"/>
                  </w:rPr>
                  <w:t>129,862,876.03</w:t>
                </w:r>
              </w:p>
            </w:tc>
            <w:tc>
              <w:tcPr>
                <w:tcW w:w="789" w:type="pct"/>
                <w:tcBorders>
                  <w:top w:val="single" w:color="auto" w:sz="4" w:space="0"/>
                  <w:left w:val="single" w:color="auto" w:sz="4" w:space="0"/>
                  <w:bottom w:val="single" w:color="auto" w:sz="4" w:space="0"/>
                  <w:right w:val="single" w:color="auto" w:sz="4" w:space="0"/>
                </w:tcBorders>
              </w:tcPr>
              <w:p w14:paraId="25C49C9E">
                <w:pPr>
                  <w:jc w:val="right"/>
                  <w:rPr>
                    <w:rFonts w:cs="Times New Roman"/>
                  </w:rPr>
                </w:pPr>
              </w:p>
            </w:tc>
          </w:tr>
        </w:sdtContent>
      </w:sdt>
      <w:sdt>
        <w:sdtPr>
          <w:rPr>
            <w:rFonts w:cs="Times New Roman"/>
          </w:rPr>
          <w:alias w:val="对子公司投资明细"/>
          <w:tag w:val="_TUP_321065c012a14e8eb3b6aecf92f7a7bb"/>
          <w:id w:val="1381981558"/>
          <w:placeholder>
            <w:docPart w:val="{31e701fb-1afd-481e-b699-3b89320895e4}"/>
          </w:placeholder>
        </w:sdtPr>
        <w:sdtEndPr>
          <w:rPr>
            <w:rFonts w:cs="Times New Roman"/>
          </w:rPr>
        </w:sdtEndPr>
        <w:sdtContent>
          <w:tr w14:paraId="53B36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743BA2BA">
                <w:pPr>
                  <w:rPr>
                    <w:rFonts w:cs="Times New Roman"/>
                  </w:rPr>
                </w:pPr>
                <w:r>
                  <w:rPr>
                    <w:rFonts w:cs="Times New Roman"/>
                  </w:rPr>
                  <w:t>际华三五一三实业有限公司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7F961732">
                <w:pPr>
                  <w:jc w:val="right"/>
                  <w:rPr>
                    <w:rFonts w:cs="Times New Roman"/>
                  </w:rPr>
                </w:pPr>
                <w:r>
                  <w:rPr>
                    <w:rFonts w:cs="Times New Roman"/>
                  </w:rPr>
                  <w:t>167,299,634.29</w:t>
                </w:r>
              </w:p>
            </w:tc>
            <w:tc>
              <w:tcPr>
                <w:tcW w:w="654" w:type="pct"/>
                <w:tcBorders>
                  <w:top w:val="single" w:color="auto" w:sz="4" w:space="0"/>
                  <w:left w:val="single" w:color="auto" w:sz="4" w:space="0"/>
                  <w:bottom w:val="single" w:color="auto" w:sz="4" w:space="0"/>
                  <w:right w:val="single" w:color="auto" w:sz="4" w:space="0"/>
                </w:tcBorders>
              </w:tcPr>
              <w:p w14:paraId="4C270D39">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4B67FC83">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79ACE287">
                <w:pPr>
                  <w:jc w:val="right"/>
                  <w:rPr>
                    <w:rFonts w:cs="Times New Roman"/>
                  </w:rPr>
                </w:pPr>
                <w:r>
                  <w:rPr>
                    <w:rFonts w:cs="Times New Roman"/>
                  </w:rPr>
                  <w:t>167,299,634.29</w:t>
                </w:r>
              </w:p>
            </w:tc>
            <w:tc>
              <w:tcPr>
                <w:tcW w:w="789" w:type="pct"/>
                <w:tcBorders>
                  <w:top w:val="single" w:color="auto" w:sz="4" w:space="0"/>
                  <w:left w:val="single" w:color="auto" w:sz="4" w:space="0"/>
                  <w:bottom w:val="single" w:color="auto" w:sz="4" w:space="0"/>
                  <w:right w:val="single" w:color="auto" w:sz="4" w:space="0"/>
                </w:tcBorders>
              </w:tcPr>
              <w:p w14:paraId="6784BDB8">
                <w:pPr>
                  <w:jc w:val="right"/>
                  <w:rPr>
                    <w:rFonts w:cs="Times New Roman"/>
                  </w:rPr>
                </w:pPr>
              </w:p>
            </w:tc>
          </w:tr>
        </w:sdtContent>
      </w:sdt>
      <w:sdt>
        <w:sdtPr>
          <w:rPr>
            <w:rFonts w:cs="Times New Roman"/>
          </w:rPr>
          <w:alias w:val="对子公司投资明细"/>
          <w:tag w:val="_TUP_321065c012a14e8eb3b6aecf92f7a7bb"/>
          <w:id w:val="-995187215"/>
          <w:placeholder>
            <w:docPart w:val="{31e701fb-1afd-481e-b699-3b89320895e4}"/>
          </w:placeholder>
        </w:sdtPr>
        <w:sdtEndPr>
          <w:rPr>
            <w:rFonts w:cs="Times New Roman"/>
          </w:rPr>
        </w:sdtEndPr>
        <w:sdtContent>
          <w:tr w14:paraId="453F5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4F527D9B">
                <w:pPr>
                  <w:rPr>
                    <w:rFonts w:cs="Times New Roman"/>
                  </w:rPr>
                </w:pPr>
                <w:r>
                  <w:rPr>
                    <w:rFonts w:cs="Times New Roman"/>
                  </w:rPr>
                  <w:t>际华三五一四制革制鞋有限公司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29DE159F">
                <w:pPr>
                  <w:jc w:val="right"/>
                  <w:rPr>
                    <w:rFonts w:cs="Times New Roman"/>
                  </w:rPr>
                </w:pPr>
                <w:r>
                  <w:rPr>
                    <w:rFonts w:cs="Times New Roman"/>
                  </w:rPr>
                  <w:t>245,394,500.89</w:t>
                </w:r>
              </w:p>
            </w:tc>
            <w:tc>
              <w:tcPr>
                <w:tcW w:w="654" w:type="pct"/>
                <w:tcBorders>
                  <w:top w:val="single" w:color="auto" w:sz="4" w:space="0"/>
                  <w:left w:val="single" w:color="auto" w:sz="4" w:space="0"/>
                  <w:bottom w:val="single" w:color="auto" w:sz="4" w:space="0"/>
                  <w:right w:val="single" w:color="auto" w:sz="4" w:space="0"/>
                </w:tcBorders>
              </w:tcPr>
              <w:p w14:paraId="55378113">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61268350">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25EDAE05">
                <w:pPr>
                  <w:jc w:val="right"/>
                  <w:rPr>
                    <w:rFonts w:cs="Times New Roman"/>
                  </w:rPr>
                </w:pPr>
                <w:r>
                  <w:rPr>
                    <w:rFonts w:cs="Times New Roman"/>
                  </w:rPr>
                  <w:t>245,394,500.89</w:t>
                </w:r>
              </w:p>
            </w:tc>
            <w:tc>
              <w:tcPr>
                <w:tcW w:w="789" w:type="pct"/>
                <w:tcBorders>
                  <w:top w:val="single" w:color="auto" w:sz="4" w:space="0"/>
                  <w:left w:val="single" w:color="auto" w:sz="4" w:space="0"/>
                  <w:bottom w:val="single" w:color="auto" w:sz="4" w:space="0"/>
                  <w:right w:val="single" w:color="auto" w:sz="4" w:space="0"/>
                </w:tcBorders>
              </w:tcPr>
              <w:p w14:paraId="22456362">
                <w:pPr>
                  <w:jc w:val="right"/>
                  <w:rPr>
                    <w:rFonts w:cs="Times New Roman"/>
                  </w:rPr>
                </w:pPr>
              </w:p>
            </w:tc>
          </w:tr>
        </w:sdtContent>
      </w:sdt>
      <w:sdt>
        <w:sdtPr>
          <w:rPr>
            <w:rFonts w:cs="Times New Roman"/>
          </w:rPr>
          <w:alias w:val="对子公司投资明细"/>
          <w:tag w:val="_TUP_321065c012a14e8eb3b6aecf92f7a7bb"/>
          <w:id w:val="-1517763803"/>
          <w:placeholder>
            <w:docPart w:val="{31e701fb-1afd-481e-b699-3b89320895e4}"/>
          </w:placeholder>
        </w:sdtPr>
        <w:sdtEndPr>
          <w:rPr>
            <w:rFonts w:cs="Times New Roman"/>
          </w:rPr>
        </w:sdtEndPr>
        <w:sdtContent>
          <w:tr w14:paraId="3DD52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6734C9A9">
                <w:pPr>
                  <w:rPr>
                    <w:rFonts w:cs="Times New Roman"/>
                  </w:rPr>
                </w:pPr>
                <w:r>
                  <w:rPr>
                    <w:rFonts w:cs="Times New Roman"/>
                  </w:rPr>
                  <w:t>际华三五一五皮革皮鞋有限公司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13E34C74">
                <w:pPr>
                  <w:jc w:val="right"/>
                  <w:rPr>
                    <w:rFonts w:cs="Times New Roman"/>
                  </w:rPr>
                </w:pPr>
                <w:r>
                  <w:rPr>
                    <w:rFonts w:cs="Times New Roman"/>
                  </w:rPr>
                  <w:t>143,421,800.00</w:t>
                </w:r>
              </w:p>
            </w:tc>
            <w:tc>
              <w:tcPr>
                <w:tcW w:w="654" w:type="pct"/>
                <w:tcBorders>
                  <w:top w:val="single" w:color="auto" w:sz="4" w:space="0"/>
                  <w:left w:val="single" w:color="auto" w:sz="4" w:space="0"/>
                  <w:bottom w:val="single" w:color="auto" w:sz="4" w:space="0"/>
                  <w:right w:val="single" w:color="auto" w:sz="4" w:space="0"/>
                </w:tcBorders>
              </w:tcPr>
              <w:p w14:paraId="5460EB25">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4DA7A3A8">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46CFD164">
                <w:pPr>
                  <w:jc w:val="right"/>
                  <w:rPr>
                    <w:rFonts w:cs="Times New Roman"/>
                  </w:rPr>
                </w:pPr>
                <w:r>
                  <w:rPr>
                    <w:rFonts w:cs="Times New Roman"/>
                  </w:rPr>
                  <w:t>143,421,800.00</w:t>
                </w:r>
              </w:p>
            </w:tc>
            <w:tc>
              <w:tcPr>
                <w:tcW w:w="789" w:type="pct"/>
                <w:tcBorders>
                  <w:top w:val="single" w:color="auto" w:sz="4" w:space="0"/>
                  <w:left w:val="single" w:color="auto" w:sz="4" w:space="0"/>
                  <w:bottom w:val="single" w:color="auto" w:sz="4" w:space="0"/>
                  <w:right w:val="single" w:color="auto" w:sz="4" w:space="0"/>
                </w:tcBorders>
              </w:tcPr>
              <w:p w14:paraId="7AA8D57F">
                <w:pPr>
                  <w:jc w:val="right"/>
                  <w:rPr>
                    <w:rFonts w:cs="Times New Roman"/>
                  </w:rPr>
                </w:pPr>
              </w:p>
            </w:tc>
          </w:tr>
        </w:sdtContent>
      </w:sdt>
      <w:sdt>
        <w:sdtPr>
          <w:rPr>
            <w:rFonts w:cs="Times New Roman"/>
          </w:rPr>
          <w:alias w:val="对子公司投资明细"/>
          <w:tag w:val="_TUP_321065c012a14e8eb3b6aecf92f7a7bb"/>
          <w:id w:val="-1206870089"/>
          <w:placeholder>
            <w:docPart w:val="{31e701fb-1afd-481e-b699-3b89320895e4}"/>
          </w:placeholder>
        </w:sdtPr>
        <w:sdtEndPr>
          <w:rPr>
            <w:rFonts w:cs="Times New Roman"/>
          </w:rPr>
        </w:sdtEndPr>
        <w:sdtContent>
          <w:tr w14:paraId="7F280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30171CB5">
                <w:pPr>
                  <w:rPr>
                    <w:rFonts w:cs="Times New Roman"/>
                  </w:rPr>
                </w:pPr>
                <w:r>
                  <w:rPr>
                    <w:rFonts w:cs="Times New Roman"/>
                  </w:rPr>
                  <w:t>内蒙古际华森普利服装皮业有限公司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4B76C9C8">
                <w:pPr>
                  <w:jc w:val="right"/>
                  <w:rPr>
                    <w:rFonts w:cs="Times New Roman"/>
                  </w:rPr>
                </w:pPr>
                <w:r>
                  <w:rPr>
                    <w:rFonts w:cs="Times New Roman"/>
                  </w:rPr>
                  <w:t>52,059,300.81</w:t>
                </w:r>
              </w:p>
            </w:tc>
            <w:tc>
              <w:tcPr>
                <w:tcW w:w="654" w:type="pct"/>
                <w:tcBorders>
                  <w:top w:val="single" w:color="auto" w:sz="4" w:space="0"/>
                  <w:left w:val="single" w:color="auto" w:sz="4" w:space="0"/>
                  <w:bottom w:val="single" w:color="auto" w:sz="4" w:space="0"/>
                  <w:right w:val="single" w:color="auto" w:sz="4" w:space="0"/>
                </w:tcBorders>
              </w:tcPr>
              <w:p w14:paraId="014E73FF">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70DC35EA">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334581F1">
                <w:pPr>
                  <w:jc w:val="right"/>
                  <w:rPr>
                    <w:rFonts w:cs="Times New Roman"/>
                  </w:rPr>
                </w:pPr>
                <w:r>
                  <w:rPr>
                    <w:rFonts w:cs="Times New Roman"/>
                  </w:rPr>
                  <w:t>52,059,300.81</w:t>
                </w:r>
              </w:p>
            </w:tc>
            <w:tc>
              <w:tcPr>
                <w:tcW w:w="789" w:type="pct"/>
                <w:tcBorders>
                  <w:top w:val="single" w:color="auto" w:sz="4" w:space="0"/>
                  <w:left w:val="single" w:color="auto" w:sz="4" w:space="0"/>
                  <w:bottom w:val="single" w:color="auto" w:sz="4" w:space="0"/>
                  <w:right w:val="single" w:color="auto" w:sz="4" w:space="0"/>
                </w:tcBorders>
              </w:tcPr>
              <w:p w14:paraId="1FE33B03">
                <w:pPr>
                  <w:jc w:val="right"/>
                  <w:rPr>
                    <w:rFonts w:cs="Times New Roman"/>
                  </w:rPr>
                </w:pPr>
              </w:p>
            </w:tc>
          </w:tr>
        </w:sdtContent>
      </w:sdt>
      <w:sdt>
        <w:sdtPr>
          <w:rPr>
            <w:rFonts w:cs="Times New Roman"/>
          </w:rPr>
          <w:alias w:val="对子公司投资明细"/>
          <w:tag w:val="_TUP_321065c012a14e8eb3b6aecf92f7a7bb"/>
          <w:id w:val="-2140948099"/>
          <w:placeholder>
            <w:docPart w:val="{31e701fb-1afd-481e-b699-3b89320895e4}"/>
          </w:placeholder>
        </w:sdtPr>
        <w:sdtEndPr>
          <w:rPr>
            <w:rFonts w:cs="Times New Roman"/>
          </w:rPr>
        </w:sdtEndPr>
        <w:sdtContent>
          <w:tr w14:paraId="307CD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0097AB0B">
                <w:pPr>
                  <w:rPr>
                    <w:rFonts w:cs="Times New Roman"/>
                  </w:rPr>
                </w:pPr>
                <w:r>
                  <w:rPr>
                    <w:rFonts w:cs="Times New Roman"/>
                  </w:rPr>
                  <w:t>际华橡胶工业有限公司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492EC25A">
                <w:pPr>
                  <w:jc w:val="right"/>
                  <w:rPr>
                    <w:rFonts w:cs="Times New Roman"/>
                  </w:rPr>
                </w:pPr>
                <w:r>
                  <w:rPr>
                    <w:rFonts w:cs="Times New Roman"/>
                  </w:rPr>
                  <w:t>706,438,319.49</w:t>
                </w:r>
              </w:p>
            </w:tc>
            <w:tc>
              <w:tcPr>
                <w:tcW w:w="654" w:type="pct"/>
                <w:tcBorders>
                  <w:top w:val="single" w:color="auto" w:sz="4" w:space="0"/>
                  <w:left w:val="single" w:color="auto" w:sz="4" w:space="0"/>
                  <w:bottom w:val="single" w:color="auto" w:sz="4" w:space="0"/>
                  <w:right w:val="single" w:color="auto" w:sz="4" w:space="0"/>
                </w:tcBorders>
              </w:tcPr>
              <w:p w14:paraId="16CB9C0E">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56ED1022">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6B451D31">
                <w:pPr>
                  <w:jc w:val="right"/>
                  <w:rPr>
                    <w:rFonts w:cs="Times New Roman"/>
                  </w:rPr>
                </w:pPr>
                <w:r>
                  <w:rPr>
                    <w:rFonts w:cs="Times New Roman"/>
                  </w:rPr>
                  <w:t>706,438,319.49</w:t>
                </w:r>
              </w:p>
            </w:tc>
            <w:tc>
              <w:tcPr>
                <w:tcW w:w="789" w:type="pct"/>
                <w:tcBorders>
                  <w:top w:val="single" w:color="auto" w:sz="4" w:space="0"/>
                  <w:left w:val="single" w:color="auto" w:sz="4" w:space="0"/>
                  <w:bottom w:val="single" w:color="auto" w:sz="4" w:space="0"/>
                  <w:right w:val="single" w:color="auto" w:sz="4" w:space="0"/>
                </w:tcBorders>
              </w:tcPr>
              <w:p w14:paraId="3C3A5BDC">
                <w:pPr>
                  <w:jc w:val="right"/>
                  <w:rPr>
                    <w:rFonts w:cs="Times New Roman"/>
                  </w:rPr>
                </w:pPr>
              </w:p>
            </w:tc>
          </w:tr>
        </w:sdtContent>
      </w:sdt>
      <w:sdt>
        <w:sdtPr>
          <w:rPr>
            <w:rFonts w:cs="Times New Roman"/>
          </w:rPr>
          <w:alias w:val="对子公司投资明细"/>
          <w:tag w:val="_TUP_321065c012a14e8eb3b6aecf92f7a7bb"/>
          <w:id w:val="1548497680"/>
          <w:placeholder>
            <w:docPart w:val="{31e701fb-1afd-481e-b699-3b89320895e4}"/>
          </w:placeholder>
        </w:sdtPr>
        <w:sdtEndPr>
          <w:rPr>
            <w:rFonts w:cs="Times New Roman"/>
          </w:rPr>
        </w:sdtEndPr>
        <w:sdtContent>
          <w:tr w14:paraId="6B89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79E556CB">
                <w:pPr>
                  <w:rPr>
                    <w:rFonts w:cs="Times New Roman"/>
                  </w:rPr>
                </w:pPr>
                <w:r>
                  <w:rPr>
                    <w:rFonts w:cs="Times New Roman"/>
                  </w:rPr>
                  <w:t>南京际华三五二一特种装备有限公司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2F13DB86">
                <w:pPr>
                  <w:jc w:val="right"/>
                  <w:rPr>
                    <w:rFonts w:cs="Times New Roman"/>
                  </w:rPr>
                </w:pPr>
                <w:r>
                  <w:rPr>
                    <w:rFonts w:cs="Times New Roman"/>
                  </w:rPr>
                  <w:t>777,247,845.87</w:t>
                </w:r>
              </w:p>
            </w:tc>
            <w:tc>
              <w:tcPr>
                <w:tcW w:w="654" w:type="pct"/>
                <w:tcBorders>
                  <w:top w:val="single" w:color="auto" w:sz="4" w:space="0"/>
                  <w:left w:val="single" w:color="auto" w:sz="4" w:space="0"/>
                  <w:bottom w:val="single" w:color="auto" w:sz="4" w:space="0"/>
                  <w:right w:val="single" w:color="auto" w:sz="4" w:space="0"/>
                </w:tcBorders>
              </w:tcPr>
              <w:p w14:paraId="5DA0B42E">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03300DEC">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6915C130">
                <w:pPr>
                  <w:jc w:val="right"/>
                  <w:rPr>
                    <w:rFonts w:cs="Times New Roman"/>
                  </w:rPr>
                </w:pPr>
                <w:r>
                  <w:rPr>
                    <w:rFonts w:cs="Times New Roman"/>
                  </w:rPr>
                  <w:t>777,247,845.87</w:t>
                </w:r>
              </w:p>
            </w:tc>
            <w:tc>
              <w:tcPr>
                <w:tcW w:w="789" w:type="pct"/>
                <w:tcBorders>
                  <w:top w:val="single" w:color="auto" w:sz="4" w:space="0"/>
                  <w:left w:val="single" w:color="auto" w:sz="4" w:space="0"/>
                  <w:bottom w:val="single" w:color="auto" w:sz="4" w:space="0"/>
                  <w:right w:val="single" w:color="auto" w:sz="4" w:space="0"/>
                </w:tcBorders>
              </w:tcPr>
              <w:p w14:paraId="3D6C63D7">
                <w:pPr>
                  <w:jc w:val="right"/>
                  <w:rPr>
                    <w:rFonts w:cs="Times New Roman"/>
                  </w:rPr>
                </w:pPr>
              </w:p>
            </w:tc>
          </w:tr>
        </w:sdtContent>
      </w:sdt>
      <w:sdt>
        <w:sdtPr>
          <w:rPr>
            <w:rFonts w:cs="Times New Roman"/>
          </w:rPr>
          <w:alias w:val="对子公司投资明细"/>
          <w:tag w:val="_TUP_321065c012a14e8eb3b6aecf92f7a7bb"/>
          <w:id w:val="879129053"/>
          <w:placeholder>
            <w:docPart w:val="{31e701fb-1afd-481e-b699-3b89320895e4}"/>
          </w:placeholder>
        </w:sdtPr>
        <w:sdtEndPr>
          <w:rPr>
            <w:rFonts w:cs="Times New Roman"/>
          </w:rPr>
        </w:sdtEndPr>
        <w:sdtContent>
          <w:tr w14:paraId="3892A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089AEEC6">
                <w:pPr>
                  <w:rPr>
                    <w:rFonts w:cs="Times New Roman"/>
                  </w:rPr>
                </w:pPr>
                <w:r>
                  <w:rPr>
                    <w:rFonts w:cs="Times New Roman"/>
                  </w:rPr>
                  <w:t>际华三五二二装具饰品有限公司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076258A6">
                <w:pPr>
                  <w:jc w:val="right"/>
                  <w:rPr>
                    <w:rFonts w:cs="Times New Roman"/>
                  </w:rPr>
                </w:pPr>
                <w:r>
                  <w:rPr>
                    <w:rFonts w:cs="Times New Roman"/>
                  </w:rPr>
                  <w:t>199,738,164.19</w:t>
                </w:r>
              </w:p>
            </w:tc>
            <w:tc>
              <w:tcPr>
                <w:tcW w:w="654" w:type="pct"/>
                <w:tcBorders>
                  <w:top w:val="single" w:color="auto" w:sz="4" w:space="0"/>
                  <w:left w:val="single" w:color="auto" w:sz="4" w:space="0"/>
                  <w:bottom w:val="single" w:color="auto" w:sz="4" w:space="0"/>
                  <w:right w:val="single" w:color="auto" w:sz="4" w:space="0"/>
                </w:tcBorders>
              </w:tcPr>
              <w:p w14:paraId="1649536D">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18ECA250">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21D199DF">
                <w:pPr>
                  <w:jc w:val="right"/>
                  <w:rPr>
                    <w:rFonts w:cs="Times New Roman"/>
                  </w:rPr>
                </w:pPr>
                <w:r>
                  <w:rPr>
                    <w:rFonts w:cs="Times New Roman"/>
                  </w:rPr>
                  <w:t>199,738,164.19</w:t>
                </w:r>
              </w:p>
            </w:tc>
            <w:tc>
              <w:tcPr>
                <w:tcW w:w="789" w:type="pct"/>
                <w:tcBorders>
                  <w:top w:val="single" w:color="auto" w:sz="4" w:space="0"/>
                  <w:left w:val="single" w:color="auto" w:sz="4" w:space="0"/>
                  <w:bottom w:val="single" w:color="auto" w:sz="4" w:space="0"/>
                  <w:right w:val="single" w:color="auto" w:sz="4" w:space="0"/>
                </w:tcBorders>
              </w:tcPr>
              <w:p w14:paraId="38845AC6">
                <w:pPr>
                  <w:jc w:val="right"/>
                  <w:rPr>
                    <w:rFonts w:cs="Times New Roman"/>
                  </w:rPr>
                </w:pPr>
              </w:p>
            </w:tc>
          </w:tr>
        </w:sdtContent>
      </w:sdt>
      <w:sdt>
        <w:sdtPr>
          <w:rPr>
            <w:rFonts w:cs="Times New Roman"/>
          </w:rPr>
          <w:alias w:val="对子公司投资明细"/>
          <w:tag w:val="_TUP_321065c012a14e8eb3b6aecf92f7a7bb"/>
          <w:id w:val="-2011816360"/>
          <w:placeholder>
            <w:docPart w:val="{31e701fb-1afd-481e-b699-3b89320895e4}"/>
          </w:placeholder>
        </w:sdtPr>
        <w:sdtEndPr>
          <w:rPr>
            <w:rFonts w:cs="Times New Roman"/>
          </w:rPr>
        </w:sdtEndPr>
        <w:sdtContent>
          <w:tr w14:paraId="03D0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596F915A">
                <w:pPr>
                  <w:rPr>
                    <w:rFonts w:cs="Times New Roman"/>
                  </w:rPr>
                </w:pPr>
                <w:r>
                  <w:rPr>
                    <w:rFonts w:cs="Times New Roman"/>
                  </w:rPr>
                  <w:t>际华（天津）新能源投资有限公司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0E653C7C">
                <w:pPr>
                  <w:jc w:val="right"/>
                  <w:rPr>
                    <w:rFonts w:cs="Times New Roman"/>
                  </w:rPr>
                </w:pPr>
                <w:r>
                  <w:rPr>
                    <w:rFonts w:cs="Times New Roman"/>
                  </w:rPr>
                  <w:t>100,390,894.00</w:t>
                </w:r>
              </w:p>
            </w:tc>
            <w:tc>
              <w:tcPr>
                <w:tcW w:w="654" w:type="pct"/>
                <w:tcBorders>
                  <w:top w:val="single" w:color="auto" w:sz="4" w:space="0"/>
                  <w:left w:val="single" w:color="auto" w:sz="4" w:space="0"/>
                  <w:bottom w:val="single" w:color="auto" w:sz="4" w:space="0"/>
                  <w:right w:val="single" w:color="auto" w:sz="4" w:space="0"/>
                </w:tcBorders>
              </w:tcPr>
              <w:p w14:paraId="36CC791B">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4A6175A7">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5807537B">
                <w:pPr>
                  <w:jc w:val="right"/>
                  <w:rPr>
                    <w:rFonts w:cs="Times New Roman"/>
                  </w:rPr>
                </w:pPr>
                <w:r>
                  <w:rPr>
                    <w:rFonts w:cs="Times New Roman"/>
                  </w:rPr>
                  <w:t>100,390,894.00</w:t>
                </w:r>
              </w:p>
            </w:tc>
            <w:tc>
              <w:tcPr>
                <w:tcW w:w="789" w:type="pct"/>
                <w:tcBorders>
                  <w:top w:val="single" w:color="auto" w:sz="4" w:space="0"/>
                  <w:left w:val="single" w:color="auto" w:sz="4" w:space="0"/>
                  <w:bottom w:val="single" w:color="auto" w:sz="4" w:space="0"/>
                  <w:right w:val="single" w:color="auto" w:sz="4" w:space="0"/>
                </w:tcBorders>
              </w:tcPr>
              <w:p w14:paraId="377EF217">
                <w:pPr>
                  <w:jc w:val="right"/>
                  <w:rPr>
                    <w:rFonts w:cs="Times New Roman"/>
                  </w:rPr>
                </w:pPr>
              </w:p>
            </w:tc>
          </w:tr>
        </w:sdtContent>
      </w:sdt>
      <w:sdt>
        <w:sdtPr>
          <w:rPr>
            <w:rFonts w:cs="Times New Roman"/>
          </w:rPr>
          <w:alias w:val="对子公司投资明细"/>
          <w:tag w:val="_TUP_321065c012a14e8eb3b6aecf92f7a7bb"/>
          <w:id w:val="1880808569"/>
          <w:placeholder>
            <w:docPart w:val="{31e701fb-1afd-481e-b699-3b89320895e4}"/>
          </w:placeholder>
        </w:sdtPr>
        <w:sdtEndPr>
          <w:rPr>
            <w:rFonts w:cs="Times New Roman"/>
          </w:rPr>
        </w:sdtEndPr>
        <w:sdtContent>
          <w:tr w14:paraId="0C302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2FF16EB9">
                <w:pPr>
                  <w:rPr>
                    <w:rFonts w:cs="Times New Roman"/>
                  </w:rPr>
                </w:pPr>
                <w:r>
                  <w:rPr>
                    <w:rFonts w:cs="Times New Roman"/>
                  </w:rPr>
                  <w:t>沈阳际华三五四七特种装具有限公司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109B002E">
                <w:pPr>
                  <w:jc w:val="right"/>
                  <w:rPr>
                    <w:rFonts w:cs="Times New Roman"/>
                  </w:rPr>
                </w:pPr>
                <w:r>
                  <w:rPr>
                    <w:rFonts w:cs="Times New Roman"/>
                  </w:rPr>
                  <w:t>111,262,801.45</w:t>
                </w:r>
              </w:p>
            </w:tc>
            <w:tc>
              <w:tcPr>
                <w:tcW w:w="654" w:type="pct"/>
                <w:tcBorders>
                  <w:top w:val="single" w:color="auto" w:sz="4" w:space="0"/>
                  <w:left w:val="single" w:color="auto" w:sz="4" w:space="0"/>
                  <w:bottom w:val="single" w:color="auto" w:sz="4" w:space="0"/>
                  <w:right w:val="single" w:color="auto" w:sz="4" w:space="0"/>
                </w:tcBorders>
              </w:tcPr>
              <w:p w14:paraId="0CC5878A">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0610842D">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5F7D1D6A">
                <w:pPr>
                  <w:jc w:val="right"/>
                  <w:rPr>
                    <w:rFonts w:cs="Times New Roman"/>
                  </w:rPr>
                </w:pPr>
                <w:r>
                  <w:rPr>
                    <w:rFonts w:cs="Times New Roman"/>
                  </w:rPr>
                  <w:t>111,262,801.45</w:t>
                </w:r>
              </w:p>
            </w:tc>
            <w:tc>
              <w:tcPr>
                <w:tcW w:w="789" w:type="pct"/>
                <w:tcBorders>
                  <w:top w:val="single" w:color="auto" w:sz="4" w:space="0"/>
                  <w:left w:val="single" w:color="auto" w:sz="4" w:space="0"/>
                  <w:bottom w:val="single" w:color="auto" w:sz="4" w:space="0"/>
                  <w:right w:val="single" w:color="auto" w:sz="4" w:space="0"/>
                </w:tcBorders>
              </w:tcPr>
              <w:p w14:paraId="675F4AC9">
                <w:pPr>
                  <w:jc w:val="right"/>
                  <w:rPr>
                    <w:rFonts w:cs="Times New Roman"/>
                  </w:rPr>
                </w:pPr>
              </w:p>
            </w:tc>
          </w:tr>
        </w:sdtContent>
      </w:sdt>
      <w:sdt>
        <w:sdtPr>
          <w:rPr>
            <w:rFonts w:cs="Times New Roman"/>
          </w:rPr>
          <w:alias w:val="对子公司投资明细"/>
          <w:tag w:val="_TUP_321065c012a14e8eb3b6aecf92f7a7bb"/>
          <w:id w:val="1710306100"/>
          <w:placeholder>
            <w:docPart w:val="{31e701fb-1afd-481e-b699-3b89320895e4}"/>
          </w:placeholder>
        </w:sdtPr>
        <w:sdtEndPr>
          <w:rPr>
            <w:rFonts w:cs="Times New Roman"/>
          </w:rPr>
        </w:sdtEndPr>
        <w:sdtContent>
          <w:tr w14:paraId="40D8D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2FC0ED5A">
                <w:pPr>
                  <w:rPr>
                    <w:rFonts w:cs="Times New Roman"/>
                  </w:rPr>
                </w:pPr>
                <w:r>
                  <w:rPr>
                    <w:rFonts w:cs="Times New Roman"/>
                  </w:rPr>
                  <w:t>际华海外投资有限公司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515283EB">
                <w:pPr>
                  <w:jc w:val="right"/>
                  <w:rPr>
                    <w:rFonts w:cs="Times New Roman"/>
                  </w:rPr>
                </w:pPr>
                <w:r>
                  <w:rPr>
                    <w:rFonts w:cs="Times New Roman"/>
                  </w:rPr>
                  <w:t>145,142,012.89</w:t>
                </w:r>
              </w:p>
            </w:tc>
            <w:tc>
              <w:tcPr>
                <w:tcW w:w="654" w:type="pct"/>
                <w:tcBorders>
                  <w:top w:val="single" w:color="auto" w:sz="4" w:space="0"/>
                  <w:left w:val="single" w:color="auto" w:sz="4" w:space="0"/>
                  <w:bottom w:val="single" w:color="auto" w:sz="4" w:space="0"/>
                  <w:right w:val="single" w:color="auto" w:sz="4" w:space="0"/>
                </w:tcBorders>
              </w:tcPr>
              <w:p w14:paraId="6CE8DDA0">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5A890239">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315045ED">
                <w:pPr>
                  <w:jc w:val="right"/>
                  <w:rPr>
                    <w:rFonts w:cs="Times New Roman"/>
                  </w:rPr>
                </w:pPr>
                <w:r>
                  <w:rPr>
                    <w:rFonts w:cs="Times New Roman"/>
                  </w:rPr>
                  <w:t>145,142,012.89</w:t>
                </w:r>
              </w:p>
            </w:tc>
            <w:tc>
              <w:tcPr>
                <w:tcW w:w="789" w:type="pct"/>
                <w:tcBorders>
                  <w:top w:val="single" w:color="auto" w:sz="4" w:space="0"/>
                  <w:left w:val="single" w:color="auto" w:sz="4" w:space="0"/>
                  <w:bottom w:val="single" w:color="auto" w:sz="4" w:space="0"/>
                  <w:right w:val="single" w:color="auto" w:sz="4" w:space="0"/>
                </w:tcBorders>
              </w:tcPr>
              <w:p w14:paraId="4A402078">
                <w:pPr>
                  <w:jc w:val="right"/>
                  <w:rPr>
                    <w:rFonts w:cs="Times New Roman"/>
                  </w:rPr>
                </w:pPr>
              </w:p>
            </w:tc>
          </w:tr>
        </w:sdtContent>
      </w:sdt>
      <w:sdt>
        <w:sdtPr>
          <w:rPr>
            <w:rFonts w:cs="Times New Roman"/>
          </w:rPr>
          <w:alias w:val="对子公司投资明细"/>
          <w:tag w:val="_TUP_321065c012a14e8eb3b6aecf92f7a7bb"/>
          <w:id w:val="-1789110353"/>
          <w:placeholder>
            <w:docPart w:val="{31e701fb-1afd-481e-b699-3b89320895e4}"/>
          </w:placeholder>
        </w:sdtPr>
        <w:sdtEndPr>
          <w:rPr>
            <w:rFonts w:cs="Times New Roman"/>
          </w:rPr>
        </w:sdtEndPr>
        <w:sdtContent>
          <w:tr w14:paraId="4D51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5DD9885E">
                <w:pPr>
                  <w:rPr>
                    <w:rFonts w:cs="Times New Roman"/>
                  </w:rPr>
                </w:pPr>
                <w:r>
                  <w:rPr>
                    <w:rFonts w:cs="Times New Roman"/>
                  </w:rPr>
                  <w:t>重庆际华目的地中心实业有限公司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39697614">
                <w:pPr>
                  <w:jc w:val="right"/>
                  <w:rPr>
                    <w:rFonts w:cs="Times New Roman"/>
                  </w:rPr>
                </w:pPr>
                <w:r>
                  <w:rPr>
                    <w:rFonts w:cs="Times New Roman"/>
                  </w:rPr>
                  <w:t>728,885,091.33</w:t>
                </w:r>
              </w:p>
            </w:tc>
            <w:tc>
              <w:tcPr>
                <w:tcW w:w="654" w:type="pct"/>
                <w:tcBorders>
                  <w:top w:val="single" w:color="auto" w:sz="4" w:space="0"/>
                  <w:left w:val="single" w:color="auto" w:sz="4" w:space="0"/>
                  <w:bottom w:val="single" w:color="auto" w:sz="4" w:space="0"/>
                  <w:right w:val="single" w:color="auto" w:sz="4" w:space="0"/>
                </w:tcBorders>
              </w:tcPr>
              <w:p w14:paraId="05E02E00">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0666AB18">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72B84964">
                <w:pPr>
                  <w:jc w:val="right"/>
                  <w:rPr>
                    <w:rFonts w:cs="Times New Roman"/>
                  </w:rPr>
                </w:pPr>
                <w:r>
                  <w:rPr>
                    <w:rFonts w:cs="Times New Roman"/>
                  </w:rPr>
                  <w:t>728,885,091.33</w:t>
                </w:r>
              </w:p>
            </w:tc>
            <w:tc>
              <w:tcPr>
                <w:tcW w:w="789" w:type="pct"/>
                <w:tcBorders>
                  <w:top w:val="single" w:color="auto" w:sz="4" w:space="0"/>
                  <w:left w:val="single" w:color="auto" w:sz="4" w:space="0"/>
                  <w:bottom w:val="single" w:color="auto" w:sz="4" w:space="0"/>
                  <w:right w:val="single" w:color="auto" w:sz="4" w:space="0"/>
                </w:tcBorders>
              </w:tcPr>
              <w:p w14:paraId="62E1692F">
                <w:pPr>
                  <w:jc w:val="right"/>
                  <w:rPr>
                    <w:rFonts w:cs="Times New Roman"/>
                  </w:rPr>
                </w:pPr>
              </w:p>
            </w:tc>
          </w:tr>
        </w:sdtContent>
      </w:sdt>
      <w:sdt>
        <w:sdtPr>
          <w:rPr>
            <w:rFonts w:cs="Times New Roman"/>
          </w:rPr>
          <w:alias w:val="对子公司投资明细"/>
          <w:tag w:val="_TUP_321065c012a14e8eb3b6aecf92f7a7bb"/>
          <w:id w:val="911506714"/>
          <w:placeholder>
            <w:docPart w:val="{31e701fb-1afd-481e-b699-3b89320895e4}"/>
          </w:placeholder>
        </w:sdtPr>
        <w:sdtEndPr>
          <w:rPr>
            <w:rFonts w:cs="Times New Roman"/>
          </w:rPr>
        </w:sdtEndPr>
        <w:sdtContent>
          <w:tr w14:paraId="13A0F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153E2049">
                <w:pPr>
                  <w:rPr>
                    <w:rFonts w:cs="Times New Roman"/>
                  </w:rPr>
                </w:pPr>
                <w:r>
                  <w:rPr>
                    <w:rFonts w:cs="Times New Roman"/>
                  </w:rPr>
                  <w:t>际华防护科技有限公司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0E1C018C">
                <w:pPr>
                  <w:jc w:val="right"/>
                  <w:rPr>
                    <w:rFonts w:cs="Times New Roman"/>
                  </w:rPr>
                </w:pPr>
                <w:r>
                  <w:rPr>
                    <w:rFonts w:cs="Times New Roman"/>
                  </w:rPr>
                  <w:t>18,000,000.00</w:t>
                </w:r>
              </w:p>
            </w:tc>
            <w:tc>
              <w:tcPr>
                <w:tcW w:w="654" w:type="pct"/>
                <w:tcBorders>
                  <w:top w:val="single" w:color="auto" w:sz="4" w:space="0"/>
                  <w:left w:val="single" w:color="auto" w:sz="4" w:space="0"/>
                  <w:bottom w:val="single" w:color="auto" w:sz="4" w:space="0"/>
                  <w:right w:val="single" w:color="auto" w:sz="4" w:space="0"/>
                </w:tcBorders>
              </w:tcPr>
              <w:p w14:paraId="5616C499">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4DE02C29">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40F1C22B">
                <w:pPr>
                  <w:jc w:val="right"/>
                  <w:rPr>
                    <w:rFonts w:cs="Times New Roman"/>
                  </w:rPr>
                </w:pPr>
                <w:r>
                  <w:rPr>
                    <w:rFonts w:cs="Times New Roman"/>
                  </w:rPr>
                  <w:t>18,000,000.00</w:t>
                </w:r>
              </w:p>
            </w:tc>
            <w:tc>
              <w:tcPr>
                <w:tcW w:w="789" w:type="pct"/>
                <w:tcBorders>
                  <w:top w:val="single" w:color="auto" w:sz="4" w:space="0"/>
                  <w:left w:val="single" w:color="auto" w:sz="4" w:space="0"/>
                  <w:bottom w:val="single" w:color="auto" w:sz="4" w:space="0"/>
                  <w:right w:val="single" w:color="auto" w:sz="4" w:space="0"/>
                </w:tcBorders>
              </w:tcPr>
              <w:p w14:paraId="6AF009C1">
                <w:pPr>
                  <w:jc w:val="right"/>
                  <w:rPr>
                    <w:rFonts w:cs="Times New Roman"/>
                  </w:rPr>
                </w:pPr>
              </w:p>
            </w:tc>
          </w:tr>
        </w:sdtContent>
      </w:sdt>
      <w:sdt>
        <w:sdtPr>
          <w:rPr>
            <w:rFonts w:cs="Times New Roman"/>
          </w:rPr>
          <w:alias w:val="对子公司投资明细"/>
          <w:tag w:val="_TUP_321065c012a14e8eb3b6aecf92f7a7bb"/>
          <w:id w:val="-1655212352"/>
          <w:placeholder>
            <w:docPart w:val="{31e701fb-1afd-481e-b699-3b89320895e4}"/>
          </w:placeholder>
        </w:sdtPr>
        <w:sdtEndPr>
          <w:rPr>
            <w:rFonts w:cs="Times New Roman"/>
          </w:rPr>
        </w:sdtEndPr>
        <w:sdtContent>
          <w:tr w14:paraId="69FA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713CE802">
                <w:pPr>
                  <w:rPr>
                    <w:rFonts w:cs="Times New Roman"/>
                  </w:rPr>
                </w:pPr>
                <w:r>
                  <w:rPr>
                    <w:rFonts w:cs="Times New Roman"/>
                  </w:rPr>
                  <w:t>新疆际华科技产业发展有限公司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4A8B578F">
                <w:pPr>
                  <w:jc w:val="right"/>
                  <w:rPr>
                    <w:rFonts w:cs="Times New Roman"/>
                  </w:rPr>
                </w:pPr>
                <w:r>
                  <w:rPr>
                    <w:rFonts w:cs="Times New Roman"/>
                  </w:rPr>
                  <w:t>5,100,000.00</w:t>
                </w:r>
              </w:p>
            </w:tc>
            <w:tc>
              <w:tcPr>
                <w:tcW w:w="654" w:type="pct"/>
                <w:tcBorders>
                  <w:top w:val="single" w:color="auto" w:sz="4" w:space="0"/>
                  <w:left w:val="single" w:color="auto" w:sz="4" w:space="0"/>
                  <w:bottom w:val="single" w:color="auto" w:sz="4" w:space="0"/>
                  <w:right w:val="single" w:color="auto" w:sz="4" w:space="0"/>
                </w:tcBorders>
              </w:tcPr>
              <w:p w14:paraId="4039D49E">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2F986FD0">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7D3F308E">
                <w:pPr>
                  <w:jc w:val="right"/>
                  <w:rPr>
                    <w:rFonts w:cs="Times New Roman"/>
                  </w:rPr>
                </w:pPr>
                <w:r>
                  <w:rPr>
                    <w:rFonts w:cs="Times New Roman"/>
                  </w:rPr>
                  <w:t>5,100,000.00</w:t>
                </w:r>
              </w:p>
            </w:tc>
            <w:tc>
              <w:tcPr>
                <w:tcW w:w="789" w:type="pct"/>
                <w:tcBorders>
                  <w:top w:val="single" w:color="auto" w:sz="4" w:space="0"/>
                  <w:left w:val="single" w:color="auto" w:sz="4" w:space="0"/>
                  <w:bottom w:val="single" w:color="auto" w:sz="4" w:space="0"/>
                  <w:right w:val="single" w:color="auto" w:sz="4" w:space="0"/>
                </w:tcBorders>
              </w:tcPr>
              <w:p w14:paraId="1B7952A5">
                <w:pPr>
                  <w:jc w:val="right"/>
                  <w:rPr>
                    <w:rFonts w:cs="Times New Roman"/>
                  </w:rPr>
                </w:pPr>
              </w:p>
            </w:tc>
          </w:tr>
        </w:sdtContent>
      </w:sdt>
      <w:sdt>
        <w:sdtPr>
          <w:rPr>
            <w:rFonts w:cs="Times New Roman"/>
          </w:rPr>
          <w:alias w:val="对子公司投资明细"/>
          <w:tag w:val="_TUP_321065c012a14e8eb3b6aecf92f7a7bb"/>
          <w:id w:val="11263191"/>
          <w:placeholder>
            <w:docPart w:val="{31e701fb-1afd-481e-b699-3b89320895e4}"/>
          </w:placeholder>
        </w:sdtPr>
        <w:sdtEndPr>
          <w:rPr>
            <w:rFonts w:cs="Times New Roman"/>
          </w:rPr>
        </w:sdtEndPr>
        <w:sdtContent>
          <w:tr w14:paraId="1894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12456E2E">
                <w:pPr>
                  <w:rPr>
                    <w:rFonts w:cs="Times New Roman"/>
                  </w:rPr>
                </w:pPr>
                <w:r>
                  <w:rPr>
                    <w:rFonts w:cs="Times New Roman"/>
                  </w:rPr>
                  <w:t>际华置业（兰州）有限公司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59B76DF4">
                <w:pPr>
                  <w:jc w:val="right"/>
                  <w:rPr>
                    <w:rFonts w:cs="Times New Roman"/>
                  </w:rPr>
                </w:pPr>
                <w:r>
                  <w:rPr>
                    <w:rFonts w:cs="Times New Roman"/>
                  </w:rPr>
                  <w:t>48,637,625.00</w:t>
                </w:r>
              </w:p>
            </w:tc>
            <w:tc>
              <w:tcPr>
                <w:tcW w:w="654" w:type="pct"/>
                <w:tcBorders>
                  <w:top w:val="single" w:color="auto" w:sz="4" w:space="0"/>
                  <w:left w:val="single" w:color="auto" w:sz="4" w:space="0"/>
                  <w:bottom w:val="single" w:color="auto" w:sz="4" w:space="0"/>
                  <w:right w:val="single" w:color="auto" w:sz="4" w:space="0"/>
                </w:tcBorders>
              </w:tcPr>
              <w:p w14:paraId="5C756199">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578D5EAF">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1308B839">
                <w:pPr>
                  <w:jc w:val="right"/>
                  <w:rPr>
                    <w:rFonts w:cs="Times New Roman"/>
                  </w:rPr>
                </w:pPr>
                <w:r>
                  <w:rPr>
                    <w:rFonts w:cs="Times New Roman"/>
                  </w:rPr>
                  <w:t>48,637,625.00</w:t>
                </w:r>
              </w:p>
            </w:tc>
            <w:tc>
              <w:tcPr>
                <w:tcW w:w="789" w:type="pct"/>
                <w:tcBorders>
                  <w:top w:val="single" w:color="auto" w:sz="4" w:space="0"/>
                  <w:left w:val="single" w:color="auto" w:sz="4" w:space="0"/>
                  <w:bottom w:val="single" w:color="auto" w:sz="4" w:space="0"/>
                  <w:right w:val="single" w:color="auto" w:sz="4" w:space="0"/>
                </w:tcBorders>
              </w:tcPr>
              <w:p w14:paraId="5E16394F">
                <w:pPr>
                  <w:jc w:val="right"/>
                  <w:rPr>
                    <w:rFonts w:cs="Times New Roman"/>
                  </w:rPr>
                </w:pPr>
              </w:p>
            </w:tc>
          </w:tr>
        </w:sdtContent>
      </w:sdt>
      <w:sdt>
        <w:sdtPr>
          <w:rPr>
            <w:rFonts w:cs="Times New Roman"/>
          </w:rPr>
          <w:alias w:val="对子公司投资明细"/>
          <w:tag w:val="_TUP_321065c012a14e8eb3b6aecf92f7a7bb"/>
          <w:id w:val="2132825051"/>
          <w:placeholder>
            <w:docPart w:val="{31e701fb-1afd-481e-b699-3b89320895e4}"/>
          </w:placeholder>
        </w:sdtPr>
        <w:sdtEndPr>
          <w:rPr>
            <w:rFonts w:cs="Times New Roman"/>
          </w:rPr>
        </w:sdtEndPr>
        <w:sdtContent>
          <w:tr w14:paraId="5C826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3D7BC294">
                <w:pPr>
                  <w:rPr>
                    <w:rFonts w:cs="Times New Roman"/>
                  </w:rPr>
                </w:pPr>
                <w:r>
                  <w:rPr>
                    <w:rFonts w:cs="Times New Roman"/>
                  </w:rPr>
                  <w:t>新疆际华服装科技有限公司</w:t>
                </w:r>
              </w:p>
            </w:tc>
            <w:tc>
              <w:tcPr>
                <w:tcW w:w="759" w:type="pct"/>
                <w:tcBorders>
                  <w:top w:val="single" w:color="auto" w:sz="4" w:space="0"/>
                  <w:left w:val="single" w:color="auto" w:sz="4" w:space="0"/>
                  <w:bottom w:val="single" w:color="auto" w:sz="4" w:space="0"/>
                  <w:right w:val="single" w:color="auto" w:sz="4" w:space="0"/>
                </w:tcBorders>
                <w:vAlign w:val="center"/>
              </w:tcPr>
              <w:p w14:paraId="400B1900">
                <w:pPr>
                  <w:jc w:val="right"/>
                  <w:rPr>
                    <w:rFonts w:cs="Times New Roman"/>
                  </w:rPr>
                </w:pPr>
                <w:r>
                  <w:rPr>
                    <w:rFonts w:cs="Times New Roman"/>
                  </w:rPr>
                  <w:t>5,000,000.00</w:t>
                </w:r>
              </w:p>
            </w:tc>
            <w:tc>
              <w:tcPr>
                <w:tcW w:w="654" w:type="pct"/>
                <w:tcBorders>
                  <w:top w:val="single" w:color="auto" w:sz="4" w:space="0"/>
                  <w:left w:val="single" w:color="auto" w:sz="4" w:space="0"/>
                  <w:bottom w:val="single" w:color="auto" w:sz="4" w:space="0"/>
                  <w:right w:val="single" w:color="auto" w:sz="4" w:space="0"/>
                </w:tcBorders>
              </w:tcPr>
              <w:p w14:paraId="27B546F6">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7F12F8C7">
                <w:pPr>
                  <w:jc w:val="right"/>
                  <w:rPr>
                    <w:rFonts w:cs="Times New Roman"/>
                  </w:rPr>
                </w:pPr>
                <w:r>
                  <w:rPr>
                    <w:rFonts w:cs="Times New Roman"/>
                  </w:rPr>
                  <w:t>5,000,000.00</w:t>
                </w:r>
              </w:p>
            </w:tc>
            <w:tc>
              <w:tcPr>
                <w:tcW w:w="786" w:type="pct"/>
                <w:tcBorders>
                  <w:top w:val="single" w:color="auto" w:sz="4" w:space="0"/>
                  <w:left w:val="single" w:color="auto" w:sz="4" w:space="0"/>
                  <w:bottom w:val="single" w:color="auto" w:sz="4" w:space="0"/>
                  <w:right w:val="single" w:color="auto" w:sz="4" w:space="0"/>
                </w:tcBorders>
                <w:vAlign w:val="center"/>
              </w:tcPr>
              <w:p w14:paraId="08063369">
                <w:pPr>
                  <w:jc w:val="right"/>
                  <w:rPr>
                    <w:rFonts w:cs="Times New Roman"/>
                  </w:rPr>
                </w:pPr>
                <w:r>
                  <w:rPr>
                    <w:rFonts w:cs="Times New Roman"/>
                  </w:rPr>
                  <w:t>10,000,000.00</w:t>
                </w:r>
              </w:p>
            </w:tc>
            <w:tc>
              <w:tcPr>
                <w:tcW w:w="789" w:type="pct"/>
                <w:tcBorders>
                  <w:top w:val="single" w:color="auto" w:sz="4" w:space="0"/>
                  <w:left w:val="single" w:color="auto" w:sz="4" w:space="0"/>
                  <w:bottom w:val="single" w:color="auto" w:sz="4" w:space="0"/>
                  <w:right w:val="single" w:color="auto" w:sz="4" w:space="0"/>
                </w:tcBorders>
              </w:tcPr>
              <w:p w14:paraId="5792DFB7">
                <w:pPr>
                  <w:jc w:val="right"/>
                  <w:rPr>
                    <w:rFonts w:cs="Times New Roman"/>
                  </w:rPr>
                </w:pPr>
              </w:p>
            </w:tc>
          </w:tr>
        </w:sdtContent>
      </w:sdt>
      <w:sdt>
        <w:sdtPr>
          <w:rPr>
            <w:rFonts w:cs="Times New Roman"/>
          </w:rPr>
          <w:alias w:val="对子公司投资明细"/>
          <w:tag w:val="_TUP_321065c012a14e8eb3b6aecf92f7a7bb"/>
          <w:id w:val="1159966535"/>
          <w:placeholder>
            <w:docPart w:val="{31e701fb-1afd-481e-b699-3b89320895e4}"/>
          </w:placeholder>
        </w:sdtPr>
        <w:sdtEndPr>
          <w:rPr>
            <w:rFonts w:cs="Times New Roman"/>
          </w:rPr>
        </w:sdtEndPr>
        <w:sdtContent>
          <w:tr w14:paraId="5215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p w14:paraId="50C2C2C7">
                <w:pPr>
                  <w:rPr>
                    <w:rFonts w:cs="Times New Roman"/>
                  </w:rPr>
                </w:pPr>
                <w:r>
                  <w:rPr>
                    <w:rFonts w:cs="Times New Roman"/>
                  </w:rPr>
                  <w:t>新疆华锦生态纺织印染有限责任公司</w:t>
                </w:r>
              </w:p>
            </w:tc>
            <w:tc>
              <w:tcPr>
                <w:tcW w:w="759" w:type="pct"/>
                <w:tcBorders>
                  <w:top w:val="single" w:color="auto" w:sz="4" w:space="0"/>
                  <w:left w:val="single" w:color="auto" w:sz="4" w:space="0"/>
                  <w:bottom w:val="single" w:color="auto" w:sz="4" w:space="0"/>
                  <w:right w:val="single" w:color="auto" w:sz="4" w:space="0"/>
                </w:tcBorders>
                <w:vAlign w:val="center"/>
              </w:tcPr>
              <w:p w14:paraId="7D50C6DC">
                <w:pPr>
                  <w:jc w:val="right"/>
                  <w:rPr>
                    <w:rFonts w:cs="Times New Roman"/>
                  </w:rPr>
                </w:pPr>
                <w:r>
                  <w:rPr>
                    <w:rFonts w:cs="Times New Roman"/>
                  </w:rPr>
                  <w:t>165,000,000.00</w:t>
                </w:r>
              </w:p>
            </w:tc>
            <w:tc>
              <w:tcPr>
                <w:tcW w:w="654" w:type="pct"/>
                <w:tcBorders>
                  <w:top w:val="single" w:color="auto" w:sz="4" w:space="0"/>
                  <w:left w:val="single" w:color="auto" w:sz="4" w:space="0"/>
                  <w:bottom w:val="single" w:color="auto" w:sz="4" w:space="0"/>
                  <w:right w:val="single" w:color="auto" w:sz="4" w:space="0"/>
                </w:tcBorders>
              </w:tcPr>
              <w:p w14:paraId="5767D045">
                <w:pPr>
                  <w:jc w:val="right"/>
                  <w:rPr>
                    <w:rFonts w:cs="Times New Roman"/>
                  </w:rPr>
                </w:pPr>
              </w:p>
            </w:tc>
            <w:tc>
              <w:tcPr>
                <w:tcW w:w="659" w:type="pct"/>
                <w:tcBorders>
                  <w:top w:val="single" w:color="auto" w:sz="4" w:space="0"/>
                  <w:left w:val="single" w:color="auto" w:sz="4" w:space="0"/>
                  <w:bottom w:val="single" w:color="auto" w:sz="4" w:space="0"/>
                  <w:right w:val="single" w:color="auto" w:sz="4" w:space="0"/>
                </w:tcBorders>
                <w:vAlign w:val="center"/>
              </w:tcPr>
              <w:p w14:paraId="25DEB857">
                <w:pPr>
                  <w:jc w:val="right"/>
                  <w:rPr>
                    <w:rFonts w:cs="Times New Roman"/>
                  </w:rPr>
                </w:pPr>
              </w:p>
            </w:tc>
            <w:tc>
              <w:tcPr>
                <w:tcW w:w="786" w:type="pct"/>
                <w:tcBorders>
                  <w:top w:val="single" w:color="auto" w:sz="4" w:space="0"/>
                  <w:left w:val="single" w:color="auto" w:sz="4" w:space="0"/>
                  <w:bottom w:val="single" w:color="auto" w:sz="4" w:space="0"/>
                  <w:right w:val="single" w:color="auto" w:sz="4" w:space="0"/>
                </w:tcBorders>
                <w:vAlign w:val="center"/>
              </w:tcPr>
              <w:p w14:paraId="58B32D8A">
                <w:pPr>
                  <w:jc w:val="right"/>
                  <w:rPr>
                    <w:rFonts w:cs="Times New Roman"/>
                  </w:rPr>
                </w:pPr>
                <w:r>
                  <w:rPr>
                    <w:rFonts w:cs="Times New Roman"/>
                  </w:rPr>
                  <w:t>165,000,000.00</w:t>
                </w:r>
              </w:p>
            </w:tc>
            <w:tc>
              <w:tcPr>
                <w:tcW w:w="789" w:type="pct"/>
                <w:tcBorders>
                  <w:top w:val="single" w:color="auto" w:sz="4" w:space="0"/>
                  <w:left w:val="single" w:color="auto" w:sz="4" w:space="0"/>
                  <w:bottom w:val="single" w:color="auto" w:sz="4" w:space="0"/>
                  <w:right w:val="single" w:color="auto" w:sz="4" w:space="0"/>
                </w:tcBorders>
              </w:tcPr>
              <w:p w14:paraId="278DA8B5">
                <w:pPr>
                  <w:jc w:val="right"/>
                  <w:rPr>
                    <w:rFonts w:cs="Times New Roman"/>
                  </w:rPr>
                </w:pPr>
              </w:p>
            </w:tc>
          </w:tr>
        </w:sdtContent>
      </w:sdt>
      <w:tr w14:paraId="7337C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4" w:space="0"/>
              <w:left w:val="single" w:color="auto" w:sz="4" w:space="0"/>
              <w:bottom w:val="single" w:color="auto" w:sz="4" w:space="0"/>
              <w:right w:val="single" w:color="auto" w:sz="4" w:space="0"/>
            </w:tcBorders>
            <w:vAlign w:val="center"/>
          </w:tcPr>
          <w:sdt>
            <w:sdtPr>
              <w:rPr>
                <w:rFonts w:cs="Times New Roman"/>
              </w:rPr>
              <w:tag w:val="_PLD_f5eb1b77c2554d159ac5f5a87909dfd5"/>
              <w:id w:val="-1674336128"/>
            </w:sdtPr>
            <w:sdtEndPr>
              <w:rPr>
                <w:rFonts w:cs="Times New Roman"/>
              </w:rPr>
            </w:sdtEndPr>
            <w:sdtContent>
              <w:p w14:paraId="0D722516">
                <w:pPr>
                  <w:jc w:val="center"/>
                  <w:rPr>
                    <w:rFonts w:cs="Times New Roman"/>
                  </w:rPr>
                </w:pPr>
                <w:r>
                  <w:rPr>
                    <w:rFonts w:cs="Times New Roman"/>
                  </w:rPr>
                  <w:t>合计</w:t>
                </w:r>
              </w:p>
            </w:sdtContent>
          </w:sdt>
        </w:tc>
        <w:tc>
          <w:tcPr>
            <w:tcW w:w="759" w:type="pct"/>
            <w:tcBorders>
              <w:top w:val="single" w:color="auto" w:sz="4" w:space="0"/>
              <w:left w:val="single" w:color="auto" w:sz="4" w:space="0"/>
              <w:bottom w:val="single" w:color="auto" w:sz="4" w:space="0"/>
              <w:right w:val="single" w:color="auto" w:sz="4" w:space="0"/>
            </w:tcBorders>
            <w:vAlign w:val="center"/>
          </w:tcPr>
          <w:p w14:paraId="67EFD76E">
            <w:pPr>
              <w:jc w:val="right"/>
              <w:rPr>
                <w:rFonts w:cs="Times New Roman"/>
              </w:rPr>
            </w:pPr>
            <w:r>
              <w:rPr>
                <w:rFonts w:cs="Times New Roman"/>
              </w:rPr>
              <w:t>6,611,300,932.88</w:t>
            </w:r>
          </w:p>
        </w:tc>
        <w:tc>
          <w:tcPr>
            <w:tcW w:w="654" w:type="pct"/>
            <w:tcBorders>
              <w:top w:val="single" w:color="auto" w:sz="4" w:space="0"/>
              <w:left w:val="single" w:color="auto" w:sz="4" w:space="0"/>
              <w:bottom w:val="single" w:color="auto" w:sz="4" w:space="0"/>
              <w:right w:val="single" w:color="auto" w:sz="4" w:space="0"/>
            </w:tcBorders>
            <w:vAlign w:val="center"/>
          </w:tcPr>
          <w:p w14:paraId="4F19C93C">
            <w:pPr>
              <w:jc w:val="right"/>
              <w:rPr>
                <w:rFonts w:cs="Times New Roman"/>
              </w:rPr>
            </w:pPr>
            <w:r>
              <w:rPr>
                <w:rFonts w:cs="Times New Roman"/>
              </w:rPr>
              <w:t>36,907,975.79</w:t>
            </w:r>
          </w:p>
        </w:tc>
        <w:tc>
          <w:tcPr>
            <w:tcW w:w="659" w:type="pct"/>
            <w:tcBorders>
              <w:top w:val="single" w:color="auto" w:sz="4" w:space="0"/>
              <w:left w:val="single" w:color="auto" w:sz="4" w:space="0"/>
              <w:bottom w:val="single" w:color="auto" w:sz="4" w:space="0"/>
              <w:right w:val="single" w:color="auto" w:sz="4" w:space="0"/>
            </w:tcBorders>
            <w:vAlign w:val="center"/>
          </w:tcPr>
          <w:p w14:paraId="1C1DD360">
            <w:pPr>
              <w:jc w:val="right"/>
              <w:rPr>
                <w:rFonts w:cs="Times New Roman"/>
              </w:rPr>
            </w:pPr>
            <w:r>
              <w:rPr>
                <w:rFonts w:cs="Times New Roman"/>
              </w:rPr>
              <w:t>15,253,436.07</w:t>
            </w:r>
          </w:p>
        </w:tc>
        <w:tc>
          <w:tcPr>
            <w:tcW w:w="786" w:type="pct"/>
            <w:tcBorders>
              <w:top w:val="single" w:color="auto" w:sz="4" w:space="0"/>
              <w:left w:val="single" w:color="auto" w:sz="4" w:space="0"/>
              <w:bottom w:val="single" w:color="auto" w:sz="4" w:space="0"/>
              <w:right w:val="single" w:color="auto" w:sz="4" w:space="0"/>
            </w:tcBorders>
            <w:vAlign w:val="center"/>
          </w:tcPr>
          <w:p w14:paraId="232DDE6C">
            <w:pPr>
              <w:jc w:val="right"/>
              <w:rPr>
                <w:rFonts w:cs="Times New Roman"/>
              </w:rPr>
            </w:pPr>
            <w:r>
              <w:rPr>
                <w:rFonts w:cs="Times New Roman"/>
              </w:rPr>
              <w:t>6,626,554,368.95</w:t>
            </w:r>
          </w:p>
        </w:tc>
        <w:tc>
          <w:tcPr>
            <w:tcW w:w="789" w:type="pct"/>
            <w:tcBorders>
              <w:top w:val="single" w:color="auto" w:sz="4" w:space="0"/>
              <w:left w:val="single" w:color="auto" w:sz="4" w:space="0"/>
              <w:bottom w:val="single" w:color="auto" w:sz="4" w:space="0"/>
              <w:right w:val="single" w:color="auto" w:sz="4" w:space="0"/>
            </w:tcBorders>
            <w:vAlign w:val="center"/>
          </w:tcPr>
          <w:p w14:paraId="0008EBDE">
            <w:pPr>
              <w:jc w:val="right"/>
              <w:rPr>
                <w:rFonts w:cs="Times New Roman"/>
              </w:rPr>
            </w:pPr>
            <w:r>
              <w:rPr>
                <w:rFonts w:cs="Times New Roman"/>
              </w:rPr>
              <w:t>36,907,975.79</w:t>
            </w:r>
          </w:p>
        </w:tc>
      </w:tr>
    </w:tbl>
    <w:p w14:paraId="0B3467CD">
      <w:pPr>
        <w:rPr>
          <w:color w:val="000000" w:themeColor="text1"/>
          <w14:textFill>
            <w14:solidFill>
              <w14:schemeClr w14:val="tx1"/>
            </w14:solidFill>
          </w14:textFill>
        </w:rPr>
        <w:sectPr>
          <w:pgSz w:w="16838" w:h="11906" w:orient="landscape"/>
          <w:pgMar w:top="1797" w:right="1525" w:bottom="1276" w:left="1440" w:header="856" w:footer="992" w:gutter="0"/>
          <w:cols w:space="425" w:num="1"/>
          <w:docGrid w:linePitch="312" w:charSpace="0"/>
        </w:sectPr>
      </w:pPr>
    </w:p>
    <w:p w14:paraId="1326F2B1">
      <w:pPr>
        <w:pStyle w:val="58"/>
        <w:numPr>
          <w:ilvl w:val="0"/>
          <w:numId w:val="121"/>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对联营、合营企业投资</w:t>
      </w:r>
    </w:p>
    <w:sdt>
      <w:sdtPr>
        <w:rPr>
          <w:color w:val="000000" w:themeColor="text1"/>
          <w14:textFill>
            <w14:solidFill>
              <w14:schemeClr w14:val="tx1"/>
            </w14:solidFill>
          </w14:textFill>
        </w:rPr>
        <w:alias w:val="是否适用：母公司对联营、合营企业投资[双击切换]"/>
        <w:tag w:val="_GBC_0837f60a15fc4684b64085618adca8d2"/>
        <w:id w:val="147478536"/>
        <w:placeholder>
          <w:docPart w:val="GBC22222222222222222222222222222"/>
        </w:placeholder>
      </w:sdtPr>
      <w:sdtEndPr>
        <w:rPr>
          <w:color w:val="000000" w:themeColor="text1"/>
          <w14:textFill>
            <w14:solidFill>
              <w14:schemeClr w14:val="tx1"/>
            </w14:solidFill>
          </w14:textFill>
        </w:rPr>
      </w:sdtEndPr>
      <w:sdtContent>
        <w:p w14:paraId="2F43321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A662145">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母公司财务附注：对联营、合营企业投资"/>
          <w:tag w:val="_GBC_d8af48cd34c54e749df777d4e6a5e2ed"/>
          <w:id w:val="1474747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母公司财务附注：对联营、合营企业投资"/>
          <w:tag w:val="_GBC_5b4bb22c6cca42989bcd538938127ee2"/>
          <w:id w:val="1474533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1354"/>
        <w:gridCol w:w="932"/>
        <w:gridCol w:w="824"/>
        <w:gridCol w:w="736"/>
        <w:gridCol w:w="1088"/>
        <w:gridCol w:w="952"/>
        <w:gridCol w:w="963"/>
        <w:gridCol w:w="1099"/>
        <w:gridCol w:w="1085"/>
        <w:gridCol w:w="1124"/>
        <w:gridCol w:w="1222"/>
        <w:gridCol w:w="1072"/>
      </w:tblGrid>
      <w:tr w14:paraId="2B15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tag w:val="_PLD_abfaca7df388426499f44c3fb444b469"/>
            <w:id w:val="147451585"/>
          </w:sdtPr>
          <w:sdtContent>
            <w:tc>
              <w:tcPr>
                <w:tcW w:w="510" w:type="pct"/>
                <w:vMerge w:val="restart"/>
                <w:tcBorders>
                  <w:top w:val="single" w:color="auto" w:sz="4" w:space="0"/>
                  <w:left w:val="single" w:color="auto" w:sz="4" w:space="0"/>
                  <w:right w:val="single" w:color="auto" w:sz="4" w:space="0"/>
                </w:tcBorders>
                <w:vAlign w:val="center"/>
              </w:tcPr>
              <w:p w14:paraId="2CCACDC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投资</w:t>
                </w:r>
              </w:p>
              <w:p w14:paraId="6977380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p>
            </w:tc>
          </w:sdtContent>
        </w:sdt>
        <w:sdt>
          <w:sdtPr>
            <w:tag w:val="_PLD_05798c5c44604c97a951491f90362ede"/>
            <w:id w:val="147475446"/>
          </w:sdtPr>
          <w:sdtContent>
            <w:tc>
              <w:tcPr>
                <w:tcW w:w="489" w:type="pct"/>
                <w:vMerge w:val="restart"/>
                <w:tcBorders>
                  <w:top w:val="single" w:color="auto" w:sz="4" w:space="0"/>
                  <w:left w:val="single" w:color="auto" w:sz="4" w:space="0"/>
                  <w:right w:val="single" w:color="auto" w:sz="4" w:space="0"/>
                </w:tcBorders>
                <w:vAlign w:val="center"/>
              </w:tcPr>
              <w:p w14:paraId="10593D9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w:t>
                </w:r>
              </w:p>
              <w:p w14:paraId="24BC2CE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余额（账面价值）</w:t>
                </w:r>
              </w:p>
            </w:tc>
          </w:sdtContent>
        </w:sdt>
        <w:tc>
          <w:tcPr>
            <w:tcW w:w="337" w:type="pct"/>
            <w:vMerge w:val="restart"/>
            <w:tcBorders>
              <w:top w:val="single" w:color="auto" w:sz="4" w:space="0"/>
              <w:left w:val="single" w:color="auto" w:sz="4" w:space="0"/>
              <w:right w:val="single" w:color="auto" w:sz="4" w:space="0"/>
            </w:tcBorders>
            <w:vAlign w:val="center"/>
          </w:tcPr>
          <w:sdt>
            <w:sdtPr>
              <w:tag w:val="_PLD_679614cb179b47cb8eca53d826d545ce"/>
              <w:id w:val="147477803"/>
            </w:sdtPr>
            <w:sdtContent>
              <w:p w14:paraId="372CAD16">
                <w:pPr>
                  <w:tabs>
                    <w:tab w:val="left" w:pos="370"/>
                  </w:tabs>
                  <w:jc w:val="center"/>
                </w:pPr>
                <w:r>
                  <w:rPr>
                    <w:rFonts w:hint="eastAsia"/>
                  </w:rPr>
                  <w:t>减值准备期初余额</w:t>
                </w:r>
              </w:p>
            </w:sdtContent>
          </w:sdt>
        </w:tc>
        <w:sdt>
          <w:sdtPr>
            <w:tag w:val="_PLD_0a2bbaaacf944dc499773ce9e49a7a44"/>
            <w:id w:val="147466657"/>
          </w:sdtPr>
          <w:sdtContent>
            <w:tc>
              <w:tcPr>
                <w:tcW w:w="2844" w:type="pct"/>
                <w:gridSpan w:val="8"/>
                <w:tcBorders>
                  <w:top w:val="single" w:color="auto" w:sz="4" w:space="0"/>
                  <w:left w:val="single" w:color="auto" w:sz="4" w:space="0"/>
                  <w:bottom w:val="single" w:color="auto" w:sz="4" w:space="0"/>
                  <w:right w:val="single" w:color="auto" w:sz="4" w:space="0"/>
                </w:tcBorders>
                <w:vAlign w:val="center"/>
              </w:tcPr>
              <w:p w14:paraId="7CE2CD5B">
                <w:pPr>
                  <w:jc w:val="center"/>
                  <w:rPr>
                    <w:color w:val="000000" w:themeColor="text1"/>
                    <w14:textFill>
                      <w14:solidFill>
                        <w14:schemeClr w14:val="tx1"/>
                      </w14:solidFill>
                    </w14:textFill>
                  </w:rPr>
                </w:pPr>
                <w:bookmarkStart w:id="487" w:name="OLE_LINK7"/>
                <w:r>
                  <w:rPr>
                    <w:rFonts w:hint="eastAsia"/>
                    <w:color w:val="000000" w:themeColor="text1"/>
                    <w14:textFill>
                      <w14:solidFill>
                        <w14:schemeClr w14:val="tx1"/>
                      </w14:solidFill>
                    </w14:textFill>
                  </w:rPr>
                  <w:t>本期增减变动</w:t>
                </w:r>
              </w:p>
              <w:bookmarkEnd w:id="487"/>
            </w:tc>
          </w:sdtContent>
        </w:sdt>
        <w:sdt>
          <w:sdtPr>
            <w:tag w:val="_PLD_08d96ebd050e43e4a66f158230dee5ce"/>
            <w:id w:val="147465294"/>
          </w:sdtPr>
          <w:sdtContent>
            <w:tc>
              <w:tcPr>
                <w:tcW w:w="433" w:type="pct"/>
                <w:vMerge w:val="restart"/>
                <w:tcBorders>
                  <w:top w:val="single" w:color="auto" w:sz="4" w:space="0"/>
                  <w:left w:val="single" w:color="auto" w:sz="4" w:space="0"/>
                  <w:right w:val="single" w:color="auto" w:sz="4" w:space="0"/>
                </w:tcBorders>
                <w:vAlign w:val="center"/>
              </w:tcPr>
              <w:p w14:paraId="6EC9D02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期末余额（账面价值）</w:t>
                </w:r>
              </w:p>
            </w:tc>
          </w:sdtContent>
        </w:sdt>
        <w:sdt>
          <w:sdtPr>
            <w:tag w:val="_PLD_7926cd06c0474fbd9ec1c3b927ae616d"/>
            <w:id w:val="147469101"/>
          </w:sdtPr>
          <w:sdtContent>
            <w:tc>
              <w:tcPr>
                <w:tcW w:w="383" w:type="pct"/>
                <w:vMerge w:val="restart"/>
                <w:tcBorders>
                  <w:top w:val="single" w:color="auto" w:sz="4" w:space="0"/>
                  <w:left w:val="single" w:color="auto" w:sz="4" w:space="0"/>
                  <w:right w:val="single" w:color="auto" w:sz="4" w:space="0"/>
                </w:tcBorders>
                <w:vAlign w:val="center"/>
              </w:tcPr>
              <w:p w14:paraId="00844D8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减值准备期末余额</w:t>
                </w:r>
              </w:p>
            </w:tc>
          </w:sdtContent>
        </w:sdt>
      </w:tr>
      <w:tr w14:paraId="7337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10" w:type="pct"/>
            <w:vMerge w:val="continue"/>
            <w:tcBorders>
              <w:left w:val="single" w:color="auto" w:sz="4" w:space="0"/>
              <w:bottom w:val="single" w:color="auto" w:sz="4" w:space="0"/>
              <w:right w:val="single" w:color="auto" w:sz="4" w:space="0"/>
            </w:tcBorders>
          </w:tcPr>
          <w:p w14:paraId="58F351A3">
            <w:pPr>
              <w:jc w:val="center"/>
              <w:rPr>
                <w:color w:val="000000" w:themeColor="text1"/>
                <w14:textFill>
                  <w14:solidFill>
                    <w14:schemeClr w14:val="tx1"/>
                  </w14:solidFill>
                </w14:textFill>
              </w:rPr>
            </w:pPr>
          </w:p>
        </w:tc>
        <w:tc>
          <w:tcPr>
            <w:tcW w:w="489" w:type="pct"/>
            <w:vMerge w:val="continue"/>
            <w:tcBorders>
              <w:left w:val="single" w:color="auto" w:sz="4" w:space="0"/>
              <w:bottom w:val="single" w:color="auto" w:sz="4" w:space="0"/>
              <w:right w:val="single" w:color="auto" w:sz="4" w:space="0"/>
            </w:tcBorders>
          </w:tcPr>
          <w:p w14:paraId="4C427104">
            <w:pPr>
              <w:jc w:val="center"/>
              <w:rPr>
                <w:color w:val="000000" w:themeColor="text1"/>
                <w14:textFill>
                  <w14:solidFill>
                    <w14:schemeClr w14:val="tx1"/>
                  </w14:solidFill>
                </w14:textFill>
              </w:rPr>
            </w:pPr>
          </w:p>
        </w:tc>
        <w:tc>
          <w:tcPr>
            <w:tcW w:w="337" w:type="pct"/>
            <w:vMerge w:val="continue"/>
            <w:tcBorders>
              <w:left w:val="single" w:color="auto" w:sz="4" w:space="0"/>
              <w:bottom w:val="single" w:color="auto" w:sz="4" w:space="0"/>
              <w:right w:val="single" w:color="auto" w:sz="4" w:space="0"/>
            </w:tcBorders>
          </w:tcPr>
          <w:p w14:paraId="7D3028A6">
            <w:pPr>
              <w:jc w:val="center"/>
              <w:rPr>
                <w:color w:val="000000" w:themeColor="text1"/>
                <w14:textFill>
                  <w14:solidFill>
                    <w14:schemeClr w14:val="tx1"/>
                  </w14:solidFill>
                </w14:textFill>
              </w:rPr>
            </w:pPr>
          </w:p>
        </w:tc>
        <w:sdt>
          <w:sdtPr>
            <w:tag w:val="_PLD_c2a32165f0334d7c8fde829ff4c17575"/>
            <w:id w:val="147481931"/>
          </w:sdtPr>
          <w:sdtContent>
            <w:tc>
              <w:tcPr>
                <w:tcW w:w="298" w:type="pct"/>
                <w:tcBorders>
                  <w:top w:val="single" w:color="auto" w:sz="4" w:space="0"/>
                  <w:left w:val="single" w:color="auto" w:sz="4" w:space="0"/>
                  <w:bottom w:val="single" w:color="auto" w:sz="4" w:space="0"/>
                  <w:right w:val="single" w:color="auto" w:sz="4" w:space="0"/>
                </w:tcBorders>
                <w:vAlign w:val="center"/>
              </w:tcPr>
              <w:p w14:paraId="5F89518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追加投资</w:t>
                </w:r>
              </w:p>
            </w:tc>
          </w:sdtContent>
        </w:sdt>
        <w:sdt>
          <w:sdtPr>
            <w:tag w:val="_PLD_71fe608b4d73467797eee694efbf7ebb"/>
            <w:id w:val="147453271"/>
          </w:sdtPr>
          <w:sdtContent>
            <w:tc>
              <w:tcPr>
                <w:tcW w:w="266" w:type="pct"/>
                <w:tcBorders>
                  <w:top w:val="single" w:color="auto" w:sz="4" w:space="0"/>
                  <w:left w:val="single" w:color="auto" w:sz="4" w:space="0"/>
                  <w:bottom w:val="single" w:color="auto" w:sz="4" w:space="0"/>
                  <w:right w:val="single" w:color="auto" w:sz="4" w:space="0"/>
                </w:tcBorders>
                <w:vAlign w:val="center"/>
              </w:tcPr>
              <w:p w14:paraId="7257E05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减少投资</w:t>
                </w:r>
              </w:p>
            </w:tc>
          </w:sdtContent>
        </w:sdt>
        <w:sdt>
          <w:sdtPr>
            <w:tag w:val="_PLD_f05a50a0bc284599af7a40502cd10a40"/>
            <w:id w:val="147479485"/>
          </w:sdtPr>
          <w:sdtContent>
            <w:tc>
              <w:tcPr>
                <w:tcW w:w="393" w:type="pct"/>
                <w:tcBorders>
                  <w:top w:val="single" w:color="auto" w:sz="4" w:space="0"/>
                  <w:left w:val="single" w:color="auto" w:sz="4" w:space="0"/>
                  <w:bottom w:val="single" w:color="auto" w:sz="4" w:space="0"/>
                  <w:right w:val="single" w:color="auto" w:sz="4" w:space="0"/>
                </w:tcBorders>
                <w:vAlign w:val="center"/>
              </w:tcPr>
              <w:p w14:paraId="5E0573D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权益法下确认的投资损益</w:t>
                </w:r>
              </w:p>
            </w:tc>
          </w:sdtContent>
        </w:sdt>
        <w:sdt>
          <w:sdtPr>
            <w:tag w:val="_PLD_02248a0958484589b824cff096f8d135"/>
            <w:id w:val="147476672"/>
          </w:sdtPr>
          <w:sdtContent>
            <w:tc>
              <w:tcPr>
                <w:tcW w:w="344" w:type="pct"/>
                <w:tcBorders>
                  <w:top w:val="single" w:color="auto" w:sz="4" w:space="0"/>
                  <w:left w:val="single" w:color="auto" w:sz="4" w:space="0"/>
                  <w:bottom w:val="single" w:color="auto" w:sz="4" w:space="0"/>
                  <w:right w:val="single" w:color="auto" w:sz="4" w:space="0"/>
                </w:tcBorders>
                <w:vAlign w:val="center"/>
              </w:tcPr>
              <w:p w14:paraId="50A27BC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其他综合收益调整</w:t>
                </w:r>
              </w:p>
            </w:tc>
          </w:sdtContent>
        </w:sdt>
        <w:sdt>
          <w:sdtPr>
            <w:tag w:val="_PLD_7fb58b4af07a4b58a9b3d08dc004f3ee"/>
            <w:id w:val="147453348"/>
          </w:sdtPr>
          <w:sdtContent>
            <w:tc>
              <w:tcPr>
                <w:tcW w:w="348" w:type="pct"/>
                <w:tcBorders>
                  <w:top w:val="single" w:color="auto" w:sz="4" w:space="0"/>
                  <w:left w:val="single" w:color="auto" w:sz="4" w:space="0"/>
                  <w:bottom w:val="single" w:color="auto" w:sz="4" w:space="0"/>
                  <w:right w:val="single" w:color="auto" w:sz="4" w:space="0"/>
                </w:tcBorders>
                <w:vAlign w:val="center"/>
              </w:tcPr>
              <w:p w14:paraId="2418D1B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其他权益变动</w:t>
                </w:r>
              </w:p>
            </w:tc>
          </w:sdtContent>
        </w:sdt>
        <w:sdt>
          <w:sdtPr>
            <w:tag w:val="_PLD_222556d83dca4844b27c9b0b28e96430"/>
            <w:id w:val="147473789"/>
          </w:sdtPr>
          <w:sdtContent>
            <w:tc>
              <w:tcPr>
                <w:tcW w:w="397" w:type="pct"/>
                <w:tcBorders>
                  <w:top w:val="single" w:color="auto" w:sz="4" w:space="0"/>
                  <w:left w:val="single" w:color="auto" w:sz="4" w:space="0"/>
                  <w:bottom w:val="single" w:color="auto" w:sz="4" w:space="0"/>
                  <w:right w:val="single" w:color="auto" w:sz="4" w:space="0"/>
                </w:tcBorders>
                <w:vAlign w:val="center"/>
              </w:tcPr>
              <w:p w14:paraId="5CFA820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宣告发放现金股利或利润</w:t>
                </w:r>
              </w:p>
            </w:tc>
          </w:sdtContent>
        </w:sdt>
        <w:sdt>
          <w:sdtPr>
            <w:tag w:val="_PLD_3ccc36abfffc49a99807a98ffb9d12d5"/>
            <w:id w:val="147457498"/>
          </w:sdtPr>
          <w:sdtContent>
            <w:tc>
              <w:tcPr>
                <w:tcW w:w="392" w:type="pct"/>
                <w:tcBorders>
                  <w:top w:val="single" w:color="auto" w:sz="4" w:space="0"/>
                  <w:left w:val="single" w:color="auto" w:sz="4" w:space="0"/>
                  <w:bottom w:val="single" w:color="auto" w:sz="4" w:space="0"/>
                  <w:right w:val="single" w:color="auto" w:sz="4" w:space="0"/>
                </w:tcBorders>
                <w:vAlign w:val="center"/>
              </w:tcPr>
              <w:p w14:paraId="1C23DA1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计提减值准备</w:t>
                </w:r>
              </w:p>
            </w:tc>
          </w:sdtContent>
        </w:sdt>
        <w:sdt>
          <w:sdtPr>
            <w:tag w:val="_PLD_a907ceb1e793491d9fd8ecad7300602c"/>
            <w:id w:val="147475282"/>
          </w:sdtPr>
          <w:sdtContent>
            <w:tc>
              <w:tcPr>
                <w:tcW w:w="403" w:type="pct"/>
                <w:tcBorders>
                  <w:top w:val="single" w:color="auto" w:sz="4" w:space="0"/>
                  <w:left w:val="single" w:color="auto" w:sz="4" w:space="0"/>
                  <w:bottom w:val="single" w:color="auto" w:sz="4" w:space="0"/>
                  <w:right w:val="single" w:color="auto" w:sz="4" w:space="0"/>
                </w:tcBorders>
                <w:vAlign w:val="center"/>
              </w:tcPr>
              <w:p w14:paraId="1072C46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sdtContent>
        </w:sdt>
        <w:tc>
          <w:tcPr>
            <w:tcW w:w="433" w:type="pct"/>
            <w:vMerge w:val="continue"/>
            <w:tcBorders>
              <w:left w:val="single" w:color="auto" w:sz="4" w:space="0"/>
              <w:bottom w:val="single" w:color="auto" w:sz="4" w:space="0"/>
              <w:right w:val="single" w:color="auto" w:sz="4" w:space="0"/>
            </w:tcBorders>
          </w:tcPr>
          <w:p w14:paraId="56370FAB">
            <w:pPr>
              <w:jc w:val="center"/>
              <w:rPr>
                <w:color w:val="000000" w:themeColor="text1"/>
                <w14:textFill>
                  <w14:solidFill>
                    <w14:schemeClr w14:val="tx1"/>
                  </w14:solidFill>
                </w14:textFill>
              </w:rPr>
            </w:pPr>
          </w:p>
        </w:tc>
        <w:tc>
          <w:tcPr>
            <w:tcW w:w="383" w:type="pct"/>
            <w:vMerge w:val="continue"/>
            <w:tcBorders>
              <w:left w:val="single" w:color="auto" w:sz="4" w:space="0"/>
              <w:bottom w:val="single" w:color="auto" w:sz="4" w:space="0"/>
              <w:right w:val="single" w:color="auto" w:sz="4" w:space="0"/>
            </w:tcBorders>
          </w:tcPr>
          <w:p w14:paraId="2D0CD6DF">
            <w:pPr>
              <w:jc w:val="center"/>
              <w:rPr>
                <w:color w:val="000000" w:themeColor="text1"/>
                <w14:textFill>
                  <w14:solidFill>
                    <w14:schemeClr w14:val="tx1"/>
                  </w14:solidFill>
                </w14:textFill>
              </w:rPr>
            </w:pPr>
          </w:p>
        </w:tc>
      </w:tr>
      <w:tr w14:paraId="1632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1dc54109424419aa8f35cf797c2d59e"/>
            <w:id w:val="147453822"/>
          </w:sdtPr>
          <w:sdtContent>
            <w:tc>
              <w:tcPr>
                <w:tcW w:w="5000" w:type="pct"/>
                <w:gridSpan w:val="13"/>
                <w:tcBorders>
                  <w:top w:val="single" w:color="auto" w:sz="4" w:space="0"/>
                  <w:left w:val="single" w:color="auto" w:sz="4" w:space="0"/>
                  <w:bottom w:val="single" w:color="auto" w:sz="4" w:space="0"/>
                  <w:right w:val="single" w:color="auto" w:sz="4" w:space="0"/>
                </w:tcBorders>
              </w:tcPr>
              <w:p w14:paraId="693530F0">
                <w:pPr>
                  <w:rPr>
                    <w:color w:val="000000" w:themeColor="text1"/>
                    <w14:textFill>
                      <w14:solidFill>
                        <w14:schemeClr w14:val="tx1"/>
                      </w14:solidFill>
                    </w14:textFill>
                  </w:rPr>
                </w:pPr>
                <w:r>
                  <w:rPr>
                    <w:rFonts w:hint="eastAsia"/>
                    <w:color w:val="000000" w:themeColor="text1"/>
                    <w14:textFill>
                      <w14:solidFill>
                        <w14:schemeClr w14:val="tx1"/>
                      </w14:solidFill>
                    </w14:textFill>
                  </w:rPr>
                  <w:t>一、合营企业</w:t>
                </w:r>
              </w:p>
            </w:tc>
          </w:sdtContent>
        </w:sdt>
      </w:tr>
      <w:tr w14:paraId="2AC4F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0cc1e0799634510b44e4e55b4185a5a"/>
            <w:id w:val="147455348"/>
          </w:sdtPr>
          <w:sdtContent>
            <w:tc>
              <w:tcPr>
                <w:tcW w:w="5000" w:type="pct"/>
                <w:gridSpan w:val="13"/>
                <w:tcBorders>
                  <w:top w:val="single" w:color="auto" w:sz="4" w:space="0"/>
                  <w:left w:val="single" w:color="auto" w:sz="4" w:space="0"/>
                  <w:bottom w:val="single" w:color="auto" w:sz="4" w:space="0"/>
                  <w:right w:val="single" w:color="auto" w:sz="4" w:space="0"/>
                </w:tcBorders>
              </w:tcPr>
              <w:p w14:paraId="14653126">
                <w:pPr>
                  <w:rPr>
                    <w:color w:val="000000" w:themeColor="text1"/>
                    <w14:textFill>
                      <w14:solidFill>
                        <w14:schemeClr w14:val="tx1"/>
                      </w14:solidFill>
                    </w14:textFill>
                  </w:rPr>
                </w:pPr>
                <w:r>
                  <w:rPr>
                    <w:rFonts w:hint="eastAsia"/>
                    <w:color w:val="000000" w:themeColor="text1"/>
                    <w14:textFill>
                      <w14:solidFill>
                        <w14:schemeClr w14:val="tx1"/>
                      </w14:solidFill>
                    </w14:textFill>
                  </w:rPr>
                  <w:t>二、联营企业</w:t>
                </w:r>
              </w:p>
            </w:tc>
          </w:sdtContent>
        </w:sdt>
      </w:tr>
      <w:tr w14:paraId="12D3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tcBorders>
              <w:top w:val="single" w:color="auto" w:sz="4" w:space="0"/>
              <w:left w:val="single" w:color="auto" w:sz="4" w:space="0"/>
              <w:bottom w:val="single" w:color="auto" w:sz="4" w:space="0"/>
              <w:right w:val="single" w:color="auto" w:sz="4" w:space="0"/>
            </w:tcBorders>
          </w:tcPr>
          <w:p w14:paraId="2F684291">
            <w:pPr>
              <w:jc w:val="both"/>
            </w:pPr>
            <w:r>
              <w:rPr>
                <w:rFonts w:hint="eastAsia"/>
              </w:rPr>
              <w:t>新兴际华科技（天津）有限公司</w:t>
            </w:r>
          </w:p>
        </w:tc>
        <w:tc>
          <w:tcPr>
            <w:tcW w:w="489" w:type="pct"/>
            <w:tcBorders>
              <w:top w:val="single" w:color="auto" w:sz="4" w:space="0"/>
              <w:left w:val="single" w:color="auto" w:sz="4" w:space="0"/>
              <w:bottom w:val="single" w:color="auto" w:sz="4" w:space="0"/>
              <w:right w:val="single" w:color="auto" w:sz="4" w:space="0"/>
            </w:tcBorders>
            <w:vAlign w:val="center"/>
          </w:tcPr>
          <w:p w14:paraId="7F3CE3D8">
            <w:pPr>
              <w:jc w:val="right"/>
              <w:textAlignment w:val="center"/>
            </w:pPr>
            <w:r>
              <w:rPr>
                <w:rFonts w:ascii="Arial Narrow" w:hAnsi="Arial Narrow" w:eastAsia="Arial Narrow" w:cs="Arial Narrow"/>
                <w:color w:val="000000"/>
                <w:lang w:bidi="ar"/>
              </w:rPr>
              <w:t>1,068,839.26</w:t>
            </w:r>
          </w:p>
        </w:tc>
        <w:tc>
          <w:tcPr>
            <w:tcW w:w="337" w:type="pct"/>
            <w:tcBorders>
              <w:top w:val="single" w:color="auto" w:sz="4" w:space="0"/>
              <w:left w:val="single" w:color="auto" w:sz="4" w:space="0"/>
              <w:bottom w:val="single" w:color="auto" w:sz="4" w:space="0"/>
              <w:right w:val="single" w:color="auto" w:sz="4" w:space="0"/>
            </w:tcBorders>
          </w:tcPr>
          <w:p w14:paraId="79E53017">
            <w:pPr>
              <w:jc w:val="right"/>
            </w:pPr>
          </w:p>
        </w:tc>
        <w:tc>
          <w:tcPr>
            <w:tcW w:w="298" w:type="pct"/>
            <w:tcBorders>
              <w:top w:val="single" w:color="auto" w:sz="4" w:space="0"/>
              <w:left w:val="single" w:color="auto" w:sz="4" w:space="0"/>
              <w:bottom w:val="single" w:color="auto" w:sz="4" w:space="0"/>
              <w:right w:val="single" w:color="auto" w:sz="4" w:space="0"/>
            </w:tcBorders>
          </w:tcPr>
          <w:p w14:paraId="024B0E6D">
            <w:pPr>
              <w:jc w:val="right"/>
            </w:pPr>
          </w:p>
        </w:tc>
        <w:tc>
          <w:tcPr>
            <w:tcW w:w="266" w:type="pct"/>
            <w:tcBorders>
              <w:top w:val="single" w:color="auto" w:sz="4" w:space="0"/>
              <w:left w:val="single" w:color="auto" w:sz="4" w:space="0"/>
              <w:bottom w:val="single" w:color="auto" w:sz="4" w:space="0"/>
              <w:right w:val="single" w:color="auto" w:sz="4" w:space="0"/>
            </w:tcBorders>
          </w:tcPr>
          <w:p w14:paraId="275B6B38">
            <w:pPr>
              <w:jc w:val="right"/>
            </w:pPr>
          </w:p>
        </w:tc>
        <w:tc>
          <w:tcPr>
            <w:tcW w:w="393" w:type="pct"/>
            <w:tcBorders>
              <w:top w:val="single" w:color="auto" w:sz="4" w:space="0"/>
              <w:left w:val="single" w:color="auto" w:sz="4" w:space="0"/>
              <w:bottom w:val="single" w:color="auto" w:sz="4" w:space="0"/>
              <w:right w:val="single" w:color="auto" w:sz="4" w:space="0"/>
            </w:tcBorders>
            <w:vAlign w:val="center"/>
          </w:tcPr>
          <w:p w14:paraId="2C871C42">
            <w:pPr>
              <w:jc w:val="right"/>
              <w:textAlignment w:val="center"/>
              <w:rPr>
                <w:rFonts w:eastAsiaTheme="minorEastAsia"/>
              </w:rPr>
            </w:pPr>
            <w:r>
              <w:rPr>
                <w:rFonts w:ascii="Arial Narrow" w:hAnsi="Arial Narrow" w:eastAsia="Arial Narrow" w:cs="Arial Narrow"/>
                <w:color w:val="000000"/>
                <w:lang w:bidi="ar"/>
              </w:rPr>
              <w:t>5,787.5</w:t>
            </w:r>
            <w:r>
              <w:rPr>
                <w:rFonts w:hint="eastAsia" w:ascii="Arial Narrow" w:hAnsi="Arial Narrow" w:cs="Arial Narrow" w:eastAsiaTheme="minorEastAsia"/>
                <w:color w:val="000000"/>
                <w:lang w:bidi="ar"/>
              </w:rPr>
              <w:t>1</w:t>
            </w:r>
          </w:p>
        </w:tc>
        <w:tc>
          <w:tcPr>
            <w:tcW w:w="344" w:type="pct"/>
            <w:tcBorders>
              <w:top w:val="single" w:color="auto" w:sz="4" w:space="0"/>
              <w:left w:val="single" w:color="auto" w:sz="4" w:space="0"/>
              <w:bottom w:val="single" w:color="auto" w:sz="4" w:space="0"/>
              <w:right w:val="single" w:color="auto" w:sz="4" w:space="0"/>
            </w:tcBorders>
          </w:tcPr>
          <w:p w14:paraId="2C9F6EBB">
            <w:pPr>
              <w:jc w:val="right"/>
            </w:pPr>
          </w:p>
        </w:tc>
        <w:tc>
          <w:tcPr>
            <w:tcW w:w="348" w:type="pct"/>
            <w:tcBorders>
              <w:top w:val="single" w:color="auto" w:sz="4" w:space="0"/>
              <w:left w:val="single" w:color="auto" w:sz="4" w:space="0"/>
              <w:bottom w:val="single" w:color="auto" w:sz="4" w:space="0"/>
              <w:right w:val="single" w:color="auto" w:sz="4" w:space="0"/>
            </w:tcBorders>
          </w:tcPr>
          <w:p w14:paraId="0EEB2DB5">
            <w:pPr>
              <w:jc w:val="right"/>
            </w:pPr>
          </w:p>
        </w:tc>
        <w:tc>
          <w:tcPr>
            <w:tcW w:w="397" w:type="pct"/>
            <w:tcBorders>
              <w:top w:val="single" w:color="auto" w:sz="4" w:space="0"/>
              <w:left w:val="single" w:color="auto" w:sz="4" w:space="0"/>
              <w:bottom w:val="single" w:color="auto" w:sz="4" w:space="0"/>
              <w:right w:val="single" w:color="auto" w:sz="4" w:space="0"/>
            </w:tcBorders>
          </w:tcPr>
          <w:p w14:paraId="55346356">
            <w:pPr>
              <w:jc w:val="right"/>
            </w:pPr>
          </w:p>
        </w:tc>
        <w:tc>
          <w:tcPr>
            <w:tcW w:w="392" w:type="pct"/>
            <w:tcBorders>
              <w:top w:val="single" w:color="auto" w:sz="4" w:space="0"/>
              <w:left w:val="single" w:color="auto" w:sz="4" w:space="0"/>
              <w:bottom w:val="single" w:color="auto" w:sz="4" w:space="0"/>
              <w:right w:val="single" w:color="auto" w:sz="4" w:space="0"/>
            </w:tcBorders>
          </w:tcPr>
          <w:p w14:paraId="21CBC3CE">
            <w:pPr>
              <w:jc w:val="right"/>
            </w:pPr>
          </w:p>
        </w:tc>
        <w:tc>
          <w:tcPr>
            <w:tcW w:w="403" w:type="pct"/>
            <w:tcBorders>
              <w:top w:val="single" w:color="auto" w:sz="4" w:space="0"/>
              <w:left w:val="single" w:color="auto" w:sz="4" w:space="0"/>
              <w:bottom w:val="single" w:color="auto" w:sz="4" w:space="0"/>
              <w:right w:val="single" w:color="auto" w:sz="4" w:space="0"/>
            </w:tcBorders>
          </w:tcPr>
          <w:p w14:paraId="17701351">
            <w:pPr>
              <w:jc w:val="right"/>
            </w:pPr>
          </w:p>
        </w:tc>
        <w:tc>
          <w:tcPr>
            <w:tcW w:w="433" w:type="pct"/>
            <w:tcBorders>
              <w:top w:val="single" w:color="auto" w:sz="4" w:space="0"/>
              <w:left w:val="single" w:color="auto" w:sz="4" w:space="0"/>
              <w:bottom w:val="single" w:color="auto" w:sz="4" w:space="0"/>
              <w:right w:val="single" w:color="auto" w:sz="4" w:space="0"/>
            </w:tcBorders>
            <w:vAlign w:val="center"/>
          </w:tcPr>
          <w:p w14:paraId="0FB5CB63">
            <w:pPr>
              <w:jc w:val="right"/>
              <w:textAlignment w:val="center"/>
              <w:rPr>
                <w:rFonts w:eastAsiaTheme="minorEastAsia"/>
              </w:rPr>
            </w:pPr>
            <w:r>
              <w:rPr>
                <w:rFonts w:ascii="Arial Narrow" w:hAnsi="Arial Narrow" w:eastAsia="Arial Narrow" w:cs="Arial Narrow"/>
                <w:color w:val="000000"/>
                <w:lang w:bidi="ar"/>
              </w:rPr>
              <w:t>1,074,626.7</w:t>
            </w:r>
            <w:r>
              <w:rPr>
                <w:rFonts w:hint="eastAsia" w:ascii="Arial Narrow" w:hAnsi="Arial Narrow" w:cs="Arial Narrow" w:eastAsiaTheme="minorEastAsia"/>
                <w:color w:val="000000"/>
                <w:lang w:bidi="ar"/>
              </w:rPr>
              <w:t>7</w:t>
            </w:r>
          </w:p>
        </w:tc>
        <w:tc>
          <w:tcPr>
            <w:tcW w:w="383" w:type="pct"/>
            <w:tcBorders>
              <w:top w:val="single" w:color="auto" w:sz="4" w:space="0"/>
              <w:left w:val="single" w:color="auto" w:sz="4" w:space="0"/>
              <w:bottom w:val="single" w:color="auto" w:sz="4" w:space="0"/>
              <w:right w:val="single" w:color="auto" w:sz="4" w:space="0"/>
            </w:tcBorders>
          </w:tcPr>
          <w:p w14:paraId="648ABAB5">
            <w:pPr>
              <w:jc w:val="right"/>
            </w:pPr>
          </w:p>
        </w:tc>
      </w:tr>
      <w:tr w14:paraId="198CB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tcBorders>
              <w:top w:val="single" w:color="auto" w:sz="4" w:space="0"/>
              <w:left w:val="single" w:color="auto" w:sz="4" w:space="0"/>
              <w:bottom w:val="single" w:color="auto" w:sz="4" w:space="0"/>
              <w:right w:val="single" w:color="auto" w:sz="4" w:space="0"/>
            </w:tcBorders>
          </w:tcPr>
          <w:p w14:paraId="5A7F7C7B">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小计</w:t>
            </w:r>
          </w:p>
        </w:tc>
        <w:tc>
          <w:tcPr>
            <w:tcW w:w="489" w:type="pct"/>
            <w:tcBorders>
              <w:top w:val="single" w:color="auto" w:sz="4" w:space="0"/>
              <w:left w:val="single" w:color="auto" w:sz="4" w:space="0"/>
              <w:bottom w:val="single" w:color="auto" w:sz="4" w:space="0"/>
              <w:right w:val="single" w:color="auto" w:sz="4" w:space="0"/>
            </w:tcBorders>
            <w:vAlign w:val="center"/>
          </w:tcPr>
          <w:p w14:paraId="63F07603">
            <w:pPr>
              <w:jc w:val="right"/>
              <w:textAlignment w:val="center"/>
            </w:pPr>
            <w:r>
              <w:rPr>
                <w:rFonts w:ascii="Arial Narrow" w:hAnsi="Arial Narrow" w:eastAsia="Arial Narrow" w:cs="Arial Narrow"/>
                <w:color w:val="000000"/>
                <w:lang w:bidi="ar"/>
              </w:rPr>
              <w:t>1,068,839.26</w:t>
            </w:r>
          </w:p>
        </w:tc>
        <w:tc>
          <w:tcPr>
            <w:tcW w:w="337" w:type="pct"/>
            <w:tcBorders>
              <w:top w:val="single" w:color="auto" w:sz="4" w:space="0"/>
              <w:left w:val="single" w:color="auto" w:sz="4" w:space="0"/>
              <w:bottom w:val="single" w:color="auto" w:sz="4" w:space="0"/>
              <w:right w:val="single" w:color="auto" w:sz="4" w:space="0"/>
            </w:tcBorders>
          </w:tcPr>
          <w:p w14:paraId="4728CE77">
            <w:pPr>
              <w:jc w:val="right"/>
            </w:pPr>
          </w:p>
        </w:tc>
        <w:tc>
          <w:tcPr>
            <w:tcW w:w="298" w:type="pct"/>
            <w:tcBorders>
              <w:top w:val="single" w:color="auto" w:sz="4" w:space="0"/>
              <w:left w:val="single" w:color="auto" w:sz="4" w:space="0"/>
              <w:bottom w:val="single" w:color="auto" w:sz="4" w:space="0"/>
              <w:right w:val="single" w:color="auto" w:sz="4" w:space="0"/>
            </w:tcBorders>
          </w:tcPr>
          <w:p w14:paraId="29CEB95C">
            <w:pPr>
              <w:jc w:val="right"/>
            </w:pPr>
          </w:p>
        </w:tc>
        <w:tc>
          <w:tcPr>
            <w:tcW w:w="266" w:type="pct"/>
            <w:tcBorders>
              <w:top w:val="single" w:color="auto" w:sz="4" w:space="0"/>
              <w:left w:val="single" w:color="auto" w:sz="4" w:space="0"/>
              <w:bottom w:val="single" w:color="auto" w:sz="4" w:space="0"/>
              <w:right w:val="single" w:color="auto" w:sz="4" w:space="0"/>
            </w:tcBorders>
          </w:tcPr>
          <w:p w14:paraId="4ACA68B1">
            <w:pPr>
              <w:jc w:val="right"/>
            </w:pPr>
          </w:p>
        </w:tc>
        <w:tc>
          <w:tcPr>
            <w:tcW w:w="393" w:type="pct"/>
            <w:tcBorders>
              <w:top w:val="single" w:color="auto" w:sz="4" w:space="0"/>
              <w:left w:val="single" w:color="auto" w:sz="4" w:space="0"/>
              <w:bottom w:val="single" w:color="auto" w:sz="4" w:space="0"/>
              <w:right w:val="single" w:color="auto" w:sz="4" w:space="0"/>
            </w:tcBorders>
            <w:vAlign w:val="center"/>
          </w:tcPr>
          <w:p w14:paraId="62744CE7">
            <w:pPr>
              <w:jc w:val="right"/>
              <w:textAlignment w:val="center"/>
              <w:rPr>
                <w:rFonts w:eastAsiaTheme="minorEastAsia"/>
              </w:rPr>
            </w:pPr>
            <w:r>
              <w:rPr>
                <w:rFonts w:ascii="Arial Narrow" w:hAnsi="Arial Narrow" w:eastAsia="Arial Narrow" w:cs="Arial Narrow"/>
                <w:color w:val="000000"/>
                <w:lang w:bidi="ar"/>
              </w:rPr>
              <w:t>5,787.5</w:t>
            </w:r>
            <w:r>
              <w:rPr>
                <w:rFonts w:hint="eastAsia" w:ascii="Arial Narrow" w:hAnsi="Arial Narrow" w:cs="Arial Narrow" w:eastAsiaTheme="minorEastAsia"/>
                <w:color w:val="000000"/>
                <w:lang w:bidi="ar"/>
              </w:rPr>
              <w:t>1</w:t>
            </w:r>
          </w:p>
        </w:tc>
        <w:tc>
          <w:tcPr>
            <w:tcW w:w="344" w:type="pct"/>
            <w:tcBorders>
              <w:top w:val="single" w:color="auto" w:sz="4" w:space="0"/>
              <w:left w:val="single" w:color="auto" w:sz="4" w:space="0"/>
              <w:bottom w:val="single" w:color="auto" w:sz="4" w:space="0"/>
              <w:right w:val="single" w:color="auto" w:sz="4" w:space="0"/>
            </w:tcBorders>
          </w:tcPr>
          <w:p w14:paraId="13B4DA04">
            <w:pPr>
              <w:jc w:val="right"/>
            </w:pPr>
          </w:p>
        </w:tc>
        <w:tc>
          <w:tcPr>
            <w:tcW w:w="348" w:type="pct"/>
            <w:tcBorders>
              <w:top w:val="single" w:color="auto" w:sz="4" w:space="0"/>
              <w:left w:val="single" w:color="auto" w:sz="4" w:space="0"/>
              <w:bottom w:val="single" w:color="auto" w:sz="4" w:space="0"/>
              <w:right w:val="single" w:color="auto" w:sz="4" w:space="0"/>
            </w:tcBorders>
          </w:tcPr>
          <w:p w14:paraId="19978F90">
            <w:pPr>
              <w:jc w:val="right"/>
            </w:pPr>
          </w:p>
        </w:tc>
        <w:tc>
          <w:tcPr>
            <w:tcW w:w="397" w:type="pct"/>
            <w:tcBorders>
              <w:top w:val="single" w:color="auto" w:sz="4" w:space="0"/>
              <w:left w:val="single" w:color="auto" w:sz="4" w:space="0"/>
              <w:bottom w:val="single" w:color="auto" w:sz="4" w:space="0"/>
              <w:right w:val="single" w:color="auto" w:sz="4" w:space="0"/>
            </w:tcBorders>
          </w:tcPr>
          <w:p w14:paraId="00773328">
            <w:pPr>
              <w:jc w:val="right"/>
            </w:pPr>
          </w:p>
        </w:tc>
        <w:tc>
          <w:tcPr>
            <w:tcW w:w="392" w:type="pct"/>
            <w:tcBorders>
              <w:top w:val="single" w:color="auto" w:sz="4" w:space="0"/>
              <w:left w:val="single" w:color="auto" w:sz="4" w:space="0"/>
              <w:bottom w:val="single" w:color="auto" w:sz="4" w:space="0"/>
              <w:right w:val="single" w:color="auto" w:sz="4" w:space="0"/>
            </w:tcBorders>
          </w:tcPr>
          <w:p w14:paraId="5390A555">
            <w:pPr>
              <w:jc w:val="right"/>
            </w:pPr>
          </w:p>
        </w:tc>
        <w:tc>
          <w:tcPr>
            <w:tcW w:w="403" w:type="pct"/>
            <w:tcBorders>
              <w:top w:val="single" w:color="auto" w:sz="4" w:space="0"/>
              <w:left w:val="single" w:color="auto" w:sz="4" w:space="0"/>
              <w:bottom w:val="single" w:color="auto" w:sz="4" w:space="0"/>
              <w:right w:val="single" w:color="auto" w:sz="4" w:space="0"/>
            </w:tcBorders>
          </w:tcPr>
          <w:p w14:paraId="0A9EDCC7">
            <w:pPr>
              <w:jc w:val="right"/>
            </w:pPr>
          </w:p>
        </w:tc>
        <w:tc>
          <w:tcPr>
            <w:tcW w:w="433" w:type="pct"/>
            <w:tcBorders>
              <w:top w:val="single" w:color="auto" w:sz="4" w:space="0"/>
              <w:left w:val="single" w:color="auto" w:sz="4" w:space="0"/>
              <w:bottom w:val="single" w:color="auto" w:sz="4" w:space="0"/>
              <w:right w:val="single" w:color="auto" w:sz="4" w:space="0"/>
            </w:tcBorders>
            <w:vAlign w:val="center"/>
          </w:tcPr>
          <w:p w14:paraId="0ED3636C">
            <w:pPr>
              <w:jc w:val="right"/>
              <w:textAlignment w:val="center"/>
              <w:rPr>
                <w:rFonts w:eastAsiaTheme="minorEastAsia"/>
              </w:rPr>
            </w:pPr>
            <w:r>
              <w:rPr>
                <w:rFonts w:ascii="Arial Narrow" w:hAnsi="Arial Narrow" w:eastAsia="Arial Narrow" w:cs="Arial Narrow"/>
                <w:color w:val="000000"/>
                <w:lang w:bidi="ar"/>
              </w:rPr>
              <w:t>1,074,626.7</w:t>
            </w:r>
            <w:r>
              <w:rPr>
                <w:rFonts w:hint="eastAsia" w:ascii="Arial Narrow" w:hAnsi="Arial Narrow" w:cs="Arial Narrow" w:eastAsiaTheme="minorEastAsia"/>
                <w:color w:val="000000"/>
                <w:lang w:bidi="ar"/>
              </w:rPr>
              <w:t>7</w:t>
            </w:r>
          </w:p>
        </w:tc>
        <w:tc>
          <w:tcPr>
            <w:tcW w:w="383" w:type="pct"/>
            <w:tcBorders>
              <w:top w:val="single" w:color="auto" w:sz="4" w:space="0"/>
              <w:left w:val="single" w:color="auto" w:sz="4" w:space="0"/>
              <w:bottom w:val="single" w:color="auto" w:sz="4" w:space="0"/>
              <w:right w:val="single" w:color="auto" w:sz="4" w:space="0"/>
            </w:tcBorders>
          </w:tcPr>
          <w:p w14:paraId="025734E5">
            <w:pPr>
              <w:jc w:val="right"/>
            </w:pPr>
          </w:p>
        </w:tc>
      </w:tr>
      <w:tr w14:paraId="63B6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tcBorders>
              <w:top w:val="single" w:color="auto" w:sz="4" w:space="0"/>
              <w:left w:val="single" w:color="auto" w:sz="4" w:space="0"/>
              <w:bottom w:val="single" w:color="auto" w:sz="4" w:space="0"/>
              <w:right w:val="single" w:color="auto" w:sz="4" w:space="0"/>
            </w:tcBorders>
            <w:vAlign w:val="center"/>
          </w:tcPr>
          <w:p w14:paraId="10C1A05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489" w:type="pct"/>
            <w:tcBorders>
              <w:top w:val="single" w:color="auto" w:sz="4" w:space="0"/>
              <w:left w:val="single" w:color="auto" w:sz="4" w:space="0"/>
              <w:bottom w:val="single" w:color="auto" w:sz="4" w:space="0"/>
              <w:right w:val="single" w:color="auto" w:sz="4" w:space="0"/>
            </w:tcBorders>
            <w:vAlign w:val="center"/>
          </w:tcPr>
          <w:p w14:paraId="34D22F5A">
            <w:pPr>
              <w:jc w:val="right"/>
              <w:textAlignment w:val="center"/>
            </w:pPr>
            <w:r>
              <w:rPr>
                <w:rFonts w:ascii="Arial Narrow" w:hAnsi="Arial Narrow" w:eastAsia="Arial Narrow" w:cs="Arial Narrow"/>
                <w:color w:val="000000"/>
                <w:lang w:bidi="ar"/>
              </w:rPr>
              <w:t>1,068,839.26</w:t>
            </w:r>
          </w:p>
        </w:tc>
        <w:tc>
          <w:tcPr>
            <w:tcW w:w="337" w:type="pct"/>
            <w:tcBorders>
              <w:top w:val="single" w:color="auto" w:sz="4" w:space="0"/>
              <w:left w:val="single" w:color="auto" w:sz="4" w:space="0"/>
              <w:bottom w:val="single" w:color="auto" w:sz="4" w:space="0"/>
              <w:right w:val="single" w:color="auto" w:sz="4" w:space="0"/>
            </w:tcBorders>
          </w:tcPr>
          <w:p w14:paraId="1BBB1FD5">
            <w:pPr>
              <w:jc w:val="right"/>
            </w:pPr>
          </w:p>
        </w:tc>
        <w:tc>
          <w:tcPr>
            <w:tcW w:w="298" w:type="pct"/>
            <w:tcBorders>
              <w:top w:val="single" w:color="auto" w:sz="4" w:space="0"/>
              <w:left w:val="single" w:color="auto" w:sz="4" w:space="0"/>
              <w:bottom w:val="single" w:color="auto" w:sz="4" w:space="0"/>
              <w:right w:val="single" w:color="auto" w:sz="4" w:space="0"/>
            </w:tcBorders>
          </w:tcPr>
          <w:p w14:paraId="6EEA90BA">
            <w:pPr>
              <w:jc w:val="right"/>
            </w:pPr>
          </w:p>
        </w:tc>
        <w:tc>
          <w:tcPr>
            <w:tcW w:w="266" w:type="pct"/>
            <w:tcBorders>
              <w:top w:val="single" w:color="auto" w:sz="4" w:space="0"/>
              <w:left w:val="single" w:color="auto" w:sz="4" w:space="0"/>
              <w:bottom w:val="single" w:color="auto" w:sz="4" w:space="0"/>
              <w:right w:val="single" w:color="auto" w:sz="4" w:space="0"/>
            </w:tcBorders>
          </w:tcPr>
          <w:p w14:paraId="6F894061">
            <w:pPr>
              <w:jc w:val="right"/>
            </w:pPr>
          </w:p>
        </w:tc>
        <w:tc>
          <w:tcPr>
            <w:tcW w:w="393" w:type="pct"/>
            <w:tcBorders>
              <w:top w:val="single" w:color="auto" w:sz="4" w:space="0"/>
              <w:left w:val="single" w:color="auto" w:sz="4" w:space="0"/>
              <w:bottom w:val="single" w:color="auto" w:sz="4" w:space="0"/>
              <w:right w:val="single" w:color="auto" w:sz="4" w:space="0"/>
            </w:tcBorders>
            <w:vAlign w:val="center"/>
          </w:tcPr>
          <w:p w14:paraId="165BDF30">
            <w:pPr>
              <w:jc w:val="right"/>
              <w:textAlignment w:val="center"/>
              <w:rPr>
                <w:rFonts w:eastAsiaTheme="minorEastAsia"/>
              </w:rPr>
            </w:pPr>
            <w:r>
              <w:rPr>
                <w:rFonts w:ascii="Arial Narrow" w:hAnsi="Arial Narrow" w:eastAsia="Arial Narrow" w:cs="Arial Narrow"/>
                <w:color w:val="000000"/>
                <w:lang w:bidi="ar"/>
              </w:rPr>
              <w:t>5,787.5</w:t>
            </w:r>
            <w:r>
              <w:rPr>
                <w:rFonts w:hint="eastAsia" w:ascii="Arial Narrow" w:hAnsi="Arial Narrow" w:cs="Arial Narrow" w:eastAsiaTheme="minorEastAsia"/>
                <w:color w:val="000000"/>
                <w:lang w:bidi="ar"/>
              </w:rPr>
              <w:t>1</w:t>
            </w:r>
          </w:p>
        </w:tc>
        <w:tc>
          <w:tcPr>
            <w:tcW w:w="344" w:type="pct"/>
            <w:tcBorders>
              <w:top w:val="single" w:color="auto" w:sz="4" w:space="0"/>
              <w:left w:val="single" w:color="auto" w:sz="4" w:space="0"/>
              <w:bottom w:val="single" w:color="auto" w:sz="4" w:space="0"/>
              <w:right w:val="single" w:color="auto" w:sz="4" w:space="0"/>
            </w:tcBorders>
          </w:tcPr>
          <w:p w14:paraId="2081F36D">
            <w:pPr>
              <w:jc w:val="right"/>
            </w:pPr>
          </w:p>
        </w:tc>
        <w:tc>
          <w:tcPr>
            <w:tcW w:w="348" w:type="pct"/>
            <w:tcBorders>
              <w:top w:val="single" w:color="auto" w:sz="4" w:space="0"/>
              <w:left w:val="single" w:color="auto" w:sz="4" w:space="0"/>
              <w:bottom w:val="single" w:color="auto" w:sz="4" w:space="0"/>
              <w:right w:val="single" w:color="auto" w:sz="4" w:space="0"/>
            </w:tcBorders>
          </w:tcPr>
          <w:p w14:paraId="3D20093E">
            <w:pPr>
              <w:jc w:val="right"/>
            </w:pPr>
          </w:p>
        </w:tc>
        <w:tc>
          <w:tcPr>
            <w:tcW w:w="397" w:type="pct"/>
            <w:tcBorders>
              <w:top w:val="single" w:color="auto" w:sz="4" w:space="0"/>
              <w:left w:val="single" w:color="auto" w:sz="4" w:space="0"/>
              <w:bottom w:val="single" w:color="auto" w:sz="4" w:space="0"/>
              <w:right w:val="single" w:color="auto" w:sz="4" w:space="0"/>
            </w:tcBorders>
          </w:tcPr>
          <w:p w14:paraId="640D314F">
            <w:pPr>
              <w:jc w:val="right"/>
            </w:pPr>
          </w:p>
        </w:tc>
        <w:tc>
          <w:tcPr>
            <w:tcW w:w="392" w:type="pct"/>
            <w:tcBorders>
              <w:top w:val="single" w:color="auto" w:sz="4" w:space="0"/>
              <w:left w:val="single" w:color="auto" w:sz="4" w:space="0"/>
              <w:bottom w:val="single" w:color="auto" w:sz="4" w:space="0"/>
              <w:right w:val="single" w:color="auto" w:sz="4" w:space="0"/>
            </w:tcBorders>
          </w:tcPr>
          <w:p w14:paraId="4D093137">
            <w:pPr>
              <w:jc w:val="right"/>
            </w:pPr>
          </w:p>
        </w:tc>
        <w:tc>
          <w:tcPr>
            <w:tcW w:w="403" w:type="pct"/>
            <w:tcBorders>
              <w:top w:val="single" w:color="auto" w:sz="4" w:space="0"/>
              <w:left w:val="single" w:color="auto" w:sz="4" w:space="0"/>
              <w:bottom w:val="single" w:color="auto" w:sz="4" w:space="0"/>
              <w:right w:val="single" w:color="auto" w:sz="4" w:space="0"/>
            </w:tcBorders>
          </w:tcPr>
          <w:p w14:paraId="47163984">
            <w:pPr>
              <w:jc w:val="right"/>
            </w:pPr>
          </w:p>
        </w:tc>
        <w:tc>
          <w:tcPr>
            <w:tcW w:w="433" w:type="pct"/>
            <w:tcBorders>
              <w:top w:val="single" w:color="auto" w:sz="4" w:space="0"/>
              <w:left w:val="single" w:color="auto" w:sz="4" w:space="0"/>
              <w:bottom w:val="single" w:color="auto" w:sz="4" w:space="0"/>
              <w:right w:val="single" w:color="auto" w:sz="4" w:space="0"/>
            </w:tcBorders>
            <w:vAlign w:val="center"/>
          </w:tcPr>
          <w:p w14:paraId="7CBBD282">
            <w:pPr>
              <w:jc w:val="right"/>
              <w:textAlignment w:val="center"/>
              <w:rPr>
                <w:rFonts w:eastAsiaTheme="minorEastAsia"/>
              </w:rPr>
            </w:pPr>
            <w:r>
              <w:rPr>
                <w:rFonts w:ascii="Arial Narrow" w:hAnsi="Arial Narrow" w:eastAsia="Arial Narrow" w:cs="Arial Narrow"/>
                <w:color w:val="000000"/>
                <w:lang w:bidi="ar"/>
              </w:rPr>
              <w:t>1,074,626.7</w:t>
            </w:r>
            <w:r>
              <w:rPr>
                <w:rFonts w:hint="eastAsia" w:ascii="Arial Narrow" w:hAnsi="Arial Narrow" w:cs="Arial Narrow" w:eastAsiaTheme="minorEastAsia"/>
                <w:color w:val="000000"/>
                <w:lang w:bidi="ar"/>
              </w:rPr>
              <w:t>7</w:t>
            </w:r>
          </w:p>
        </w:tc>
        <w:tc>
          <w:tcPr>
            <w:tcW w:w="383" w:type="pct"/>
            <w:tcBorders>
              <w:top w:val="single" w:color="auto" w:sz="4" w:space="0"/>
              <w:left w:val="single" w:color="auto" w:sz="4" w:space="0"/>
              <w:bottom w:val="single" w:color="auto" w:sz="4" w:space="0"/>
              <w:right w:val="single" w:color="auto" w:sz="4" w:space="0"/>
            </w:tcBorders>
          </w:tcPr>
          <w:p w14:paraId="6D55425C">
            <w:pPr>
              <w:jc w:val="right"/>
            </w:pPr>
          </w:p>
        </w:tc>
      </w:tr>
    </w:tbl>
    <w:p w14:paraId="0D27BFFA">
      <w:pPr>
        <w:rPr>
          <w:color w:val="000000" w:themeColor="text1"/>
          <w14:textFill>
            <w14:solidFill>
              <w14:schemeClr w14:val="tx1"/>
            </w14:solidFill>
          </w14:textFill>
        </w:rPr>
      </w:pPr>
    </w:p>
    <w:bookmarkEnd w:id="485"/>
    <w:bookmarkEnd w:id="486"/>
    <w:p w14:paraId="232C49A2">
      <w:pPr>
        <w:pStyle w:val="58"/>
        <w:numPr>
          <w:ilvl w:val="0"/>
          <w:numId w:val="121"/>
        </w:numPr>
        <w:rPr>
          <w:rFonts w:ascii="宋体" w:hAnsi="宋体"/>
          <w:color w:val="000000" w:themeColor="text1"/>
          <w14:textFill>
            <w14:solidFill>
              <w14:schemeClr w14:val="tx1"/>
            </w14:solidFill>
          </w14:textFill>
        </w:rPr>
      </w:pPr>
      <w:bookmarkStart w:id="488" w:name="_Hlk155165896"/>
      <w:bookmarkStart w:id="489" w:name="_Hlk168057377"/>
      <w:r>
        <w:rPr>
          <w:rFonts w:hint="eastAsia" w:ascii="宋体" w:hAnsi="宋体"/>
          <w:color w:val="000000" w:themeColor="text1"/>
          <w14:textFill>
            <w14:solidFill>
              <w14:schemeClr w14:val="tx1"/>
            </w14:solidFill>
          </w14:textFill>
        </w:rPr>
        <w:t>长期股权投资的减值测试情况</w:t>
      </w:r>
    </w:p>
    <w:sdt>
      <w:sdtPr>
        <w:rPr>
          <w:color w:val="000000" w:themeColor="text1"/>
          <w14:textFill>
            <w14:solidFill>
              <w14:schemeClr w14:val="tx1"/>
            </w14:solidFill>
          </w14:textFill>
        </w:rPr>
        <w:alias w:val="是否适用：减值测试情况[双击切换]"/>
        <w:tag w:val="_GBC_c0857dc1a8eb4f79b18a90f9b4b26d58"/>
        <w:id w:val="147480360"/>
        <w:placeholder>
          <w:docPart w:val="GBC22222222222222222222222222222"/>
        </w:placeholder>
      </w:sdtPr>
      <w:sdtEndPr>
        <w:rPr>
          <w:color w:val="000000" w:themeColor="text1"/>
          <w14:textFill>
            <w14:solidFill>
              <w14:schemeClr w14:val="tx1"/>
            </w14:solidFill>
          </w14:textFill>
        </w:rPr>
      </w:sdtEndPr>
      <w:sdtContent>
        <w:p w14:paraId="0B061B8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488"/>
    <w:bookmarkEnd w:id="489"/>
    <w:p w14:paraId="3F2895AE">
      <w:pPr>
        <w:rPr>
          <w:color w:val="000000" w:themeColor="text1"/>
          <w14:textFill>
            <w14:solidFill>
              <w14:schemeClr w14:val="tx1"/>
            </w14:solidFill>
          </w14:textFill>
        </w:rPr>
      </w:pPr>
    </w:p>
    <w:p w14:paraId="0259E788">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母公司长期股权投资其他说明[双击切换]"/>
        <w:tag w:val="_GBC_8b70582854684459adc77f46cbf4aac7"/>
        <w:id w:val="147483543"/>
        <w:placeholder>
          <w:docPart w:val="GBC22222222222222222222222222222"/>
        </w:placeholder>
      </w:sdtPr>
      <w:sdtEndPr>
        <w:rPr>
          <w:color w:val="000000" w:themeColor="text1"/>
          <w14:textFill>
            <w14:solidFill>
              <w14:schemeClr w14:val="tx1"/>
            </w14:solidFill>
          </w14:textFill>
        </w:rPr>
      </w:sdtEndPr>
      <w:sdtContent>
        <w:p w14:paraId="6B4B116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C6C7E46">
      <w:pPr>
        <w:rPr>
          <w:color w:val="000000" w:themeColor="text1"/>
          <w14:textFill>
            <w14:solidFill>
              <w14:schemeClr w14:val="tx1"/>
            </w14:solidFill>
          </w14:textFill>
        </w:rPr>
      </w:pPr>
    </w:p>
    <w:p w14:paraId="12BBEF01">
      <w:pPr>
        <w:rPr>
          <w:color w:val="000000" w:themeColor="text1"/>
          <w14:textFill>
            <w14:solidFill>
              <w14:schemeClr w14:val="tx1"/>
            </w14:solidFill>
          </w14:textFill>
        </w:rPr>
        <w:sectPr>
          <w:pgSz w:w="16838" w:h="11906" w:orient="landscape"/>
          <w:pgMar w:top="1797" w:right="1525" w:bottom="1276" w:left="1440" w:header="856" w:footer="992" w:gutter="0"/>
          <w:cols w:space="425" w:num="1"/>
          <w:docGrid w:linePitch="312" w:charSpace="0"/>
        </w:sectPr>
      </w:pPr>
    </w:p>
    <w:p w14:paraId="39DAE962">
      <w:pPr>
        <w:rPr>
          <w:color w:val="000000" w:themeColor="text1"/>
          <w14:textFill>
            <w14:solidFill>
              <w14:schemeClr w14:val="tx1"/>
            </w14:solidFill>
          </w14:textFill>
        </w:rPr>
      </w:pPr>
    </w:p>
    <w:p w14:paraId="153DF0B2">
      <w:pPr>
        <w:pStyle w:val="57"/>
        <w:numPr>
          <w:ilvl w:val="0"/>
          <w:numId w:val="116"/>
        </w:num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营业收入和营业成本</w:t>
      </w:r>
    </w:p>
    <w:p w14:paraId="6543F610">
      <w:pPr>
        <w:pStyle w:val="58"/>
        <w:numPr>
          <w:ilvl w:val="0"/>
          <w:numId w:val="122"/>
        </w:numPr>
        <w:rPr>
          <w:rFonts w:ascii="宋体" w:hAnsi="宋体"/>
          <w:color w:val="000000" w:themeColor="text1"/>
          <w14:textFill>
            <w14:solidFill>
              <w14:schemeClr w14:val="tx1"/>
            </w14:solidFill>
          </w14:textFill>
        </w:rPr>
      </w:pPr>
      <w:bookmarkStart w:id="490" w:name="_Hlk10548568"/>
      <w:r>
        <w:rPr>
          <w:rFonts w:hint="eastAsia" w:ascii="宋体" w:hAnsi="宋体"/>
          <w:color w:val="000000" w:themeColor="text1"/>
          <w14:textFill>
            <w14:solidFill>
              <w14:schemeClr w14:val="tx1"/>
            </w14:solidFill>
          </w14:textFill>
        </w:rPr>
        <w:t>营业收入和营业成本情况</w:t>
      </w:r>
    </w:p>
    <w:sdt>
      <w:sdtPr>
        <w:rPr>
          <w:color w:val="000000" w:themeColor="text1"/>
          <w14:textFill>
            <w14:solidFill>
              <w14:schemeClr w14:val="tx1"/>
            </w14:solidFill>
          </w14:textFill>
        </w:rPr>
        <w:alias w:val="是否适用：母公司营业收入和营业成本[双击切换]"/>
        <w:tag w:val="_GBC_f62d83b1068f4bfaae3a590b0ac9f4d7"/>
        <w:id w:val="147478052"/>
        <w:placeholder>
          <w:docPart w:val="GBC22222222222222222222222222222"/>
        </w:placeholder>
      </w:sdtPr>
      <w:sdtEndPr>
        <w:rPr>
          <w:color w:val="000000" w:themeColor="text1"/>
          <w14:textFill>
            <w14:solidFill>
              <w14:schemeClr w14:val="tx1"/>
            </w14:solidFill>
          </w14:textFill>
        </w:rPr>
      </w:sdtEndPr>
      <w:sdtContent>
        <w:p w14:paraId="1A4E564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803BC71">
      <w:pPr>
        <w:pStyle w:val="63"/>
        <w:ind w:firstLine="0" w:firstLineChars="0"/>
        <w:jc w:val="right"/>
        <w:rPr>
          <w:rFonts w:ascii="宋体" w:hAnsi="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母公司财务附注：营业收入"/>
          <w:tag w:val="_GBC_40a730bb869a41578a25e9cb66f4e28e"/>
          <w:id w:val="1474777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母公司财务附注：营业收入"/>
          <w:tag w:val="_GBC_1b6056b90b2c445a9b1bcdc97aa104ec"/>
          <w:id w:val="1474595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1"/>
        <w:gridCol w:w="1623"/>
        <w:gridCol w:w="1623"/>
        <w:gridCol w:w="1477"/>
        <w:gridCol w:w="1329"/>
      </w:tblGrid>
      <w:tr w14:paraId="3B210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3dc9ae0da47e49d097992a176784945a"/>
            <w:id w:val="147477442"/>
          </w:sdtPr>
          <w:sdtEndPr>
            <w:rPr>
              <w:rFonts w:cs="Times New Roman"/>
            </w:rPr>
          </w:sdtEndPr>
          <w:sdtContent>
            <w:tc>
              <w:tcPr>
                <w:tcW w:w="1570" w:type="pct"/>
                <w:vMerge w:val="restart"/>
                <w:tcBorders>
                  <w:top w:val="single" w:color="auto" w:sz="4" w:space="0"/>
                  <w:left w:val="single" w:color="auto" w:sz="4" w:space="0"/>
                  <w:right w:val="single" w:color="auto" w:sz="4" w:space="0"/>
                </w:tcBorders>
                <w:vAlign w:val="center"/>
              </w:tcPr>
              <w:p w14:paraId="2A6A164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b47efcaea8ca428781485b2625b4c252"/>
            <w:id w:val="147471706"/>
          </w:sdtPr>
          <w:sdtEndPr>
            <w:rPr>
              <w:rFonts w:cs="Times New Roman"/>
            </w:rPr>
          </w:sdtEndPr>
          <w:sdtContent>
            <w:tc>
              <w:tcPr>
                <w:tcW w:w="1840" w:type="pct"/>
                <w:gridSpan w:val="2"/>
                <w:tcBorders>
                  <w:top w:val="single" w:color="auto" w:sz="4" w:space="0"/>
                  <w:left w:val="single" w:color="auto" w:sz="4" w:space="0"/>
                  <w:bottom w:val="single" w:color="auto" w:sz="4" w:space="0"/>
                  <w:right w:val="single" w:color="auto" w:sz="4" w:space="0"/>
                </w:tcBorders>
                <w:vAlign w:val="center"/>
              </w:tcPr>
              <w:p w14:paraId="323B3E3F">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tc>
          </w:sdtContent>
        </w:sdt>
        <w:sdt>
          <w:sdtPr>
            <w:rPr>
              <w:rFonts w:cs="Times New Roman"/>
            </w:rPr>
            <w:tag w:val="_PLD_44320683f4394adcaf1711775bb320ef"/>
            <w:id w:val="147481660"/>
          </w:sdtPr>
          <w:sdtEndPr>
            <w:rPr>
              <w:rFonts w:cs="Times New Roman"/>
            </w:rPr>
          </w:sdtEndPr>
          <w:sdtContent>
            <w:tc>
              <w:tcPr>
                <w:tcW w:w="1590" w:type="pct"/>
                <w:gridSpan w:val="2"/>
                <w:tcBorders>
                  <w:top w:val="single" w:color="auto" w:sz="4" w:space="0"/>
                  <w:left w:val="single" w:color="auto" w:sz="4" w:space="0"/>
                  <w:bottom w:val="single" w:color="auto" w:sz="4" w:space="0"/>
                  <w:right w:val="single" w:color="auto" w:sz="4" w:space="0"/>
                </w:tcBorders>
                <w:vAlign w:val="center"/>
              </w:tcPr>
              <w:p w14:paraId="14EB1C95">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tc>
          </w:sdtContent>
        </w:sdt>
      </w:tr>
      <w:tr w14:paraId="6F6AE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vMerge w:val="continue"/>
            <w:tcBorders>
              <w:left w:val="single" w:color="auto" w:sz="4" w:space="0"/>
              <w:bottom w:val="single" w:color="auto" w:sz="4" w:space="0"/>
              <w:right w:val="single" w:color="auto" w:sz="4" w:space="0"/>
            </w:tcBorders>
            <w:vAlign w:val="center"/>
          </w:tcPr>
          <w:p w14:paraId="4E727EE9">
            <w:pPr>
              <w:jc w:val="center"/>
              <w:rPr>
                <w:rFonts w:cs="Times New Roman"/>
                <w:color w:val="000000" w:themeColor="text1"/>
                <w14:textFill>
                  <w14:solidFill>
                    <w14:schemeClr w14:val="tx1"/>
                  </w14:solidFill>
                </w14:textFill>
              </w:rPr>
            </w:pPr>
          </w:p>
        </w:tc>
        <w:sdt>
          <w:sdtPr>
            <w:rPr>
              <w:rFonts w:cs="Times New Roman"/>
            </w:rPr>
            <w:tag w:val="_PLD_efb75dfbe3924c3a9f286eefd26b357f"/>
            <w:id w:val="147473767"/>
          </w:sdtPr>
          <w:sdtEndPr>
            <w:rPr>
              <w:rFonts w:cs="Times New Roman"/>
            </w:rPr>
          </w:sdtEndPr>
          <w:sdtContent>
            <w:tc>
              <w:tcPr>
                <w:tcW w:w="920" w:type="pct"/>
                <w:tcBorders>
                  <w:top w:val="single" w:color="auto" w:sz="4" w:space="0"/>
                  <w:left w:val="single" w:color="auto" w:sz="4" w:space="0"/>
                  <w:bottom w:val="single" w:color="auto" w:sz="4" w:space="0"/>
                  <w:right w:val="single" w:color="auto" w:sz="4" w:space="0"/>
                </w:tcBorders>
                <w:vAlign w:val="center"/>
              </w:tcPr>
              <w:p w14:paraId="103E334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收入</w:t>
                </w:r>
              </w:p>
            </w:tc>
          </w:sdtContent>
        </w:sdt>
        <w:sdt>
          <w:sdtPr>
            <w:rPr>
              <w:rFonts w:cs="Times New Roman"/>
            </w:rPr>
            <w:tag w:val="_PLD_9ecc7b9050c24dcebd801ee01e950a91"/>
            <w:id w:val="147480064"/>
          </w:sdtPr>
          <w:sdtEndPr>
            <w:rPr>
              <w:rFonts w:cs="Times New Roman"/>
            </w:rPr>
          </w:sdtEndPr>
          <w:sdtContent>
            <w:tc>
              <w:tcPr>
                <w:tcW w:w="920" w:type="pct"/>
                <w:tcBorders>
                  <w:top w:val="single" w:color="auto" w:sz="4" w:space="0"/>
                  <w:left w:val="single" w:color="auto" w:sz="4" w:space="0"/>
                  <w:bottom w:val="single" w:color="auto" w:sz="4" w:space="0"/>
                  <w:right w:val="single" w:color="auto" w:sz="4" w:space="0"/>
                </w:tcBorders>
                <w:vAlign w:val="center"/>
              </w:tcPr>
              <w:p w14:paraId="6FC4418F">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成本</w:t>
                </w:r>
              </w:p>
            </w:tc>
          </w:sdtContent>
        </w:sdt>
        <w:sdt>
          <w:sdtPr>
            <w:rPr>
              <w:rFonts w:cs="Times New Roman"/>
            </w:rPr>
            <w:tag w:val="_PLD_b2940b2f59f24f969eea718c85f99dda"/>
            <w:id w:val="147482425"/>
          </w:sdtPr>
          <w:sdtEndPr>
            <w:rPr>
              <w:rFonts w:cs="Times New Roman"/>
            </w:rPr>
          </w:sdtEndPr>
          <w:sdtContent>
            <w:tc>
              <w:tcPr>
                <w:tcW w:w="837" w:type="pct"/>
                <w:tcBorders>
                  <w:top w:val="single" w:color="auto" w:sz="4" w:space="0"/>
                  <w:left w:val="single" w:color="auto" w:sz="4" w:space="0"/>
                  <w:bottom w:val="single" w:color="auto" w:sz="4" w:space="0"/>
                  <w:right w:val="single" w:color="auto" w:sz="4" w:space="0"/>
                </w:tcBorders>
                <w:vAlign w:val="center"/>
              </w:tcPr>
              <w:p w14:paraId="5E60DD2F">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收入</w:t>
                </w:r>
              </w:p>
            </w:tc>
          </w:sdtContent>
        </w:sdt>
        <w:sdt>
          <w:sdtPr>
            <w:rPr>
              <w:rFonts w:cs="Times New Roman"/>
            </w:rPr>
            <w:tag w:val="_PLD_971c170c70c24975ba7524e53623bf00"/>
            <w:id w:val="147483456"/>
          </w:sdtPr>
          <w:sdtEndPr>
            <w:rPr>
              <w:rFonts w:cs="Times New Roman"/>
            </w:rPr>
          </w:sdtEndPr>
          <w:sdtContent>
            <w:tc>
              <w:tcPr>
                <w:tcW w:w="753" w:type="pct"/>
                <w:tcBorders>
                  <w:top w:val="single" w:color="auto" w:sz="4" w:space="0"/>
                  <w:left w:val="single" w:color="auto" w:sz="4" w:space="0"/>
                  <w:bottom w:val="single" w:color="auto" w:sz="4" w:space="0"/>
                  <w:right w:val="single" w:color="auto" w:sz="4" w:space="0"/>
                </w:tcBorders>
                <w:vAlign w:val="center"/>
              </w:tcPr>
              <w:p w14:paraId="1F6D46CF">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成本</w:t>
                </w:r>
              </w:p>
            </w:tc>
          </w:sdtContent>
        </w:sdt>
      </w:tr>
      <w:tr w14:paraId="0EB7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Borders>
              <w:top w:val="single" w:color="auto" w:sz="4" w:space="0"/>
              <w:left w:val="single" w:color="auto" w:sz="4" w:space="0"/>
              <w:bottom w:val="single" w:color="auto" w:sz="4" w:space="0"/>
              <w:right w:val="single" w:color="auto" w:sz="4" w:space="0"/>
            </w:tcBorders>
          </w:tcPr>
          <w:p w14:paraId="75776110">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主营业务</w:t>
            </w:r>
          </w:p>
        </w:tc>
        <w:tc>
          <w:tcPr>
            <w:tcW w:w="920" w:type="pct"/>
            <w:tcBorders>
              <w:top w:val="single" w:color="auto" w:sz="4" w:space="0"/>
              <w:left w:val="single" w:color="auto" w:sz="4" w:space="0"/>
              <w:bottom w:val="single" w:color="auto" w:sz="4" w:space="0"/>
              <w:right w:val="single" w:color="auto" w:sz="4" w:space="0"/>
            </w:tcBorders>
          </w:tcPr>
          <w:p w14:paraId="0B74016B">
            <w:pPr>
              <w:jc w:val="right"/>
              <w:rPr>
                <w:rFonts w:cs="Times New Roman"/>
              </w:rPr>
            </w:pPr>
          </w:p>
        </w:tc>
        <w:tc>
          <w:tcPr>
            <w:tcW w:w="920" w:type="pct"/>
            <w:tcBorders>
              <w:top w:val="single" w:color="auto" w:sz="4" w:space="0"/>
              <w:left w:val="single" w:color="auto" w:sz="4" w:space="0"/>
              <w:bottom w:val="single" w:color="auto" w:sz="4" w:space="0"/>
              <w:right w:val="single" w:color="auto" w:sz="4" w:space="0"/>
            </w:tcBorders>
          </w:tcPr>
          <w:p w14:paraId="719FFDA3">
            <w:pPr>
              <w:jc w:val="right"/>
              <w:rPr>
                <w:rFonts w:cs="Times New Roman"/>
              </w:rPr>
            </w:pPr>
          </w:p>
        </w:tc>
        <w:tc>
          <w:tcPr>
            <w:tcW w:w="837" w:type="pct"/>
            <w:tcBorders>
              <w:top w:val="single" w:color="auto" w:sz="4" w:space="0"/>
              <w:left w:val="single" w:color="auto" w:sz="4" w:space="0"/>
              <w:bottom w:val="single" w:color="auto" w:sz="4" w:space="0"/>
              <w:right w:val="single" w:color="auto" w:sz="4" w:space="0"/>
            </w:tcBorders>
          </w:tcPr>
          <w:p w14:paraId="7BA958CF">
            <w:pPr>
              <w:jc w:val="right"/>
              <w:rPr>
                <w:rFonts w:cs="Times New Roman"/>
              </w:rPr>
            </w:pPr>
          </w:p>
        </w:tc>
        <w:tc>
          <w:tcPr>
            <w:tcW w:w="753" w:type="pct"/>
            <w:tcBorders>
              <w:top w:val="single" w:color="auto" w:sz="4" w:space="0"/>
              <w:left w:val="single" w:color="auto" w:sz="4" w:space="0"/>
              <w:bottom w:val="single" w:color="auto" w:sz="4" w:space="0"/>
              <w:right w:val="single" w:color="auto" w:sz="4" w:space="0"/>
            </w:tcBorders>
          </w:tcPr>
          <w:p w14:paraId="21BFDB88">
            <w:pPr>
              <w:jc w:val="right"/>
              <w:rPr>
                <w:rFonts w:cs="Times New Roman"/>
              </w:rPr>
            </w:pPr>
          </w:p>
        </w:tc>
      </w:tr>
      <w:tr w14:paraId="28F5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Borders>
              <w:top w:val="single" w:color="auto" w:sz="4" w:space="0"/>
              <w:left w:val="single" w:color="auto" w:sz="4" w:space="0"/>
              <w:bottom w:val="single" w:color="auto" w:sz="4" w:space="0"/>
              <w:right w:val="single" w:color="auto" w:sz="4" w:space="0"/>
            </w:tcBorders>
          </w:tcPr>
          <w:p w14:paraId="39610115">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其他业务</w:t>
            </w:r>
          </w:p>
        </w:tc>
        <w:tc>
          <w:tcPr>
            <w:tcW w:w="920" w:type="pct"/>
            <w:tcBorders>
              <w:top w:val="single" w:color="auto" w:sz="4" w:space="0"/>
              <w:left w:val="single" w:color="auto" w:sz="4" w:space="0"/>
              <w:bottom w:val="single" w:color="auto" w:sz="4" w:space="0"/>
              <w:right w:val="single" w:color="auto" w:sz="4" w:space="0"/>
            </w:tcBorders>
            <w:vAlign w:val="center"/>
          </w:tcPr>
          <w:p w14:paraId="19660109">
            <w:pPr>
              <w:jc w:val="right"/>
              <w:rPr>
                <w:rFonts w:cs="Times New Roman"/>
              </w:rPr>
            </w:pPr>
            <w:r>
              <w:rPr>
                <w:rFonts w:cs="Times New Roman"/>
                <w:color w:val="000000"/>
              </w:rPr>
              <w:t>5,334,155.45</w:t>
            </w:r>
          </w:p>
        </w:tc>
        <w:tc>
          <w:tcPr>
            <w:tcW w:w="920" w:type="pct"/>
            <w:tcBorders>
              <w:top w:val="single" w:color="auto" w:sz="4" w:space="0"/>
              <w:left w:val="single" w:color="auto" w:sz="4" w:space="0"/>
              <w:bottom w:val="single" w:color="auto" w:sz="4" w:space="0"/>
              <w:right w:val="single" w:color="auto" w:sz="4" w:space="0"/>
            </w:tcBorders>
            <w:vAlign w:val="center"/>
          </w:tcPr>
          <w:p w14:paraId="2C6A8380">
            <w:pPr>
              <w:jc w:val="right"/>
              <w:rPr>
                <w:rFonts w:cs="Times New Roman"/>
              </w:rPr>
            </w:pPr>
            <w:r>
              <w:rPr>
                <w:rFonts w:cs="Times New Roman"/>
                <w:color w:val="000000"/>
              </w:rPr>
              <w:t>349,612.07</w:t>
            </w:r>
          </w:p>
        </w:tc>
        <w:tc>
          <w:tcPr>
            <w:tcW w:w="837" w:type="pct"/>
            <w:tcBorders>
              <w:top w:val="single" w:color="auto" w:sz="4" w:space="0"/>
              <w:left w:val="single" w:color="auto" w:sz="4" w:space="0"/>
              <w:bottom w:val="single" w:color="auto" w:sz="4" w:space="0"/>
              <w:right w:val="single" w:color="auto" w:sz="4" w:space="0"/>
            </w:tcBorders>
            <w:vAlign w:val="center"/>
          </w:tcPr>
          <w:p w14:paraId="7B1E25A6">
            <w:pPr>
              <w:jc w:val="right"/>
              <w:rPr>
                <w:rFonts w:cs="Times New Roman"/>
              </w:rPr>
            </w:pPr>
            <w:r>
              <w:rPr>
                <w:rFonts w:cs="Times New Roman"/>
                <w:color w:val="000000"/>
              </w:rPr>
              <w:t>3,761,473.78</w:t>
            </w:r>
          </w:p>
        </w:tc>
        <w:tc>
          <w:tcPr>
            <w:tcW w:w="753" w:type="pct"/>
            <w:tcBorders>
              <w:top w:val="single" w:color="auto" w:sz="4" w:space="0"/>
              <w:left w:val="single" w:color="auto" w:sz="4" w:space="0"/>
              <w:bottom w:val="single" w:color="auto" w:sz="4" w:space="0"/>
              <w:right w:val="single" w:color="auto" w:sz="4" w:space="0"/>
            </w:tcBorders>
          </w:tcPr>
          <w:p w14:paraId="4491705D">
            <w:pPr>
              <w:jc w:val="right"/>
              <w:rPr>
                <w:rFonts w:cs="Times New Roman"/>
              </w:rPr>
            </w:pPr>
          </w:p>
        </w:tc>
      </w:tr>
      <w:tr w14:paraId="498E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Borders>
              <w:top w:val="single" w:color="auto" w:sz="4" w:space="0"/>
              <w:left w:val="single" w:color="auto" w:sz="4" w:space="0"/>
              <w:bottom w:val="single" w:color="auto" w:sz="4" w:space="0"/>
              <w:right w:val="single" w:color="auto" w:sz="4" w:space="0"/>
            </w:tcBorders>
            <w:vAlign w:val="center"/>
          </w:tcPr>
          <w:p w14:paraId="1A5E9EC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920" w:type="pct"/>
            <w:tcBorders>
              <w:top w:val="single" w:color="auto" w:sz="4" w:space="0"/>
              <w:left w:val="single" w:color="auto" w:sz="4" w:space="0"/>
              <w:bottom w:val="single" w:color="auto" w:sz="4" w:space="0"/>
              <w:right w:val="single" w:color="auto" w:sz="4" w:space="0"/>
            </w:tcBorders>
            <w:vAlign w:val="center"/>
          </w:tcPr>
          <w:p w14:paraId="2B057243">
            <w:pPr>
              <w:jc w:val="right"/>
              <w:rPr>
                <w:rFonts w:cs="Times New Roman"/>
              </w:rPr>
            </w:pPr>
            <w:r>
              <w:rPr>
                <w:rFonts w:cs="Times New Roman"/>
                <w:color w:val="000000"/>
              </w:rPr>
              <w:t>5,334,155.45</w:t>
            </w:r>
          </w:p>
        </w:tc>
        <w:tc>
          <w:tcPr>
            <w:tcW w:w="920" w:type="pct"/>
            <w:tcBorders>
              <w:top w:val="single" w:color="auto" w:sz="4" w:space="0"/>
              <w:left w:val="single" w:color="auto" w:sz="4" w:space="0"/>
              <w:bottom w:val="single" w:color="auto" w:sz="4" w:space="0"/>
              <w:right w:val="single" w:color="auto" w:sz="4" w:space="0"/>
            </w:tcBorders>
            <w:vAlign w:val="center"/>
          </w:tcPr>
          <w:p w14:paraId="14D900ED">
            <w:pPr>
              <w:jc w:val="right"/>
              <w:rPr>
                <w:rFonts w:cs="Times New Roman"/>
              </w:rPr>
            </w:pPr>
            <w:r>
              <w:rPr>
                <w:rFonts w:cs="Times New Roman"/>
                <w:color w:val="000000"/>
              </w:rPr>
              <w:t>349,612.07</w:t>
            </w:r>
          </w:p>
        </w:tc>
        <w:tc>
          <w:tcPr>
            <w:tcW w:w="837" w:type="pct"/>
            <w:tcBorders>
              <w:top w:val="single" w:color="auto" w:sz="4" w:space="0"/>
              <w:left w:val="single" w:color="auto" w:sz="4" w:space="0"/>
              <w:bottom w:val="single" w:color="auto" w:sz="4" w:space="0"/>
              <w:right w:val="single" w:color="auto" w:sz="4" w:space="0"/>
            </w:tcBorders>
            <w:vAlign w:val="center"/>
          </w:tcPr>
          <w:p w14:paraId="605E72C8">
            <w:pPr>
              <w:jc w:val="right"/>
              <w:rPr>
                <w:rFonts w:cs="Times New Roman"/>
              </w:rPr>
            </w:pPr>
            <w:r>
              <w:rPr>
                <w:rFonts w:cs="Times New Roman"/>
                <w:color w:val="000000"/>
              </w:rPr>
              <w:t>3,761,473.78</w:t>
            </w:r>
          </w:p>
        </w:tc>
        <w:tc>
          <w:tcPr>
            <w:tcW w:w="753" w:type="pct"/>
            <w:tcBorders>
              <w:top w:val="single" w:color="auto" w:sz="4" w:space="0"/>
              <w:left w:val="single" w:color="auto" w:sz="4" w:space="0"/>
              <w:bottom w:val="single" w:color="auto" w:sz="4" w:space="0"/>
              <w:right w:val="single" w:color="auto" w:sz="4" w:space="0"/>
            </w:tcBorders>
          </w:tcPr>
          <w:p w14:paraId="1BB6BCD1">
            <w:pPr>
              <w:jc w:val="right"/>
              <w:rPr>
                <w:rFonts w:cs="Times New Roman"/>
              </w:rPr>
            </w:pPr>
          </w:p>
        </w:tc>
      </w:tr>
    </w:tbl>
    <w:p w14:paraId="710163EE">
      <w:pPr>
        <w:rPr>
          <w:color w:val="000000" w:themeColor="text1"/>
          <w14:textFill>
            <w14:solidFill>
              <w14:schemeClr w14:val="tx1"/>
            </w14:solidFill>
          </w14:textFill>
        </w:rPr>
      </w:pPr>
    </w:p>
    <w:bookmarkEnd w:id="490"/>
    <w:sdt>
      <w:sdtPr>
        <w:rPr>
          <w:rFonts w:hint="eastAsia" w:ascii="宋体" w:hAnsi="宋体" w:cs="宋体"/>
          <w:b w:val="0"/>
          <w:bCs/>
          <w:color w:val="000000" w:themeColor="text1"/>
          <w:kern w:val="0"/>
          <w:sz w:val="21"/>
          <w:szCs w:val="24"/>
          <w14:textFill>
            <w14:solidFill>
              <w14:schemeClr w14:val="tx1"/>
            </w14:solidFill>
          </w14:textFill>
        </w:rPr>
        <w:alias w:val="模块:合同产生的收入的情况"/>
        <w:tag w:val="_SEC_55b67c614f984b14baf467a8376baa6d"/>
        <w:id w:val="147454058"/>
        <w:placeholder>
          <w:docPart w:val="GBC22222222222222222222222222222"/>
        </w:placeholder>
      </w:sdtPr>
      <w:sdtEndPr>
        <w:rPr>
          <w:rFonts w:hint="default" w:ascii="Times New Roman" w:hAnsi="Times New Roman" w:cs="宋体"/>
          <w:b w:val="0"/>
          <w:bCs/>
          <w:color w:val="000000" w:themeColor="text1"/>
          <w:kern w:val="0"/>
          <w:sz w:val="21"/>
          <w:szCs w:val="21"/>
          <w14:textFill>
            <w14:solidFill>
              <w14:schemeClr w14:val="tx1"/>
            </w14:solidFill>
          </w14:textFill>
        </w:rPr>
      </w:sdtEndPr>
      <w:sdtContent>
        <w:p w14:paraId="778D11DB">
          <w:pPr>
            <w:pStyle w:val="58"/>
            <w:numPr>
              <w:ilvl w:val="0"/>
              <w:numId w:val="122"/>
            </w:numPr>
            <w:rPr>
              <w:rFonts w:ascii="宋体" w:hAnsi="宋体"/>
              <w:color w:val="000000" w:themeColor="text1"/>
              <w14:textFill>
                <w14:solidFill>
                  <w14:schemeClr w14:val="tx1"/>
                </w14:solidFill>
              </w14:textFill>
            </w:rPr>
          </w:pPr>
          <w:bookmarkStart w:id="491" w:name="_Hlk153798384"/>
          <w:bookmarkStart w:id="492" w:name="_Hlk533798810"/>
          <w:bookmarkStart w:id="493" w:name="_Hlk168057792"/>
          <w:r>
            <w:rPr>
              <w:rFonts w:hint="eastAsia" w:ascii="宋体" w:hAnsi="宋体"/>
              <w:color w:val="000000" w:themeColor="text1"/>
              <w14:textFill>
                <w14:solidFill>
                  <w14:schemeClr w14:val="tx1"/>
                </w14:solidFill>
              </w14:textFill>
            </w:rPr>
            <w:t xml:space="preserve">营业收入、营业成本的分解信息 </w:t>
          </w:r>
        </w:p>
        <w:sdt>
          <w:sdtPr>
            <w:rPr>
              <w:rFonts w:ascii="宋体" w:hAnsi="宋体"/>
              <w:color w:val="000000" w:themeColor="text1"/>
              <w14:textFill>
                <w14:solidFill>
                  <w14:schemeClr w14:val="tx1"/>
                </w14:solidFill>
              </w14:textFill>
            </w:rPr>
            <w:alias w:val="是否适用：母公司营业收入、营业成本的分解信息 [双击切换]"/>
            <w:tag w:val="_GBC_f916612422c346448db58faef20dc792"/>
            <w:id w:val="147459476"/>
            <w:placeholder>
              <w:docPart w:val="GBC22222222222222222222222222222"/>
            </w:placeholder>
          </w:sdtPr>
          <w:sdtEndPr>
            <w:rPr>
              <w:rFonts w:ascii="宋体" w:hAnsi="宋体"/>
              <w:color w:val="000000" w:themeColor="text1"/>
              <w14:textFill>
                <w14:solidFill>
                  <w14:schemeClr w14:val="tx1"/>
                </w14:solidFill>
              </w14:textFill>
            </w:rPr>
          </w:sdtEndPr>
          <w:sdtContent>
            <w:p w14:paraId="641D79DD">
              <w:p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40C0BE8">
          <w:pPr>
            <w:rPr>
              <w:rFonts w:ascii="宋体" w:hAnsi="宋体"/>
              <w:color w:val="000000" w:themeColor="text1"/>
              <w14:textFill>
                <w14:solidFill>
                  <w14:schemeClr w14:val="tx1"/>
                </w14:solidFill>
              </w14:textFill>
            </w:rPr>
          </w:pPr>
        </w:p>
        <w:p w14:paraId="7E164B0F">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母公司营业收入、营业成本的分解信息说明 [双击切换]"/>
            <w:tag w:val="_GBC_adf50e989b9642a6a5b483866ecd2065"/>
            <w:id w:val="147467232"/>
            <w:placeholder>
              <w:docPart w:val="GBC22222222222222222222222222222"/>
            </w:placeholder>
          </w:sdtPr>
          <w:sdtEndPr>
            <w:rPr>
              <w:color w:val="000000" w:themeColor="text1"/>
              <w14:textFill>
                <w14:solidFill>
                  <w14:schemeClr w14:val="tx1"/>
                </w14:solidFill>
              </w14:textFill>
            </w:rPr>
          </w:sdtEndPr>
          <w:sdtContent>
            <w:p w14:paraId="655130F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AD6858A">
          <w:pPr>
            <w:rPr>
              <w:color w:val="000000" w:themeColor="text1"/>
              <w14:textFill>
                <w14:solidFill>
                  <w14:schemeClr w14:val="tx1"/>
                </w14:solidFill>
              </w14:textFill>
            </w:rPr>
          </w:pPr>
        </w:p>
      </w:sdtContent>
    </w:sdt>
    <w:bookmarkEnd w:id="491"/>
    <w:p w14:paraId="190DD71D">
      <w:pPr>
        <w:pStyle w:val="58"/>
        <w:numPr>
          <w:ilvl w:val="0"/>
          <w:numId w:val="122"/>
        </w:numPr>
        <w:rPr>
          <w:rFonts w:ascii="宋体" w:hAnsi="宋体"/>
          <w:color w:val="000000" w:themeColor="text1"/>
          <w14:textFill>
            <w14:solidFill>
              <w14:schemeClr w14:val="tx1"/>
            </w14:solidFill>
          </w14:textFill>
        </w:rPr>
      </w:pPr>
      <w:bookmarkStart w:id="494" w:name="_Hlk155961563"/>
      <w:r>
        <w:rPr>
          <w:rFonts w:hint="eastAsia" w:ascii="宋体" w:hAnsi="宋体"/>
          <w:color w:val="000000" w:themeColor="text1"/>
          <w14:textFill>
            <w14:solidFill>
              <w14:schemeClr w14:val="tx1"/>
            </w14:solidFill>
          </w14:textFill>
        </w:rPr>
        <w:t>履约义务的说明</w:t>
      </w:r>
    </w:p>
    <w:sdt>
      <w:sdtPr>
        <w:rPr>
          <w:color w:val="000000" w:themeColor="text1"/>
          <w14:textFill>
            <w14:solidFill>
              <w14:schemeClr w14:val="tx1"/>
            </w14:solidFill>
          </w14:textFill>
        </w:rPr>
        <w:alias w:val="是否适用：履约义务的说明[双击切换]"/>
        <w:tag w:val="_GBC_7eb65f1aefb848c3be4d6abd4048aef7"/>
        <w:id w:val="147474380"/>
        <w:placeholder>
          <w:docPart w:val="GBC22222222222222222222222222222"/>
        </w:placeholder>
      </w:sdtPr>
      <w:sdtEndPr>
        <w:rPr>
          <w:color w:val="000000" w:themeColor="text1"/>
          <w14:textFill>
            <w14:solidFill>
              <w14:schemeClr w14:val="tx1"/>
            </w14:solidFill>
          </w14:textFill>
        </w:rPr>
      </w:sdtEndPr>
      <w:sdtContent>
        <w:p w14:paraId="206F7E8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E7D411E">
      <w:pPr>
        <w:rPr>
          <w:color w:val="000000" w:themeColor="text1"/>
          <w14:textFill>
            <w14:solidFill>
              <w14:schemeClr w14:val="tx1"/>
            </w14:solidFill>
          </w14:textFill>
        </w:rPr>
      </w:pPr>
    </w:p>
    <w:bookmarkEnd w:id="492"/>
    <w:bookmarkEnd w:id="494"/>
    <w:p w14:paraId="61B474F8">
      <w:pPr>
        <w:pStyle w:val="58"/>
        <w:numPr>
          <w:ilvl w:val="0"/>
          <w:numId w:val="122"/>
        </w:numPr>
        <w:rPr>
          <w:rFonts w:ascii="宋体" w:hAnsi="宋体"/>
          <w:color w:val="000000" w:themeColor="text1"/>
          <w14:textFill>
            <w14:solidFill>
              <w14:schemeClr w14:val="tx1"/>
            </w14:solidFill>
          </w14:textFill>
        </w:rPr>
      </w:pPr>
      <w:bookmarkStart w:id="495" w:name="_Hlk533798958"/>
      <w:r>
        <w:rPr>
          <w:rFonts w:hint="eastAsia" w:ascii="宋体" w:hAnsi="宋体"/>
          <w:color w:val="000000" w:themeColor="text1"/>
          <w14:textFill>
            <w14:solidFill>
              <w14:schemeClr w14:val="tx1"/>
            </w14:solidFill>
          </w14:textFill>
        </w:rPr>
        <w:t>分摊至剩余履约义务的说明</w:t>
      </w:r>
    </w:p>
    <w:sdt>
      <w:sdtPr>
        <w:rPr>
          <w:color w:val="000000" w:themeColor="text1"/>
          <w14:textFill>
            <w14:solidFill>
              <w14:schemeClr w14:val="tx1"/>
            </w14:solidFill>
          </w14:textFill>
        </w:rPr>
        <w:alias w:val="是否适用：母公司分摊至剩余履约义务的说明[双击切换]"/>
        <w:tag w:val="_GBC_3aac73ec336d4015bdb4b42a7b0d24ea"/>
        <w:id w:val="147466969"/>
        <w:placeholder>
          <w:docPart w:val="GBC22222222222222222222222222222"/>
        </w:placeholder>
      </w:sdtPr>
      <w:sdtEndPr>
        <w:rPr>
          <w:color w:val="000000" w:themeColor="text1"/>
          <w14:textFill>
            <w14:solidFill>
              <w14:schemeClr w14:val="tx1"/>
            </w14:solidFill>
          </w14:textFill>
        </w:rPr>
      </w:sdtEndPr>
      <w:sdtContent>
        <w:p w14:paraId="3B20A4D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B75E013">
      <w:pPr>
        <w:rPr>
          <w:rFonts w:ascii="Arial" w:hAnsi="Arial"/>
          <w:color w:val="000000" w:themeColor="text1"/>
          <w14:textFill>
            <w14:solidFill>
              <w14:schemeClr w14:val="tx1"/>
            </w14:solidFill>
          </w14:textFill>
        </w:rPr>
      </w:pPr>
    </w:p>
    <w:bookmarkEnd w:id="495"/>
    <w:p w14:paraId="2AA8AECE">
      <w:pPr>
        <w:pStyle w:val="58"/>
        <w:numPr>
          <w:ilvl w:val="0"/>
          <w:numId w:val="122"/>
        </w:numPr>
        <w:rPr>
          <w:rFonts w:ascii="宋体" w:hAnsi="宋体"/>
          <w:color w:val="000000" w:themeColor="text1"/>
          <w14:textFill>
            <w14:solidFill>
              <w14:schemeClr w14:val="tx1"/>
            </w14:solidFill>
          </w14:textFill>
        </w:rPr>
      </w:pPr>
      <w:bookmarkStart w:id="496" w:name="_Hlk153798573"/>
      <w:r>
        <w:rPr>
          <w:rFonts w:hint="eastAsia" w:ascii="宋体" w:hAnsi="宋体"/>
          <w:color w:val="000000" w:themeColor="text1"/>
          <w14:textFill>
            <w14:solidFill>
              <w14:schemeClr w14:val="tx1"/>
            </w14:solidFill>
          </w14:textFill>
        </w:rPr>
        <w:t>重大合同变更或重大交易价格调整</w:t>
      </w:r>
    </w:p>
    <w:sdt>
      <w:sdtPr>
        <w:rPr>
          <w:color w:val="000000" w:themeColor="text1"/>
          <w14:textFill>
            <w14:solidFill>
              <w14:schemeClr w14:val="tx1"/>
            </w14:solidFill>
          </w14:textFill>
        </w:rPr>
        <w:alias w:val="是否适用：母公司重大合同变更或重大交易价格调整[双击切换]"/>
        <w:tag w:val="_GBC_37b150e92b5a4605be19135cd46e097e"/>
        <w:id w:val="147460652"/>
        <w:placeholder>
          <w:docPart w:val="GBC22222222222222222222222222222"/>
        </w:placeholder>
      </w:sdtPr>
      <w:sdtEndPr>
        <w:rPr>
          <w:color w:val="000000" w:themeColor="text1"/>
          <w14:textFill>
            <w14:solidFill>
              <w14:schemeClr w14:val="tx1"/>
            </w14:solidFill>
          </w14:textFill>
        </w:rPr>
      </w:sdtEndPr>
      <w:sdtContent>
        <w:p w14:paraId="7BCAFDB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0379B77">
      <w:pPr>
        <w:rPr>
          <w:color w:val="000000" w:themeColor="text1"/>
          <w14:textFill>
            <w14:solidFill>
              <w14:schemeClr w14:val="tx1"/>
            </w14:solidFill>
          </w14:textFill>
        </w:rPr>
      </w:pPr>
    </w:p>
    <w:bookmarkEnd w:id="496"/>
    <w:p w14:paraId="501216D0">
      <w:pPr>
        <w:spacing w:before="60" w:after="60"/>
        <w:rPr>
          <w:color w:val="000000" w:themeColor="text1"/>
          <w14:textFill>
            <w14:solidFill>
              <w14:schemeClr w14:val="tx1"/>
            </w14:solidFill>
          </w14:textFill>
        </w:rPr>
      </w:pPr>
      <w:bookmarkStart w:id="497" w:name="_Hlk533798751"/>
      <w:r>
        <w:rPr>
          <w:rFonts w:hint="eastAsia"/>
          <w:color w:val="000000" w:themeColor="text1"/>
          <w14:textFill>
            <w14:solidFill>
              <w14:schemeClr w14:val="tx1"/>
            </w14:solidFill>
          </w14:textFill>
        </w:rPr>
        <w:t>其他说明：</w:t>
      </w:r>
    </w:p>
    <w:p w14:paraId="4EBF3B5A">
      <w:pPr>
        <w:rPr>
          <w:color w:val="000000" w:themeColor="text1"/>
          <w14:textFill>
            <w14:solidFill>
              <w14:schemeClr w14:val="tx1"/>
            </w14:solidFill>
          </w14:textFill>
        </w:rPr>
      </w:pPr>
      <w:sdt>
        <w:sdtPr>
          <w:rPr>
            <w:color w:val="000000" w:themeColor="text1"/>
            <w14:textFill>
              <w14:solidFill>
                <w14:schemeClr w14:val="tx1"/>
              </w14:solidFill>
            </w14:textFill>
          </w:rPr>
          <w:alias w:val="主营业务说明"/>
          <w:tag w:val="_GBC_1758332f6c7d4ddf94e12be06682add9"/>
          <w:id w:val="147480211"/>
          <w:placeholder>
            <w:docPart w:val="GBC22222222222222222222222222222"/>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无</w:t>
          </w:r>
        </w:sdtContent>
      </w:sdt>
    </w:p>
    <w:p w14:paraId="18A616C2">
      <w:pPr>
        <w:rPr>
          <w:color w:val="000000" w:themeColor="text1"/>
          <w14:textFill>
            <w14:solidFill>
              <w14:schemeClr w14:val="tx1"/>
            </w14:solidFill>
          </w14:textFill>
        </w:rPr>
      </w:pPr>
    </w:p>
    <w:bookmarkEnd w:id="493"/>
    <w:bookmarkEnd w:id="497"/>
    <w:p w14:paraId="551BB274">
      <w:pPr>
        <w:pStyle w:val="57"/>
        <w:numPr>
          <w:ilvl w:val="0"/>
          <w:numId w:val="116"/>
        </w:numPr>
        <w:rPr>
          <w:rFonts w:ascii="宋体" w:hAnsi="宋体"/>
          <w:color w:val="000000" w:themeColor="text1"/>
          <w:szCs w:val="21"/>
          <w14:textFill>
            <w14:solidFill>
              <w14:schemeClr w14:val="tx1"/>
            </w14:solidFill>
          </w14:textFill>
        </w:rPr>
      </w:pPr>
      <w:bookmarkStart w:id="498" w:name="OLE_LINK6"/>
      <w:bookmarkStart w:id="499" w:name="_Hlk10548739"/>
      <w:r>
        <w:rPr>
          <w:rFonts w:hint="eastAsia" w:ascii="宋体" w:hAnsi="宋体"/>
          <w:color w:val="000000" w:themeColor="text1"/>
          <w:szCs w:val="21"/>
          <w14:textFill>
            <w14:solidFill>
              <w14:schemeClr w14:val="tx1"/>
            </w14:solidFill>
          </w14:textFill>
        </w:rPr>
        <w:t>投资收益</w:t>
      </w:r>
      <w:bookmarkEnd w:id="498"/>
    </w:p>
    <w:sdt>
      <w:sdtPr>
        <w:rPr>
          <w:color w:val="000000" w:themeColor="text1"/>
          <w14:textFill>
            <w14:solidFill>
              <w14:schemeClr w14:val="tx1"/>
            </w14:solidFill>
          </w14:textFill>
        </w:rPr>
        <w:alias w:val="是否适用：母公司投资收益[双击切换]"/>
        <w:tag w:val="_GBC_bdba48f0322747499f6908fbbf78a16f"/>
        <w:id w:val="147461836"/>
        <w:placeholder>
          <w:docPart w:val="GBC22222222222222222222222222222"/>
        </w:placeholder>
      </w:sdtPr>
      <w:sdtEndPr>
        <w:rPr>
          <w:color w:val="000000" w:themeColor="text1"/>
          <w14:textFill>
            <w14:solidFill>
              <w14:schemeClr w14:val="tx1"/>
            </w14:solidFill>
          </w14:textFill>
        </w:rPr>
      </w:sdtEndPr>
      <w:sdtContent>
        <w:p w14:paraId="6A3FF05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6A3DC5D">
      <w:pPr>
        <w:jc w:val="right"/>
        <w:rPr>
          <w:color w:val="000000" w:themeColor="text1"/>
          <w14:textFill>
            <w14:solidFill>
              <w14:schemeClr w14:val="tx1"/>
            </w14:solidFill>
          </w14:textFill>
        </w:rPr>
      </w:pPr>
      <w:r>
        <w:rPr>
          <w:color w:val="000000" w:themeColor="text1"/>
          <w14:textFill>
            <w14:solidFill>
              <w14:schemeClr w14:val="tx1"/>
            </w14:solidFill>
          </w14:textFill>
        </w:rPr>
        <w:t>单位</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单位：财务附注：会计报表中的投资收益项目增加"/>
          <w:tag w:val="_GBC_613aeed04bd941b2899e7b84fac67e3a"/>
          <w:id w:val="14747627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color w:val="000000" w:themeColor="text1"/>
          <w14:textFill>
            <w14:solidFill>
              <w14:schemeClr w14:val="tx1"/>
            </w14:solidFill>
          </w14:textFill>
        </w:rPr>
        <w:t xml:space="preserve">  币种</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币种：财务附注：会计报表中的投资收益项目增加"/>
          <w:tag w:val="_GBC_8976301949824df2a90aa6f83aad84f0"/>
          <w:id w:val="1474512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8"/>
        <w:gridCol w:w="2628"/>
        <w:gridCol w:w="2637"/>
      </w:tblGrid>
      <w:tr w14:paraId="18D6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Times New Roman"/>
            </w:rPr>
            <w:tag w:val="_PLD_1263506df19847a5a86c9b873a7b7673"/>
            <w:id w:val="147466577"/>
          </w:sdtPr>
          <w:sdtEndPr>
            <w:rPr>
              <w:rFonts w:cs="Times New Roman"/>
            </w:rPr>
          </w:sdtEndPr>
          <w:sdtContent>
            <w:tc>
              <w:tcPr>
                <w:tcW w:w="2016" w:type="pct"/>
                <w:vAlign w:val="center"/>
              </w:tcPr>
              <w:p w14:paraId="23F1A2D1">
                <w:pPr>
                  <w:ind w:left="420" w:hanging="42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sdtContent>
        </w:sdt>
        <w:sdt>
          <w:sdtPr>
            <w:rPr>
              <w:rFonts w:cs="Times New Roman"/>
            </w:rPr>
            <w:tag w:val="_PLD_6da456fe7d784e789fe8204c2cc499b3"/>
            <w:id w:val="147471608"/>
          </w:sdtPr>
          <w:sdtEndPr>
            <w:rPr>
              <w:rFonts w:cs="Times New Roman"/>
            </w:rPr>
          </w:sdtEndPr>
          <w:sdtContent>
            <w:tc>
              <w:tcPr>
                <w:tcW w:w="1489" w:type="pct"/>
                <w:vAlign w:val="center"/>
              </w:tcPr>
              <w:p w14:paraId="630E8C7A">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本期发生额</w:t>
                </w:r>
              </w:p>
            </w:tc>
          </w:sdtContent>
        </w:sdt>
        <w:sdt>
          <w:sdtPr>
            <w:rPr>
              <w:rFonts w:cs="Times New Roman"/>
            </w:rPr>
            <w:tag w:val="_PLD_d81207d79e9643e0a08aec2616f96432"/>
            <w:id w:val="147466875"/>
          </w:sdtPr>
          <w:sdtEndPr>
            <w:rPr>
              <w:rFonts w:cs="Times New Roman"/>
            </w:rPr>
          </w:sdtEndPr>
          <w:sdtContent>
            <w:tc>
              <w:tcPr>
                <w:tcW w:w="1494" w:type="pct"/>
                <w:vAlign w:val="center"/>
              </w:tcPr>
              <w:p w14:paraId="1C101F00">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上期发生额</w:t>
                </w:r>
              </w:p>
            </w:tc>
          </w:sdtContent>
        </w:sdt>
      </w:tr>
      <w:tr w14:paraId="5AA8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tcPr>
          <w:p w14:paraId="7302E18E">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成本法核算的长期股权投资收益</w:t>
            </w:r>
          </w:p>
        </w:tc>
        <w:tc>
          <w:tcPr>
            <w:tcW w:w="1489" w:type="pct"/>
            <w:vAlign w:val="center"/>
          </w:tcPr>
          <w:p w14:paraId="4FDB8BFD">
            <w:pPr>
              <w:jc w:val="right"/>
              <w:textAlignment w:val="center"/>
              <w:rPr>
                <w:rFonts w:cs="Times New Roman"/>
              </w:rPr>
            </w:pPr>
            <w:r>
              <w:rPr>
                <w:rFonts w:cs="Times New Roman"/>
                <w:color w:val="000000"/>
              </w:rPr>
              <w:t>150,000,000.00</w:t>
            </w:r>
          </w:p>
        </w:tc>
        <w:tc>
          <w:tcPr>
            <w:tcW w:w="1494" w:type="pct"/>
            <w:vAlign w:val="center"/>
          </w:tcPr>
          <w:p w14:paraId="7DBAEE8B">
            <w:pPr>
              <w:jc w:val="right"/>
              <w:textAlignment w:val="center"/>
              <w:rPr>
                <w:rFonts w:cs="Times New Roman"/>
              </w:rPr>
            </w:pPr>
          </w:p>
        </w:tc>
      </w:tr>
      <w:tr w14:paraId="2A24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tcPr>
          <w:p w14:paraId="6EB4250D">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权益法核算的长期股权投资收益</w:t>
            </w:r>
          </w:p>
        </w:tc>
        <w:tc>
          <w:tcPr>
            <w:tcW w:w="1489" w:type="pct"/>
            <w:vAlign w:val="center"/>
          </w:tcPr>
          <w:p w14:paraId="2AEF90EC">
            <w:pPr>
              <w:jc w:val="right"/>
              <w:textAlignment w:val="center"/>
              <w:rPr>
                <w:rFonts w:cs="Times New Roman"/>
              </w:rPr>
            </w:pPr>
            <w:r>
              <w:rPr>
                <w:rFonts w:cs="Times New Roman"/>
                <w:color w:val="000000"/>
              </w:rPr>
              <w:t>5,787.51</w:t>
            </w:r>
          </w:p>
        </w:tc>
        <w:tc>
          <w:tcPr>
            <w:tcW w:w="1494" w:type="pct"/>
            <w:vAlign w:val="center"/>
          </w:tcPr>
          <w:p w14:paraId="3C53F7F9">
            <w:pPr>
              <w:jc w:val="right"/>
              <w:textAlignment w:val="center"/>
              <w:rPr>
                <w:rFonts w:cs="Times New Roman"/>
              </w:rPr>
            </w:pPr>
            <w:r>
              <w:rPr>
                <w:rFonts w:cs="Times New Roman"/>
                <w:color w:val="000000"/>
              </w:rPr>
              <w:t>-508,432.93</w:t>
            </w:r>
          </w:p>
        </w:tc>
      </w:tr>
      <w:tr w14:paraId="5EEC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tcPr>
          <w:p w14:paraId="2A070C67">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w:t>
            </w:r>
          </w:p>
        </w:tc>
        <w:tc>
          <w:tcPr>
            <w:tcW w:w="1489" w:type="pct"/>
            <w:vAlign w:val="center"/>
          </w:tcPr>
          <w:p w14:paraId="7C1DAEA2">
            <w:pPr>
              <w:jc w:val="right"/>
              <w:rPr>
                <w:rFonts w:cs="Times New Roman"/>
              </w:rPr>
            </w:pPr>
            <w:r>
              <w:rPr>
                <w:rFonts w:cs="Times New Roman"/>
                <w:color w:val="000000"/>
              </w:rPr>
              <w:t>2,746,054.77</w:t>
            </w:r>
          </w:p>
        </w:tc>
        <w:tc>
          <w:tcPr>
            <w:tcW w:w="1494" w:type="pct"/>
            <w:vAlign w:val="center"/>
          </w:tcPr>
          <w:p w14:paraId="35648B63">
            <w:pPr>
              <w:jc w:val="right"/>
              <w:rPr>
                <w:rFonts w:cs="Times New Roman"/>
              </w:rPr>
            </w:pPr>
            <w:r>
              <w:rPr>
                <w:rFonts w:cs="Times New Roman"/>
                <w:color w:val="000000"/>
              </w:rPr>
              <w:t>2,834,772.22</w:t>
            </w:r>
          </w:p>
        </w:tc>
      </w:tr>
      <w:tr w14:paraId="3A33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pct"/>
            <w:vAlign w:val="center"/>
          </w:tcPr>
          <w:p w14:paraId="02AFD7E1">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合计</w:t>
            </w:r>
          </w:p>
        </w:tc>
        <w:tc>
          <w:tcPr>
            <w:tcW w:w="1489" w:type="pct"/>
            <w:vAlign w:val="center"/>
          </w:tcPr>
          <w:p w14:paraId="1A8B0015">
            <w:pPr>
              <w:jc w:val="right"/>
              <w:textAlignment w:val="center"/>
              <w:rPr>
                <w:rFonts w:cs="Times New Roman"/>
              </w:rPr>
            </w:pPr>
            <w:r>
              <w:rPr>
                <w:rFonts w:cs="Times New Roman"/>
                <w:color w:val="000000"/>
              </w:rPr>
              <w:t>152,751,842.28</w:t>
            </w:r>
          </w:p>
        </w:tc>
        <w:tc>
          <w:tcPr>
            <w:tcW w:w="1494" w:type="pct"/>
            <w:vAlign w:val="center"/>
          </w:tcPr>
          <w:p w14:paraId="768CFA7B">
            <w:pPr>
              <w:jc w:val="right"/>
              <w:textAlignment w:val="center"/>
              <w:rPr>
                <w:rFonts w:cs="Times New Roman"/>
              </w:rPr>
            </w:pPr>
            <w:r>
              <w:rPr>
                <w:rFonts w:cs="Times New Roman"/>
                <w:color w:val="000000"/>
              </w:rPr>
              <w:t>2,326,339.29</w:t>
            </w:r>
          </w:p>
        </w:tc>
      </w:tr>
      <w:bookmarkEnd w:id="499"/>
    </w:tbl>
    <w:p w14:paraId="647C2564">
      <w:pPr>
        <w:spacing w:line="360" w:lineRule="exact"/>
        <w:rPr>
          <w:color w:val="000000" w:themeColor="text1"/>
          <w14:textFill>
            <w14:solidFill>
              <w14:schemeClr w14:val="tx1"/>
            </w14:solidFill>
          </w14:textFill>
        </w:rPr>
      </w:pPr>
      <w:bookmarkStart w:id="500" w:name="_Hlk10720480"/>
      <w:r>
        <w:rPr>
          <w:rFonts w:hint="eastAsia"/>
          <w:color w:val="000000" w:themeColor="text1"/>
          <w14:textFill>
            <w14:solidFill>
              <w14:schemeClr w14:val="tx1"/>
            </w14:solidFill>
          </w14:textFill>
        </w:rPr>
        <w:t>其他说明：</w:t>
      </w:r>
      <w:bookmarkEnd w:id="500"/>
    </w:p>
    <w:sdt>
      <w:sdtPr>
        <w:rPr>
          <w:color w:val="000000" w:themeColor="text1"/>
          <w14:textFill>
            <w14:solidFill>
              <w14:schemeClr w14:val="tx1"/>
            </w14:solidFill>
          </w14:textFill>
        </w:rPr>
        <w:alias w:val="投资收益说明"/>
        <w:tag w:val="_GBC_e91b47a8afc84e119383bf071cb9a50d"/>
        <w:id w:val="147455268"/>
        <w:placeholder>
          <w:docPart w:val="GBC22222222222222222222222222222"/>
        </w:placeholder>
      </w:sdtPr>
      <w:sdtEndPr>
        <w:rPr>
          <w:color w:val="000000" w:themeColor="text1"/>
          <w14:textFill>
            <w14:solidFill>
              <w14:schemeClr w14:val="tx1"/>
            </w14:solidFill>
          </w14:textFill>
        </w:rPr>
      </w:sdtEndPr>
      <w:sdtContent>
        <w:p w14:paraId="40EAE20C">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460881B3">
      <w:pPr>
        <w:rPr>
          <w:color w:val="000000" w:themeColor="text1"/>
          <w14:textFill>
            <w14:solidFill>
              <w14:schemeClr w14:val="tx1"/>
            </w14:solidFill>
          </w14:textFill>
        </w:rPr>
      </w:pPr>
    </w:p>
    <w:p w14:paraId="22D1BF65">
      <w:pPr>
        <w:pStyle w:val="57"/>
        <w:numPr>
          <w:ilvl w:val="0"/>
          <w:numId w:val="116"/>
        </w:num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其他</w:t>
      </w:r>
    </w:p>
    <w:sdt>
      <w:sdtPr>
        <w:rPr>
          <w:color w:val="000000" w:themeColor="text1"/>
          <w14:textFill>
            <w14:solidFill>
              <w14:schemeClr w14:val="tx1"/>
            </w14:solidFill>
          </w14:textFill>
        </w:rPr>
        <w:alias w:val="是否适用：母公司会计报表附注的其他说明事项[双击切换]"/>
        <w:tag w:val="_GBC_198503cdf8c8448ea7bb4de3243a4de8"/>
        <w:id w:val="147464145"/>
        <w:placeholder>
          <w:docPart w:val="GBC22222222222222222222222222222"/>
        </w:placeholder>
      </w:sdtPr>
      <w:sdtEndPr>
        <w:rPr>
          <w:color w:val="000000" w:themeColor="text1"/>
          <w14:textFill>
            <w14:solidFill>
              <w14:schemeClr w14:val="tx1"/>
            </w14:solidFill>
          </w14:textFill>
        </w:rPr>
      </w:sdtEndPr>
      <w:sdtContent>
        <w:p w14:paraId="62FDA6E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9AD6E8A">
      <w:pPr>
        <w:rPr>
          <w:color w:val="000000" w:themeColor="text1"/>
          <w14:textFill>
            <w14:solidFill>
              <w14:schemeClr w14:val="tx1"/>
            </w14:solidFill>
          </w14:textFill>
        </w:rPr>
      </w:pPr>
    </w:p>
    <w:p w14:paraId="653D4DA0">
      <w:pPr>
        <w:pStyle w:val="56"/>
        <w:numPr>
          <w:ilvl w:val="0"/>
          <w:numId w:val="43"/>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补充资料</w:t>
      </w:r>
    </w:p>
    <w:p w14:paraId="41F27911">
      <w:pPr>
        <w:pStyle w:val="57"/>
        <w:numPr>
          <w:ilvl w:val="0"/>
          <w:numId w:val="123"/>
        </w:num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当期非经常性损益明细表</w:t>
      </w:r>
    </w:p>
    <w:sdt>
      <w:sdtPr>
        <w:rPr>
          <w:color w:val="000000" w:themeColor="text1"/>
          <w14:textFill>
            <w14:solidFill>
              <w14:schemeClr w14:val="tx1"/>
            </w14:solidFill>
          </w14:textFill>
        </w:rPr>
        <w:alias w:val="是否适用：当期非经常性损益明细表[双击切换]"/>
        <w:tag w:val="_GBC_28c90d0fec4248b7be00ea74910120f8"/>
        <w:id w:val="-1412075160"/>
      </w:sdtPr>
      <w:sdtEndPr>
        <w:rPr>
          <w:color w:val="000000" w:themeColor="text1"/>
          <w14:textFill>
            <w14:solidFill>
              <w14:schemeClr w14:val="tx1"/>
            </w14:solidFill>
          </w14:textFill>
        </w:rPr>
      </w:sdtEndPr>
      <w:sdtContent>
        <w:p w14:paraId="33A3F0E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7C78E728">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扣除非经常性损益项目和金额"/>
          <w:tag w:val="_GBC_acdddcaac70249d2a73e5ac878d6874b"/>
          <w:id w:val="-277717856"/>
          <w:dataBinding w:prefixMappings="xmlns:clcid-ci-ar='clcid-ci-ar'" w:xpath="/*/clcid-ci-ar:DanWeiKouChuFeiJingChangXingSunYiXiangMuHeJinE[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扣除非经常性损益项目和金额"/>
          <w:tag w:val="_GBC_84f107bd64a74a689cd74b834aaa0b17"/>
          <w:id w:val="-1138257296"/>
          <w:dataBinding w:prefixMappings="xmlns:clcid-ci-ar='clcid-ci-ar'" w:xpath="/*/clcid-ci-ar:BiZhongKouChuFeiJingChangXingSunYiXiangMuHeJinE[not(@periodRef)]" w:storeItemID="{89EBAB94-44A0-46A2-B712-30D997D04A6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6"/>
        <w:gridCol w:w="1852"/>
      </w:tblGrid>
      <w:tr w14:paraId="79ED8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imes New Roman" w:hAnsi="Times New Roman"/>
            </w:rPr>
            <w:tag w:val="_PLD_eb975916b80e49408e340b80d53082be"/>
            <w:id w:val="880439979"/>
          </w:sdtPr>
          <w:sdtEndPr>
            <w:rPr>
              <w:rFonts w:ascii="Times New Roman" w:hAnsi="Times New Roman"/>
            </w:rPr>
          </w:sdtEndPr>
          <w:sdtContent>
            <w:tc>
              <w:tcPr>
                <w:tcW w:w="3950" w:type="pct"/>
                <w:vAlign w:val="center"/>
              </w:tcPr>
              <w:p w14:paraId="73177922">
                <w:pPr>
                  <w:pStyle w:val="50"/>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项目</w:t>
                </w:r>
              </w:p>
            </w:tc>
          </w:sdtContent>
        </w:sdt>
        <w:sdt>
          <w:sdtPr>
            <w:rPr>
              <w:rFonts w:ascii="Times New Roman" w:hAnsi="Times New Roman"/>
            </w:rPr>
            <w:tag w:val="_PLD_871069ab0242459987d2cd8153c439e3"/>
            <w:id w:val="1375578684"/>
          </w:sdtPr>
          <w:sdtEndPr>
            <w:rPr>
              <w:rFonts w:ascii="Times New Roman" w:hAnsi="Times New Roman"/>
            </w:rPr>
          </w:sdtEndPr>
          <w:sdtContent>
            <w:tc>
              <w:tcPr>
                <w:tcW w:w="1050" w:type="pct"/>
                <w:vAlign w:val="center"/>
              </w:tcPr>
              <w:p w14:paraId="01685B33">
                <w:pPr>
                  <w:pStyle w:val="50"/>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金额</w:t>
                </w:r>
              </w:p>
            </w:tc>
          </w:sdtContent>
        </w:sdt>
      </w:tr>
      <w:tr w14:paraId="514D8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31da1f40e61d4f948fd233ae4483a660"/>
            <w:id w:val="528303397"/>
          </w:sdtPr>
          <w:sdtEndPr>
            <w:rPr>
              <w:rFonts w:ascii="Times New Roman" w:hAnsi="Times New Roman"/>
            </w:rPr>
          </w:sdtEndPr>
          <w:sdtContent>
            <w:tc>
              <w:tcPr>
                <w:tcW w:w="3950" w:type="pct"/>
              </w:tcPr>
              <w:p w14:paraId="7D757588">
                <w:pPr>
                  <w:pStyle w:val="50"/>
                  <w:ind w:firstLine="0" w:firstLineChars="0"/>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非流动性资产处置损益，包括已计提资产减值准备的冲销部分</w:t>
                </w:r>
              </w:p>
            </w:tc>
          </w:sdtContent>
        </w:sdt>
        <w:tc>
          <w:tcPr>
            <w:tcW w:w="1050" w:type="pct"/>
            <w:vAlign w:val="center"/>
          </w:tcPr>
          <w:p w14:paraId="4379A44C">
            <w:pPr>
              <w:widowControl w:val="0"/>
              <w:jc w:val="right"/>
            </w:pPr>
            <w:r>
              <w:t>34,664,918.68</w:t>
            </w:r>
          </w:p>
        </w:tc>
      </w:tr>
      <w:tr w14:paraId="0748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5fdc05b8947844098861136308b9ccb8"/>
            <w:id w:val="-417871424"/>
          </w:sdtPr>
          <w:sdtEndPr>
            <w:rPr>
              <w:rFonts w:ascii="Times New Roman" w:hAnsi="Times New Roman"/>
            </w:rPr>
          </w:sdtEndPr>
          <w:sdtContent>
            <w:tc>
              <w:tcPr>
                <w:tcW w:w="3950" w:type="pct"/>
              </w:tcPr>
              <w:p w14:paraId="3EBAF15F">
                <w:pPr>
                  <w:pStyle w:val="50"/>
                  <w:ind w:firstLine="0" w:firstLineChars="0"/>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计入当期损益的政府补助，但与公司正常经营业务密切相关、符合国家政策规定、按照确定的标准享有、对公司损益产生持续影响的政府补助除外</w:t>
                </w:r>
              </w:p>
            </w:tc>
          </w:sdtContent>
        </w:sdt>
        <w:tc>
          <w:tcPr>
            <w:tcW w:w="1050" w:type="pct"/>
            <w:vAlign w:val="center"/>
          </w:tcPr>
          <w:p w14:paraId="7FBBA1BB">
            <w:pPr>
              <w:widowControl w:val="0"/>
              <w:jc w:val="right"/>
            </w:pPr>
            <w:r>
              <w:t>28,704,879.12</w:t>
            </w:r>
          </w:p>
        </w:tc>
      </w:tr>
      <w:tr w14:paraId="51C53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0" w:type="pct"/>
          </w:tcPr>
          <w:sdt>
            <w:sdtPr>
              <w:rPr>
                <w:rFonts w:ascii="Times New Roman" w:hAnsi="Times New Roman"/>
              </w:rPr>
              <w:tag w:val="_PLD_175031c6965548e892f33cb8f0be2416"/>
              <w:id w:val="-1912540295"/>
            </w:sdtPr>
            <w:sdtEndPr>
              <w:rPr>
                <w:rFonts w:ascii="Times New Roman" w:hAnsi="Times New Roman"/>
              </w:rPr>
            </w:sdtEndPr>
            <w:sdtContent>
              <w:p w14:paraId="284B36B4">
                <w:pPr>
                  <w:pStyle w:val="50"/>
                  <w:ind w:firstLine="0" w:firstLineChars="0"/>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单独进行减值测试的应收款项减值准备转回</w:t>
                </w:r>
              </w:p>
            </w:sdtContent>
          </w:sdt>
        </w:tc>
        <w:tc>
          <w:tcPr>
            <w:tcW w:w="1050" w:type="pct"/>
            <w:vAlign w:val="center"/>
          </w:tcPr>
          <w:p w14:paraId="7CEC4F38">
            <w:pPr>
              <w:widowControl w:val="0"/>
              <w:jc w:val="right"/>
            </w:pPr>
            <w:r>
              <w:t>1,250,268.22</w:t>
            </w:r>
          </w:p>
        </w:tc>
      </w:tr>
      <w:tr w14:paraId="0E013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0786790d4b5044f08c1764b1e430543b"/>
            <w:id w:val="1103238562"/>
          </w:sdtPr>
          <w:sdtEndPr>
            <w:rPr>
              <w:rFonts w:ascii="Times New Roman" w:hAnsi="Times New Roman"/>
            </w:rPr>
          </w:sdtEndPr>
          <w:sdtContent>
            <w:tc>
              <w:tcPr>
                <w:tcW w:w="3950" w:type="pct"/>
              </w:tcPr>
              <w:p w14:paraId="12519B99">
                <w:pPr>
                  <w:pStyle w:val="50"/>
                  <w:ind w:firstLine="0" w:firstLineChars="0"/>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除上述各项之外的其他营业外收入和支出</w:t>
                </w:r>
              </w:p>
            </w:tc>
          </w:sdtContent>
        </w:sdt>
        <w:tc>
          <w:tcPr>
            <w:tcW w:w="1050" w:type="pct"/>
            <w:vAlign w:val="center"/>
          </w:tcPr>
          <w:p w14:paraId="0A5F3101">
            <w:pPr>
              <w:widowControl w:val="0"/>
              <w:jc w:val="right"/>
            </w:pPr>
            <w:r>
              <w:t>3,163,928.95</w:t>
            </w:r>
          </w:p>
        </w:tc>
      </w:tr>
      <w:tr w14:paraId="6CB7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fc7c134f58ac4ab48770f08a5e965246"/>
            <w:id w:val="1741983379"/>
          </w:sdtPr>
          <w:sdtEndPr>
            <w:rPr>
              <w:rFonts w:ascii="Times New Roman" w:hAnsi="Times New Roman"/>
            </w:rPr>
          </w:sdtEndPr>
          <w:sdtContent>
            <w:tc>
              <w:tcPr>
                <w:tcW w:w="3950" w:type="pct"/>
              </w:tcPr>
              <w:p w14:paraId="4E77B5D4">
                <w:pPr>
                  <w:pStyle w:val="50"/>
                  <w:ind w:firstLine="0" w:firstLineChars="0"/>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其他符合非经常性损益定义的损益项目</w:t>
                </w:r>
              </w:p>
            </w:tc>
          </w:sdtContent>
        </w:sdt>
        <w:tc>
          <w:tcPr>
            <w:tcW w:w="1050" w:type="pct"/>
            <w:vAlign w:val="center"/>
          </w:tcPr>
          <w:p w14:paraId="697921F0">
            <w:pPr>
              <w:widowControl w:val="0"/>
              <w:jc w:val="right"/>
            </w:pPr>
            <w:r>
              <w:t>303,743.60</w:t>
            </w:r>
          </w:p>
        </w:tc>
      </w:tr>
      <w:tr w14:paraId="21D9E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d3a1778f236c469d83c17e6b1c8f8934"/>
            <w:id w:val="1774437642"/>
          </w:sdtPr>
          <w:sdtEndPr>
            <w:rPr>
              <w:rFonts w:ascii="Times New Roman" w:hAnsi="Times New Roman"/>
            </w:rPr>
          </w:sdtEndPr>
          <w:sdtContent>
            <w:tc>
              <w:tcPr>
                <w:tcW w:w="3950" w:type="pct"/>
              </w:tcPr>
              <w:p w14:paraId="35E66BF8">
                <w:pPr>
                  <w:pStyle w:val="50"/>
                  <w:ind w:firstLine="0" w:firstLineChars="0"/>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减：</w:t>
                </w:r>
                <w:r>
                  <w:rPr>
                    <w:rFonts w:ascii="Times New Roman" w:hAnsi="Times New Roman"/>
                    <w:color w:val="000000" w:themeColor="text1"/>
                    <w:szCs w:val="21"/>
                    <w14:textFill>
                      <w14:solidFill>
                        <w14:schemeClr w14:val="tx1"/>
                      </w14:solidFill>
                    </w14:textFill>
                  </w:rPr>
                  <w:t>所得税影响额</w:t>
                </w:r>
              </w:p>
            </w:tc>
          </w:sdtContent>
        </w:sdt>
        <w:tc>
          <w:tcPr>
            <w:tcW w:w="1050" w:type="pct"/>
            <w:vAlign w:val="center"/>
          </w:tcPr>
          <w:p w14:paraId="599421EC">
            <w:pPr>
              <w:widowControl w:val="0"/>
              <w:jc w:val="right"/>
            </w:pPr>
            <w:r>
              <w:t>3,494,132.04</w:t>
            </w:r>
          </w:p>
        </w:tc>
      </w:tr>
      <w:tr w14:paraId="69A6A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6d01871371224a5190e8403914cee998"/>
            <w:id w:val="-1656061493"/>
          </w:sdtPr>
          <w:sdtEndPr>
            <w:rPr>
              <w:rFonts w:ascii="Times New Roman" w:hAnsi="Times New Roman"/>
            </w:rPr>
          </w:sdtEndPr>
          <w:sdtContent>
            <w:tc>
              <w:tcPr>
                <w:tcW w:w="3950" w:type="pct"/>
              </w:tcPr>
              <w:p w14:paraId="30523FD0">
                <w:pPr>
                  <w:pStyle w:val="50"/>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少数股东权益影响额（税后）</w:t>
                </w:r>
              </w:p>
            </w:tc>
          </w:sdtContent>
        </w:sdt>
        <w:tc>
          <w:tcPr>
            <w:tcW w:w="1050" w:type="pct"/>
            <w:vAlign w:val="center"/>
          </w:tcPr>
          <w:p w14:paraId="160F526D">
            <w:pPr>
              <w:widowControl w:val="0"/>
              <w:jc w:val="right"/>
            </w:pPr>
            <w:r>
              <w:t>-2,160,147.61</w:t>
            </w:r>
          </w:p>
        </w:tc>
      </w:tr>
      <w:tr w14:paraId="00CDE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rPr>
            <w:tag w:val="_PLD_7a205930bc6e482d8bade32b5abc30f1"/>
            <w:id w:val="1394937329"/>
          </w:sdtPr>
          <w:sdtEndPr>
            <w:rPr>
              <w:rFonts w:ascii="Times New Roman" w:hAnsi="Times New Roman"/>
            </w:rPr>
          </w:sdtEndPr>
          <w:sdtContent>
            <w:tc>
              <w:tcPr>
                <w:tcW w:w="3950" w:type="pct"/>
                <w:vAlign w:val="center"/>
              </w:tcPr>
              <w:p w14:paraId="595898AE">
                <w:pPr>
                  <w:pStyle w:val="50"/>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合计</w:t>
                </w:r>
              </w:p>
            </w:tc>
          </w:sdtContent>
        </w:sdt>
        <w:tc>
          <w:tcPr>
            <w:tcW w:w="1050" w:type="pct"/>
            <w:vAlign w:val="center"/>
          </w:tcPr>
          <w:p w14:paraId="1ECA97BD">
            <w:pPr>
              <w:widowControl w:val="0"/>
              <w:jc w:val="right"/>
            </w:pPr>
            <w:r>
              <w:t>66,753,754.14</w:t>
            </w:r>
          </w:p>
        </w:tc>
      </w:tr>
    </w:tbl>
    <w:p w14:paraId="10B88DEB">
      <w:pPr>
        <w:rPr>
          <w:color w:val="000000" w:themeColor="text1"/>
          <w14:textFill>
            <w14:solidFill>
              <w14:schemeClr w14:val="tx1"/>
            </w14:solidFill>
          </w14:textFill>
        </w:rPr>
      </w:pPr>
      <w:r>
        <w:rPr>
          <w:rFonts w:hint="eastAsia"/>
          <w:color w:val="000000" w:themeColor="text1"/>
          <w14:textFill>
            <w14:solidFill>
              <w14:schemeClr w14:val="tx1"/>
            </w14:solidFill>
          </w14:textFill>
        </w:rPr>
        <w:t>对公司</w:t>
      </w:r>
      <w:bookmarkStart w:id="501" w:name="_Hlk169079435"/>
      <w:r>
        <w:rPr>
          <w:rFonts w:hint="eastAsia"/>
          <w:color w:val="000000" w:themeColor="text1"/>
          <w14:textFill>
            <w14:solidFill>
              <w14:schemeClr w14:val="tx1"/>
            </w14:solidFill>
          </w14:textFill>
        </w:rPr>
        <w:t>将《公开发行证券的公司信息披露解释性公告第</w:t>
      </w:r>
      <w:r>
        <w:rPr>
          <w:color w:val="000000" w:themeColor="text1"/>
          <w14:textFill>
            <w14:solidFill>
              <w14:schemeClr w14:val="tx1"/>
            </w14:solidFill>
          </w14:textFill>
        </w:rPr>
        <w:t>1号——非经常性损益》未列举的项目认定为非经常性损益项目且金额重大的，以及将《公开发行证券的公司信息披露解释性公告第1号——非经常性损益》中列举的非经常性损益项目界定为经常性损益的项目，应说明原因。</w:t>
      </w:r>
      <w:bookmarkEnd w:id="501"/>
    </w:p>
    <w:sdt>
      <w:sdtPr>
        <w:rPr>
          <w:color w:val="000000" w:themeColor="text1"/>
          <w14:textFill>
            <w14:solidFill>
              <w14:schemeClr w14:val="tx1"/>
            </w14:solidFill>
          </w14:textFill>
        </w:rPr>
        <w:alias w:val="是否适用：将非经常性损益项目界定为经常性损益项目[双击切换]"/>
        <w:tag w:val="_GBC_5f8a059d4da1440d8ef10197ecd89cd6"/>
        <w:id w:val="147482003"/>
        <w:placeholder>
          <w:docPart w:val="GBC22222222222222222222222222222"/>
        </w:placeholder>
      </w:sdtPr>
      <w:sdtEndPr>
        <w:rPr>
          <w:color w:val="000000" w:themeColor="text1"/>
          <w14:textFill>
            <w14:solidFill>
              <w14:schemeClr w14:val="tx1"/>
            </w14:solidFill>
          </w14:textFill>
        </w:rPr>
      </w:sdtEndPr>
      <w:sdtContent>
        <w:p w14:paraId="292668A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CE48B93">
      <w:pPr>
        <w:rPr>
          <w:color w:val="000000" w:themeColor="text1"/>
          <w14:textFill>
            <w14:solidFill>
              <w14:schemeClr w14:val="tx1"/>
            </w14:solidFill>
          </w14:textFill>
        </w:rPr>
      </w:pPr>
    </w:p>
    <w:p w14:paraId="2B713380">
      <w:pPr>
        <w:spacing w:line="360" w:lineRule="exact"/>
        <w:rPr>
          <w:color w:val="000000" w:themeColor="text1"/>
          <w14:textFill>
            <w14:solidFill>
              <w14:schemeClr w14:val="tx1"/>
            </w14:solidFill>
          </w14:textFill>
        </w:rPr>
      </w:pPr>
      <w:bookmarkStart w:id="502" w:name="_Hlk168058078"/>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非经常性损益的其他说明[双击切换]"/>
        <w:tag w:val="_GBC_98984b33dead4179aa5566c8753f4b5e"/>
        <w:id w:val="147465364"/>
        <w:placeholder>
          <w:docPart w:val="GBC22222222222222222222222222222"/>
        </w:placeholder>
      </w:sdtPr>
      <w:sdtEndPr>
        <w:rPr>
          <w:color w:val="000000" w:themeColor="text1"/>
          <w14:textFill>
            <w14:solidFill>
              <w14:schemeClr w14:val="tx1"/>
            </w14:solidFill>
          </w14:textFill>
        </w:rPr>
      </w:sdtEndPr>
      <w:sdtContent>
        <w:p w14:paraId="72651E5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454CF25">
      <w:pPr>
        <w:rPr>
          <w:color w:val="000000" w:themeColor="text1"/>
          <w14:textFill>
            <w14:solidFill>
              <w14:schemeClr w14:val="tx1"/>
            </w14:solidFill>
          </w14:textFill>
        </w:rPr>
      </w:pPr>
    </w:p>
    <w:bookmarkEnd w:id="502"/>
    <w:p w14:paraId="5ECDEBB0">
      <w:pPr>
        <w:pStyle w:val="57"/>
        <w:numPr>
          <w:ilvl w:val="0"/>
          <w:numId w:val="123"/>
        </w:num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净资产收益率及每股收益</w:t>
      </w:r>
    </w:p>
    <w:sdt>
      <w:sdtPr>
        <w:rPr>
          <w:color w:val="000000" w:themeColor="text1"/>
          <w14:textFill>
            <w14:solidFill>
              <w14:schemeClr w14:val="tx1"/>
            </w14:solidFill>
          </w14:textFill>
        </w:rPr>
        <w:alias w:val="是否适用：净资产收益率及每股收益[双击切换]"/>
        <w:tag w:val="_GBC_75866ebc8d184cdd988e79330ad3b083"/>
        <w:id w:val="147453513"/>
        <w:placeholder>
          <w:docPart w:val="GBC22222222222222222222222222222"/>
        </w:placeholder>
      </w:sdtPr>
      <w:sdtEndPr>
        <w:rPr>
          <w:color w:val="000000" w:themeColor="text1"/>
          <w14:textFill>
            <w14:solidFill>
              <w14:schemeClr w14:val="tx1"/>
            </w14:solidFill>
          </w14:textFill>
        </w:rPr>
      </w:sdtEndPr>
      <w:sdtContent>
        <w:p w14:paraId="0F7E99C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840"/>
        <w:gridCol w:w="1795"/>
        <w:gridCol w:w="2093"/>
        <w:gridCol w:w="2095"/>
      </w:tblGrid>
      <w:tr w14:paraId="00989A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trPr>
        <w:sdt>
          <w:sdtPr>
            <w:rPr>
              <w:rFonts w:cs="Times New Roman"/>
            </w:rPr>
            <w:tag w:val="_PLD_680a8ba0e71a45459c0939cd6c78c07f"/>
            <w:id w:val="147480271"/>
          </w:sdtPr>
          <w:sdtEndPr>
            <w:rPr>
              <w:rFonts w:cs="Times New Roman"/>
            </w:rPr>
          </w:sdtEndPr>
          <w:sdtContent>
            <w:tc>
              <w:tcPr>
                <w:tcW w:w="1610" w:type="pct"/>
                <w:vMerge w:val="restart"/>
                <w:tcBorders>
                  <w:top w:val="single" w:color="auto" w:sz="4" w:space="0"/>
                  <w:left w:val="single" w:color="auto" w:sz="4" w:space="0"/>
                  <w:bottom w:val="single" w:color="auto" w:sz="4" w:space="0"/>
                  <w:right w:val="single" w:color="auto" w:sz="4" w:space="0"/>
                </w:tcBorders>
                <w:vAlign w:val="center"/>
              </w:tcPr>
              <w:p w14:paraId="0B55C19B">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报告期利润</w:t>
                </w:r>
              </w:p>
            </w:tc>
          </w:sdtContent>
        </w:sdt>
        <w:sdt>
          <w:sdtPr>
            <w:rPr>
              <w:rFonts w:cs="Times New Roman"/>
            </w:rPr>
            <w:tag w:val="_PLD_608d0086e1154f8ca6d3c34247132ef0"/>
            <w:id w:val="147467992"/>
          </w:sdtPr>
          <w:sdtEndPr>
            <w:rPr>
              <w:rFonts w:cs="Times New Roman"/>
            </w:rPr>
          </w:sdtEndPr>
          <w:sdtContent>
            <w:tc>
              <w:tcPr>
                <w:tcW w:w="1017" w:type="pct"/>
                <w:vMerge w:val="restart"/>
                <w:tcBorders>
                  <w:top w:val="single" w:color="auto" w:sz="4" w:space="0"/>
                  <w:left w:val="single" w:color="auto" w:sz="4" w:space="0"/>
                  <w:right w:val="single" w:color="auto" w:sz="4" w:space="0"/>
                </w:tcBorders>
                <w:vAlign w:val="center"/>
              </w:tcPr>
              <w:p w14:paraId="3F6AEFB8">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加权平均净资产收益率（%）</w:t>
                </w:r>
              </w:p>
            </w:tc>
          </w:sdtContent>
        </w:sdt>
        <w:sdt>
          <w:sdtPr>
            <w:rPr>
              <w:rFonts w:cs="Times New Roman"/>
            </w:rPr>
            <w:tag w:val="_PLD_8b4a0bf973be4a19862ac5168193db93"/>
            <w:id w:val="147454529"/>
          </w:sdtPr>
          <w:sdtEndPr>
            <w:rPr>
              <w:rFonts w:cs="Times New Roman"/>
            </w:rPr>
          </w:sdtEndPr>
          <w:sdtContent>
            <w:tc>
              <w:tcPr>
                <w:tcW w:w="2373" w:type="pct"/>
                <w:gridSpan w:val="2"/>
                <w:tcBorders>
                  <w:top w:val="single" w:color="auto" w:sz="4" w:space="0"/>
                  <w:left w:val="single" w:color="auto" w:sz="4" w:space="0"/>
                  <w:bottom w:val="single" w:color="auto" w:sz="4" w:space="0"/>
                  <w:right w:val="single" w:color="auto" w:sz="4" w:space="0"/>
                </w:tcBorders>
                <w:vAlign w:val="center"/>
              </w:tcPr>
              <w:p w14:paraId="09EF626E">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每股收益</w:t>
                </w:r>
              </w:p>
            </w:tc>
          </w:sdtContent>
        </w:sdt>
      </w:tr>
      <w:tr w14:paraId="74FBC5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0" w:type="pct"/>
            <w:vMerge w:val="continue"/>
            <w:tcBorders>
              <w:top w:val="single" w:color="auto" w:sz="4" w:space="0"/>
              <w:left w:val="single" w:color="auto" w:sz="4" w:space="0"/>
              <w:bottom w:val="single" w:color="auto" w:sz="4" w:space="0"/>
              <w:right w:val="single" w:color="auto" w:sz="4" w:space="0"/>
            </w:tcBorders>
            <w:vAlign w:val="center"/>
          </w:tcPr>
          <w:p w14:paraId="3CBC98BC">
            <w:pPr>
              <w:jc w:val="center"/>
              <w:rPr>
                <w:rFonts w:cs="Times New Roman"/>
                <w:color w:val="000000" w:themeColor="text1"/>
                <w14:textFill>
                  <w14:solidFill>
                    <w14:schemeClr w14:val="tx1"/>
                  </w14:solidFill>
                </w14:textFill>
              </w:rPr>
            </w:pPr>
          </w:p>
        </w:tc>
        <w:tc>
          <w:tcPr>
            <w:tcW w:w="1017" w:type="pct"/>
            <w:vMerge w:val="continue"/>
            <w:tcBorders>
              <w:left w:val="single" w:color="auto" w:sz="4" w:space="0"/>
              <w:bottom w:val="single" w:color="auto" w:sz="4" w:space="0"/>
              <w:right w:val="single" w:color="auto" w:sz="4" w:space="0"/>
            </w:tcBorders>
            <w:vAlign w:val="center"/>
          </w:tcPr>
          <w:p w14:paraId="41965FB3">
            <w:pPr>
              <w:jc w:val="center"/>
              <w:rPr>
                <w:rFonts w:cs="Times New Roman"/>
                <w:color w:val="000000" w:themeColor="text1"/>
                <w14:textFill>
                  <w14:solidFill>
                    <w14:schemeClr w14:val="tx1"/>
                  </w14:solidFill>
                </w14:textFill>
              </w:rPr>
            </w:pPr>
          </w:p>
        </w:tc>
        <w:sdt>
          <w:sdtPr>
            <w:rPr>
              <w:rFonts w:cs="Times New Roman"/>
            </w:rPr>
            <w:tag w:val="_PLD_45472770a81744249d77e54c2efc412a"/>
            <w:id w:val="147463309"/>
          </w:sdtPr>
          <w:sdtEndPr>
            <w:rPr>
              <w:rFonts w:cs="Times New Roman"/>
            </w:rPr>
          </w:sdtEndPr>
          <w:sdtContent>
            <w:tc>
              <w:tcPr>
                <w:tcW w:w="1186" w:type="pct"/>
                <w:tcBorders>
                  <w:top w:val="single" w:color="auto" w:sz="4" w:space="0"/>
                  <w:left w:val="single" w:color="auto" w:sz="4" w:space="0"/>
                  <w:bottom w:val="single" w:color="auto" w:sz="4" w:space="0"/>
                  <w:right w:val="single" w:color="auto" w:sz="4" w:space="0"/>
                </w:tcBorders>
                <w:vAlign w:val="center"/>
              </w:tcPr>
              <w:p w14:paraId="5DC1F3ED">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基本每股收益</w:t>
                </w:r>
              </w:p>
            </w:tc>
          </w:sdtContent>
        </w:sdt>
        <w:sdt>
          <w:sdtPr>
            <w:rPr>
              <w:rFonts w:cs="Times New Roman"/>
            </w:rPr>
            <w:tag w:val="_PLD_c4e5be0bbc134fa28e28895e1a12e02c"/>
            <w:id w:val="147473120"/>
          </w:sdtPr>
          <w:sdtEndPr>
            <w:rPr>
              <w:rFonts w:cs="Times New Roman"/>
            </w:rPr>
          </w:sdtEndPr>
          <w:sdtContent>
            <w:tc>
              <w:tcPr>
                <w:tcW w:w="1187" w:type="pct"/>
                <w:tcBorders>
                  <w:top w:val="single" w:color="auto" w:sz="4" w:space="0"/>
                  <w:left w:val="single" w:color="auto" w:sz="4" w:space="0"/>
                  <w:bottom w:val="single" w:color="auto" w:sz="4" w:space="0"/>
                  <w:right w:val="single" w:color="auto" w:sz="4" w:space="0"/>
                </w:tcBorders>
                <w:vAlign w:val="center"/>
              </w:tcPr>
              <w:p w14:paraId="55EA06E9">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稀释每股收益</w:t>
                </w:r>
              </w:p>
            </w:tc>
          </w:sdtContent>
        </w:sdt>
      </w:tr>
      <w:tr w14:paraId="4FAA23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0" w:type="pct"/>
            <w:tcBorders>
              <w:top w:val="single" w:color="auto" w:sz="4" w:space="0"/>
              <w:left w:val="single" w:color="auto" w:sz="4" w:space="0"/>
              <w:bottom w:val="single" w:color="auto" w:sz="4" w:space="0"/>
              <w:right w:val="single" w:color="auto" w:sz="4" w:space="0"/>
            </w:tcBorders>
          </w:tcPr>
          <w:p w14:paraId="7DCD6BFE">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归属于公司普通股股东的净利润</w:t>
            </w:r>
          </w:p>
        </w:tc>
        <w:tc>
          <w:tcPr>
            <w:tcW w:w="1841" w:type="dxa"/>
            <w:tcBorders>
              <w:top w:val="single" w:color="auto" w:sz="4" w:space="0"/>
              <w:left w:val="single" w:color="auto" w:sz="4" w:space="0"/>
              <w:bottom w:val="single" w:color="auto" w:sz="4" w:space="0"/>
              <w:right w:val="single" w:color="auto" w:sz="4" w:space="0"/>
            </w:tcBorders>
            <w:vAlign w:val="center"/>
          </w:tcPr>
          <w:p w14:paraId="532330A8">
            <w:pPr>
              <w:jc w:val="right"/>
              <w:textAlignment w:val="center"/>
              <w:rPr>
                <w:rFonts w:cs="Times New Roman" w:eastAsiaTheme="minorEastAsia"/>
              </w:rPr>
            </w:pPr>
            <w:r>
              <w:rPr>
                <w:rFonts w:eastAsia="Arial Narrow" w:cs="Times New Roman"/>
                <w:color w:val="000000"/>
                <w:lang w:bidi="ar"/>
              </w:rPr>
              <w:t>-0.63</w:t>
            </w:r>
          </w:p>
        </w:tc>
        <w:tc>
          <w:tcPr>
            <w:tcW w:w="2146" w:type="dxa"/>
            <w:tcBorders>
              <w:top w:val="single" w:color="auto" w:sz="4" w:space="0"/>
              <w:left w:val="single" w:color="auto" w:sz="4" w:space="0"/>
              <w:bottom w:val="single" w:color="auto" w:sz="4" w:space="0"/>
              <w:right w:val="single" w:color="auto" w:sz="4" w:space="0"/>
            </w:tcBorders>
            <w:vAlign w:val="center"/>
          </w:tcPr>
          <w:p w14:paraId="230D4F34">
            <w:pPr>
              <w:jc w:val="right"/>
              <w:textAlignment w:val="center"/>
              <w:rPr>
                <w:rFonts w:cs="Times New Roman"/>
              </w:rPr>
            </w:pPr>
            <w:r>
              <w:rPr>
                <w:rFonts w:eastAsia="Arial Narrow" w:cs="Times New Roman"/>
                <w:color w:val="000000"/>
                <w:lang w:bidi="ar"/>
              </w:rPr>
              <w:t>-0.018</w:t>
            </w:r>
          </w:p>
        </w:tc>
        <w:tc>
          <w:tcPr>
            <w:tcW w:w="2148" w:type="dxa"/>
            <w:tcBorders>
              <w:top w:val="single" w:color="auto" w:sz="4" w:space="0"/>
              <w:left w:val="single" w:color="auto" w:sz="4" w:space="0"/>
              <w:bottom w:val="single" w:color="auto" w:sz="4" w:space="0"/>
              <w:right w:val="single" w:color="auto" w:sz="4" w:space="0"/>
            </w:tcBorders>
            <w:vAlign w:val="center"/>
          </w:tcPr>
          <w:p w14:paraId="3CD6CC8B">
            <w:pPr>
              <w:jc w:val="right"/>
              <w:textAlignment w:val="center"/>
              <w:rPr>
                <w:rFonts w:cs="Times New Roman"/>
              </w:rPr>
            </w:pPr>
            <w:r>
              <w:rPr>
                <w:rFonts w:eastAsia="Arial Narrow" w:cs="Times New Roman"/>
                <w:color w:val="000000"/>
                <w:lang w:bidi="ar"/>
              </w:rPr>
              <w:t>-0.018</w:t>
            </w:r>
          </w:p>
        </w:tc>
      </w:tr>
      <w:tr w14:paraId="2BDAC6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0" w:type="pct"/>
            <w:tcBorders>
              <w:top w:val="single" w:color="auto" w:sz="4" w:space="0"/>
              <w:left w:val="single" w:color="auto" w:sz="4" w:space="0"/>
              <w:bottom w:val="single" w:color="auto" w:sz="4" w:space="0"/>
              <w:right w:val="single" w:color="auto" w:sz="4" w:space="0"/>
            </w:tcBorders>
          </w:tcPr>
          <w:p w14:paraId="33687644">
            <w:p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扣除非经常性损益后归属于公司普通股股东的净利润</w:t>
            </w:r>
          </w:p>
        </w:tc>
        <w:tc>
          <w:tcPr>
            <w:tcW w:w="1841" w:type="dxa"/>
            <w:tcBorders>
              <w:top w:val="single" w:color="auto" w:sz="4" w:space="0"/>
              <w:left w:val="single" w:color="auto" w:sz="4" w:space="0"/>
              <w:bottom w:val="single" w:color="auto" w:sz="4" w:space="0"/>
              <w:right w:val="single" w:color="auto" w:sz="4" w:space="0"/>
            </w:tcBorders>
            <w:vAlign w:val="center"/>
          </w:tcPr>
          <w:p w14:paraId="6102266D">
            <w:pPr>
              <w:jc w:val="right"/>
              <w:textAlignment w:val="center"/>
              <w:rPr>
                <w:rFonts w:cs="Times New Roman"/>
              </w:rPr>
            </w:pPr>
            <w:r>
              <w:rPr>
                <w:rFonts w:eastAsia="Arial Narrow" w:cs="Times New Roman"/>
                <w:color w:val="000000"/>
                <w:lang w:bidi="ar"/>
              </w:rPr>
              <w:t>-1.16</w:t>
            </w:r>
          </w:p>
        </w:tc>
        <w:tc>
          <w:tcPr>
            <w:tcW w:w="2146" w:type="dxa"/>
            <w:tcBorders>
              <w:top w:val="single" w:color="auto" w:sz="4" w:space="0"/>
              <w:left w:val="single" w:color="auto" w:sz="4" w:space="0"/>
              <w:bottom w:val="single" w:color="auto" w:sz="4" w:space="0"/>
              <w:right w:val="single" w:color="auto" w:sz="4" w:space="0"/>
            </w:tcBorders>
            <w:vAlign w:val="center"/>
          </w:tcPr>
          <w:p w14:paraId="1D503FAA">
            <w:pPr>
              <w:jc w:val="right"/>
              <w:textAlignment w:val="center"/>
              <w:rPr>
                <w:rFonts w:cs="Times New Roman"/>
              </w:rPr>
            </w:pPr>
            <w:r>
              <w:rPr>
                <w:rFonts w:eastAsia="Arial Narrow" w:cs="Times New Roman"/>
                <w:color w:val="000000"/>
                <w:lang w:bidi="ar"/>
              </w:rPr>
              <w:t>-0.033</w:t>
            </w:r>
          </w:p>
        </w:tc>
        <w:tc>
          <w:tcPr>
            <w:tcW w:w="2148" w:type="dxa"/>
            <w:tcBorders>
              <w:top w:val="single" w:color="auto" w:sz="4" w:space="0"/>
              <w:left w:val="single" w:color="auto" w:sz="4" w:space="0"/>
              <w:bottom w:val="single" w:color="auto" w:sz="4" w:space="0"/>
              <w:right w:val="single" w:color="auto" w:sz="4" w:space="0"/>
            </w:tcBorders>
            <w:vAlign w:val="center"/>
          </w:tcPr>
          <w:p w14:paraId="3D37702C">
            <w:pPr>
              <w:jc w:val="right"/>
              <w:textAlignment w:val="center"/>
              <w:rPr>
                <w:rFonts w:cs="Times New Roman"/>
              </w:rPr>
            </w:pPr>
            <w:r>
              <w:rPr>
                <w:rFonts w:eastAsia="Arial Narrow" w:cs="Times New Roman"/>
                <w:color w:val="000000"/>
                <w:lang w:bidi="ar"/>
              </w:rPr>
              <w:t>-0.033</w:t>
            </w:r>
          </w:p>
        </w:tc>
      </w:tr>
    </w:tbl>
    <w:p w14:paraId="07E29CD8">
      <w:pPr>
        <w:rPr>
          <w:color w:val="000000" w:themeColor="text1"/>
          <w14:textFill>
            <w14:solidFill>
              <w14:schemeClr w14:val="tx1"/>
            </w14:solidFill>
          </w14:textFill>
        </w:rPr>
      </w:pPr>
    </w:p>
    <w:p w14:paraId="68C9FF78">
      <w:pPr>
        <w:pStyle w:val="57"/>
        <w:numPr>
          <w:ilvl w:val="0"/>
          <w:numId w:val="123"/>
        </w:num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境内外会计准则下会计数据差异</w:t>
      </w:r>
    </w:p>
    <w:sdt>
      <w:sdtPr>
        <w:rPr>
          <w:color w:val="000000" w:themeColor="text1"/>
          <w14:textFill>
            <w14:solidFill>
              <w14:schemeClr w14:val="tx1"/>
            </w14:solidFill>
          </w14:textFill>
        </w:rPr>
        <w:alias w:val="是否适用：境内外会计准则下会计数据差异[双击切换]"/>
        <w:tag w:val="_GBC_3482333eff2948139884cfdd1debc958"/>
        <w:id w:val="147462100"/>
        <w:placeholder>
          <w:docPart w:val="GBC22222222222222222222222222222"/>
        </w:placeholder>
      </w:sdtPr>
      <w:sdtEndPr>
        <w:rPr>
          <w:color w:val="000000" w:themeColor="text1"/>
          <w14:textFill>
            <w14:solidFill>
              <w14:schemeClr w14:val="tx1"/>
            </w14:solidFill>
          </w14:textFill>
        </w:rPr>
      </w:sdtEndPr>
      <w:sdtContent>
        <w:p w14:paraId="3F394951">
          <w:pPr>
            <w:rPr>
              <w:rFonts w:cstheme="minorBidi"/>
              <w:color w:val="000000" w:themeColor="text1"/>
              <w:kern w:val="2"/>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F3976DE">
      <w:pPr>
        <w:rPr>
          <w:color w:val="000000" w:themeColor="text1"/>
          <w14:textFill>
            <w14:solidFill>
              <w14:schemeClr w14:val="tx1"/>
            </w14:solidFill>
          </w14:textFill>
        </w:rPr>
      </w:pPr>
    </w:p>
    <w:p w14:paraId="7D4B3B76">
      <w:pPr>
        <w:pStyle w:val="57"/>
        <w:numPr>
          <w:ilvl w:val="0"/>
          <w:numId w:val="123"/>
        </w:num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其他</w:t>
      </w:r>
    </w:p>
    <w:sdt>
      <w:sdtPr>
        <w:rPr>
          <w:color w:val="000000" w:themeColor="text1"/>
          <w14:textFill>
            <w14:solidFill>
              <w14:schemeClr w14:val="tx1"/>
            </w14:solidFill>
          </w14:textFill>
        </w:rPr>
        <w:alias w:val="是否适用：补充资料其他说明事项[双击切换]"/>
        <w:tag w:val="_GBC_8954f89f8426424c966f1b658de53fe5"/>
        <w:id w:val="147468932"/>
        <w:placeholder>
          <w:docPart w:val="GBC22222222222222222222222222222"/>
        </w:placeholder>
      </w:sdtPr>
      <w:sdtEndPr>
        <w:rPr>
          <w:color w:val="000000" w:themeColor="text1"/>
          <w14:textFill>
            <w14:solidFill>
              <w14:schemeClr w14:val="tx1"/>
            </w14:solidFill>
          </w14:textFill>
        </w:rPr>
      </w:sdtEndPr>
      <w:sdtContent>
        <w:p w14:paraId="0355FBF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443993E">
      <w:pPr>
        <w:rPr>
          <w:color w:val="000000" w:themeColor="text1"/>
          <w14:textFill>
            <w14:solidFill>
              <w14:schemeClr w14:val="tx1"/>
            </w14:solidFill>
          </w14:textFill>
        </w:rPr>
      </w:pPr>
    </w:p>
    <w:p w14:paraId="0948ED5A">
      <w:pPr>
        <w:spacing w:line="360" w:lineRule="exact"/>
        <w:ind w:right="5"/>
        <w:rPr>
          <w:b/>
          <w:bCs w:val="0"/>
          <w:color w:val="000000" w:themeColor="text1"/>
          <w:sz w:val="24"/>
          <w14:textFill>
            <w14:solidFill>
              <w14:schemeClr w14:val="tx1"/>
            </w14:solidFill>
          </w14:textFill>
        </w:rPr>
      </w:pPr>
      <w:bookmarkStart w:id="503" w:name="_Hlk76135020"/>
    </w:p>
    <w:p w14:paraId="4CCC5B73">
      <w:pPr>
        <w:wordWrap w:val="0"/>
        <w:spacing w:line="360" w:lineRule="exact"/>
        <w:jc w:val="right"/>
        <w:rPr>
          <w:color w:val="000000" w:themeColor="text1"/>
          <w:u w:val="single"/>
          <w14:textFill>
            <w14:solidFill>
              <w14:schemeClr w14:val="tx1"/>
            </w14:solidFill>
          </w14:textFill>
        </w:rPr>
      </w:pPr>
      <w:r>
        <w:rPr>
          <w:color w:val="000000" w:themeColor="text1"/>
          <w14:textFill>
            <w14:solidFill>
              <w14:schemeClr w14:val="tx1"/>
            </w14:solidFill>
          </w14:textFill>
        </w:rPr>
        <w:t>董事长：</w:t>
      </w:r>
      <w:sdt>
        <w:sdtPr>
          <w:rPr>
            <w:color w:val="000000" w:themeColor="text1"/>
            <w14:textFill>
              <w14:solidFill>
                <w14:schemeClr w14:val="tx1"/>
              </w14:solidFill>
            </w14:textFill>
          </w:rPr>
          <w:alias w:val="报告发布人"/>
          <w:tag w:val="_GBC_f07cbb7287a94e798691f7fcb5112f49"/>
          <w:id w:val="147456480"/>
          <w:placeholder>
            <w:docPart w:val="GBC22222222222222222222222222222"/>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夏前军</w:t>
          </w:r>
        </w:sdtContent>
      </w:sdt>
      <w:r>
        <w:rPr>
          <w:rFonts w:hint="eastAsia"/>
          <w:color w:val="000000" w:themeColor="text1"/>
          <w14:textFill>
            <w14:solidFill>
              <w14:schemeClr w14:val="tx1"/>
            </w14:solidFill>
          </w14:textFill>
        </w:rPr>
        <w:t xml:space="preserve"> </w:t>
      </w:r>
    </w:p>
    <w:p w14:paraId="6455E4B2">
      <w:pPr>
        <w:spacing w:line="360" w:lineRule="exact"/>
        <w:jc w:val="right"/>
        <w:rPr>
          <w:color w:val="000000" w:themeColor="text1"/>
          <w14:textFill>
            <w14:solidFill>
              <w14:schemeClr w14:val="tx1"/>
            </w14:solidFill>
          </w14:textFill>
        </w:rPr>
      </w:pPr>
      <w:r>
        <w:rPr>
          <w:color w:val="000000" w:themeColor="text1"/>
          <w14:textFill>
            <w14:solidFill>
              <w14:schemeClr w14:val="tx1"/>
            </w14:solidFill>
          </w14:textFill>
        </w:rPr>
        <w:t>董事会批准报送日期：</w:t>
      </w:r>
      <w:sdt>
        <w:sdtPr>
          <w:rPr>
            <w:color w:val="000000" w:themeColor="text1"/>
            <w14:textFill>
              <w14:solidFill>
                <w14:schemeClr w14:val="tx1"/>
              </w14:solidFill>
            </w14:textFill>
          </w:rPr>
          <w:alias w:val="报告董事会批准报送日期"/>
          <w:tag w:val="_GBC_56d5d40e768a439aa604555fa2089c42"/>
          <w:id w:val="147468631"/>
          <w:placeholder>
            <w:docPart w:val="GBC22222222222222222222222222222"/>
          </w:placeholder>
          <w:date w:fullDate="2025-08-22T00:00:00Z">
            <w:dateFormat w:val="yyyy'年'M'月'd'日'"/>
            <w:lid w:val="zh-CN"/>
            <w:storeMappedDataAs w:val="datetime"/>
            <w:calendar w:val="gregorian"/>
          </w:date>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2025年8月22日</w:t>
          </w:r>
        </w:sdtContent>
      </w:sdt>
      <w:r>
        <w:rPr>
          <w:rFonts w:hint="eastAsia"/>
          <w:color w:val="000000" w:themeColor="text1"/>
          <w14:textFill>
            <w14:solidFill>
              <w14:schemeClr w14:val="tx1"/>
            </w14:solidFill>
          </w14:textFill>
        </w:rPr>
        <w:t xml:space="preserve"> </w:t>
      </w:r>
    </w:p>
    <w:bookmarkEnd w:id="503"/>
    <w:p w14:paraId="2A012140">
      <w:pPr>
        <w:spacing w:line="360" w:lineRule="exact"/>
        <w:ind w:right="5"/>
        <w:rPr>
          <w:color w:val="000000" w:themeColor="text1"/>
          <w:u w:val="single"/>
          <w14:textFill>
            <w14:solidFill>
              <w14:schemeClr w14:val="tx1"/>
            </w14:solidFill>
          </w14:textFill>
        </w:rPr>
      </w:pPr>
    </w:p>
    <w:p w14:paraId="2C6AB6F6">
      <w:pPr>
        <w:spacing w:line="360" w:lineRule="exact"/>
        <w:ind w:right="5"/>
        <w:rPr>
          <w:b/>
          <w:color w:val="000000" w:themeColor="text1"/>
          <w:sz w:val="24"/>
          <w14:textFill>
            <w14:solidFill>
              <w14:schemeClr w14:val="tx1"/>
            </w14:solidFill>
          </w14:textFill>
        </w:rPr>
      </w:pPr>
      <w:r>
        <w:rPr>
          <w:b/>
          <w:color w:val="000000" w:themeColor="text1"/>
          <w:sz w:val="24"/>
          <w14:textFill>
            <w14:solidFill>
              <w14:schemeClr w14:val="tx1"/>
            </w14:solidFill>
          </w14:textFill>
        </w:rPr>
        <w:t>修订信息</w:t>
      </w:r>
    </w:p>
    <w:sdt>
      <w:sdtPr>
        <w:rPr>
          <w:b/>
          <w:bCs w:val="0"/>
          <w:color w:val="000000" w:themeColor="text1"/>
          <w14:textFill>
            <w14:solidFill>
              <w14:schemeClr w14:val="tx1"/>
            </w14:solidFill>
          </w14:textFill>
        </w:rPr>
        <w:alias w:val="是否适用：修订信息表[双击切换]"/>
        <w:tag w:val="_GBC_77b96fad3b8a43478db82cf4cb9686be"/>
        <w:id w:val="147461859"/>
        <w:placeholder>
          <w:docPart w:val="GBC22222222222222222222222222222"/>
        </w:placeholder>
      </w:sdtPr>
      <w:sdtEndPr>
        <w:rPr>
          <w:b w:val="0"/>
          <w:bCs w:val="0"/>
          <w:color w:val="000000" w:themeColor="text1"/>
          <w14:textFill>
            <w14:solidFill>
              <w14:schemeClr w14:val="tx1"/>
            </w14:solidFill>
          </w14:textFill>
        </w:rPr>
      </w:sdtEndPr>
      <w:sdtContent>
        <w:p w14:paraId="46596E07">
          <w:pPr>
            <w:spacing w:line="360" w:lineRule="exact"/>
            <w:ind w:right="5"/>
            <w:rPr>
              <w:color w:val="000000" w:themeColor="text1"/>
              <w14:textFill>
                <w14:solidFill>
                  <w14:schemeClr w14:val="tx1"/>
                </w14:solidFill>
              </w14:textFill>
            </w:rPr>
          </w:pPr>
          <w:r>
            <w:rPr>
              <w:rFonts w:ascii="宋体" w:hAnsi="宋体"/>
              <w:bCs w:val="0"/>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bCs w:val="0"/>
              <w:color w:val="000000" w:themeColor="text1"/>
              <w14:textFill>
                <w14:solidFill>
                  <w14:schemeClr w14:val="tx1"/>
                </w14:solidFill>
              </w14:textFill>
            </w:rPr>
            <w:fldChar w:fldCharType="end"/>
          </w:r>
          <w:r>
            <w:rPr>
              <w:rFonts w:ascii="宋体" w:hAnsi="宋体"/>
              <w:bCs w:val="0"/>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bCs w:val="0"/>
              <w:color w:val="000000" w:themeColor="text1"/>
              <w14:textFill>
                <w14:solidFill>
                  <w14:schemeClr w14:val="tx1"/>
                </w14:solidFill>
              </w14:textFill>
            </w:rPr>
            <w:fldChar w:fldCharType="end"/>
          </w:r>
        </w:p>
      </w:sdtContent>
    </w:sdt>
    <w:sectPr>
      <w:pgSz w:w="11906" w:h="16838"/>
      <w:pgMar w:top="1525" w:right="1276" w:bottom="1440" w:left="1797" w:header="856"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Noto Sans CJK JP Regular">
    <w:altName w:val="微软雅黑"/>
    <w:panose1 w:val="00000000000000000000"/>
    <w:charset w:val="86"/>
    <w:family w:val="swiss"/>
    <w:pitch w:val="default"/>
    <w:sig w:usb0="00000000" w:usb1="00000000" w:usb2="00000016" w:usb3="00000000" w:csb0="002E0107"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Helvetica-Narrow">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FZLTSK--GBK1-0">
    <w:altName w:val="Times New Roman"/>
    <w:panose1 w:val="00000000000000000000"/>
    <w:charset w:val="00"/>
    <w:family w:val="roman"/>
    <w:pitch w:val="default"/>
    <w:sig w:usb0="00000000" w:usb1="00000000" w:usb2="00000000" w:usb3="00000000" w:csb0="00000000"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宋体-方正超大字符集">
    <w:altName w:val="宋体"/>
    <w:panose1 w:val="00000000000000000000"/>
    <w:charset w:val="86"/>
    <w:family w:val="script"/>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7408834"/>
    </w:sdtPr>
    <w:sdtContent>
      <w:sdt>
        <w:sdtPr>
          <w:id w:val="98381352"/>
        </w:sdtPr>
        <w:sdtContent>
          <w:p w14:paraId="3DBFD004">
            <w:pPr>
              <w:pStyle w:val="25"/>
              <w:jc w:val="center"/>
            </w:pPr>
            <w:r>
              <w:rPr>
                <w:b/>
                <w:bCs w:val="0"/>
                <w:sz w:val="24"/>
                <w:szCs w:val="24"/>
              </w:rPr>
              <w:fldChar w:fldCharType="begin"/>
            </w:r>
            <w:r>
              <w:rPr>
                <w:b/>
              </w:rPr>
              <w:instrText xml:space="preserve">PAGE</w:instrText>
            </w:r>
            <w:r>
              <w:rPr>
                <w:b/>
                <w:bCs w:val="0"/>
                <w:sz w:val="24"/>
                <w:szCs w:val="24"/>
              </w:rPr>
              <w:fldChar w:fldCharType="separate"/>
            </w:r>
            <w:r>
              <w:rPr>
                <w:b/>
              </w:rPr>
              <w:t>119</w:t>
            </w:r>
            <w:r>
              <w:rPr>
                <w:b/>
                <w:bCs w:val="0"/>
                <w:sz w:val="24"/>
                <w:szCs w:val="24"/>
              </w:rPr>
              <w:fldChar w:fldCharType="end"/>
            </w:r>
            <w:r>
              <w:rPr>
                <w:lang w:val="zh-CN"/>
              </w:rPr>
              <w:t xml:space="preserve"> / </w:t>
            </w:r>
            <w:r>
              <w:rPr>
                <w:b/>
                <w:bCs w:val="0"/>
                <w:sz w:val="24"/>
                <w:szCs w:val="24"/>
              </w:rPr>
              <w:fldChar w:fldCharType="begin"/>
            </w:r>
            <w:r>
              <w:rPr>
                <w:b/>
              </w:rPr>
              <w:instrText xml:space="preserve">NUMPAGES</w:instrText>
            </w:r>
            <w:r>
              <w:rPr>
                <w:b/>
                <w:bCs w:val="0"/>
                <w:sz w:val="24"/>
                <w:szCs w:val="24"/>
              </w:rPr>
              <w:fldChar w:fldCharType="separate"/>
            </w:r>
            <w:r>
              <w:rPr>
                <w:b/>
              </w:rPr>
              <w:t>224</w:t>
            </w:r>
            <w:r>
              <w:rPr>
                <w:b/>
                <w:bCs w:val="0"/>
                <w:sz w:val="24"/>
                <w:szCs w:val="24"/>
              </w:rPr>
              <w:fldChar w:fldCharType="end"/>
            </w:r>
          </w:p>
        </w:sdtContent>
      </w:sdt>
    </w:sdtContent>
  </w:sdt>
  <w:p w14:paraId="6E485D70">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AD97F">
    <w:pPr>
      <w:pStyle w:val="26"/>
      <w:tabs>
        <w:tab w:val="left" w:pos="8364"/>
        <w:tab w:val="left" w:pos="8505"/>
        <w:tab w:val="clear" w:pos="8306"/>
      </w:tabs>
      <w:ind w:right="21" w:rightChars="10"/>
      <w:rPr>
        <w:rFonts w:ascii="宋体" w:hAnsi="宋体"/>
      </w:rPr>
    </w:pPr>
    <w:sdt>
      <w:sdtPr>
        <w:rPr>
          <w:rFonts w:hint="eastAsia" w:ascii="宋体" w:hAnsi="宋体"/>
        </w:rPr>
        <w:alias w:val="公司法定中文名称"/>
        <w:tag w:val="_GBC_782d803d917f4432be22f5ded01fbc6d"/>
        <w:id w:val="842976418"/>
        <w:dataBinding w:prefixMappings="xmlns:clcid-cgi='clcid-cgi'" w:xpath="/*/clcid-cgi:GongSiFaDingZhongWenMingCheng[not(@periodRef)]" w:storeItemID="{89EBAB94-44A0-46A2-B712-30D997D04A6D}"/>
        <w:text/>
      </w:sdtPr>
      <w:sdtEndPr>
        <w:rPr>
          <w:rFonts w:hint="eastAsia" w:ascii="宋体" w:hAnsi="宋体"/>
        </w:rPr>
      </w:sdtEndPr>
      <w:sdtContent>
        <w:r>
          <w:rPr>
            <w:rFonts w:hint="eastAsia" w:ascii="宋体" w:hAnsi="宋体"/>
          </w:rPr>
          <w:t>际华集团股份有限公司</w:t>
        </w:r>
      </w:sdtContent>
    </w:sdt>
    <w:r>
      <w:rPr>
        <w:rFonts w:hint="eastAsia" w:ascii="宋体" w:hAnsi="宋体"/>
      </w:rPr>
      <w:t>202</w:t>
    </w:r>
    <w:r>
      <w:rPr>
        <w:rFonts w:ascii="宋体" w:hAnsi="宋体"/>
      </w:rPr>
      <w:t>5</w:t>
    </w:r>
    <w:r>
      <w:rPr>
        <w:rFonts w:hint="eastAsia" w:ascii="宋体" w:hAnsi="宋体"/>
      </w:rPr>
      <w:t>年半年度报告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2320E"/>
    <w:multiLevelType w:val="multilevel"/>
    <w:tmpl w:val="8302320E"/>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
    <w:nsid w:val="85F6B375"/>
    <w:multiLevelType w:val="multilevel"/>
    <w:tmpl w:val="85F6B375"/>
    <w:lvl w:ilvl="0" w:tentative="0">
      <w:start w:val="1"/>
      <w:numFmt w:val="decimal"/>
      <w:lvlText w:val="(%1)."/>
      <w:lvlJc w:val="left"/>
      <w:pPr>
        <w:ind w:left="425" w:hanging="425"/>
      </w:pPr>
      <w:rPr>
        <w:rFonts w:hint="eastAsia" w:asciiTheme="majorEastAsia" w:hAnsiTheme="majorEastAsia" w:eastAsiaTheme="major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87F8DB66"/>
    <w:multiLevelType w:val="multilevel"/>
    <w:tmpl w:val="87F8DB66"/>
    <w:lvl w:ilvl="0" w:tentative="0">
      <w:start w:val="1"/>
      <w:numFmt w:val="decimal"/>
      <w:lvlText w:val="(%1)."/>
      <w:lvlJc w:val="left"/>
      <w:pPr>
        <w:ind w:left="545" w:hanging="440"/>
      </w:pPr>
      <w:rPr>
        <w:rFonts w:hint="eastAsia" w:asciiTheme="majorEastAsia" w:hAnsiTheme="majorEastAsia" w:eastAsia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3">
    <w:nsid w:val="8B4D5B52"/>
    <w:multiLevelType w:val="multilevel"/>
    <w:tmpl w:val="8B4D5B52"/>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567" w:hanging="567"/>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
    <w:nsid w:val="8CC4BB58"/>
    <w:multiLevelType w:val="multilevel"/>
    <w:tmpl w:val="8CC4BB58"/>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8D5DDBA3"/>
    <w:multiLevelType w:val="multilevel"/>
    <w:tmpl w:val="8D5DDBA3"/>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8DADA5CC"/>
    <w:multiLevelType w:val="multilevel"/>
    <w:tmpl w:val="8DADA5CC"/>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8E8F6E83"/>
    <w:multiLevelType w:val="multilevel"/>
    <w:tmpl w:val="8E8F6E83"/>
    <w:lvl w:ilvl="0" w:tentative="0">
      <w:start w:val="1"/>
      <w:numFmt w:val="decimal"/>
      <w:suff w:val="nothing"/>
      <w:lvlText w:val="%1、 "/>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8EF8E1E9"/>
    <w:multiLevelType w:val="multilevel"/>
    <w:tmpl w:val="8EF8E1E9"/>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939872BA"/>
    <w:multiLevelType w:val="multilevel"/>
    <w:tmpl w:val="939872BA"/>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94FD4300"/>
    <w:multiLevelType w:val="multilevel"/>
    <w:tmpl w:val="94FD4300"/>
    <w:lvl w:ilvl="0" w:tentative="0">
      <w:start w:val="1"/>
      <w:numFmt w:val="decimal"/>
      <w:lvlText w:val="%1、"/>
      <w:lvlJc w:val="left"/>
      <w:pPr>
        <w:ind w:left="425" w:hanging="425"/>
      </w:pPr>
      <w:rPr>
        <w:rFonts w:hint="eastAsia" w:ascii="宋体" w:hAnsi="宋体" w:eastAsia="宋体"/>
        <w:color w:val="auto"/>
        <w:sz w:val="21"/>
        <w:szCs w:val="21"/>
        <w:u w:val="none"/>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
    <w:nsid w:val="95307DD5"/>
    <w:multiLevelType w:val="multilevel"/>
    <w:tmpl w:val="95307DD5"/>
    <w:lvl w:ilvl="0" w:tentative="0">
      <w:start w:val="1"/>
      <w:numFmt w:val="decimal"/>
      <w:suff w:val="space"/>
      <w:lvlText w:val="(%1)."/>
      <w:lvlJc w:val="left"/>
      <w:pPr>
        <w:ind w:left="420" w:hanging="420"/>
      </w:pPr>
      <w:rPr>
        <w:rFonts w:hint="eastAsia"/>
        <w:color w:val="auto"/>
      </w:rPr>
    </w:lvl>
    <w:lvl w:ilvl="1" w:tentative="0">
      <w:start w:val="1"/>
      <w:numFmt w:val="japaneseCounting"/>
      <w:lvlText w:val="%2、"/>
      <w:lvlJc w:val="left"/>
      <w:pPr>
        <w:ind w:left="840" w:hanging="42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95ECACFD"/>
    <w:multiLevelType w:val="multilevel"/>
    <w:tmpl w:val="95ECACFD"/>
    <w:lvl w:ilvl="0" w:tentative="0">
      <w:start w:val="1"/>
      <w:numFmt w:val="decimal"/>
      <w:lvlText w:val="(%1)."/>
      <w:lvlJc w:val="left"/>
      <w:pPr>
        <w:ind w:left="440" w:hanging="440"/>
      </w:pPr>
      <w:rPr>
        <w:rFonts w:hint="eastAsia" w:asciiTheme="minorEastAsia" w:hAnsiTheme="minorEastAsia" w:eastAsia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
    <w:nsid w:val="96743E63"/>
    <w:multiLevelType w:val="multilevel"/>
    <w:tmpl w:val="96743E63"/>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968291D2"/>
    <w:multiLevelType w:val="multilevel"/>
    <w:tmpl w:val="968291D2"/>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suff w:val="nothing"/>
      <w:lvlText w:val="(%4). "/>
      <w:lvlJc w:val="left"/>
      <w:pPr>
        <w:ind w:left="851" w:hanging="851"/>
      </w:pPr>
      <w:rPr>
        <w:rFonts w:hint="default" w:ascii="宋体" w:hAnsi="宋体" w:eastAsia="宋体"/>
        <w:color w:val="auto"/>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5">
    <w:nsid w:val="9CBFC0D5"/>
    <w:multiLevelType w:val="multilevel"/>
    <w:tmpl w:val="9CBFC0D5"/>
    <w:lvl w:ilvl="0" w:tentative="0">
      <w:start w:val="1"/>
      <w:numFmt w:val="decimal"/>
      <w:lvlText w:val="(%1)."/>
      <w:lvlJc w:val="left"/>
      <w:pPr>
        <w:ind w:left="440" w:hanging="440"/>
      </w:pPr>
      <w:rPr>
        <w:rFonts w:hint="eastAsia" w:asciiTheme="minorEastAsia" w:hAnsiTheme="minorEastAsia" w:eastAsia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
    <w:nsid w:val="9EB3DC07"/>
    <w:multiLevelType w:val="multilevel"/>
    <w:tmpl w:val="9EB3DC07"/>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9FC46B74"/>
    <w:multiLevelType w:val="multilevel"/>
    <w:tmpl w:val="9FC46B74"/>
    <w:lvl w:ilvl="0" w:tentative="0">
      <w:start w:val="1"/>
      <w:numFmt w:val="decimal"/>
      <w:lvlText w:val="%1、"/>
      <w:lvlJc w:val="left"/>
      <w:pPr>
        <w:ind w:left="420" w:hanging="420"/>
      </w:pPr>
      <w:rPr>
        <w:rFonts w:hint="eastAsia" w:eastAsia="宋体" w:asciiTheme="majorEastAsia" w:hAnsiTheme="maj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A42E7583"/>
    <w:multiLevelType w:val="multilevel"/>
    <w:tmpl w:val="A42E7583"/>
    <w:lvl w:ilvl="0" w:tentative="0">
      <w:start w:val="1"/>
      <w:numFmt w:val="decimal"/>
      <w:lvlText w:val="%1、"/>
      <w:lvlJc w:val="left"/>
      <w:pPr>
        <w:ind w:left="360" w:hanging="360"/>
      </w:pPr>
      <w:rPr>
        <w:rFonts w:hint="default" w:asci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A45CC82F"/>
    <w:multiLevelType w:val="multilevel"/>
    <w:tmpl w:val="A45CC82F"/>
    <w:lvl w:ilvl="0" w:tentative="0">
      <w:start w:val="1"/>
      <w:numFmt w:val="decimal"/>
      <w:lvlText w:val="%1、"/>
      <w:lvlJc w:val="left"/>
      <w:pPr>
        <w:ind w:left="425" w:hanging="425"/>
      </w:pPr>
      <w:rPr>
        <w:rFonts w:hint="eastAsia" w:eastAsia="宋体" w:asciiTheme="majorEastAsia" w:hAnsiTheme="majorEastAsia"/>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A643AAF6"/>
    <w:multiLevelType w:val="multilevel"/>
    <w:tmpl w:val="A643AAF6"/>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4112"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1">
    <w:nsid w:val="A64DC241"/>
    <w:multiLevelType w:val="multilevel"/>
    <w:tmpl w:val="A64DC241"/>
    <w:lvl w:ilvl="0" w:tentative="0">
      <w:start w:val="1"/>
      <w:numFmt w:val="decimal"/>
      <w:lvlText w:val="%1、 "/>
      <w:lvlJc w:val="left"/>
      <w:pPr>
        <w:ind w:left="425" w:hanging="425"/>
      </w:pPr>
      <w:rPr>
        <w:rFonts w:hint="eastAsia" w:ascii="宋体" w:hAnsi="宋体" w:eastAsia="宋体"/>
        <w:b/>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2">
    <w:nsid w:val="A82B6065"/>
    <w:multiLevelType w:val="multilevel"/>
    <w:tmpl w:val="A82B6065"/>
    <w:lvl w:ilvl="0" w:tentative="0">
      <w:start w:val="1"/>
      <w:numFmt w:val="decimal"/>
      <w:lvlText w:val="(%1)."/>
      <w:lvlJc w:val="left"/>
      <w:pPr>
        <w:ind w:left="440" w:hanging="440"/>
      </w:pPr>
      <w:rPr>
        <w:rFonts w:hint="eastAsia" w:asciiTheme="minorEastAsia" w:hAnsiTheme="minorEastAsia" w:eastAsia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
    <w:nsid w:val="AD27C12B"/>
    <w:multiLevelType w:val="multilevel"/>
    <w:tmpl w:val="AD27C12B"/>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AEE4CBDB"/>
    <w:multiLevelType w:val="multilevel"/>
    <w:tmpl w:val="AEE4CBDB"/>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5">
    <w:nsid w:val="AF95E972"/>
    <w:multiLevelType w:val="multilevel"/>
    <w:tmpl w:val="AF95E972"/>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6">
    <w:nsid w:val="B4444CDA"/>
    <w:multiLevelType w:val="multilevel"/>
    <w:tmpl w:val="B4444CDA"/>
    <w:lvl w:ilvl="0" w:tentative="0">
      <w:start w:val="1"/>
      <w:numFmt w:val="decimal"/>
      <w:lvlText w:val="%1、"/>
      <w:lvlJc w:val="left"/>
      <w:pPr>
        <w:ind w:left="420" w:hanging="420"/>
      </w:pPr>
      <w:rPr>
        <w:rFonts w:hint="eastAsia" w:eastAsia="宋体" w:asciiTheme="majorEastAsia" w:hAnsiTheme="maj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B4BC0501"/>
    <w:multiLevelType w:val="multilevel"/>
    <w:tmpl w:val="B4BC0501"/>
    <w:lvl w:ilvl="0" w:tentative="0">
      <w:start w:val="1"/>
      <w:numFmt w:val="decimal"/>
      <w:suff w:val="nothing"/>
      <w:lvlText w:val="(%1)."/>
      <w:lvlJc w:val="left"/>
      <w:pPr>
        <w:ind w:left="440" w:hanging="440"/>
      </w:pPr>
      <w:rPr>
        <w:rFonts w:hint="eastAsia" w:eastAsia="宋体" w:asciiTheme="minorEastAsia" w:hAnsiTheme="minorEastAsia"/>
        <w:b/>
        <w:bCs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
    <w:nsid w:val="B7D0D9AC"/>
    <w:multiLevelType w:val="multilevel"/>
    <w:tmpl w:val="B7D0D9AC"/>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B8241E56"/>
    <w:multiLevelType w:val="multilevel"/>
    <w:tmpl w:val="B8241E56"/>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0">
    <w:nsid w:val="C1BC0ACF"/>
    <w:multiLevelType w:val="multilevel"/>
    <w:tmpl w:val="C1BC0ACF"/>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1">
    <w:nsid w:val="C2510071"/>
    <w:multiLevelType w:val="multilevel"/>
    <w:tmpl w:val="C2510071"/>
    <w:lvl w:ilvl="0" w:tentative="0">
      <w:start w:val="1"/>
      <w:numFmt w:val="decimal"/>
      <w:lvlText w:val="(%1). "/>
      <w:lvlJc w:val="left"/>
      <w:pPr>
        <w:ind w:left="425" w:hanging="425"/>
      </w:pPr>
      <w:rPr>
        <w:rFonts w:hint="eastAsia" w:ascii="宋体" w:hAnsi="宋体" w:eastAsia="宋体"/>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2">
    <w:nsid w:val="C4C3CB19"/>
    <w:multiLevelType w:val="multilevel"/>
    <w:tmpl w:val="C4C3CB19"/>
    <w:lvl w:ilvl="0" w:tentative="0">
      <w:start w:val="1"/>
      <w:numFmt w:val="chineseCountingThousand"/>
      <w:suff w:val="nothing"/>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3">
    <w:nsid w:val="C5C78B1E"/>
    <w:multiLevelType w:val="multilevel"/>
    <w:tmpl w:val="C5C78B1E"/>
    <w:lvl w:ilvl="0" w:tentative="0">
      <w:start w:val="1"/>
      <w:numFmt w:val="decimal"/>
      <w:lvlText w:val="(%1)."/>
      <w:lvlJc w:val="left"/>
      <w:pPr>
        <w:ind w:left="440" w:hanging="440"/>
      </w:pPr>
      <w:rPr>
        <w:rFonts w:hint="eastAsia" w:asciiTheme="minorEastAsia" w:hAnsiTheme="minorEastAsia" w:eastAsia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4">
    <w:nsid w:val="C60525AB"/>
    <w:multiLevelType w:val="multilevel"/>
    <w:tmpl w:val="C60525AB"/>
    <w:lvl w:ilvl="0" w:tentative="0">
      <w:start w:val="1"/>
      <w:numFmt w:val="chineseCountingThousand"/>
      <w:suff w:val="space"/>
      <w:lvlText w:val="%1、"/>
      <w:lvlJc w:val="left"/>
      <w:pPr>
        <w:ind w:left="704" w:hanging="420"/>
      </w:pPr>
      <w:rPr>
        <w:rFonts w:hint="default"/>
        <w:b/>
        <w:i w:val="0"/>
        <w:color w:val="auto"/>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C9BBF0ED"/>
    <w:multiLevelType w:val="multilevel"/>
    <w:tmpl w:val="C9BBF0ED"/>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6">
    <w:nsid w:val="CA2D9480"/>
    <w:multiLevelType w:val="multilevel"/>
    <w:tmpl w:val="CA2D9480"/>
    <w:lvl w:ilvl="0" w:tentative="0">
      <w:start w:val="1"/>
      <w:numFmt w:val="decimal"/>
      <w:lvlText w:val="%1、"/>
      <w:lvlJc w:val="left"/>
      <w:pPr>
        <w:ind w:left="420" w:hanging="420"/>
      </w:pPr>
      <w:rPr>
        <w:rFonts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CB5EF538"/>
    <w:multiLevelType w:val="multilevel"/>
    <w:tmpl w:val="CB5EF538"/>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8">
    <w:nsid w:val="CBB087D1"/>
    <w:multiLevelType w:val="multilevel"/>
    <w:tmpl w:val="CBB087D1"/>
    <w:lvl w:ilvl="0" w:tentative="0">
      <w:start w:val="1"/>
      <w:numFmt w:val="decimal"/>
      <w:lvlText w:val="%1、 "/>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CCEBFB47"/>
    <w:multiLevelType w:val="multilevel"/>
    <w:tmpl w:val="CCEBFB47"/>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0">
    <w:nsid w:val="D0D62792"/>
    <w:multiLevelType w:val="multilevel"/>
    <w:tmpl w:val="D0D62792"/>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1">
    <w:nsid w:val="D0EDECDE"/>
    <w:multiLevelType w:val="multilevel"/>
    <w:tmpl w:val="D0EDECDE"/>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2">
    <w:nsid w:val="D171BB9D"/>
    <w:multiLevelType w:val="multilevel"/>
    <w:tmpl w:val="D171BB9D"/>
    <w:lvl w:ilvl="0" w:tentative="0">
      <w:start w:val="1"/>
      <w:numFmt w:val="decimal"/>
      <w:lvlText w:val="(%1)."/>
      <w:lvlJc w:val="left"/>
      <w:pPr>
        <w:ind w:left="440" w:hanging="440"/>
      </w:pPr>
      <w:rPr>
        <w:rFonts w:hint="eastAsia" w:asciiTheme="minorEastAsia" w:hAnsiTheme="minorEastAsia" w:eastAsia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3">
    <w:nsid w:val="D1FC5E6A"/>
    <w:multiLevelType w:val="multilevel"/>
    <w:tmpl w:val="D1FC5E6A"/>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4">
    <w:nsid w:val="D3B5B447"/>
    <w:multiLevelType w:val="multilevel"/>
    <w:tmpl w:val="D3B5B447"/>
    <w:lvl w:ilvl="0" w:tentative="0">
      <w:start w:val="1"/>
      <w:numFmt w:val="decimal"/>
      <w:suff w:val="space"/>
      <w:lvlText w:val="(%1)."/>
      <w:lvlJc w:val="left"/>
      <w:pPr>
        <w:ind w:left="360" w:hanging="360"/>
      </w:pPr>
      <w:rPr>
        <w:rFonts w:hint="eastAsia" w:eastAsia="宋体" w:asciiTheme="majorEastAsia" w:hAnsiTheme="maj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D995841B"/>
    <w:multiLevelType w:val="multilevel"/>
    <w:tmpl w:val="D995841B"/>
    <w:lvl w:ilvl="0" w:tentative="0">
      <w:start w:val="1"/>
      <w:numFmt w:val="chineseCountingThousand"/>
      <w:lvlText w:val="第%1节"/>
      <w:lvlJc w:val="left"/>
      <w:pPr>
        <w:ind w:left="425" w:hanging="425"/>
      </w:pPr>
      <w:rPr>
        <w:rFonts w:hint="eastAsia"/>
        <w:color w:val="auto"/>
        <w:sz w:val="28"/>
        <w:szCs w:val="28"/>
        <w:u w:val="none"/>
        <w:lang w:val="en-US"/>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6">
    <w:nsid w:val="DDB82A48"/>
    <w:multiLevelType w:val="multilevel"/>
    <w:tmpl w:val="DDB82A48"/>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567" w:hanging="567"/>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7">
    <w:nsid w:val="DDE5E530"/>
    <w:multiLevelType w:val="multilevel"/>
    <w:tmpl w:val="DDE5E530"/>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567" w:hanging="567"/>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8">
    <w:nsid w:val="DE27F4FB"/>
    <w:multiLevelType w:val="multilevel"/>
    <w:tmpl w:val="DE27F4FB"/>
    <w:lvl w:ilvl="0" w:tentative="0">
      <w:start w:val="1"/>
      <w:numFmt w:val="decimal"/>
      <w:suff w:val="space"/>
      <w:lvlText w:val="%1、 "/>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E0F56504"/>
    <w:multiLevelType w:val="multilevel"/>
    <w:tmpl w:val="E0F56504"/>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0">
    <w:nsid w:val="E10711DE"/>
    <w:multiLevelType w:val="multilevel"/>
    <w:tmpl w:val="E10711DE"/>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1">
    <w:nsid w:val="E18AC388"/>
    <w:multiLevelType w:val="multilevel"/>
    <w:tmpl w:val="E18AC388"/>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E2BC900C"/>
    <w:multiLevelType w:val="multilevel"/>
    <w:tmpl w:val="E2BC900C"/>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E4A10E18"/>
    <w:multiLevelType w:val="multilevel"/>
    <w:tmpl w:val="E4A10E18"/>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4">
    <w:nsid w:val="E6C1A0D3"/>
    <w:multiLevelType w:val="multilevel"/>
    <w:tmpl w:val="E6C1A0D3"/>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EF25EF0E"/>
    <w:multiLevelType w:val="multilevel"/>
    <w:tmpl w:val="EF25EF0E"/>
    <w:lvl w:ilvl="0" w:tentative="0">
      <w:start w:val="1"/>
      <w:numFmt w:val="decimal"/>
      <w:lvlText w:val="(%1)."/>
      <w:lvlJc w:val="left"/>
      <w:pPr>
        <w:ind w:left="440" w:hanging="440"/>
      </w:pPr>
      <w:rPr>
        <w:rFonts w:hint="eastAsia" w:asciiTheme="minorEastAsia" w:hAnsiTheme="minorEastAsia" w:eastAsia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6">
    <w:nsid w:val="F7B8EF1A"/>
    <w:multiLevelType w:val="multilevel"/>
    <w:tmpl w:val="F7B8EF1A"/>
    <w:lvl w:ilvl="0" w:tentative="0">
      <w:start w:val="1"/>
      <w:numFmt w:val="decimal"/>
      <w:lvlText w:val="(%1)."/>
      <w:lvlJc w:val="left"/>
      <w:pPr>
        <w:ind w:left="440" w:hanging="440"/>
      </w:pPr>
      <w:rPr>
        <w:rFonts w:hint="eastAsia" w:asciiTheme="minorEastAsia" w:hAnsiTheme="minorEastAsia" w:eastAsia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7">
    <w:nsid w:val="F8EB02B4"/>
    <w:multiLevelType w:val="multilevel"/>
    <w:tmpl w:val="F8EB02B4"/>
    <w:lvl w:ilvl="0" w:tentative="0">
      <w:start w:val="1"/>
      <w:numFmt w:val="decimal"/>
      <w:lvlText w:val="(%1)."/>
      <w:lvlJc w:val="left"/>
      <w:pPr>
        <w:ind w:left="440" w:hanging="440"/>
      </w:pPr>
      <w:rPr>
        <w:rFonts w:hint="eastAsia" w:asciiTheme="majorEastAsia" w:hAnsiTheme="majorEastAsia" w:eastAsia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8">
    <w:nsid w:val="F9A02DFC"/>
    <w:multiLevelType w:val="multilevel"/>
    <w:tmpl w:val="F9A02DFC"/>
    <w:lvl w:ilvl="0" w:tentative="0">
      <w:start w:val="1"/>
      <w:numFmt w:val="decimal"/>
      <w:lvlText w:val="(%1). "/>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9">
    <w:nsid w:val="F9BEB408"/>
    <w:multiLevelType w:val="multilevel"/>
    <w:tmpl w:val="F9BEB40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0">
    <w:nsid w:val="FD7C9E9F"/>
    <w:multiLevelType w:val="multilevel"/>
    <w:tmpl w:val="FD7C9E9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1">
    <w:nsid w:val="FFC2574A"/>
    <w:multiLevelType w:val="multilevel"/>
    <w:tmpl w:val="FFC2574A"/>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2">
    <w:nsid w:val="0053208E"/>
    <w:multiLevelType w:val="singleLevel"/>
    <w:tmpl w:val="0053208E"/>
    <w:lvl w:ilvl="0" w:tentative="0">
      <w:start w:val="1"/>
      <w:numFmt w:val="bullet"/>
      <w:pStyle w:val="16"/>
      <w:lvlText w:val=""/>
      <w:lvlJc w:val="left"/>
      <w:pPr>
        <w:tabs>
          <w:tab w:val="left" w:pos="1200"/>
        </w:tabs>
        <w:ind w:left="1200" w:hanging="360"/>
      </w:pPr>
      <w:rPr>
        <w:rFonts w:hint="default" w:ascii="Wingdings" w:hAnsi="Wingdings"/>
      </w:rPr>
    </w:lvl>
  </w:abstractNum>
  <w:abstractNum w:abstractNumId="63">
    <w:nsid w:val="040125FC"/>
    <w:multiLevelType w:val="multilevel"/>
    <w:tmpl w:val="040125FC"/>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4">
    <w:nsid w:val="06B70F2E"/>
    <w:multiLevelType w:val="multilevel"/>
    <w:tmpl w:val="06B70F2E"/>
    <w:lvl w:ilvl="0" w:tentative="0">
      <w:start w:val="1"/>
      <w:numFmt w:val="chineseCountingThousand"/>
      <w:lvlText w:val="(%1)"/>
      <w:lvlJc w:val="left"/>
      <w:pPr>
        <w:ind w:left="420" w:hanging="420"/>
      </w:pPr>
      <w:rPr>
        <w:rFonts w:hint="default" w:asciiTheme="minorHAnsi" w:hAnsiTheme="minorHAnsi"/>
      </w:rPr>
    </w:lvl>
    <w:lvl w:ilvl="1" w:tentative="0">
      <w:start w:val="1"/>
      <w:numFmt w:val="chineseCountingThousand"/>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08DB642E"/>
    <w:multiLevelType w:val="multilevel"/>
    <w:tmpl w:val="08DB642E"/>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suff w:val="nothing"/>
      <w:lvlText w:val="(%4)."/>
      <w:lvlJc w:val="left"/>
      <w:pPr>
        <w:ind w:left="0" w:firstLine="0"/>
      </w:pPr>
      <w:rPr>
        <w:rFonts w:hint="eastAsia" w:ascii="宋体" w:hAnsi="宋体" w:eastAsia="宋体"/>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6">
    <w:nsid w:val="096C71D5"/>
    <w:multiLevelType w:val="multilevel"/>
    <w:tmpl w:val="096C71D5"/>
    <w:lvl w:ilvl="0" w:tentative="0">
      <w:start w:val="1"/>
      <w:numFmt w:val="decimal"/>
      <w:lvlText w:val="%1、 "/>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7">
    <w:nsid w:val="0DC620A0"/>
    <w:multiLevelType w:val="multilevel"/>
    <w:tmpl w:val="0DC620A0"/>
    <w:lvl w:ilvl="0" w:tentative="0">
      <w:start w:val="1"/>
      <w:numFmt w:val="decimal"/>
      <w:lvlText w:val="(%1)."/>
      <w:lvlJc w:val="left"/>
      <w:pPr>
        <w:ind w:left="440" w:hanging="440"/>
      </w:pPr>
      <w:rPr>
        <w:rFonts w:hint="eastAsia" w:asciiTheme="minorEastAsia" w:hAnsiTheme="minorEastAsia" w:eastAsia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8">
    <w:nsid w:val="0DD43CBD"/>
    <w:multiLevelType w:val="multilevel"/>
    <w:tmpl w:val="0DD43CBD"/>
    <w:lvl w:ilvl="0" w:tentative="0">
      <w:start w:val="1"/>
      <w:numFmt w:val="decimal"/>
      <w:lvlText w:val="(%1). "/>
      <w:lvlJc w:val="left"/>
      <w:pPr>
        <w:ind w:left="420" w:hanging="420"/>
      </w:pPr>
      <w:rPr>
        <w:rFonts w:hint="eastAsia" w:ascii="宋体" w:hAnsi="宋体" w:eastAsia="宋体"/>
        <w:color w:val="auto"/>
      </w:rPr>
    </w:lvl>
    <w:lvl w:ilvl="1" w:tentative="0">
      <w:start w:val="1"/>
      <w:numFmt w:val="japaneseCounting"/>
      <w:lvlText w:val="%2、"/>
      <w:lvlJc w:val="left"/>
      <w:pPr>
        <w:ind w:left="840" w:hanging="42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9">
    <w:nsid w:val="1036DE5B"/>
    <w:multiLevelType w:val="multilevel"/>
    <w:tmpl w:val="1036DE5B"/>
    <w:lvl w:ilvl="0" w:tentative="0">
      <w:start w:val="1"/>
      <w:numFmt w:val="decimal"/>
      <w:lvlText w:val="%1、"/>
      <w:lvlJc w:val="left"/>
      <w:pPr>
        <w:ind w:left="420" w:hanging="420"/>
      </w:pPr>
      <w:rPr>
        <w:rFonts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11E4A654"/>
    <w:multiLevelType w:val="multilevel"/>
    <w:tmpl w:val="11E4A654"/>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1">
    <w:nsid w:val="12C8B9DC"/>
    <w:multiLevelType w:val="multilevel"/>
    <w:tmpl w:val="12C8B9DC"/>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2">
    <w:nsid w:val="12E28DC0"/>
    <w:multiLevelType w:val="multilevel"/>
    <w:tmpl w:val="12E28DC0"/>
    <w:lvl w:ilvl="0" w:tentative="0">
      <w:start w:val="1"/>
      <w:numFmt w:val="japaneseCounting"/>
      <w:lvlText w:val="(%1)"/>
      <w:lvlJc w:val="left"/>
      <w:pPr>
        <w:ind w:left="465" w:hanging="4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3">
    <w:nsid w:val="1554A6AE"/>
    <w:multiLevelType w:val="multilevel"/>
    <w:tmpl w:val="1554A6AE"/>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4">
    <w:nsid w:val="186F41DA"/>
    <w:multiLevelType w:val="multilevel"/>
    <w:tmpl w:val="186F41DA"/>
    <w:lvl w:ilvl="0" w:tentative="0">
      <w:start w:val="1"/>
      <w:numFmt w:val="decimal"/>
      <w:lvlText w:val="(%1)."/>
      <w:lvlJc w:val="left"/>
      <w:pPr>
        <w:ind w:left="545" w:hanging="440"/>
      </w:pPr>
      <w:rPr>
        <w:rFonts w:hint="eastAsia" w:asciiTheme="majorEastAsia" w:hAnsiTheme="majorEastAsia" w:eastAsia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75">
    <w:nsid w:val="196AB7A1"/>
    <w:multiLevelType w:val="multilevel"/>
    <w:tmpl w:val="196AB7A1"/>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6">
    <w:nsid w:val="1BB828E3"/>
    <w:multiLevelType w:val="multilevel"/>
    <w:tmpl w:val="1BB828E3"/>
    <w:lvl w:ilvl="0" w:tentative="0">
      <w:start w:val="1"/>
      <w:numFmt w:val="decimal"/>
      <w:lvlText w:val="%1、"/>
      <w:lvlJc w:val="left"/>
      <w:pPr>
        <w:ind w:left="420" w:hanging="420"/>
      </w:pPr>
      <w:rPr>
        <w:rFonts w:hint="eastAsia" w:eastAsia="宋体" w:asciiTheme="majorEastAsia" w:hAnsiTheme="maj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7">
    <w:nsid w:val="1E51385E"/>
    <w:multiLevelType w:val="multilevel"/>
    <w:tmpl w:val="1E51385E"/>
    <w:lvl w:ilvl="0" w:tentative="0">
      <w:start w:val="1"/>
      <w:numFmt w:val="decimal"/>
      <w:lvlText w:val="(%1)."/>
      <w:lvlJc w:val="left"/>
      <w:pPr>
        <w:ind w:left="440" w:hanging="440"/>
      </w:pPr>
      <w:rPr>
        <w:rFonts w:hint="eastAsia" w:asciiTheme="minorEastAsia" w:hAnsiTheme="minorEastAsia" w:eastAsia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8">
    <w:nsid w:val="1E891C83"/>
    <w:multiLevelType w:val="multilevel"/>
    <w:tmpl w:val="1E891C83"/>
    <w:lvl w:ilvl="0" w:tentative="0">
      <w:start w:val="1"/>
      <w:numFmt w:val="decimal"/>
      <w:suff w:val="space"/>
      <w:lvlText w:val="%1、 "/>
      <w:lvlJc w:val="left"/>
      <w:pPr>
        <w:ind w:left="420" w:hanging="420"/>
      </w:pPr>
      <w:rPr>
        <w:rFonts w:hint="eastAsia" w:ascii="宋体" w:hAnsi="宋体" w:eastAsia="宋体"/>
        <w:b/>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9">
    <w:nsid w:val="24C21DC4"/>
    <w:multiLevelType w:val="multilevel"/>
    <w:tmpl w:val="24C21DC4"/>
    <w:lvl w:ilvl="0" w:tentative="0">
      <w:start w:val="1"/>
      <w:numFmt w:val="chineseCountingThousand"/>
      <w:suff w:val="nothing"/>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0">
    <w:nsid w:val="277A3F8F"/>
    <w:multiLevelType w:val="multilevel"/>
    <w:tmpl w:val="277A3F8F"/>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81">
    <w:nsid w:val="2A297676"/>
    <w:multiLevelType w:val="multilevel"/>
    <w:tmpl w:val="2A297676"/>
    <w:lvl w:ilvl="0" w:tentative="0">
      <w:start w:val="1"/>
      <w:numFmt w:val="decimal"/>
      <w:lvlText w:val="(%1)."/>
      <w:lvlJc w:val="left"/>
      <w:pPr>
        <w:ind w:left="440" w:hanging="440"/>
      </w:pPr>
      <w:rPr>
        <w:rFonts w:hint="eastAsia" w:asciiTheme="minorEastAsia" w:hAnsiTheme="minorEastAsia" w:eastAsia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2">
    <w:nsid w:val="2A6FEC9E"/>
    <w:multiLevelType w:val="multilevel"/>
    <w:tmpl w:val="2A6FEC9E"/>
    <w:lvl w:ilvl="0" w:tentative="0">
      <w:start w:val="1"/>
      <w:numFmt w:val="decimal"/>
      <w:lvlText w:val="(%1)."/>
      <w:lvlJc w:val="left"/>
      <w:pPr>
        <w:ind w:left="545" w:hanging="440"/>
      </w:pPr>
      <w:rPr>
        <w:rFonts w:hint="eastAsia" w:asciiTheme="majorEastAsia" w:hAnsiTheme="majorEastAsia" w:eastAsia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83">
    <w:nsid w:val="2AF651E5"/>
    <w:multiLevelType w:val="multilevel"/>
    <w:tmpl w:val="2AF651E5"/>
    <w:lvl w:ilvl="0" w:tentative="0">
      <w:start w:val="1"/>
      <w:numFmt w:val="decimal"/>
      <w:suff w:val="nothing"/>
      <w:lvlText w:val="(%1). "/>
      <w:lvlJc w:val="left"/>
      <w:pPr>
        <w:ind w:left="420" w:hanging="420"/>
      </w:pPr>
      <w:rPr>
        <w:rFonts w:hint="eastAsia" w:ascii="宋体" w:hAnsi="宋体" w:eastAsia="宋体"/>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4">
    <w:nsid w:val="2B2B5004"/>
    <w:multiLevelType w:val="multilevel"/>
    <w:tmpl w:val="2B2B5004"/>
    <w:lvl w:ilvl="0" w:tentative="0">
      <w:start w:val="1"/>
      <w:numFmt w:val="decimal"/>
      <w:lvlText w:val="(%1)."/>
      <w:lvlJc w:val="left"/>
      <w:pPr>
        <w:ind w:left="440" w:hanging="440"/>
      </w:pPr>
      <w:rPr>
        <w:rFonts w:hint="eastAsia" w:asciiTheme="majorEastAsia" w:hAnsiTheme="majorEastAsia" w:eastAsia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5">
    <w:nsid w:val="2D770D1F"/>
    <w:multiLevelType w:val="multilevel"/>
    <w:tmpl w:val="2D770D1F"/>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6">
    <w:nsid w:val="31AE169F"/>
    <w:multiLevelType w:val="multilevel"/>
    <w:tmpl w:val="31AE169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7">
    <w:nsid w:val="32946081"/>
    <w:multiLevelType w:val="multilevel"/>
    <w:tmpl w:val="32946081"/>
    <w:lvl w:ilvl="0" w:tentative="0">
      <w:start w:val="1"/>
      <w:numFmt w:val="decimal"/>
      <w:lvlText w:val="(%1)."/>
      <w:lvlJc w:val="left"/>
      <w:pPr>
        <w:ind w:left="425" w:hanging="425"/>
      </w:pPr>
      <w:rPr>
        <w:rFonts w:hint="eastAsia"/>
        <w:color w:val="auto"/>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8">
    <w:nsid w:val="36E41DBC"/>
    <w:multiLevelType w:val="multilevel"/>
    <w:tmpl w:val="36E41DBC"/>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9">
    <w:nsid w:val="3D999033"/>
    <w:multiLevelType w:val="multilevel"/>
    <w:tmpl w:val="3D99903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0">
    <w:nsid w:val="3E8F9C8D"/>
    <w:multiLevelType w:val="multilevel"/>
    <w:tmpl w:val="3E8F9C8D"/>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567" w:hanging="567"/>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1">
    <w:nsid w:val="42185A15"/>
    <w:multiLevelType w:val="multilevel"/>
    <w:tmpl w:val="42185A15"/>
    <w:lvl w:ilvl="0" w:tentative="0">
      <w:start w:val="1"/>
      <w:numFmt w:val="decimal"/>
      <w:lvlText w:val="(%1)."/>
      <w:lvlJc w:val="left"/>
      <w:pPr>
        <w:ind w:left="440" w:hanging="440"/>
      </w:pPr>
      <w:rPr>
        <w:rFonts w:hint="eastAsia" w:asciiTheme="minorEastAsia" w:hAnsiTheme="minorEastAsia" w:eastAsia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2">
    <w:nsid w:val="435AA6C4"/>
    <w:multiLevelType w:val="multilevel"/>
    <w:tmpl w:val="435AA6C4"/>
    <w:lvl w:ilvl="0" w:tentative="0">
      <w:start w:val="1"/>
      <w:numFmt w:val="decimal"/>
      <w:suff w:val="space"/>
      <w:lvlText w:val="(%1)."/>
      <w:lvlJc w:val="left"/>
      <w:pPr>
        <w:ind w:left="360" w:hanging="360"/>
      </w:pPr>
      <w:rPr>
        <w:rFonts w:hint="eastAsia" w:eastAsia="宋体" w:asciiTheme="majorEastAsia" w:hAnsiTheme="maj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3">
    <w:nsid w:val="4610EF93"/>
    <w:multiLevelType w:val="multilevel"/>
    <w:tmpl w:val="4610EF93"/>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suff w:val="nothing"/>
      <w:lvlText w:val="(%4)."/>
      <w:lvlJc w:val="left"/>
      <w:pPr>
        <w:ind w:left="0" w:firstLine="0"/>
      </w:pPr>
      <w:rPr>
        <w:rFonts w:hint="eastAsia" w:ascii="宋体" w:hAnsi="宋体" w:eastAsia="宋体"/>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94">
    <w:nsid w:val="47102C85"/>
    <w:multiLevelType w:val="multilevel"/>
    <w:tmpl w:val="47102C85"/>
    <w:lvl w:ilvl="0" w:tentative="0">
      <w:start w:val="1"/>
      <w:numFmt w:val="decimal"/>
      <w:lvlText w:val="(%1)."/>
      <w:lvlJc w:val="left"/>
      <w:pPr>
        <w:ind w:left="440" w:hanging="440"/>
      </w:pPr>
      <w:rPr>
        <w:rFonts w:hint="eastAsia" w:asciiTheme="minorEastAsia" w:hAnsiTheme="minorEastAsia" w:eastAsia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5">
    <w:nsid w:val="47C90F5B"/>
    <w:multiLevelType w:val="multilevel"/>
    <w:tmpl w:val="47C90F5B"/>
    <w:lvl w:ilvl="0" w:tentative="0">
      <w:start w:val="1"/>
      <w:numFmt w:val="decimal"/>
      <w:lvlText w:val="(%1)."/>
      <w:lvlJc w:val="left"/>
      <w:pPr>
        <w:ind w:left="440" w:hanging="440"/>
      </w:pPr>
      <w:rPr>
        <w:rFonts w:hint="eastAsia" w:asciiTheme="minorEastAsia" w:hAnsiTheme="minorEastAsia" w:eastAsia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6">
    <w:nsid w:val="4856F484"/>
    <w:multiLevelType w:val="multilevel"/>
    <w:tmpl w:val="4856F484"/>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chineseCountingThousand"/>
      <w:suff w:val="space"/>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7">
    <w:nsid w:val="4B9BDDF5"/>
    <w:multiLevelType w:val="multilevel"/>
    <w:tmpl w:val="4B9BDDF5"/>
    <w:lvl w:ilvl="0" w:tentative="0">
      <w:start w:val="1"/>
      <w:numFmt w:val="decimal"/>
      <w:suff w:val="space"/>
      <w:lvlText w:val="(%1)."/>
      <w:lvlJc w:val="left"/>
      <w:pPr>
        <w:ind w:left="435" w:hanging="435"/>
      </w:pPr>
      <w:rPr>
        <w:rFonts w:hint="eastAsia" w:eastAsia="宋体" w:asciiTheme="majorEastAsia" w:hAnsiTheme="maj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8">
    <w:nsid w:val="4CEF7978"/>
    <w:multiLevelType w:val="multilevel"/>
    <w:tmpl w:val="4CEF7978"/>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9">
    <w:nsid w:val="4DDC22D8"/>
    <w:multiLevelType w:val="multilevel"/>
    <w:tmpl w:val="4DDC22D8"/>
    <w:lvl w:ilvl="0" w:tentative="0">
      <w:start w:val="1"/>
      <w:numFmt w:val="decimal"/>
      <w:suff w:val="space"/>
      <w:lvlText w:val="%1、 "/>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0">
    <w:nsid w:val="508C496B"/>
    <w:multiLevelType w:val="multilevel"/>
    <w:tmpl w:val="508C496B"/>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1">
    <w:nsid w:val="50B34A5B"/>
    <w:multiLevelType w:val="multilevel"/>
    <w:tmpl w:val="50B34A5B"/>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2">
    <w:nsid w:val="5342B781"/>
    <w:multiLevelType w:val="multilevel"/>
    <w:tmpl w:val="5342B781"/>
    <w:lvl w:ilvl="0" w:tentative="0">
      <w:start w:val="1"/>
      <w:numFmt w:val="chineseCountingThousand"/>
      <w:lvlText w:val="(%1)"/>
      <w:lvlJc w:val="left"/>
      <w:pPr>
        <w:ind w:left="0" w:firstLine="0"/>
      </w:pPr>
      <w:rPr>
        <w:rFonts w:hint="default"/>
      </w:rPr>
    </w:lvl>
    <w:lvl w:ilvl="1" w:tentative="0">
      <w:start w:val="1"/>
      <w:numFmt w:val="chineseCountingThousand"/>
      <w:suff w:val="space"/>
      <w:lvlText w:val="(%2)"/>
      <w:lvlJc w:val="left"/>
      <w:pPr>
        <w:ind w:left="0" w:firstLine="0"/>
      </w:pPr>
      <w:rPr>
        <w:rFonts w:hint="eastAsia"/>
      </w:rPr>
    </w:lvl>
    <w:lvl w:ilvl="2" w:tentative="0">
      <w:start w:val="1"/>
      <w:numFmt w:val="chineseCountingThousand"/>
      <w:suff w:val="space"/>
      <w:lvlText w:val="(%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03">
    <w:nsid w:val="54CCFF9A"/>
    <w:multiLevelType w:val="multilevel"/>
    <w:tmpl w:val="54CCFF9A"/>
    <w:lvl w:ilvl="0" w:tentative="0">
      <w:start w:val="1"/>
      <w:numFmt w:val="decimal"/>
      <w:suff w:val="space"/>
      <w:lvlText w:val="%1、 "/>
      <w:lvlJc w:val="left"/>
      <w:pPr>
        <w:ind w:left="440" w:hanging="440"/>
      </w:pPr>
      <w:rPr>
        <w:rFonts w:hint="eastAsia" w:ascii="宋体" w:hAnsi="宋体" w:eastAsia="宋体"/>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4">
    <w:nsid w:val="5825E07B"/>
    <w:multiLevelType w:val="multilevel"/>
    <w:tmpl w:val="5825E07B"/>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5">
    <w:nsid w:val="59654876"/>
    <w:multiLevelType w:val="multilevel"/>
    <w:tmpl w:val="59654876"/>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6">
    <w:nsid w:val="5B84F552"/>
    <w:multiLevelType w:val="multilevel"/>
    <w:tmpl w:val="5B84F552"/>
    <w:lvl w:ilvl="0" w:tentative="0">
      <w:start w:val="1"/>
      <w:numFmt w:val="decimal"/>
      <w:lvlText w:val="%1、"/>
      <w:lvlJc w:val="left"/>
      <w:pPr>
        <w:ind w:left="420" w:hanging="420"/>
      </w:pPr>
      <w:rPr>
        <w:rFonts w:hint="eastAsia" w:eastAsia="宋体" w:asciiTheme="majorEastAsia" w:hAnsiTheme="majorEastAsia"/>
        <w:b/>
      </w:rPr>
    </w:lvl>
    <w:lvl w:ilvl="1" w:tentative="0">
      <w:start w:val="1"/>
      <w:numFmt w:val="decimal"/>
      <w:suff w:val="nothing"/>
      <w:lvlText w:val="%2、"/>
      <w:lvlJc w:val="left"/>
      <w:pPr>
        <w:ind w:left="840" w:hanging="420"/>
      </w:pPr>
      <w:rPr>
        <w:rFonts w:hint="eastAsia" w:asciiTheme="minorEastAsia" w:hAnsiTheme="minorEastAsia" w:eastAsiaTheme="minorEastAsia"/>
        <w:b/>
      </w:rPr>
    </w:lvl>
    <w:lvl w:ilvl="2" w:tentative="0">
      <w:start w:val="1"/>
      <w:numFmt w:val="decimal"/>
      <w:lvlText w:val="%3."/>
      <w:lvlJc w:val="left"/>
      <w:pPr>
        <w:ind w:left="1260" w:hanging="420"/>
      </w:pPr>
      <w:rPr>
        <w:rFonts w:hint="eastAsia"/>
      </w:rPr>
    </w:lvl>
    <w:lvl w:ilvl="3" w:tentative="0">
      <w:start w:val="1"/>
      <w:numFmt w:val="decimal"/>
      <w:lvlText w:val="(%4)"/>
      <w:lvlJc w:val="left"/>
      <w:pPr>
        <w:ind w:left="1620" w:hanging="360"/>
      </w:pPr>
      <w:rPr>
        <w:rFonts w:hint="default"/>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7">
    <w:nsid w:val="5BB3F326"/>
    <w:multiLevelType w:val="multilevel"/>
    <w:tmpl w:val="5BB3F326"/>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4112"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8">
    <w:nsid w:val="623E5EB7"/>
    <w:multiLevelType w:val="multilevel"/>
    <w:tmpl w:val="623E5EB7"/>
    <w:lvl w:ilvl="0" w:tentative="0">
      <w:start w:val="1"/>
      <w:numFmt w:val="decimal"/>
      <w:lvlText w:val="(%1)."/>
      <w:lvlJc w:val="left"/>
      <w:pPr>
        <w:ind w:left="420" w:hanging="420"/>
      </w:pPr>
      <w:rPr>
        <w:rFonts w:hint="eastAsia" w:asciiTheme="majorEastAsia" w:hAnsiTheme="majorEastAsia" w:eastAsiaTheme="major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9">
    <w:nsid w:val="63C25BDC"/>
    <w:multiLevelType w:val="multilevel"/>
    <w:tmpl w:val="63C25BDC"/>
    <w:lvl w:ilvl="0" w:tentative="0">
      <w:start w:val="1"/>
      <w:numFmt w:val="decimal"/>
      <w:lvlText w:val="(%1). "/>
      <w:lvlJc w:val="left"/>
      <w:pPr>
        <w:ind w:left="425" w:hanging="425"/>
      </w:pPr>
      <w:rPr>
        <w:rFonts w:hint="eastAsia" w:ascii="宋体" w:hAnsi="宋体" w:eastAsia="宋体"/>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0">
    <w:nsid w:val="650CEFA9"/>
    <w:multiLevelType w:val="multilevel"/>
    <w:tmpl w:val="650CEFA9"/>
    <w:lvl w:ilvl="0" w:tentative="0">
      <w:start w:val="1"/>
      <w:numFmt w:val="decimal"/>
      <w:suff w:val="space"/>
      <w:lvlText w:val="%1、 "/>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1">
    <w:nsid w:val="69A45905"/>
    <w:multiLevelType w:val="multilevel"/>
    <w:tmpl w:val="69A45905"/>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2">
    <w:nsid w:val="6A75A70D"/>
    <w:multiLevelType w:val="multilevel"/>
    <w:tmpl w:val="6A75A70D"/>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3">
    <w:nsid w:val="6DC5D288"/>
    <w:multiLevelType w:val="multilevel"/>
    <w:tmpl w:val="6DC5D288"/>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4">
    <w:nsid w:val="6F7C0FB3"/>
    <w:multiLevelType w:val="multilevel"/>
    <w:tmpl w:val="6F7C0FB3"/>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5">
    <w:nsid w:val="702E829C"/>
    <w:multiLevelType w:val="multilevel"/>
    <w:tmpl w:val="702E829C"/>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16">
    <w:nsid w:val="74916256"/>
    <w:multiLevelType w:val="multilevel"/>
    <w:tmpl w:val="74916256"/>
    <w:lvl w:ilvl="0" w:tentative="0">
      <w:start w:val="1"/>
      <w:numFmt w:val="chineseCountingThousand"/>
      <w:suff w:val="space"/>
      <w:lvlText w:val="(%1)"/>
      <w:lvlJc w:val="left"/>
      <w:pPr>
        <w:ind w:left="420" w:hanging="420"/>
      </w:pPr>
      <w:rPr>
        <w:rFonts w:hint="eastAsia"/>
      </w:rPr>
    </w:lvl>
    <w:lvl w:ilvl="1" w:tentative="0">
      <w:start w:val="1"/>
      <w:numFmt w:val="decimal"/>
      <w:lvlText w:val="(%2). "/>
      <w:lvlJc w:val="left"/>
      <w:pPr>
        <w:ind w:left="840" w:hanging="420"/>
      </w:pPr>
      <w:rPr>
        <w:rFonts w:hint="eastAsia"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7">
    <w:nsid w:val="74EE8515"/>
    <w:multiLevelType w:val="multilevel"/>
    <w:tmpl w:val="74EE8515"/>
    <w:lvl w:ilvl="0" w:tentative="0">
      <w:start w:val="1"/>
      <w:numFmt w:val="decimal"/>
      <w:lvlText w:val="%1、"/>
      <w:lvlJc w:val="left"/>
      <w:pPr>
        <w:ind w:left="420" w:hanging="420"/>
      </w:pPr>
      <w:rPr>
        <w:rFonts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8">
    <w:nsid w:val="7504A67D"/>
    <w:multiLevelType w:val="multilevel"/>
    <w:tmpl w:val="7504A67D"/>
    <w:lvl w:ilvl="0" w:tentative="0">
      <w:start w:val="1"/>
      <w:numFmt w:val="decimal"/>
      <w:lvlText w:val="(%1). "/>
      <w:lvlJc w:val="left"/>
      <w:pPr>
        <w:ind w:left="704"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9">
    <w:nsid w:val="7957B622"/>
    <w:multiLevelType w:val="multilevel"/>
    <w:tmpl w:val="7957B622"/>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20">
    <w:nsid w:val="795B3C8E"/>
    <w:multiLevelType w:val="multilevel"/>
    <w:tmpl w:val="795B3C8E"/>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1">
    <w:nsid w:val="795C878B"/>
    <w:multiLevelType w:val="multilevel"/>
    <w:tmpl w:val="795C878B"/>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22">
    <w:nsid w:val="7FA451C9"/>
    <w:multiLevelType w:val="multilevel"/>
    <w:tmpl w:val="7FA451C9"/>
    <w:lvl w:ilvl="0" w:tentative="0">
      <w:start w:val="1"/>
      <w:numFmt w:val="decimal"/>
      <w:lvlText w:val="1.%1"/>
      <w:lvlJc w:val="left"/>
      <w:pPr>
        <w:ind w:left="84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2"/>
  </w:num>
  <w:num w:numId="2">
    <w:abstractNumId w:val="34"/>
  </w:num>
  <w:num w:numId="3">
    <w:abstractNumId w:val="45"/>
  </w:num>
  <w:num w:numId="4">
    <w:abstractNumId w:val="70"/>
  </w:num>
  <w:num w:numId="5">
    <w:abstractNumId w:val="102"/>
  </w:num>
  <w:num w:numId="6">
    <w:abstractNumId w:val="52"/>
  </w:num>
  <w:num w:numId="7">
    <w:abstractNumId w:val="64"/>
  </w:num>
  <w:num w:numId="8">
    <w:abstractNumId w:val="106"/>
  </w:num>
  <w:num w:numId="9">
    <w:abstractNumId w:val="19"/>
  </w:num>
  <w:num w:numId="10">
    <w:abstractNumId w:val="108"/>
  </w:num>
  <w:num w:numId="11">
    <w:abstractNumId w:val="76"/>
  </w:num>
  <w:num w:numId="12">
    <w:abstractNumId w:val="1"/>
  </w:num>
  <w:num w:numId="13">
    <w:abstractNumId w:val="114"/>
  </w:num>
  <w:num w:numId="14">
    <w:abstractNumId w:val="85"/>
  </w:num>
  <w:num w:numId="15">
    <w:abstractNumId w:val="63"/>
  </w:num>
  <w:num w:numId="16">
    <w:abstractNumId w:val="28"/>
  </w:num>
  <w:num w:numId="17">
    <w:abstractNumId w:val="88"/>
  </w:num>
  <w:num w:numId="18">
    <w:abstractNumId w:val="5"/>
  </w:num>
  <w:num w:numId="19">
    <w:abstractNumId w:val="13"/>
  </w:num>
  <w:num w:numId="20">
    <w:abstractNumId w:val="54"/>
  </w:num>
  <w:num w:numId="21">
    <w:abstractNumId w:val="17"/>
  </w:num>
  <w:num w:numId="22">
    <w:abstractNumId w:val="51"/>
  </w:num>
  <w:num w:numId="23">
    <w:abstractNumId w:val="78"/>
  </w:num>
  <w:num w:numId="24">
    <w:abstractNumId w:val="16"/>
  </w:num>
  <w:num w:numId="25">
    <w:abstractNumId w:val="72"/>
  </w:num>
  <w:num w:numId="26">
    <w:abstractNumId w:val="26"/>
  </w:num>
  <w:num w:numId="27">
    <w:abstractNumId w:val="18"/>
  </w:num>
  <w:num w:numId="28">
    <w:abstractNumId w:val="59"/>
  </w:num>
  <w:num w:numId="29">
    <w:abstractNumId w:val="41"/>
  </w:num>
  <w:num w:numId="30">
    <w:abstractNumId w:val="120"/>
  </w:num>
  <w:num w:numId="31">
    <w:abstractNumId w:val="9"/>
  </w:num>
  <w:num w:numId="32">
    <w:abstractNumId w:val="119"/>
  </w:num>
  <w:num w:numId="33">
    <w:abstractNumId w:val="80"/>
  </w:num>
  <w:num w:numId="34">
    <w:abstractNumId w:val="96"/>
  </w:num>
  <w:num w:numId="35">
    <w:abstractNumId w:val="79"/>
  </w:num>
  <w:num w:numId="36">
    <w:abstractNumId w:val="113"/>
  </w:num>
  <w:num w:numId="37">
    <w:abstractNumId w:val="99"/>
  </w:num>
  <w:num w:numId="38">
    <w:abstractNumId w:val="6"/>
  </w:num>
  <w:num w:numId="39">
    <w:abstractNumId w:val="95"/>
  </w:num>
  <w:num w:numId="40">
    <w:abstractNumId w:val="33"/>
  </w:num>
  <w:num w:numId="41">
    <w:abstractNumId w:val="122"/>
  </w:num>
  <w:num w:numId="42">
    <w:abstractNumId w:val="48"/>
  </w:num>
  <w:num w:numId="43">
    <w:abstractNumId w:val="32"/>
  </w:num>
  <w:num w:numId="44">
    <w:abstractNumId w:val="38"/>
  </w:num>
  <w:num w:numId="45">
    <w:abstractNumId w:val="66"/>
  </w:num>
  <w:num w:numId="46">
    <w:abstractNumId w:val="110"/>
  </w:num>
  <w:num w:numId="47">
    <w:abstractNumId w:val="100"/>
  </w:num>
  <w:num w:numId="48">
    <w:abstractNumId w:val="89"/>
  </w:num>
  <w:num w:numId="49">
    <w:abstractNumId w:val="35"/>
  </w:num>
  <w:num w:numId="50">
    <w:abstractNumId w:val="11"/>
  </w:num>
  <w:num w:numId="51">
    <w:abstractNumId w:val="107"/>
  </w:num>
  <w:num w:numId="52">
    <w:abstractNumId w:val="20"/>
  </w:num>
  <w:num w:numId="53">
    <w:abstractNumId w:val="21"/>
  </w:num>
  <w:num w:numId="54">
    <w:abstractNumId w:val="117"/>
  </w:num>
  <w:num w:numId="55">
    <w:abstractNumId w:val="14"/>
  </w:num>
  <w:num w:numId="56">
    <w:abstractNumId w:val="40"/>
  </w:num>
  <w:num w:numId="57">
    <w:abstractNumId w:val="39"/>
  </w:num>
  <w:num w:numId="58">
    <w:abstractNumId w:val="97"/>
  </w:num>
  <w:num w:numId="59">
    <w:abstractNumId w:val="3"/>
  </w:num>
  <w:num w:numId="60">
    <w:abstractNumId w:val="94"/>
  </w:num>
  <w:num w:numId="61">
    <w:abstractNumId w:val="12"/>
  </w:num>
  <w:num w:numId="62">
    <w:abstractNumId w:val="77"/>
  </w:num>
  <w:num w:numId="63">
    <w:abstractNumId w:val="31"/>
  </w:num>
  <w:num w:numId="64">
    <w:abstractNumId w:val="86"/>
  </w:num>
  <w:num w:numId="65">
    <w:abstractNumId w:val="60"/>
  </w:num>
  <w:num w:numId="66">
    <w:abstractNumId w:val="42"/>
  </w:num>
  <w:num w:numId="67">
    <w:abstractNumId w:val="84"/>
  </w:num>
  <w:num w:numId="68">
    <w:abstractNumId w:val="121"/>
  </w:num>
  <w:num w:numId="69">
    <w:abstractNumId w:val="68"/>
  </w:num>
  <w:num w:numId="70">
    <w:abstractNumId w:val="67"/>
  </w:num>
  <w:num w:numId="71">
    <w:abstractNumId w:val="2"/>
  </w:num>
  <w:num w:numId="72">
    <w:abstractNumId w:val="58"/>
  </w:num>
  <w:num w:numId="73">
    <w:abstractNumId w:val="15"/>
  </w:num>
  <w:num w:numId="74">
    <w:abstractNumId w:val="81"/>
  </w:num>
  <w:num w:numId="75">
    <w:abstractNumId w:val="0"/>
  </w:num>
  <w:num w:numId="76">
    <w:abstractNumId w:val="56"/>
  </w:num>
  <w:num w:numId="77">
    <w:abstractNumId w:val="55"/>
  </w:num>
  <w:num w:numId="78">
    <w:abstractNumId w:val="47"/>
  </w:num>
  <w:num w:numId="79">
    <w:abstractNumId w:val="109"/>
  </w:num>
  <w:num w:numId="80">
    <w:abstractNumId w:val="83"/>
  </w:num>
  <w:num w:numId="81">
    <w:abstractNumId w:val="8"/>
  </w:num>
  <w:num w:numId="82">
    <w:abstractNumId w:val="101"/>
  </w:num>
  <w:num w:numId="83">
    <w:abstractNumId w:val="65"/>
  </w:num>
  <w:num w:numId="84">
    <w:abstractNumId w:val="118"/>
  </w:num>
  <w:num w:numId="85">
    <w:abstractNumId w:val="23"/>
  </w:num>
  <w:num w:numId="86">
    <w:abstractNumId w:val="74"/>
  </w:num>
  <w:num w:numId="87">
    <w:abstractNumId w:val="82"/>
  </w:num>
  <w:num w:numId="88">
    <w:abstractNumId w:val="4"/>
  </w:num>
  <w:num w:numId="89">
    <w:abstractNumId w:val="53"/>
  </w:num>
  <w:num w:numId="90">
    <w:abstractNumId w:val="22"/>
  </w:num>
  <w:num w:numId="91">
    <w:abstractNumId w:val="49"/>
  </w:num>
  <w:num w:numId="92">
    <w:abstractNumId w:val="27"/>
  </w:num>
  <w:num w:numId="93">
    <w:abstractNumId w:val="112"/>
  </w:num>
  <w:num w:numId="94">
    <w:abstractNumId w:val="103"/>
  </w:num>
  <w:num w:numId="95">
    <w:abstractNumId w:val="98"/>
  </w:num>
  <w:num w:numId="96">
    <w:abstractNumId w:val="37"/>
  </w:num>
  <w:num w:numId="97">
    <w:abstractNumId w:val="93"/>
  </w:num>
  <w:num w:numId="98">
    <w:abstractNumId w:val="115"/>
  </w:num>
  <w:num w:numId="99">
    <w:abstractNumId w:val="69"/>
  </w:num>
  <w:num w:numId="100">
    <w:abstractNumId w:val="50"/>
  </w:num>
  <w:num w:numId="101">
    <w:abstractNumId w:val="44"/>
  </w:num>
  <w:num w:numId="102">
    <w:abstractNumId w:val="92"/>
  </w:num>
  <w:num w:numId="103">
    <w:abstractNumId w:val="75"/>
  </w:num>
  <w:num w:numId="104">
    <w:abstractNumId w:val="73"/>
  </w:num>
  <w:num w:numId="105">
    <w:abstractNumId w:val="71"/>
  </w:num>
  <w:num w:numId="106">
    <w:abstractNumId w:val="25"/>
  </w:num>
  <w:num w:numId="107">
    <w:abstractNumId w:val="30"/>
  </w:num>
  <w:num w:numId="108">
    <w:abstractNumId w:val="57"/>
  </w:num>
  <w:num w:numId="109">
    <w:abstractNumId w:val="36"/>
  </w:num>
  <w:num w:numId="110">
    <w:abstractNumId w:val="111"/>
  </w:num>
  <w:num w:numId="111">
    <w:abstractNumId w:val="104"/>
  </w:num>
  <w:num w:numId="112">
    <w:abstractNumId w:val="24"/>
  </w:num>
  <w:num w:numId="113">
    <w:abstractNumId w:val="105"/>
  </w:num>
  <w:num w:numId="114">
    <w:abstractNumId w:val="46"/>
  </w:num>
  <w:num w:numId="115">
    <w:abstractNumId w:val="116"/>
  </w:num>
  <w:num w:numId="116">
    <w:abstractNumId w:val="10"/>
  </w:num>
  <w:num w:numId="117">
    <w:abstractNumId w:val="43"/>
  </w:num>
  <w:num w:numId="118">
    <w:abstractNumId w:val="29"/>
  </w:num>
  <w:num w:numId="119">
    <w:abstractNumId w:val="91"/>
  </w:num>
  <w:num w:numId="120">
    <w:abstractNumId w:val="61"/>
  </w:num>
  <w:num w:numId="121">
    <w:abstractNumId w:val="87"/>
  </w:num>
  <w:num w:numId="122">
    <w:abstractNumId w:val="90"/>
  </w:num>
  <w:num w:numId="1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attachedTemplate r:id="rId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isclosure_Version" w:val="true"/>
    <w:docVar w:name="fix_control_content_version" w:val="1.0"/>
    <w:docVar w:name="RemovedBindingXPath" w:val="true"/>
    <w:docVar w:name="RemoveRepeatedWord" w:val="true"/>
  </w:docVars>
  <w:rsids>
    <w:rsidRoot w:val="0069678B"/>
    <w:rsid w:val="000116AA"/>
    <w:rsid w:val="000220BA"/>
    <w:rsid w:val="00030A6F"/>
    <w:rsid w:val="0003350C"/>
    <w:rsid w:val="00034C72"/>
    <w:rsid w:val="00037C21"/>
    <w:rsid w:val="0004725E"/>
    <w:rsid w:val="000476D4"/>
    <w:rsid w:val="000636BA"/>
    <w:rsid w:val="00084736"/>
    <w:rsid w:val="0008504A"/>
    <w:rsid w:val="000866CF"/>
    <w:rsid w:val="00087B64"/>
    <w:rsid w:val="00091094"/>
    <w:rsid w:val="000A5166"/>
    <w:rsid w:val="000C2021"/>
    <w:rsid w:val="000C2678"/>
    <w:rsid w:val="000C294E"/>
    <w:rsid w:val="000D238C"/>
    <w:rsid w:val="000E6EF1"/>
    <w:rsid w:val="000F50BE"/>
    <w:rsid w:val="000F6100"/>
    <w:rsid w:val="00106E49"/>
    <w:rsid w:val="0011064A"/>
    <w:rsid w:val="00110700"/>
    <w:rsid w:val="0011737D"/>
    <w:rsid w:val="001271FF"/>
    <w:rsid w:val="0014430B"/>
    <w:rsid w:val="00150184"/>
    <w:rsid w:val="00154C64"/>
    <w:rsid w:val="00163297"/>
    <w:rsid w:val="001716B3"/>
    <w:rsid w:val="00174941"/>
    <w:rsid w:val="001865C6"/>
    <w:rsid w:val="0018676C"/>
    <w:rsid w:val="001A66C7"/>
    <w:rsid w:val="001A7A71"/>
    <w:rsid w:val="001B71B4"/>
    <w:rsid w:val="001F07ED"/>
    <w:rsid w:val="001F489D"/>
    <w:rsid w:val="002064AA"/>
    <w:rsid w:val="00223658"/>
    <w:rsid w:val="00224329"/>
    <w:rsid w:val="0022459D"/>
    <w:rsid w:val="002849DE"/>
    <w:rsid w:val="002D2717"/>
    <w:rsid w:val="002D411E"/>
    <w:rsid w:val="002F1B38"/>
    <w:rsid w:val="00350BE1"/>
    <w:rsid w:val="003643A6"/>
    <w:rsid w:val="0036602D"/>
    <w:rsid w:val="003705CF"/>
    <w:rsid w:val="0037255D"/>
    <w:rsid w:val="00396911"/>
    <w:rsid w:val="00397938"/>
    <w:rsid w:val="003B21D8"/>
    <w:rsid w:val="003D3186"/>
    <w:rsid w:val="003D369E"/>
    <w:rsid w:val="003E60F4"/>
    <w:rsid w:val="003E6189"/>
    <w:rsid w:val="00400572"/>
    <w:rsid w:val="00430DD0"/>
    <w:rsid w:val="004624FD"/>
    <w:rsid w:val="00484BD0"/>
    <w:rsid w:val="004A7B68"/>
    <w:rsid w:val="004C1C68"/>
    <w:rsid w:val="004C7766"/>
    <w:rsid w:val="004D00B5"/>
    <w:rsid w:val="004D39A2"/>
    <w:rsid w:val="004F6247"/>
    <w:rsid w:val="005252B5"/>
    <w:rsid w:val="00532190"/>
    <w:rsid w:val="005335C9"/>
    <w:rsid w:val="00541E1B"/>
    <w:rsid w:val="0055210E"/>
    <w:rsid w:val="00552833"/>
    <w:rsid w:val="00576BFC"/>
    <w:rsid w:val="005804AF"/>
    <w:rsid w:val="005B4EC4"/>
    <w:rsid w:val="005D0A29"/>
    <w:rsid w:val="005E35E1"/>
    <w:rsid w:val="005E708A"/>
    <w:rsid w:val="00605780"/>
    <w:rsid w:val="00607E8B"/>
    <w:rsid w:val="0061707E"/>
    <w:rsid w:val="00635F8E"/>
    <w:rsid w:val="00650EE6"/>
    <w:rsid w:val="00653488"/>
    <w:rsid w:val="00667EA4"/>
    <w:rsid w:val="00677502"/>
    <w:rsid w:val="00686F80"/>
    <w:rsid w:val="006916FF"/>
    <w:rsid w:val="00694CDB"/>
    <w:rsid w:val="0069678B"/>
    <w:rsid w:val="006B16C7"/>
    <w:rsid w:val="006D60A2"/>
    <w:rsid w:val="006E2F5F"/>
    <w:rsid w:val="006E4223"/>
    <w:rsid w:val="006E468E"/>
    <w:rsid w:val="00720545"/>
    <w:rsid w:val="007378AC"/>
    <w:rsid w:val="00741F15"/>
    <w:rsid w:val="00754734"/>
    <w:rsid w:val="007550C4"/>
    <w:rsid w:val="0077215E"/>
    <w:rsid w:val="007808B5"/>
    <w:rsid w:val="00791B1B"/>
    <w:rsid w:val="00797108"/>
    <w:rsid w:val="007A125D"/>
    <w:rsid w:val="007A133D"/>
    <w:rsid w:val="007A7637"/>
    <w:rsid w:val="007F7903"/>
    <w:rsid w:val="00801E86"/>
    <w:rsid w:val="008035A1"/>
    <w:rsid w:val="00805639"/>
    <w:rsid w:val="00805AD8"/>
    <w:rsid w:val="008318C7"/>
    <w:rsid w:val="00833BD3"/>
    <w:rsid w:val="00834444"/>
    <w:rsid w:val="00835159"/>
    <w:rsid w:val="008511D4"/>
    <w:rsid w:val="00876698"/>
    <w:rsid w:val="00886B16"/>
    <w:rsid w:val="008967DC"/>
    <w:rsid w:val="008B5C21"/>
    <w:rsid w:val="008C01B2"/>
    <w:rsid w:val="008D0B15"/>
    <w:rsid w:val="008D1B1F"/>
    <w:rsid w:val="008D4DFC"/>
    <w:rsid w:val="008D58AF"/>
    <w:rsid w:val="008E3B58"/>
    <w:rsid w:val="00904E4D"/>
    <w:rsid w:val="00913440"/>
    <w:rsid w:val="00923465"/>
    <w:rsid w:val="00943592"/>
    <w:rsid w:val="009444F6"/>
    <w:rsid w:val="009470F4"/>
    <w:rsid w:val="00965051"/>
    <w:rsid w:val="00965FE0"/>
    <w:rsid w:val="0097563F"/>
    <w:rsid w:val="00982371"/>
    <w:rsid w:val="00991B39"/>
    <w:rsid w:val="009C4F74"/>
    <w:rsid w:val="009D0019"/>
    <w:rsid w:val="009D5A70"/>
    <w:rsid w:val="00A018AF"/>
    <w:rsid w:val="00A23C47"/>
    <w:rsid w:val="00A31BDF"/>
    <w:rsid w:val="00A37F9D"/>
    <w:rsid w:val="00A53C3B"/>
    <w:rsid w:val="00A7489E"/>
    <w:rsid w:val="00AA7013"/>
    <w:rsid w:val="00AB4311"/>
    <w:rsid w:val="00AB47BD"/>
    <w:rsid w:val="00AE26F8"/>
    <w:rsid w:val="00AF2E35"/>
    <w:rsid w:val="00B143CF"/>
    <w:rsid w:val="00B244D8"/>
    <w:rsid w:val="00B656C3"/>
    <w:rsid w:val="00B706AB"/>
    <w:rsid w:val="00B71CDD"/>
    <w:rsid w:val="00B76E58"/>
    <w:rsid w:val="00B962E5"/>
    <w:rsid w:val="00BA5B4B"/>
    <w:rsid w:val="00BB0520"/>
    <w:rsid w:val="00BC4A29"/>
    <w:rsid w:val="00BD01A0"/>
    <w:rsid w:val="00BE4E5A"/>
    <w:rsid w:val="00BE7800"/>
    <w:rsid w:val="00BF21C0"/>
    <w:rsid w:val="00BF6DB7"/>
    <w:rsid w:val="00C27025"/>
    <w:rsid w:val="00C61A07"/>
    <w:rsid w:val="00C643F1"/>
    <w:rsid w:val="00C73644"/>
    <w:rsid w:val="00C86E21"/>
    <w:rsid w:val="00C9213B"/>
    <w:rsid w:val="00CA5C1E"/>
    <w:rsid w:val="00CA5C33"/>
    <w:rsid w:val="00CB375A"/>
    <w:rsid w:val="00CB6568"/>
    <w:rsid w:val="00CB7F08"/>
    <w:rsid w:val="00CC7435"/>
    <w:rsid w:val="00CF7D70"/>
    <w:rsid w:val="00D02BDA"/>
    <w:rsid w:val="00D0624C"/>
    <w:rsid w:val="00D078C8"/>
    <w:rsid w:val="00D10251"/>
    <w:rsid w:val="00D10CF9"/>
    <w:rsid w:val="00D16766"/>
    <w:rsid w:val="00D27639"/>
    <w:rsid w:val="00D473E0"/>
    <w:rsid w:val="00D50762"/>
    <w:rsid w:val="00D51A14"/>
    <w:rsid w:val="00D61BDC"/>
    <w:rsid w:val="00D63C9A"/>
    <w:rsid w:val="00DA512A"/>
    <w:rsid w:val="00DA6F2C"/>
    <w:rsid w:val="00DC1A4B"/>
    <w:rsid w:val="00DD04EE"/>
    <w:rsid w:val="00DE7D71"/>
    <w:rsid w:val="00E01DFA"/>
    <w:rsid w:val="00E020D5"/>
    <w:rsid w:val="00E15A76"/>
    <w:rsid w:val="00E227C6"/>
    <w:rsid w:val="00E33457"/>
    <w:rsid w:val="00E36629"/>
    <w:rsid w:val="00E547E1"/>
    <w:rsid w:val="00E64C38"/>
    <w:rsid w:val="00E758E9"/>
    <w:rsid w:val="00E93100"/>
    <w:rsid w:val="00EA4F7A"/>
    <w:rsid w:val="00EB3D9C"/>
    <w:rsid w:val="00EB74B9"/>
    <w:rsid w:val="00EC11E3"/>
    <w:rsid w:val="00EC2E74"/>
    <w:rsid w:val="00EC3000"/>
    <w:rsid w:val="00EE21AC"/>
    <w:rsid w:val="00EF4BAB"/>
    <w:rsid w:val="00EF686D"/>
    <w:rsid w:val="00F00CF4"/>
    <w:rsid w:val="00F016AE"/>
    <w:rsid w:val="00F05FCD"/>
    <w:rsid w:val="00F13580"/>
    <w:rsid w:val="00F22168"/>
    <w:rsid w:val="00F27294"/>
    <w:rsid w:val="00F34B0B"/>
    <w:rsid w:val="00F350D3"/>
    <w:rsid w:val="00F53E9A"/>
    <w:rsid w:val="00F83BE3"/>
    <w:rsid w:val="00F84F53"/>
    <w:rsid w:val="00FA25F3"/>
    <w:rsid w:val="00FA560E"/>
    <w:rsid w:val="00FA59F2"/>
    <w:rsid w:val="00FB037F"/>
    <w:rsid w:val="00FB770C"/>
    <w:rsid w:val="00FB7CE5"/>
    <w:rsid w:val="00FC646F"/>
    <w:rsid w:val="00FE6F42"/>
    <w:rsid w:val="00FF3DE6"/>
    <w:rsid w:val="00FF412F"/>
    <w:rsid w:val="010C32AE"/>
    <w:rsid w:val="01210D96"/>
    <w:rsid w:val="014441C4"/>
    <w:rsid w:val="01514A76"/>
    <w:rsid w:val="01792DC2"/>
    <w:rsid w:val="01B70B7A"/>
    <w:rsid w:val="01D47366"/>
    <w:rsid w:val="0216527D"/>
    <w:rsid w:val="02614B82"/>
    <w:rsid w:val="0269207C"/>
    <w:rsid w:val="02806CC8"/>
    <w:rsid w:val="0294127D"/>
    <w:rsid w:val="029B3435"/>
    <w:rsid w:val="02DB1585"/>
    <w:rsid w:val="02EB1CAA"/>
    <w:rsid w:val="03020012"/>
    <w:rsid w:val="032E14DA"/>
    <w:rsid w:val="03C32E82"/>
    <w:rsid w:val="03CA5CD4"/>
    <w:rsid w:val="042A504B"/>
    <w:rsid w:val="045B13F3"/>
    <w:rsid w:val="046A5974"/>
    <w:rsid w:val="04774514"/>
    <w:rsid w:val="0481027C"/>
    <w:rsid w:val="04870052"/>
    <w:rsid w:val="049743C6"/>
    <w:rsid w:val="04A07605"/>
    <w:rsid w:val="05066DF9"/>
    <w:rsid w:val="050F7598"/>
    <w:rsid w:val="05214E4F"/>
    <w:rsid w:val="0525575C"/>
    <w:rsid w:val="053B2967"/>
    <w:rsid w:val="055B77D1"/>
    <w:rsid w:val="059846AD"/>
    <w:rsid w:val="05E63E66"/>
    <w:rsid w:val="05EE0C56"/>
    <w:rsid w:val="05F71046"/>
    <w:rsid w:val="06394055"/>
    <w:rsid w:val="064D6FE5"/>
    <w:rsid w:val="064F0DD4"/>
    <w:rsid w:val="068848CF"/>
    <w:rsid w:val="06A92350"/>
    <w:rsid w:val="06BD78A3"/>
    <w:rsid w:val="06D84A94"/>
    <w:rsid w:val="06DA3B66"/>
    <w:rsid w:val="071F08C2"/>
    <w:rsid w:val="072C269F"/>
    <w:rsid w:val="077B4A68"/>
    <w:rsid w:val="078E56A7"/>
    <w:rsid w:val="07B61A19"/>
    <w:rsid w:val="07B6298A"/>
    <w:rsid w:val="07DE258E"/>
    <w:rsid w:val="07E04D35"/>
    <w:rsid w:val="07EC5EE5"/>
    <w:rsid w:val="085E2BAB"/>
    <w:rsid w:val="085E6034"/>
    <w:rsid w:val="0863679D"/>
    <w:rsid w:val="08773554"/>
    <w:rsid w:val="089D1818"/>
    <w:rsid w:val="08D32C7B"/>
    <w:rsid w:val="08FA3C0A"/>
    <w:rsid w:val="096C6F66"/>
    <w:rsid w:val="096D2D02"/>
    <w:rsid w:val="0985246B"/>
    <w:rsid w:val="09990B07"/>
    <w:rsid w:val="09A80617"/>
    <w:rsid w:val="0A3C2F77"/>
    <w:rsid w:val="0A543695"/>
    <w:rsid w:val="0A921721"/>
    <w:rsid w:val="0B0E248E"/>
    <w:rsid w:val="0BEB2ABA"/>
    <w:rsid w:val="0C101120"/>
    <w:rsid w:val="0C43093C"/>
    <w:rsid w:val="0C9A2BA6"/>
    <w:rsid w:val="0CB84A74"/>
    <w:rsid w:val="0CC80C10"/>
    <w:rsid w:val="0CD92C3B"/>
    <w:rsid w:val="0CE94DB9"/>
    <w:rsid w:val="0D2E26E7"/>
    <w:rsid w:val="0D5E473C"/>
    <w:rsid w:val="0D8A7DE8"/>
    <w:rsid w:val="0E147A04"/>
    <w:rsid w:val="0E2E4210"/>
    <w:rsid w:val="0E357D34"/>
    <w:rsid w:val="0E4432E5"/>
    <w:rsid w:val="0E4570C5"/>
    <w:rsid w:val="0E5322AE"/>
    <w:rsid w:val="0E5A58B9"/>
    <w:rsid w:val="0E736AED"/>
    <w:rsid w:val="0E916F98"/>
    <w:rsid w:val="0EE15A6D"/>
    <w:rsid w:val="0F225FEB"/>
    <w:rsid w:val="0F4D6639"/>
    <w:rsid w:val="0F6E07DC"/>
    <w:rsid w:val="0FBD1938"/>
    <w:rsid w:val="0FCA15CF"/>
    <w:rsid w:val="0FE358D1"/>
    <w:rsid w:val="104E47D8"/>
    <w:rsid w:val="105E1411"/>
    <w:rsid w:val="10823A81"/>
    <w:rsid w:val="11034E85"/>
    <w:rsid w:val="112A1351"/>
    <w:rsid w:val="114E091D"/>
    <w:rsid w:val="117B1F9E"/>
    <w:rsid w:val="11940575"/>
    <w:rsid w:val="11D517FF"/>
    <w:rsid w:val="11DB04D3"/>
    <w:rsid w:val="11FA7ECB"/>
    <w:rsid w:val="121C10EB"/>
    <w:rsid w:val="126C14EF"/>
    <w:rsid w:val="12D20082"/>
    <w:rsid w:val="13365B66"/>
    <w:rsid w:val="13730C3E"/>
    <w:rsid w:val="13962FC0"/>
    <w:rsid w:val="13CB72E6"/>
    <w:rsid w:val="13F12B52"/>
    <w:rsid w:val="143B78D8"/>
    <w:rsid w:val="14494390"/>
    <w:rsid w:val="144E41F7"/>
    <w:rsid w:val="147D0250"/>
    <w:rsid w:val="14A66811"/>
    <w:rsid w:val="150B1BAC"/>
    <w:rsid w:val="15B22624"/>
    <w:rsid w:val="15B80547"/>
    <w:rsid w:val="15D114E6"/>
    <w:rsid w:val="16130B05"/>
    <w:rsid w:val="165550F2"/>
    <w:rsid w:val="16570813"/>
    <w:rsid w:val="16853A13"/>
    <w:rsid w:val="168B1D27"/>
    <w:rsid w:val="169A2CF3"/>
    <w:rsid w:val="16E56AC0"/>
    <w:rsid w:val="16E83573"/>
    <w:rsid w:val="1723236A"/>
    <w:rsid w:val="176F0389"/>
    <w:rsid w:val="179515C9"/>
    <w:rsid w:val="17D034C9"/>
    <w:rsid w:val="18003442"/>
    <w:rsid w:val="181711F6"/>
    <w:rsid w:val="18392EC6"/>
    <w:rsid w:val="187953DF"/>
    <w:rsid w:val="18B72907"/>
    <w:rsid w:val="19016917"/>
    <w:rsid w:val="191676FC"/>
    <w:rsid w:val="191C263F"/>
    <w:rsid w:val="19372C02"/>
    <w:rsid w:val="19B124BA"/>
    <w:rsid w:val="19BD231D"/>
    <w:rsid w:val="19D079B0"/>
    <w:rsid w:val="19D45368"/>
    <w:rsid w:val="19E6729C"/>
    <w:rsid w:val="1A120F3F"/>
    <w:rsid w:val="1A1E2C76"/>
    <w:rsid w:val="1A3263B8"/>
    <w:rsid w:val="1A3A50C4"/>
    <w:rsid w:val="1A8A4DAE"/>
    <w:rsid w:val="1A8A6AA1"/>
    <w:rsid w:val="1B0B32B6"/>
    <w:rsid w:val="1B67340A"/>
    <w:rsid w:val="1B776297"/>
    <w:rsid w:val="1BE16650"/>
    <w:rsid w:val="1BEA04DE"/>
    <w:rsid w:val="1BEE5E9C"/>
    <w:rsid w:val="1C0E0313"/>
    <w:rsid w:val="1C373CEA"/>
    <w:rsid w:val="1C54798E"/>
    <w:rsid w:val="1C835251"/>
    <w:rsid w:val="1CCE1E31"/>
    <w:rsid w:val="1CDC1EDE"/>
    <w:rsid w:val="1CE85033"/>
    <w:rsid w:val="1CF17063"/>
    <w:rsid w:val="1D1055ED"/>
    <w:rsid w:val="1D482E17"/>
    <w:rsid w:val="1D703BC0"/>
    <w:rsid w:val="1DBF6C1D"/>
    <w:rsid w:val="1DDD5C2B"/>
    <w:rsid w:val="1DE01380"/>
    <w:rsid w:val="1F2C4A92"/>
    <w:rsid w:val="1F2D2F5B"/>
    <w:rsid w:val="1F2E2C8A"/>
    <w:rsid w:val="1F7A7BB8"/>
    <w:rsid w:val="1F927768"/>
    <w:rsid w:val="1FBF2916"/>
    <w:rsid w:val="20052FF8"/>
    <w:rsid w:val="202809E7"/>
    <w:rsid w:val="202C7A0C"/>
    <w:rsid w:val="203C7E6B"/>
    <w:rsid w:val="2075319B"/>
    <w:rsid w:val="21036CD8"/>
    <w:rsid w:val="21361997"/>
    <w:rsid w:val="218C03B4"/>
    <w:rsid w:val="2195764E"/>
    <w:rsid w:val="21AD68A4"/>
    <w:rsid w:val="21BC34DF"/>
    <w:rsid w:val="22C0325C"/>
    <w:rsid w:val="22C91E78"/>
    <w:rsid w:val="22E57342"/>
    <w:rsid w:val="22E749F4"/>
    <w:rsid w:val="22E909D7"/>
    <w:rsid w:val="22F20FD0"/>
    <w:rsid w:val="22F34CDB"/>
    <w:rsid w:val="231045B0"/>
    <w:rsid w:val="234F26EC"/>
    <w:rsid w:val="23501CE7"/>
    <w:rsid w:val="237B18BF"/>
    <w:rsid w:val="24755FF5"/>
    <w:rsid w:val="25687411"/>
    <w:rsid w:val="25B86DA2"/>
    <w:rsid w:val="25EB17E2"/>
    <w:rsid w:val="25F13052"/>
    <w:rsid w:val="26773199"/>
    <w:rsid w:val="26785F55"/>
    <w:rsid w:val="267D5F41"/>
    <w:rsid w:val="268B7284"/>
    <w:rsid w:val="268F2C7A"/>
    <w:rsid w:val="27176AE1"/>
    <w:rsid w:val="274F1762"/>
    <w:rsid w:val="275574CD"/>
    <w:rsid w:val="27645687"/>
    <w:rsid w:val="27B27188"/>
    <w:rsid w:val="27BB4D35"/>
    <w:rsid w:val="2866173C"/>
    <w:rsid w:val="286C53AB"/>
    <w:rsid w:val="28C72DDD"/>
    <w:rsid w:val="29024C1C"/>
    <w:rsid w:val="299A5ADE"/>
    <w:rsid w:val="299F28F8"/>
    <w:rsid w:val="29A96BF9"/>
    <w:rsid w:val="29C73467"/>
    <w:rsid w:val="2A3A624A"/>
    <w:rsid w:val="2A3F5150"/>
    <w:rsid w:val="2AA868A1"/>
    <w:rsid w:val="2AAD047A"/>
    <w:rsid w:val="2AC76A18"/>
    <w:rsid w:val="2AFC433A"/>
    <w:rsid w:val="2B4711AA"/>
    <w:rsid w:val="2BF068B9"/>
    <w:rsid w:val="2C1239AE"/>
    <w:rsid w:val="2C406E24"/>
    <w:rsid w:val="2C427A1A"/>
    <w:rsid w:val="2C524327"/>
    <w:rsid w:val="2C6F45EC"/>
    <w:rsid w:val="2CAF4012"/>
    <w:rsid w:val="2CC97F38"/>
    <w:rsid w:val="2D0013AD"/>
    <w:rsid w:val="2D051F75"/>
    <w:rsid w:val="2D6A22C7"/>
    <w:rsid w:val="2DAF18FB"/>
    <w:rsid w:val="2DBF3330"/>
    <w:rsid w:val="2E3878C6"/>
    <w:rsid w:val="2E737762"/>
    <w:rsid w:val="2E836934"/>
    <w:rsid w:val="2ECA1997"/>
    <w:rsid w:val="2F012E35"/>
    <w:rsid w:val="2F083593"/>
    <w:rsid w:val="2F1F7688"/>
    <w:rsid w:val="2F3B06D6"/>
    <w:rsid w:val="2F5638D0"/>
    <w:rsid w:val="2F8954FD"/>
    <w:rsid w:val="2FA27D94"/>
    <w:rsid w:val="2FB45E8D"/>
    <w:rsid w:val="2FBF01F1"/>
    <w:rsid w:val="2FFE2689"/>
    <w:rsid w:val="30285187"/>
    <w:rsid w:val="30302502"/>
    <w:rsid w:val="30732827"/>
    <w:rsid w:val="30804D72"/>
    <w:rsid w:val="308F2A8C"/>
    <w:rsid w:val="30A0538D"/>
    <w:rsid w:val="30BA2871"/>
    <w:rsid w:val="30D50AC4"/>
    <w:rsid w:val="31356EBE"/>
    <w:rsid w:val="313A7785"/>
    <w:rsid w:val="313C5850"/>
    <w:rsid w:val="31723A5B"/>
    <w:rsid w:val="31756969"/>
    <w:rsid w:val="319130C9"/>
    <w:rsid w:val="31C81C7C"/>
    <w:rsid w:val="31D2310C"/>
    <w:rsid w:val="31FA35B0"/>
    <w:rsid w:val="32074259"/>
    <w:rsid w:val="32872C6E"/>
    <w:rsid w:val="332475D4"/>
    <w:rsid w:val="332A1BE1"/>
    <w:rsid w:val="33C6290C"/>
    <w:rsid w:val="33FD7019"/>
    <w:rsid w:val="33FE39DC"/>
    <w:rsid w:val="342D14DB"/>
    <w:rsid w:val="348B337B"/>
    <w:rsid w:val="3492593A"/>
    <w:rsid w:val="34C5721E"/>
    <w:rsid w:val="351C3517"/>
    <w:rsid w:val="352E2DBD"/>
    <w:rsid w:val="353F2014"/>
    <w:rsid w:val="356362BB"/>
    <w:rsid w:val="357A6915"/>
    <w:rsid w:val="3581787D"/>
    <w:rsid w:val="359B5763"/>
    <w:rsid w:val="35AA5FE2"/>
    <w:rsid w:val="35BA6168"/>
    <w:rsid w:val="35DB5CFA"/>
    <w:rsid w:val="35E22D85"/>
    <w:rsid w:val="36226148"/>
    <w:rsid w:val="36241DDC"/>
    <w:rsid w:val="363D0D07"/>
    <w:rsid w:val="3642117D"/>
    <w:rsid w:val="36DD0E0C"/>
    <w:rsid w:val="36EF2B4E"/>
    <w:rsid w:val="37173A59"/>
    <w:rsid w:val="373040D0"/>
    <w:rsid w:val="3802765C"/>
    <w:rsid w:val="382E22B2"/>
    <w:rsid w:val="384F1998"/>
    <w:rsid w:val="38725493"/>
    <w:rsid w:val="38B8293B"/>
    <w:rsid w:val="38D8337F"/>
    <w:rsid w:val="39405C4C"/>
    <w:rsid w:val="39673616"/>
    <w:rsid w:val="396C2D3D"/>
    <w:rsid w:val="396D0245"/>
    <w:rsid w:val="399A7C8B"/>
    <w:rsid w:val="3A395F9E"/>
    <w:rsid w:val="3ABC0EB3"/>
    <w:rsid w:val="3AEF0B87"/>
    <w:rsid w:val="3B5724BB"/>
    <w:rsid w:val="3BAD3A96"/>
    <w:rsid w:val="3BC10642"/>
    <w:rsid w:val="3BC60524"/>
    <w:rsid w:val="3BF166F5"/>
    <w:rsid w:val="3C2626CF"/>
    <w:rsid w:val="3C9B53CD"/>
    <w:rsid w:val="3CA50DBE"/>
    <w:rsid w:val="3CB31A5E"/>
    <w:rsid w:val="3CDE2238"/>
    <w:rsid w:val="3CE63409"/>
    <w:rsid w:val="3CE970D7"/>
    <w:rsid w:val="3D213426"/>
    <w:rsid w:val="3D3B1B79"/>
    <w:rsid w:val="3D5C229F"/>
    <w:rsid w:val="3E066285"/>
    <w:rsid w:val="3E2D0D8A"/>
    <w:rsid w:val="3E3C39B0"/>
    <w:rsid w:val="3E434007"/>
    <w:rsid w:val="3E624870"/>
    <w:rsid w:val="3E6E2B0C"/>
    <w:rsid w:val="3E6F378C"/>
    <w:rsid w:val="3EAA0563"/>
    <w:rsid w:val="3EDF5B47"/>
    <w:rsid w:val="3F2D40BC"/>
    <w:rsid w:val="3F8A799C"/>
    <w:rsid w:val="3F930926"/>
    <w:rsid w:val="3F9D29F4"/>
    <w:rsid w:val="3FD05826"/>
    <w:rsid w:val="4080440D"/>
    <w:rsid w:val="40875F71"/>
    <w:rsid w:val="40F70181"/>
    <w:rsid w:val="4184116E"/>
    <w:rsid w:val="41C72645"/>
    <w:rsid w:val="41DB0007"/>
    <w:rsid w:val="41FC1F5F"/>
    <w:rsid w:val="42437216"/>
    <w:rsid w:val="426902D4"/>
    <w:rsid w:val="42707B0B"/>
    <w:rsid w:val="436E4CAB"/>
    <w:rsid w:val="43892A2E"/>
    <w:rsid w:val="43B9530B"/>
    <w:rsid w:val="43C57F8A"/>
    <w:rsid w:val="43E912EC"/>
    <w:rsid w:val="43ED2637"/>
    <w:rsid w:val="441225A9"/>
    <w:rsid w:val="441675B3"/>
    <w:rsid w:val="446B749D"/>
    <w:rsid w:val="44857A9C"/>
    <w:rsid w:val="44BD0F3C"/>
    <w:rsid w:val="44D651BC"/>
    <w:rsid w:val="44FA24CE"/>
    <w:rsid w:val="450A29CF"/>
    <w:rsid w:val="45177C06"/>
    <w:rsid w:val="453E6D81"/>
    <w:rsid w:val="458252B0"/>
    <w:rsid w:val="458C7486"/>
    <w:rsid w:val="45AC5F59"/>
    <w:rsid w:val="45B74D74"/>
    <w:rsid w:val="462145BC"/>
    <w:rsid w:val="464960C6"/>
    <w:rsid w:val="466854F2"/>
    <w:rsid w:val="467C4D54"/>
    <w:rsid w:val="46B03885"/>
    <w:rsid w:val="46D95573"/>
    <w:rsid w:val="46F67B2E"/>
    <w:rsid w:val="47184AAD"/>
    <w:rsid w:val="4737549C"/>
    <w:rsid w:val="47632B1D"/>
    <w:rsid w:val="476F603B"/>
    <w:rsid w:val="47711EE3"/>
    <w:rsid w:val="478A1AAB"/>
    <w:rsid w:val="47972E29"/>
    <w:rsid w:val="47AB56DD"/>
    <w:rsid w:val="47D7717A"/>
    <w:rsid w:val="47E91079"/>
    <w:rsid w:val="47EB3A21"/>
    <w:rsid w:val="489D408D"/>
    <w:rsid w:val="48C548F6"/>
    <w:rsid w:val="48C5565D"/>
    <w:rsid w:val="48EF2198"/>
    <w:rsid w:val="48FD598F"/>
    <w:rsid w:val="494E7F66"/>
    <w:rsid w:val="496D0836"/>
    <w:rsid w:val="49E83FA3"/>
    <w:rsid w:val="4A05555F"/>
    <w:rsid w:val="4A2C23E9"/>
    <w:rsid w:val="4A570875"/>
    <w:rsid w:val="4A7C6B93"/>
    <w:rsid w:val="4A973FA2"/>
    <w:rsid w:val="4AAE0A22"/>
    <w:rsid w:val="4ADE7143"/>
    <w:rsid w:val="4AF50E02"/>
    <w:rsid w:val="4B2E02B5"/>
    <w:rsid w:val="4B380D78"/>
    <w:rsid w:val="4B5A1F32"/>
    <w:rsid w:val="4B680269"/>
    <w:rsid w:val="4C2A4530"/>
    <w:rsid w:val="4C6871CD"/>
    <w:rsid w:val="4C7E0389"/>
    <w:rsid w:val="4CB74507"/>
    <w:rsid w:val="4CD50110"/>
    <w:rsid w:val="4D605026"/>
    <w:rsid w:val="4D620D3F"/>
    <w:rsid w:val="4D752A03"/>
    <w:rsid w:val="4D8D7E05"/>
    <w:rsid w:val="4D98230D"/>
    <w:rsid w:val="4DB8178F"/>
    <w:rsid w:val="4DBC5954"/>
    <w:rsid w:val="4E29146E"/>
    <w:rsid w:val="4E581146"/>
    <w:rsid w:val="4E713A08"/>
    <w:rsid w:val="4EBB7674"/>
    <w:rsid w:val="4EE52BAD"/>
    <w:rsid w:val="4EF813D8"/>
    <w:rsid w:val="4F070BD9"/>
    <w:rsid w:val="4F0F543E"/>
    <w:rsid w:val="4F3062BC"/>
    <w:rsid w:val="4F785874"/>
    <w:rsid w:val="4FA87EFF"/>
    <w:rsid w:val="4FCB6654"/>
    <w:rsid w:val="4FEC0EE7"/>
    <w:rsid w:val="500C7773"/>
    <w:rsid w:val="50BD4EBD"/>
    <w:rsid w:val="51065476"/>
    <w:rsid w:val="512132CC"/>
    <w:rsid w:val="5133008F"/>
    <w:rsid w:val="51552EA5"/>
    <w:rsid w:val="515A0B76"/>
    <w:rsid w:val="51A64701"/>
    <w:rsid w:val="51E22A3B"/>
    <w:rsid w:val="52257F93"/>
    <w:rsid w:val="524C27A2"/>
    <w:rsid w:val="52A57FF3"/>
    <w:rsid w:val="52FC5CFB"/>
    <w:rsid w:val="53070286"/>
    <w:rsid w:val="537F2C8F"/>
    <w:rsid w:val="5387634C"/>
    <w:rsid w:val="53C30DC3"/>
    <w:rsid w:val="53DD1D47"/>
    <w:rsid w:val="543355D4"/>
    <w:rsid w:val="54451F17"/>
    <w:rsid w:val="544E5219"/>
    <w:rsid w:val="548D4C49"/>
    <w:rsid w:val="54D2377B"/>
    <w:rsid w:val="550843EE"/>
    <w:rsid w:val="553E4E1D"/>
    <w:rsid w:val="55A05A09"/>
    <w:rsid w:val="55CD37FD"/>
    <w:rsid w:val="55D2779F"/>
    <w:rsid w:val="55E70D0A"/>
    <w:rsid w:val="55FB11ED"/>
    <w:rsid w:val="56440448"/>
    <w:rsid w:val="564E5D0C"/>
    <w:rsid w:val="566B52C9"/>
    <w:rsid w:val="56850077"/>
    <w:rsid w:val="568E071B"/>
    <w:rsid w:val="56D071D2"/>
    <w:rsid w:val="57267EC5"/>
    <w:rsid w:val="574B5930"/>
    <w:rsid w:val="57500BD3"/>
    <w:rsid w:val="57590008"/>
    <w:rsid w:val="575F104F"/>
    <w:rsid w:val="57616E98"/>
    <w:rsid w:val="57690474"/>
    <w:rsid w:val="578F0CB4"/>
    <w:rsid w:val="585974B3"/>
    <w:rsid w:val="587D2F35"/>
    <w:rsid w:val="589E39E5"/>
    <w:rsid w:val="58F42E75"/>
    <w:rsid w:val="592D4B85"/>
    <w:rsid w:val="599338F5"/>
    <w:rsid w:val="5A08494A"/>
    <w:rsid w:val="5A43077D"/>
    <w:rsid w:val="5A5F5CEA"/>
    <w:rsid w:val="5A87493C"/>
    <w:rsid w:val="5A97297A"/>
    <w:rsid w:val="5AD97C92"/>
    <w:rsid w:val="5AFC0372"/>
    <w:rsid w:val="5B114D77"/>
    <w:rsid w:val="5B1867BA"/>
    <w:rsid w:val="5B244DD0"/>
    <w:rsid w:val="5B690D0B"/>
    <w:rsid w:val="5BD270DC"/>
    <w:rsid w:val="5BF90FB7"/>
    <w:rsid w:val="5C7204B5"/>
    <w:rsid w:val="5C995E8E"/>
    <w:rsid w:val="5CAD773E"/>
    <w:rsid w:val="5CD462DB"/>
    <w:rsid w:val="5D214171"/>
    <w:rsid w:val="5D3330A1"/>
    <w:rsid w:val="5D5236FA"/>
    <w:rsid w:val="5D571754"/>
    <w:rsid w:val="5D7C7A9D"/>
    <w:rsid w:val="5D857508"/>
    <w:rsid w:val="5D8E29C8"/>
    <w:rsid w:val="5DCC7C3F"/>
    <w:rsid w:val="5E2C6C07"/>
    <w:rsid w:val="5EA230C4"/>
    <w:rsid w:val="5EB106C2"/>
    <w:rsid w:val="5EE84998"/>
    <w:rsid w:val="5F3963B7"/>
    <w:rsid w:val="5F492008"/>
    <w:rsid w:val="5F753521"/>
    <w:rsid w:val="60810EFC"/>
    <w:rsid w:val="60920150"/>
    <w:rsid w:val="609F004A"/>
    <w:rsid w:val="60D93212"/>
    <w:rsid w:val="6109496D"/>
    <w:rsid w:val="610F3866"/>
    <w:rsid w:val="615A34E0"/>
    <w:rsid w:val="616C21E8"/>
    <w:rsid w:val="619A3B3E"/>
    <w:rsid w:val="61F32110"/>
    <w:rsid w:val="620A67C0"/>
    <w:rsid w:val="62213012"/>
    <w:rsid w:val="624C22B0"/>
    <w:rsid w:val="62F0159D"/>
    <w:rsid w:val="63351317"/>
    <w:rsid w:val="635A1EF1"/>
    <w:rsid w:val="63755514"/>
    <w:rsid w:val="63864BE0"/>
    <w:rsid w:val="63C83B1E"/>
    <w:rsid w:val="64150180"/>
    <w:rsid w:val="64632401"/>
    <w:rsid w:val="649F6723"/>
    <w:rsid w:val="6510687F"/>
    <w:rsid w:val="65193C1A"/>
    <w:rsid w:val="6544648F"/>
    <w:rsid w:val="65590FC4"/>
    <w:rsid w:val="65982737"/>
    <w:rsid w:val="65CB63B9"/>
    <w:rsid w:val="65DE5845"/>
    <w:rsid w:val="660A3240"/>
    <w:rsid w:val="666C10A1"/>
    <w:rsid w:val="6685428E"/>
    <w:rsid w:val="668E51EE"/>
    <w:rsid w:val="66A06388"/>
    <w:rsid w:val="66AF2568"/>
    <w:rsid w:val="66AF5E76"/>
    <w:rsid w:val="66C027A5"/>
    <w:rsid w:val="66D239C0"/>
    <w:rsid w:val="67280105"/>
    <w:rsid w:val="67296561"/>
    <w:rsid w:val="672F5ECE"/>
    <w:rsid w:val="673457AA"/>
    <w:rsid w:val="67795CF5"/>
    <w:rsid w:val="67835E0B"/>
    <w:rsid w:val="67A07DB1"/>
    <w:rsid w:val="67DA39ED"/>
    <w:rsid w:val="68043B2D"/>
    <w:rsid w:val="682851AB"/>
    <w:rsid w:val="68857D5C"/>
    <w:rsid w:val="68C527CD"/>
    <w:rsid w:val="68CE4974"/>
    <w:rsid w:val="68FD21D7"/>
    <w:rsid w:val="693556A2"/>
    <w:rsid w:val="6935708B"/>
    <w:rsid w:val="697D6331"/>
    <w:rsid w:val="698A33F2"/>
    <w:rsid w:val="698E6687"/>
    <w:rsid w:val="69A06E26"/>
    <w:rsid w:val="69B47B68"/>
    <w:rsid w:val="69F04D12"/>
    <w:rsid w:val="6A2E62AC"/>
    <w:rsid w:val="6A5A3BF4"/>
    <w:rsid w:val="6A673B45"/>
    <w:rsid w:val="6AD12D04"/>
    <w:rsid w:val="6AD31471"/>
    <w:rsid w:val="6B2F0C98"/>
    <w:rsid w:val="6B323068"/>
    <w:rsid w:val="6B4C3CB7"/>
    <w:rsid w:val="6B6E5C41"/>
    <w:rsid w:val="6C062E13"/>
    <w:rsid w:val="6C063521"/>
    <w:rsid w:val="6C4819AC"/>
    <w:rsid w:val="6C536764"/>
    <w:rsid w:val="6C7B7DDA"/>
    <w:rsid w:val="6CDA6D91"/>
    <w:rsid w:val="6CEA32D7"/>
    <w:rsid w:val="6CEC46FF"/>
    <w:rsid w:val="6D011E2B"/>
    <w:rsid w:val="6D62494B"/>
    <w:rsid w:val="6D874241"/>
    <w:rsid w:val="6DD46E74"/>
    <w:rsid w:val="6E093DD8"/>
    <w:rsid w:val="6E462553"/>
    <w:rsid w:val="6E565152"/>
    <w:rsid w:val="6E6247CC"/>
    <w:rsid w:val="6E8D7F29"/>
    <w:rsid w:val="6EA90247"/>
    <w:rsid w:val="6EB8654F"/>
    <w:rsid w:val="6F0D42A5"/>
    <w:rsid w:val="6F0F16A0"/>
    <w:rsid w:val="6F150189"/>
    <w:rsid w:val="6F3B3D75"/>
    <w:rsid w:val="6FAA648E"/>
    <w:rsid w:val="6FBF1A03"/>
    <w:rsid w:val="6FD62E1A"/>
    <w:rsid w:val="70661117"/>
    <w:rsid w:val="70873BB2"/>
    <w:rsid w:val="709B3632"/>
    <w:rsid w:val="70CC5943"/>
    <w:rsid w:val="71523BD6"/>
    <w:rsid w:val="71851A33"/>
    <w:rsid w:val="72175AAC"/>
    <w:rsid w:val="723C230A"/>
    <w:rsid w:val="724929B0"/>
    <w:rsid w:val="72630B86"/>
    <w:rsid w:val="7279451C"/>
    <w:rsid w:val="72844598"/>
    <w:rsid w:val="728D6CAD"/>
    <w:rsid w:val="730E26C0"/>
    <w:rsid w:val="73303553"/>
    <w:rsid w:val="733215A3"/>
    <w:rsid w:val="73401463"/>
    <w:rsid w:val="738A1A65"/>
    <w:rsid w:val="739A77CF"/>
    <w:rsid w:val="73C453AE"/>
    <w:rsid w:val="74091E13"/>
    <w:rsid w:val="741419FE"/>
    <w:rsid w:val="74342F21"/>
    <w:rsid w:val="74723D7B"/>
    <w:rsid w:val="74931F25"/>
    <w:rsid w:val="74973A03"/>
    <w:rsid w:val="74B44F4D"/>
    <w:rsid w:val="751E628C"/>
    <w:rsid w:val="754F021B"/>
    <w:rsid w:val="759B687F"/>
    <w:rsid w:val="75D9401B"/>
    <w:rsid w:val="760636BB"/>
    <w:rsid w:val="76467809"/>
    <w:rsid w:val="7649081B"/>
    <w:rsid w:val="7694295F"/>
    <w:rsid w:val="76A04B0F"/>
    <w:rsid w:val="76A85DAE"/>
    <w:rsid w:val="76D23C4C"/>
    <w:rsid w:val="76E615A1"/>
    <w:rsid w:val="770047E9"/>
    <w:rsid w:val="77031E2D"/>
    <w:rsid w:val="774B03F6"/>
    <w:rsid w:val="77DB2F50"/>
    <w:rsid w:val="78125D09"/>
    <w:rsid w:val="784E6F3E"/>
    <w:rsid w:val="785C7717"/>
    <w:rsid w:val="787920D3"/>
    <w:rsid w:val="78C7025C"/>
    <w:rsid w:val="78CB370A"/>
    <w:rsid w:val="79116FD1"/>
    <w:rsid w:val="79292893"/>
    <w:rsid w:val="79386AB2"/>
    <w:rsid w:val="793A4015"/>
    <w:rsid w:val="798569EC"/>
    <w:rsid w:val="79BD27C7"/>
    <w:rsid w:val="79CC51D9"/>
    <w:rsid w:val="79EB5BA3"/>
    <w:rsid w:val="79F2092C"/>
    <w:rsid w:val="79F219F8"/>
    <w:rsid w:val="79F62DAF"/>
    <w:rsid w:val="7A5702EE"/>
    <w:rsid w:val="7A6375EC"/>
    <w:rsid w:val="7A6D4CD1"/>
    <w:rsid w:val="7A80784F"/>
    <w:rsid w:val="7A9E1F48"/>
    <w:rsid w:val="7B181B5A"/>
    <w:rsid w:val="7B1B7DA2"/>
    <w:rsid w:val="7B9120DF"/>
    <w:rsid w:val="7BE80EC4"/>
    <w:rsid w:val="7C200B5A"/>
    <w:rsid w:val="7C213B34"/>
    <w:rsid w:val="7C25582F"/>
    <w:rsid w:val="7C4D5437"/>
    <w:rsid w:val="7C5E54C1"/>
    <w:rsid w:val="7C6157C3"/>
    <w:rsid w:val="7C711525"/>
    <w:rsid w:val="7C956CD4"/>
    <w:rsid w:val="7CC63025"/>
    <w:rsid w:val="7D2A7450"/>
    <w:rsid w:val="7DBD01AA"/>
    <w:rsid w:val="7DDF031A"/>
    <w:rsid w:val="7DF44F46"/>
    <w:rsid w:val="7E00757D"/>
    <w:rsid w:val="7E0375EC"/>
    <w:rsid w:val="7E4773BB"/>
    <w:rsid w:val="7E4F6BF5"/>
    <w:rsid w:val="7EF52335"/>
    <w:rsid w:val="7EF74CAA"/>
    <w:rsid w:val="7EFB3D10"/>
    <w:rsid w:val="7F0C0E5C"/>
    <w:rsid w:val="7F0F5783"/>
    <w:rsid w:val="7F176672"/>
    <w:rsid w:val="7F405316"/>
    <w:rsid w:val="7F5F64D0"/>
    <w:rsid w:val="7F667E3A"/>
    <w:rsid w:val="7F856953"/>
    <w:rsid w:val="7FB34B8D"/>
    <w:rsid w:val="7FBB5F42"/>
    <w:rsid w:val="7FC65219"/>
    <w:rsid w:val="7FCE7F4F"/>
    <w:rsid w:val="7FCF50A2"/>
    <w:rsid w:val="7FF41E6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qFormat="1" w:uiPriority="39" w:name="toc 4"/>
    <w:lsdException w:uiPriority="39" w:name="toc 5"/>
    <w:lsdException w:qFormat="1" w:uiPriority="39" w:name="toc 6"/>
    <w:lsdException w:qFormat="1" w:uiPriority="39" w:name="toc 7"/>
    <w:lsdException w:uiPriority="39" w:name="toc 8"/>
    <w:lsdException w:uiPriority="39" w:name="toc 9"/>
    <w:lsdException w:qFormat="1" w:uiPriority="0" w:name="Normal Indent"/>
    <w:lsdException w:uiPriority="99" w:name="footnote text"/>
    <w:lsdException w:qFormat="1" w:uiPriority="0"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qFormat="1" w:uiPriority="99" w:name="endnote text"/>
    <w:lsdException w:uiPriority="99" w:name="table of authorities"/>
    <w:lsdException w:uiPriority="99" w:name="macro"/>
    <w:lsdException w:qFormat="1"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iPriority="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宋体"/>
      <w:bCs/>
      <w:sz w:val="21"/>
      <w:szCs w:val="21"/>
      <w:lang w:val="en-US" w:eastAsia="zh-CN" w:bidi="ar-SA"/>
    </w:rPr>
  </w:style>
  <w:style w:type="paragraph" w:styleId="2">
    <w:name w:val="heading 1"/>
    <w:basedOn w:val="1"/>
    <w:next w:val="1"/>
    <w:link w:val="95"/>
    <w:qFormat/>
    <w:uiPriority w:val="99"/>
    <w:pPr>
      <w:keepNext/>
      <w:keepLines/>
      <w:widowControl w:val="0"/>
      <w:spacing w:before="60" w:after="60" w:line="360" w:lineRule="auto"/>
      <w:jc w:val="center"/>
      <w:outlineLvl w:val="0"/>
    </w:pPr>
    <w:rPr>
      <w:rFonts w:ascii="Calibri" w:hAnsi="Calibri" w:eastAsia="黑体" w:cs="Times New Roman"/>
      <w:b/>
      <w:bCs w:val="0"/>
      <w:kern w:val="44"/>
      <w:sz w:val="28"/>
      <w:szCs w:val="44"/>
    </w:rPr>
  </w:style>
  <w:style w:type="paragraph" w:styleId="3">
    <w:name w:val="heading 2"/>
    <w:basedOn w:val="1"/>
    <w:next w:val="1"/>
    <w:link w:val="46"/>
    <w:qFormat/>
    <w:uiPriority w:val="0"/>
    <w:pPr>
      <w:keepNext/>
      <w:keepLines/>
      <w:widowControl w:val="0"/>
      <w:spacing w:before="60" w:after="60"/>
      <w:jc w:val="both"/>
      <w:outlineLvl w:val="1"/>
    </w:pPr>
    <w:rPr>
      <w:rFonts w:ascii="Arial" w:hAnsi="Arial" w:cs="Times New Roman"/>
      <w:b/>
      <w:bCs w:val="0"/>
      <w:kern w:val="2"/>
    </w:rPr>
  </w:style>
  <w:style w:type="paragraph" w:styleId="4">
    <w:name w:val="heading 3"/>
    <w:basedOn w:val="1"/>
    <w:next w:val="1"/>
    <w:link w:val="97"/>
    <w:qFormat/>
    <w:uiPriority w:val="9"/>
    <w:pPr>
      <w:keepNext/>
      <w:keepLines/>
      <w:widowControl w:val="0"/>
      <w:spacing w:before="60" w:after="60"/>
      <w:jc w:val="both"/>
      <w:outlineLvl w:val="2"/>
    </w:pPr>
    <w:rPr>
      <w:rFonts w:ascii="Calibri" w:hAnsi="Calibri" w:cs="Times New Roman"/>
      <w:b/>
      <w:bCs w:val="0"/>
      <w:kern w:val="2"/>
      <w:szCs w:val="32"/>
    </w:rPr>
  </w:style>
  <w:style w:type="paragraph" w:styleId="5">
    <w:name w:val="heading 4"/>
    <w:basedOn w:val="1"/>
    <w:next w:val="1"/>
    <w:link w:val="98"/>
    <w:qFormat/>
    <w:uiPriority w:val="9"/>
    <w:pPr>
      <w:keepNext/>
      <w:keepLines/>
      <w:widowControl w:val="0"/>
      <w:spacing w:before="60" w:after="60"/>
      <w:jc w:val="both"/>
      <w:outlineLvl w:val="3"/>
    </w:pPr>
    <w:rPr>
      <w:rFonts w:ascii="Cambria" w:hAnsi="Cambria" w:cs="Times New Roman"/>
      <w:b/>
      <w:bCs w:val="0"/>
      <w:kern w:val="2"/>
      <w:szCs w:val="28"/>
    </w:rPr>
  </w:style>
  <w:style w:type="paragraph" w:styleId="6">
    <w:name w:val="heading 5"/>
    <w:basedOn w:val="1"/>
    <w:next w:val="1"/>
    <w:link w:val="224"/>
    <w:qFormat/>
    <w:uiPriority w:val="9"/>
    <w:pPr>
      <w:keepNext/>
      <w:keepLines/>
      <w:widowControl w:val="0"/>
      <w:spacing w:before="60" w:after="60"/>
      <w:jc w:val="both"/>
      <w:outlineLvl w:val="4"/>
    </w:pPr>
    <w:rPr>
      <w:rFonts w:ascii="Calibri" w:hAnsi="Calibri" w:cs="Times New Roman"/>
      <w:b/>
      <w:bCs w:val="0"/>
      <w:kern w:val="2"/>
      <w:szCs w:val="28"/>
    </w:rPr>
  </w:style>
  <w:style w:type="paragraph" w:styleId="7">
    <w:name w:val="heading 6"/>
    <w:basedOn w:val="1"/>
    <w:next w:val="1"/>
    <w:link w:val="240"/>
    <w:semiHidden/>
    <w:unhideWhenUsed/>
    <w:qFormat/>
    <w:uiPriority w:val="9"/>
    <w:pPr>
      <w:keepNext/>
      <w:keepLines/>
      <w:spacing w:before="60" w:after="60"/>
      <w:outlineLvl w:val="5"/>
    </w:pPr>
    <w:rPr>
      <w:rFonts w:asciiTheme="majorHAnsi" w:hAnsiTheme="majorHAnsi" w:cstheme="majorBidi"/>
      <w:b/>
      <w:bCs w:val="0"/>
    </w:rPr>
  </w:style>
  <w:style w:type="paragraph" w:styleId="8">
    <w:name w:val="heading 7"/>
    <w:basedOn w:val="1"/>
    <w:next w:val="1"/>
    <w:link w:val="246"/>
    <w:semiHidden/>
    <w:unhideWhenUsed/>
    <w:qFormat/>
    <w:uiPriority w:val="9"/>
    <w:pPr>
      <w:keepNext/>
      <w:keepLines/>
      <w:spacing w:before="240" w:after="64" w:line="320" w:lineRule="auto"/>
      <w:outlineLvl w:val="6"/>
    </w:pPr>
    <w:rPr>
      <w:b/>
      <w:bCs w:val="0"/>
      <w:sz w:val="24"/>
    </w:rPr>
  </w:style>
  <w:style w:type="character" w:default="1" w:styleId="39">
    <w:name w:val="Default Paragraph Font"/>
    <w:semiHidden/>
    <w:unhideWhenUsed/>
    <w:qFormat/>
    <w:uiPriority w:val="1"/>
  </w:style>
  <w:style w:type="table" w:default="1" w:styleId="37">
    <w:name w:val="Normal Table"/>
    <w:semiHidden/>
    <w:unhideWhenUsed/>
    <w:uiPriority w:val="99"/>
    <w:tblPr>
      <w:tblCellMar>
        <w:top w:w="0" w:type="dxa"/>
        <w:left w:w="108" w:type="dxa"/>
        <w:bottom w:w="0" w:type="dxa"/>
        <w:right w:w="108" w:type="dxa"/>
      </w:tblCellMar>
    </w:tblPr>
  </w:style>
  <w:style w:type="paragraph" w:styleId="9">
    <w:name w:val="toc 7"/>
    <w:basedOn w:val="1"/>
    <w:next w:val="1"/>
    <w:semiHidden/>
    <w:unhideWhenUsed/>
    <w:qFormat/>
    <w:uiPriority w:val="39"/>
    <w:pPr>
      <w:ind w:left="1260"/>
    </w:pPr>
    <w:rPr>
      <w:rFonts w:asciiTheme="minorHAnsi" w:hAnsiTheme="minorHAnsi" w:cstheme="minorHAnsi"/>
      <w:bCs w:val="0"/>
      <w:sz w:val="18"/>
      <w:szCs w:val="18"/>
    </w:rPr>
  </w:style>
  <w:style w:type="paragraph" w:styleId="10">
    <w:name w:val="Note Heading"/>
    <w:basedOn w:val="1"/>
    <w:next w:val="1"/>
    <w:link w:val="232"/>
    <w:semiHidden/>
    <w:unhideWhenUsed/>
    <w:uiPriority w:val="99"/>
    <w:pPr>
      <w:widowControl w:val="0"/>
      <w:jc w:val="center"/>
    </w:pPr>
    <w:rPr>
      <w:rFonts w:cs="Times New Roman"/>
      <w:kern w:val="2"/>
    </w:rPr>
  </w:style>
  <w:style w:type="paragraph" w:styleId="11">
    <w:name w:val="Normal Indent"/>
    <w:basedOn w:val="1"/>
    <w:link w:val="215"/>
    <w:semiHidden/>
    <w:unhideWhenUsed/>
    <w:qFormat/>
    <w:uiPriority w:val="0"/>
    <w:pPr>
      <w:widowControl w:val="0"/>
      <w:ind w:firstLine="420" w:firstLineChars="200"/>
      <w:jc w:val="both"/>
    </w:pPr>
    <w:rPr>
      <w:rFonts w:cs="Times New Roman"/>
      <w:kern w:val="2"/>
    </w:rPr>
  </w:style>
  <w:style w:type="paragraph" w:styleId="12">
    <w:name w:val="Document Map"/>
    <w:basedOn w:val="1"/>
    <w:link w:val="237"/>
    <w:semiHidden/>
    <w:unhideWhenUsed/>
    <w:qFormat/>
    <w:uiPriority w:val="99"/>
    <w:pPr>
      <w:widowControl w:val="0"/>
      <w:jc w:val="both"/>
    </w:pPr>
    <w:rPr>
      <w:rFonts w:hAnsi="Calibri" w:cs="Times New Roman"/>
      <w:kern w:val="2"/>
      <w:sz w:val="18"/>
      <w:szCs w:val="18"/>
    </w:rPr>
  </w:style>
  <w:style w:type="paragraph" w:styleId="13">
    <w:name w:val="toa heading"/>
    <w:basedOn w:val="1"/>
    <w:next w:val="1"/>
    <w:semiHidden/>
    <w:unhideWhenUsed/>
    <w:qFormat/>
    <w:uiPriority w:val="0"/>
    <w:pPr>
      <w:widowControl w:val="0"/>
      <w:spacing w:before="120"/>
      <w:jc w:val="both"/>
    </w:pPr>
    <w:rPr>
      <w:rFonts w:ascii="Arial" w:hAnsi="Arial" w:cs="Times New Roman"/>
      <w:b/>
      <w:bCs w:val="0"/>
      <w:kern w:val="2"/>
    </w:rPr>
  </w:style>
  <w:style w:type="paragraph" w:styleId="14">
    <w:name w:val="annotation text"/>
    <w:basedOn w:val="1"/>
    <w:link w:val="70"/>
    <w:semiHidden/>
    <w:unhideWhenUsed/>
    <w:qFormat/>
    <w:uiPriority w:val="0"/>
  </w:style>
  <w:style w:type="paragraph" w:styleId="15">
    <w:name w:val="Salutation"/>
    <w:basedOn w:val="1"/>
    <w:next w:val="1"/>
    <w:link w:val="216"/>
    <w:semiHidden/>
    <w:unhideWhenUsed/>
    <w:qFormat/>
    <w:uiPriority w:val="99"/>
    <w:pPr>
      <w:widowControl w:val="0"/>
      <w:jc w:val="both"/>
    </w:pPr>
    <w:rPr>
      <w:rFonts w:cs="Times New Roman"/>
      <w:kern w:val="2"/>
    </w:rPr>
  </w:style>
  <w:style w:type="paragraph" w:styleId="16">
    <w:name w:val="List Bullet 3"/>
    <w:basedOn w:val="1"/>
    <w:link w:val="103"/>
    <w:semiHidden/>
    <w:unhideWhenUsed/>
    <w:qFormat/>
    <w:uiPriority w:val="0"/>
    <w:pPr>
      <w:numPr>
        <w:ilvl w:val="0"/>
        <w:numId w:val="1"/>
      </w:numPr>
    </w:pPr>
  </w:style>
  <w:style w:type="paragraph" w:styleId="17">
    <w:name w:val="Body Text"/>
    <w:basedOn w:val="1"/>
    <w:link w:val="229"/>
    <w:semiHidden/>
    <w:unhideWhenUsed/>
    <w:uiPriority w:val="99"/>
    <w:pPr>
      <w:widowControl w:val="0"/>
      <w:spacing w:after="120"/>
      <w:jc w:val="both"/>
    </w:pPr>
    <w:rPr>
      <w:rFonts w:cs="Times New Roman"/>
      <w:kern w:val="2"/>
    </w:rPr>
  </w:style>
  <w:style w:type="paragraph" w:styleId="18">
    <w:name w:val="toc 5"/>
    <w:basedOn w:val="1"/>
    <w:next w:val="1"/>
    <w:semiHidden/>
    <w:unhideWhenUsed/>
    <w:uiPriority w:val="39"/>
    <w:pPr>
      <w:ind w:left="840"/>
    </w:pPr>
    <w:rPr>
      <w:rFonts w:asciiTheme="minorHAnsi" w:hAnsiTheme="minorHAnsi" w:cstheme="minorHAnsi"/>
      <w:bCs w:val="0"/>
      <w:sz w:val="18"/>
      <w:szCs w:val="18"/>
    </w:rPr>
  </w:style>
  <w:style w:type="paragraph" w:styleId="19">
    <w:name w:val="toc 3"/>
    <w:basedOn w:val="1"/>
    <w:next w:val="1"/>
    <w:semiHidden/>
    <w:unhideWhenUsed/>
    <w:qFormat/>
    <w:uiPriority w:val="39"/>
    <w:pPr>
      <w:ind w:left="420"/>
    </w:pPr>
    <w:rPr>
      <w:rFonts w:asciiTheme="minorHAnsi" w:hAnsiTheme="minorHAnsi" w:cstheme="minorHAnsi"/>
      <w:bCs w:val="0"/>
      <w:i/>
      <w:iCs/>
      <w:sz w:val="20"/>
      <w:szCs w:val="20"/>
    </w:rPr>
  </w:style>
  <w:style w:type="paragraph" w:styleId="20">
    <w:name w:val="Plain Text"/>
    <w:basedOn w:val="1"/>
    <w:link w:val="53"/>
    <w:semiHidden/>
    <w:unhideWhenUsed/>
    <w:qFormat/>
    <w:uiPriority w:val="0"/>
    <w:pPr>
      <w:widowControl w:val="0"/>
      <w:jc w:val="both"/>
    </w:pPr>
    <w:rPr>
      <w:rFonts w:hAnsi="Courier New" w:cs="Times New Roman"/>
      <w:kern w:val="2"/>
      <w:szCs w:val="20"/>
    </w:rPr>
  </w:style>
  <w:style w:type="paragraph" w:styleId="21">
    <w:name w:val="toc 8"/>
    <w:basedOn w:val="1"/>
    <w:next w:val="1"/>
    <w:semiHidden/>
    <w:unhideWhenUsed/>
    <w:uiPriority w:val="39"/>
    <w:pPr>
      <w:ind w:left="1470"/>
    </w:pPr>
    <w:rPr>
      <w:rFonts w:asciiTheme="minorHAnsi" w:hAnsiTheme="minorHAnsi" w:cstheme="minorHAnsi"/>
      <w:bCs w:val="0"/>
      <w:sz w:val="18"/>
      <w:szCs w:val="18"/>
    </w:rPr>
  </w:style>
  <w:style w:type="paragraph" w:styleId="22">
    <w:name w:val="Date"/>
    <w:basedOn w:val="1"/>
    <w:next w:val="1"/>
    <w:link w:val="231"/>
    <w:semiHidden/>
    <w:unhideWhenUsed/>
    <w:uiPriority w:val="99"/>
    <w:pPr>
      <w:widowControl w:val="0"/>
      <w:ind w:left="100" w:leftChars="2500"/>
      <w:jc w:val="both"/>
    </w:pPr>
    <w:rPr>
      <w:rFonts w:cs="Times New Roman"/>
      <w:kern w:val="2"/>
    </w:rPr>
  </w:style>
  <w:style w:type="paragraph" w:styleId="23">
    <w:name w:val="endnote text"/>
    <w:basedOn w:val="1"/>
    <w:link w:val="241"/>
    <w:semiHidden/>
    <w:unhideWhenUsed/>
    <w:qFormat/>
    <w:uiPriority w:val="99"/>
    <w:pPr>
      <w:snapToGrid w:val="0"/>
    </w:pPr>
  </w:style>
  <w:style w:type="paragraph" w:styleId="24">
    <w:name w:val="Balloon Text"/>
    <w:basedOn w:val="1"/>
    <w:link w:val="222"/>
    <w:semiHidden/>
    <w:unhideWhenUsed/>
    <w:uiPriority w:val="99"/>
    <w:rPr>
      <w:sz w:val="18"/>
      <w:szCs w:val="18"/>
    </w:rPr>
  </w:style>
  <w:style w:type="paragraph" w:styleId="25">
    <w:name w:val="footer"/>
    <w:basedOn w:val="1"/>
    <w:link w:val="52"/>
    <w:unhideWhenUsed/>
    <w:qFormat/>
    <w:uiPriority w:val="99"/>
    <w:pPr>
      <w:widowControl w:val="0"/>
      <w:tabs>
        <w:tab w:val="center" w:pos="4153"/>
        <w:tab w:val="right" w:pos="8306"/>
      </w:tabs>
      <w:snapToGrid w:val="0"/>
    </w:pPr>
    <w:rPr>
      <w:rFonts w:ascii="Calibri" w:hAnsi="Calibri" w:cs="Times New Roman"/>
      <w:kern w:val="2"/>
      <w:sz w:val="18"/>
      <w:szCs w:val="18"/>
    </w:rPr>
  </w:style>
  <w:style w:type="paragraph" w:styleId="26">
    <w:name w:val="header"/>
    <w:basedOn w:val="1"/>
    <w:link w:val="51"/>
    <w:unhideWhenUsed/>
    <w:uiPriority w:val="99"/>
    <w:pPr>
      <w:widowControl w:val="0"/>
      <w:pBdr>
        <w:bottom w:val="single" w:color="auto" w:sz="6" w:space="1"/>
      </w:pBdr>
      <w:tabs>
        <w:tab w:val="center" w:pos="4153"/>
        <w:tab w:val="right" w:pos="8306"/>
      </w:tabs>
      <w:snapToGrid w:val="0"/>
      <w:jc w:val="center"/>
    </w:pPr>
    <w:rPr>
      <w:rFonts w:ascii="Calibri" w:hAnsi="Calibri" w:cs="Times New Roman"/>
      <w:kern w:val="2"/>
      <w:sz w:val="18"/>
      <w:szCs w:val="18"/>
    </w:rPr>
  </w:style>
  <w:style w:type="paragraph" w:styleId="27">
    <w:name w:val="toc 1"/>
    <w:basedOn w:val="1"/>
    <w:next w:val="1"/>
    <w:semiHidden/>
    <w:unhideWhenUsed/>
    <w:qFormat/>
    <w:uiPriority w:val="39"/>
    <w:pPr>
      <w:spacing w:line="360" w:lineRule="auto"/>
      <w:ind w:left="200" w:hanging="200" w:hangingChars="200"/>
    </w:pPr>
    <w:rPr>
      <w:rFonts w:cstheme="minorHAnsi"/>
      <w:b/>
      <w:caps/>
      <w:szCs w:val="20"/>
    </w:rPr>
  </w:style>
  <w:style w:type="paragraph" w:styleId="28">
    <w:name w:val="toc 4"/>
    <w:basedOn w:val="1"/>
    <w:next w:val="1"/>
    <w:semiHidden/>
    <w:unhideWhenUsed/>
    <w:qFormat/>
    <w:uiPriority w:val="39"/>
    <w:pPr>
      <w:ind w:left="630"/>
    </w:pPr>
    <w:rPr>
      <w:rFonts w:asciiTheme="minorHAnsi" w:hAnsiTheme="minorHAnsi" w:cstheme="minorHAnsi"/>
      <w:bCs w:val="0"/>
      <w:sz w:val="18"/>
      <w:szCs w:val="18"/>
    </w:rPr>
  </w:style>
  <w:style w:type="paragraph" w:styleId="29">
    <w:name w:val="footnote text"/>
    <w:basedOn w:val="1"/>
    <w:link w:val="273"/>
    <w:semiHidden/>
    <w:unhideWhenUsed/>
    <w:uiPriority w:val="99"/>
    <w:pPr>
      <w:widowControl w:val="0"/>
      <w:snapToGrid w:val="0"/>
    </w:pPr>
    <w:rPr>
      <w:rFonts w:ascii="Calibri" w:hAnsi="Calibri" w:cs="Times New Roman"/>
      <w:bCs w:val="0"/>
      <w:kern w:val="2"/>
      <w:sz w:val="18"/>
      <w:szCs w:val="18"/>
    </w:rPr>
  </w:style>
  <w:style w:type="paragraph" w:styleId="30">
    <w:name w:val="toc 6"/>
    <w:basedOn w:val="1"/>
    <w:next w:val="1"/>
    <w:semiHidden/>
    <w:unhideWhenUsed/>
    <w:qFormat/>
    <w:uiPriority w:val="39"/>
    <w:pPr>
      <w:ind w:left="1050"/>
    </w:pPr>
    <w:rPr>
      <w:rFonts w:asciiTheme="minorHAnsi" w:hAnsiTheme="minorHAnsi" w:cstheme="minorHAnsi"/>
      <w:bCs w:val="0"/>
      <w:sz w:val="18"/>
      <w:szCs w:val="18"/>
    </w:rPr>
  </w:style>
  <w:style w:type="paragraph" w:styleId="31">
    <w:name w:val="toc 2"/>
    <w:basedOn w:val="1"/>
    <w:next w:val="1"/>
    <w:semiHidden/>
    <w:unhideWhenUsed/>
    <w:qFormat/>
    <w:uiPriority w:val="39"/>
    <w:pPr>
      <w:ind w:left="210"/>
    </w:pPr>
    <w:rPr>
      <w:rFonts w:asciiTheme="minorHAnsi" w:hAnsiTheme="minorHAnsi" w:cstheme="minorHAnsi"/>
      <w:bCs w:val="0"/>
      <w:smallCaps/>
      <w:sz w:val="20"/>
      <w:szCs w:val="20"/>
    </w:rPr>
  </w:style>
  <w:style w:type="paragraph" w:styleId="32">
    <w:name w:val="toc 9"/>
    <w:basedOn w:val="1"/>
    <w:next w:val="1"/>
    <w:semiHidden/>
    <w:unhideWhenUsed/>
    <w:uiPriority w:val="39"/>
    <w:pPr>
      <w:ind w:left="1680"/>
    </w:pPr>
    <w:rPr>
      <w:rFonts w:asciiTheme="minorHAnsi" w:hAnsiTheme="minorHAnsi" w:cstheme="minorHAnsi"/>
      <w:bCs w:val="0"/>
      <w:sz w:val="18"/>
      <w:szCs w:val="18"/>
    </w:rPr>
  </w:style>
  <w:style w:type="paragraph" w:styleId="33">
    <w:name w:val="Normal (Web)"/>
    <w:basedOn w:val="1"/>
    <w:link w:val="65"/>
    <w:semiHidden/>
    <w:unhideWhenUsed/>
    <w:uiPriority w:val="99"/>
    <w:pPr>
      <w:spacing w:before="100" w:beforeAutospacing="1" w:after="100" w:afterAutospacing="1"/>
    </w:pPr>
    <w:rPr>
      <w:sz w:val="24"/>
    </w:rPr>
  </w:style>
  <w:style w:type="paragraph" w:styleId="34">
    <w:name w:val="index 1"/>
    <w:basedOn w:val="1"/>
    <w:next w:val="1"/>
    <w:semiHidden/>
    <w:unhideWhenUsed/>
    <w:qFormat/>
    <w:uiPriority w:val="0"/>
    <w:pPr>
      <w:ind w:firstLine="420" w:firstLineChars="200"/>
    </w:pPr>
    <w:rPr>
      <w:rFonts w:cs="Times New Roman"/>
      <w:color w:val="000000"/>
    </w:rPr>
  </w:style>
  <w:style w:type="paragraph" w:styleId="35">
    <w:name w:val="Title"/>
    <w:basedOn w:val="1"/>
    <w:next w:val="1"/>
    <w:link w:val="238"/>
    <w:qFormat/>
    <w:uiPriority w:val="10"/>
    <w:pPr>
      <w:widowControl w:val="0"/>
      <w:spacing w:before="240" w:after="60"/>
      <w:jc w:val="center"/>
      <w:outlineLvl w:val="0"/>
    </w:pPr>
    <w:rPr>
      <w:rFonts w:asciiTheme="majorHAnsi" w:hAnsiTheme="majorHAnsi" w:cstheme="majorBidi"/>
      <w:b/>
      <w:bCs w:val="0"/>
      <w:kern w:val="2"/>
      <w:sz w:val="32"/>
      <w:szCs w:val="32"/>
    </w:rPr>
  </w:style>
  <w:style w:type="paragraph" w:styleId="36">
    <w:name w:val="annotation subject"/>
    <w:basedOn w:val="14"/>
    <w:next w:val="14"/>
    <w:link w:val="71"/>
    <w:semiHidden/>
    <w:unhideWhenUsed/>
    <w:qFormat/>
    <w:uiPriority w:val="99"/>
    <w:rPr>
      <w:b/>
    </w:rPr>
  </w:style>
  <w:style w:type="table" w:styleId="38">
    <w:name w:val="Table Grid"/>
    <w:basedOn w:val="3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endnote reference"/>
    <w:basedOn w:val="39"/>
    <w:semiHidden/>
    <w:unhideWhenUsed/>
    <w:uiPriority w:val="99"/>
    <w:rPr>
      <w:rFonts w:ascii="Times New Roman" w:hAnsi="Times New Roman" w:eastAsia="宋体" w:cs="宋体"/>
      <w:bCs/>
      <w:sz w:val="21"/>
      <w:szCs w:val="21"/>
      <w:vertAlign w:val="superscript"/>
      <w:lang w:val="en-US" w:eastAsia="zh-CN" w:bidi="ar-SA"/>
    </w:rPr>
  </w:style>
  <w:style w:type="character" w:styleId="41">
    <w:name w:val="Hyperlink"/>
    <w:basedOn w:val="39"/>
    <w:semiHidden/>
    <w:unhideWhenUsed/>
    <w:uiPriority w:val="99"/>
    <w:rPr>
      <w:rFonts w:ascii="Times New Roman" w:hAnsi="Times New Roman" w:eastAsia="宋体" w:cs="Times New Roman"/>
      <w:bCs/>
      <w:color w:val="0000FF"/>
      <w:sz w:val="21"/>
      <w:szCs w:val="21"/>
      <w:u w:val="single"/>
      <w:lang w:val="en-US" w:eastAsia="zh-CN" w:bidi="ar-SA"/>
    </w:rPr>
  </w:style>
  <w:style w:type="character" w:styleId="42">
    <w:name w:val="annotation reference"/>
    <w:basedOn w:val="39"/>
    <w:semiHidden/>
    <w:unhideWhenUsed/>
    <w:qFormat/>
    <w:uiPriority w:val="99"/>
    <w:rPr>
      <w:sz w:val="21"/>
      <w:szCs w:val="21"/>
    </w:rPr>
  </w:style>
  <w:style w:type="character" w:styleId="43">
    <w:name w:val="footnote reference"/>
    <w:semiHidden/>
    <w:unhideWhenUsed/>
    <w:uiPriority w:val="99"/>
    <w:rPr>
      <w:rFonts w:ascii="Times New Roman" w:hAnsi="Times New Roman" w:eastAsia="宋体" w:cs="宋体"/>
      <w:bCs/>
      <w:sz w:val="21"/>
      <w:szCs w:val="21"/>
      <w:vertAlign w:val="superscript"/>
      <w:lang w:val="en-US" w:eastAsia="zh-CN" w:bidi="ar-SA"/>
    </w:rPr>
  </w:style>
  <w:style w:type="paragraph" w:customStyle="1" w:styleId="44">
    <w:name w:val="_Style 60"/>
    <w:basedOn w:val="1"/>
    <w:qFormat/>
    <w:uiPriority w:val="0"/>
    <w:pPr>
      <w:widowControl w:val="0"/>
      <w:jc w:val="both"/>
    </w:pPr>
    <w:rPr>
      <w:rFonts w:hAnsi="Calibri" w:cs="Times New Roman"/>
      <w:kern w:val="2"/>
      <w:sz w:val="18"/>
      <w:szCs w:val="18"/>
    </w:rPr>
  </w:style>
  <w:style w:type="character" w:customStyle="1" w:styleId="45">
    <w:name w:val="标题 1 字符"/>
    <w:basedOn w:val="39"/>
    <w:qFormat/>
    <w:uiPriority w:val="99"/>
    <w:rPr>
      <w:rFonts w:eastAsia="黑体"/>
      <w:b/>
      <w:kern w:val="44"/>
      <w:sz w:val="28"/>
      <w:szCs w:val="44"/>
    </w:rPr>
  </w:style>
  <w:style w:type="character" w:customStyle="1" w:styleId="46">
    <w:name w:val="标题 2 字符"/>
    <w:basedOn w:val="39"/>
    <w:link w:val="3"/>
    <w:qFormat/>
    <w:uiPriority w:val="0"/>
    <w:rPr>
      <w:rFonts w:ascii="Arial" w:hAnsi="Arial" w:cs="Times New Roman"/>
      <w:b/>
      <w:kern w:val="2"/>
    </w:rPr>
  </w:style>
  <w:style w:type="character" w:customStyle="1" w:styleId="47">
    <w:name w:val="标题 3 字符"/>
    <w:basedOn w:val="39"/>
    <w:qFormat/>
    <w:uiPriority w:val="9"/>
    <w:rPr>
      <w:b/>
      <w:kern w:val="2"/>
      <w:sz w:val="21"/>
      <w:szCs w:val="32"/>
    </w:rPr>
  </w:style>
  <w:style w:type="character" w:customStyle="1" w:styleId="48">
    <w:name w:val="标题 4 字符"/>
    <w:basedOn w:val="39"/>
    <w:qFormat/>
    <w:uiPriority w:val="9"/>
    <w:rPr>
      <w:rFonts w:ascii="Cambria" w:hAnsi="Cambria"/>
      <w:b/>
      <w:kern w:val="2"/>
      <w:sz w:val="21"/>
      <w:szCs w:val="28"/>
    </w:rPr>
  </w:style>
  <w:style w:type="character" w:customStyle="1" w:styleId="49">
    <w:name w:val="称呼 字符"/>
    <w:basedOn w:val="39"/>
    <w:qFormat/>
    <w:uiPriority w:val="99"/>
    <w:rPr>
      <w:rFonts w:ascii="Times New Roman" w:hAnsi="Times New Roman" w:eastAsia="宋体" w:cs="Times New Roman"/>
      <w:szCs w:val="21"/>
    </w:rPr>
  </w:style>
  <w:style w:type="paragraph" w:styleId="50">
    <w:name w:val="List Paragraph"/>
    <w:basedOn w:val="1"/>
    <w:qFormat/>
    <w:uiPriority w:val="34"/>
    <w:pPr>
      <w:widowControl w:val="0"/>
      <w:ind w:firstLine="420" w:firstLineChars="200"/>
      <w:jc w:val="both"/>
    </w:pPr>
    <w:rPr>
      <w:rFonts w:ascii="Calibri" w:hAnsi="Calibri" w:cs="Times New Roman"/>
      <w:kern w:val="2"/>
      <w:szCs w:val="22"/>
    </w:rPr>
  </w:style>
  <w:style w:type="character" w:customStyle="1" w:styleId="51">
    <w:name w:val="页眉 字符"/>
    <w:basedOn w:val="39"/>
    <w:link w:val="26"/>
    <w:qFormat/>
    <w:uiPriority w:val="99"/>
    <w:rPr>
      <w:rFonts w:ascii="Calibri" w:hAnsi="Calibri" w:eastAsia="宋体" w:cs="Times New Roman"/>
      <w:sz w:val="18"/>
      <w:szCs w:val="18"/>
    </w:rPr>
  </w:style>
  <w:style w:type="character" w:customStyle="1" w:styleId="52">
    <w:name w:val="页脚 字符"/>
    <w:basedOn w:val="39"/>
    <w:link w:val="25"/>
    <w:qFormat/>
    <w:uiPriority w:val="99"/>
    <w:rPr>
      <w:rFonts w:ascii="Calibri" w:hAnsi="Calibri" w:eastAsia="宋体" w:cs="Times New Roman"/>
      <w:sz w:val="18"/>
      <w:szCs w:val="18"/>
    </w:rPr>
  </w:style>
  <w:style w:type="character" w:customStyle="1" w:styleId="53">
    <w:name w:val="纯文本 字符"/>
    <w:basedOn w:val="39"/>
    <w:link w:val="20"/>
    <w:qFormat/>
    <w:uiPriority w:val="0"/>
    <w:rPr>
      <w:rFonts w:ascii="宋体" w:hAnsi="Courier New" w:eastAsia="宋体" w:cs="Times New Roman"/>
      <w:szCs w:val="20"/>
    </w:rPr>
  </w:style>
  <w:style w:type="table" w:customStyle="1" w:styleId="54">
    <w:name w:val="g2"/>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5">
    <w:name w:val="_Style 38"/>
    <w:qFormat/>
    <w:uiPriority w:val="0"/>
    <w:pPr>
      <w:spacing w:after="160" w:line="278" w:lineRule="auto"/>
    </w:pPr>
    <w:rPr>
      <w:rFonts w:ascii="Times New Roman" w:hAnsi="Times New Roman" w:eastAsia="宋体" w:cs="宋体"/>
      <w:lang w:val="en-US" w:eastAsia="zh-CN" w:bidi="ar-SA"/>
    </w:rPr>
  </w:style>
  <w:style w:type="paragraph" w:customStyle="1" w:styleId="56">
    <w:name w:val="标题 2 Char Char Char"/>
    <w:basedOn w:val="55"/>
    <w:next w:val="1"/>
    <w:qFormat/>
    <w:uiPriority w:val="0"/>
    <w:pPr>
      <w:keepNext/>
      <w:keepLines/>
      <w:widowControl w:val="0"/>
      <w:spacing w:before="60" w:after="60"/>
      <w:jc w:val="both"/>
      <w:outlineLvl w:val="1"/>
    </w:pPr>
    <w:rPr>
      <w:rFonts w:ascii="Arial" w:hAnsi="Arial" w:cs="Times New Roman"/>
      <w:b/>
      <w:kern w:val="2"/>
    </w:rPr>
  </w:style>
  <w:style w:type="paragraph" w:customStyle="1" w:styleId="57">
    <w:name w:val="_Style 41"/>
    <w:basedOn w:val="55"/>
    <w:next w:val="1"/>
    <w:qFormat/>
    <w:uiPriority w:val="9"/>
    <w:pPr>
      <w:keepNext/>
      <w:keepLines/>
      <w:widowControl w:val="0"/>
      <w:spacing w:before="60" w:after="60"/>
      <w:jc w:val="both"/>
      <w:outlineLvl w:val="2"/>
    </w:pPr>
    <w:rPr>
      <w:rFonts w:ascii="Calibri" w:hAnsi="Calibri" w:cs="Times New Roman"/>
      <w:b/>
      <w:kern w:val="2"/>
      <w:szCs w:val="32"/>
    </w:rPr>
  </w:style>
  <w:style w:type="paragraph" w:customStyle="1" w:styleId="58">
    <w:name w:val="_Style 42"/>
    <w:basedOn w:val="55"/>
    <w:next w:val="1"/>
    <w:qFormat/>
    <w:uiPriority w:val="9"/>
    <w:pPr>
      <w:keepNext/>
      <w:keepLines/>
      <w:widowControl w:val="0"/>
      <w:spacing w:before="60" w:after="60"/>
      <w:jc w:val="both"/>
      <w:outlineLvl w:val="3"/>
    </w:pPr>
    <w:rPr>
      <w:rFonts w:ascii="Cambria" w:hAnsi="Cambria" w:cs="Times New Roman"/>
      <w:b/>
      <w:kern w:val="2"/>
      <w:szCs w:val="28"/>
    </w:rPr>
  </w:style>
  <w:style w:type="paragraph" w:customStyle="1" w:styleId="59">
    <w:name w:val="_Style 43"/>
    <w:basedOn w:val="55"/>
    <w:next w:val="1"/>
    <w:qFormat/>
    <w:uiPriority w:val="9"/>
    <w:pPr>
      <w:keepNext/>
      <w:keepLines/>
      <w:widowControl w:val="0"/>
      <w:spacing w:before="60" w:after="60"/>
      <w:jc w:val="both"/>
      <w:outlineLvl w:val="4"/>
    </w:pPr>
    <w:rPr>
      <w:rFonts w:ascii="Calibri" w:hAnsi="Calibri" w:cs="Times New Roman"/>
      <w:b/>
      <w:kern w:val="2"/>
      <w:szCs w:val="28"/>
    </w:rPr>
  </w:style>
  <w:style w:type="paragraph" w:customStyle="1" w:styleId="60">
    <w:name w:val="_Style 56"/>
    <w:basedOn w:val="55"/>
    <w:qFormat/>
    <w:uiPriority w:val="0"/>
    <w:pPr>
      <w:widowControl w:val="0"/>
    </w:pPr>
    <w:rPr>
      <w:rFonts w:cs="Times New Roman"/>
      <w:kern w:val="2"/>
    </w:rPr>
  </w:style>
  <w:style w:type="character" w:customStyle="1" w:styleId="61">
    <w:name w:val="正文缩进 字符"/>
    <w:basedOn w:val="39"/>
    <w:qFormat/>
    <w:uiPriority w:val="0"/>
    <w:rPr>
      <w:rFonts w:ascii="Times New Roman" w:hAnsi="Times New Roman" w:eastAsia="宋体" w:cs="Times New Roman"/>
      <w:szCs w:val="21"/>
    </w:rPr>
  </w:style>
  <w:style w:type="paragraph" w:customStyle="1" w:styleId="62">
    <w:name w:val="_Style 61"/>
    <w:basedOn w:val="55"/>
    <w:next w:val="1"/>
    <w:qFormat/>
    <w:uiPriority w:val="99"/>
    <w:pPr>
      <w:widowControl w:val="0"/>
      <w:jc w:val="both"/>
    </w:pPr>
    <w:rPr>
      <w:rFonts w:cs="Times New Roman"/>
      <w:kern w:val="2"/>
    </w:rPr>
  </w:style>
  <w:style w:type="paragraph" w:customStyle="1" w:styleId="63">
    <w:name w:val="_Style 64"/>
    <w:basedOn w:val="55"/>
    <w:qFormat/>
    <w:uiPriority w:val="34"/>
    <w:pPr>
      <w:widowControl w:val="0"/>
      <w:ind w:firstLine="420" w:firstLineChars="200"/>
      <w:jc w:val="both"/>
    </w:pPr>
    <w:rPr>
      <w:rFonts w:ascii="Calibri" w:hAnsi="Calibri" w:cs="Times New Roman"/>
      <w:kern w:val="2"/>
      <w:szCs w:val="22"/>
    </w:rPr>
  </w:style>
  <w:style w:type="paragraph" w:customStyle="1" w:styleId="64">
    <w:name w:val="_Style 66"/>
    <w:basedOn w:val="60"/>
    <w:next w:val="11"/>
    <w:unhideWhenUsed/>
    <w:qFormat/>
    <w:uiPriority w:val="99"/>
    <w:rPr>
      <w:rFonts w:ascii="Calibri" w:hAnsi="Calibri"/>
      <w:b/>
      <w:szCs w:val="22"/>
    </w:rPr>
  </w:style>
  <w:style w:type="character" w:customStyle="1" w:styleId="65">
    <w:name w:val="普通(网站) 字符"/>
    <w:basedOn w:val="39"/>
    <w:link w:val="33"/>
    <w:qFormat/>
    <w:uiPriority w:val="0"/>
    <w:rPr>
      <w:kern w:val="2"/>
      <w:sz w:val="21"/>
      <w:szCs w:val="24"/>
    </w:rPr>
  </w:style>
  <w:style w:type="paragraph" w:customStyle="1" w:styleId="66">
    <w:name w:val="_Style 85"/>
    <w:basedOn w:val="55"/>
    <w:qFormat/>
    <w:uiPriority w:val="0"/>
    <w:pPr>
      <w:widowControl w:val="0"/>
      <w:spacing w:before="100" w:after="100"/>
      <w:jc w:val="both"/>
    </w:pPr>
    <w:rPr>
      <w:rFonts w:ascii="Calibri" w:hAnsi="Calibri" w:cs="Times New Roman"/>
      <w:kern w:val="2"/>
    </w:rPr>
  </w:style>
  <w:style w:type="paragraph" w:customStyle="1" w:styleId="67">
    <w:name w:val="_Style 91"/>
    <w:qFormat/>
    <w:uiPriority w:val="1"/>
    <w:pPr>
      <w:widowControl w:val="0"/>
      <w:spacing w:after="160" w:line="278" w:lineRule="auto"/>
      <w:jc w:val="both"/>
    </w:pPr>
    <w:rPr>
      <w:rFonts w:ascii="Times New Roman" w:hAnsi="Times New Roman" w:eastAsia="宋体" w:cs="宋体"/>
      <w:kern w:val="2"/>
      <w:szCs w:val="22"/>
      <w:lang w:val="en-US" w:eastAsia="zh-CN" w:bidi="ar-SA"/>
    </w:rPr>
  </w:style>
  <w:style w:type="paragraph" w:customStyle="1" w:styleId="68">
    <w:name w:val="_Style 117"/>
    <w:basedOn w:val="55"/>
    <w:qFormat/>
    <w:uiPriority w:val="34"/>
    <w:pPr>
      <w:widowControl w:val="0"/>
      <w:ind w:firstLine="420" w:firstLineChars="200"/>
      <w:jc w:val="both"/>
    </w:pPr>
    <w:rPr>
      <w:rFonts w:ascii="Calibri" w:hAnsi="Calibri" w:cs="Times New Roman"/>
      <w:kern w:val="2"/>
      <w:szCs w:val="22"/>
    </w:rPr>
  </w:style>
  <w:style w:type="paragraph" w:customStyle="1" w:styleId="69">
    <w:name w:val="_Style 118"/>
    <w:basedOn w:val="55"/>
    <w:qFormat/>
    <w:uiPriority w:val="1"/>
    <w:pPr>
      <w:widowControl w:val="0"/>
      <w:autoSpaceDE w:val="0"/>
      <w:autoSpaceDN w:val="0"/>
      <w:spacing w:line="259" w:lineRule="auto"/>
    </w:pPr>
    <w:rPr>
      <w:rFonts w:ascii="Noto Sans CJK JP Regular" w:hAnsi="Noto Sans CJK JP Regular" w:eastAsia="Noto Sans CJK JP Regular" w:cs="Noto Sans CJK JP Regular"/>
      <w:sz w:val="22"/>
      <w:szCs w:val="22"/>
      <w:lang w:eastAsia="en-US"/>
    </w:rPr>
  </w:style>
  <w:style w:type="character" w:customStyle="1" w:styleId="70">
    <w:name w:val="批注文字 字符"/>
    <w:basedOn w:val="39"/>
    <w:link w:val="14"/>
    <w:qFormat/>
    <w:uiPriority w:val="0"/>
    <w:rPr>
      <w:bCs/>
      <w:sz w:val="21"/>
      <w:szCs w:val="21"/>
    </w:rPr>
  </w:style>
  <w:style w:type="character" w:customStyle="1" w:styleId="71">
    <w:name w:val="批注主题 字符"/>
    <w:basedOn w:val="70"/>
    <w:link w:val="36"/>
    <w:qFormat/>
    <w:uiPriority w:val="99"/>
    <w:rPr>
      <w:rFonts w:cs="宋体"/>
      <w:b/>
      <w:sz w:val="21"/>
      <w:szCs w:val="21"/>
    </w:rPr>
  </w:style>
  <w:style w:type="table" w:customStyle="1" w:styleId="72">
    <w:name w:val="g1"/>
    <w:semiHidden/>
    <w:unhideWhenUsed/>
    <w:qFormat/>
    <w:uiPriority w:val="99"/>
    <w:tblPr>
      <w:tblCellMar>
        <w:top w:w="0" w:type="dxa"/>
        <w:left w:w="108" w:type="dxa"/>
        <w:bottom w:w="0" w:type="dxa"/>
        <w:right w:w="108" w:type="dxa"/>
      </w:tblCellMar>
    </w:tblPr>
  </w:style>
  <w:style w:type="paragraph" w:customStyle="1" w:styleId="73">
    <w:name w:val="_Style 50"/>
    <w:basedOn w:val="1"/>
    <w:next w:val="1"/>
    <w:qFormat/>
    <w:uiPriority w:val="0"/>
    <w:pPr>
      <w:keepNext/>
      <w:keepLines/>
      <w:widowControl w:val="0"/>
      <w:spacing w:before="60" w:after="60" w:line="360" w:lineRule="auto"/>
      <w:jc w:val="center"/>
      <w:outlineLvl w:val="0"/>
    </w:pPr>
    <w:rPr>
      <w:rFonts w:ascii="Calibri" w:hAnsi="Calibri" w:eastAsia="黑体" w:cs="Times New Roman"/>
      <w:b/>
      <w:bCs w:val="0"/>
      <w:kern w:val="44"/>
      <w:sz w:val="28"/>
      <w:szCs w:val="44"/>
    </w:rPr>
  </w:style>
  <w:style w:type="paragraph" w:customStyle="1" w:styleId="74">
    <w:name w:val="_Style 51"/>
    <w:basedOn w:val="1"/>
    <w:next w:val="1"/>
    <w:semiHidden/>
    <w:unhideWhenUsed/>
    <w:qFormat/>
    <w:uiPriority w:val="0"/>
    <w:pPr>
      <w:keepNext/>
      <w:keepLines/>
      <w:widowControl w:val="0"/>
      <w:spacing w:before="60" w:after="60"/>
      <w:jc w:val="both"/>
      <w:outlineLvl w:val="1"/>
    </w:pPr>
    <w:rPr>
      <w:rFonts w:ascii="Arial" w:hAnsi="Arial" w:cs="Times New Roman"/>
      <w:b/>
      <w:bCs w:val="0"/>
      <w:kern w:val="2"/>
    </w:rPr>
  </w:style>
  <w:style w:type="paragraph" w:customStyle="1" w:styleId="75">
    <w:name w:val="_Style 52"/>
    <w:basedOn w:val="1"/>
    <w:next w:val="1"/>
    <w:semiHidden/>
    <w:unhideWhenUsed/>
    <w:qFormat/>
    <w:uiPriority w:val="0"/>
    <w:pPr>
      <w:keepNext/>
      <w:keepLines/>
      <w:widowControl w:val="0"/>
      <w:spacing w:before="60" w:after="60"/>
      <w:jc w:val="both"/>
      <w:outlineLvl w:val="2"/>
    </w:pPr>
    <w:rPr>
      <w:rFonts w:ascii="Calibri" w:hAnsi="Calibri" w:cs="Times New Roman"/>
      <w:b/>
      <w:bCs w:val="0"/>
      <w:kern w:val="2"/>
      <w:szCs w:val="32"/>
    </w:rPr>
  </w:style>
  <w:style w:type="paragraph" w:customStyle="1" w:styleId="76">
    <w:name w:val="_Style 53"/>
    <w:basedOn w:val="1"/>
    <w:next w:val="1"/>
    <w:semiHidden/>
    <w:unhideWhenUsed/>
    <w:qFormat/>
    <w:uiPriority w:val="0"/>
    <w:pPr>
      <w:keepNext/>
      <w:keepLines/>
      <w:widowControl w:val="0"/>
      <w:spacing w:before="60" w:after="60"/>
      <w:jc w:val="both"/>
      <w:outlineLvl w:val="3"/>
    </w:pPr>
    <w:rPr>
      <w:rFonts w:ascii="Cambria" w:hAnsi="Cambria" w:cs="Times New Roman"/>
      <w:b/>
      <w:bCs w:val="0"/>
      <w:kern w:val="2"/>
      <w:szCs w:val="28"/>
    </w:rPr>
  </w:style>
  <w:style w:type="paragraph" w:customStyle="1" w:styleId="77">
    <w:name w:val="_Style 54"/>
    <w:basedOn w:val="1"/>
    <w:next w:val="1"/>
    <w:semiHidden/>
    <w:unhideWhenUsed/>
    <w:qFormat/>
    <w:uiPriority w:val="0"/>
    <w:pPr>
      <w:keepNext/>
      <w:keepLines/>
      <w:widowControl w:val="0"/>
      <w:spacing w:before="60" w:after="60"/>
      <w:jc w:val="both"/>
      <w:outlineLvl w:val="4"/>
    </w:pPr>
    <w:rPr>
      <w:rFonts w:ascii="Calibri" w:hAnsi="Calibri" w:cs="Times New Roman"/>
      <w:b/>
      <w:bCs w:val="0"/>
      <w:kern w:val="2"/>
      <w:szCs w:val="28"/>
    </w:rPr>
  </w:style>
  <w:style w:type="paragraph" w:customStyle="1" w:styleId="78">
    <w:name w:val="_Style 55"/>
    <w:basedOn w:val="1"/>
    <w:next w:val="1"/>
    <w:semiHidden/>
    <w:unhideWhenUsed/>
    <w:qFormat/>
    <w:uiPriority w:val="0"/>
    <w:pPr>
      <w:keepNext/>
      <w:keepLines/>
      <w:spacing w:before="60" w:after="60"/>
      <w:outlineLvl w:val="5"/>
    </w:pPr>
    <w:rPr>
      <w:rFonts w:asciiTheme="majorHAnsi" w:hAnsiTheme="majorHAnsi" w:cstheme="majorBidi"/>
      <w:b/>
      <w:bCs w:val="0"/>
    </w:rPr>
  </w:style>
  <w:style w:type="character" w:customStyle="1" w:styleId="79">
    <w:name w:val="_Style 561"/>
    <w:semiHidden/>
    <w:unhideWhenUsed/>
    <w:qFormat/>
    <w:uiPriority w:val="1"/>
  </w:style>
  <w:style w:type="table" w:customStyle="1" w:styleId="80">
    <w:name w:val="_Style 57"/>
    <w:semiHidden/>
    <w:unhideWhenUsed/>
    <w:qFormat/>
    <w:uiPriority w:val="99"/>
    <w:tblPr>
      <w:tblCellMar>
        <w:top w:w="0" w:type="dxa"/>
        <w:left w:w="108" w:type="dxa"/>
        <w:bottom w:w="0" w:type="dxa"/>
        <w:right w:w="108" w:type="dxa"/>
      </w:tblCellMar>
    </w:tblPr>
  </w:style>
  <w:style w:type="paragraph" w:customStyle="1" w:styleId="81">
    <w:name w:val="_Style 58"/>
    <w:basedOn w:val="1"/>
    <w:next w:val="1"/>
    <w:qFormat/>
    <w:uiPriority w:val="0"/>
    <w:pPr>
      <w:widowControl w:val="0"/>
      <w:jc w:val="center"/>
    </w:pPr>
    <w:rPr>
      <w:rFonts w:cs="Times New Roman"/>
      <w:kern w:val="2"/>
    </w:rPr>
  </w:style>
  <w:style w:type="paragraph" w:customStyle="1" w:styleId="82">
    <w:name w:val="_Style 59"/>
    <w:basedOn w:val="1"/>
    <w:qFormat/>
    <w:uiPriority w:val="0"/>
    <w:pPr>
      <w:widowControl w:val="0"/>
      <w:ind w:firstLine="420" w:firstLineChars="200"/>
      <w:jc w:val="both"/>
    </w:pPr>
    <w:rPr>
      <w:rFonts w:cs="Times New Roman"/>
      <w:kern w:val="2"/>
    </w:rPr>
  </w:style>
  <w:style w:type="paragraph" w:customStyle="1" w:styleId="83">
    <w:name w:val="_Style 611"/>
    <w:basedOn w:val="1"/>
    <w:qFormat/>
    <w:uiPriority w:val="0"/>
  </w:style>
  <w:style w:type="paragraph" w:customStyle="1" w:styleId="84">
    <w:name w:val="_Style 62"/>
    <w:basedOn w:val="1"/>
    <w:next w:val="1"/>
    <w:qFormat/>
    <w:uiPriority w:val="0"/>
    <w:pPr>
      <w:widowControl w:val="0"/>
      <w:jc w:val="both"/>
    </w:pPr>
    <w:rPr>
      <w:rFonts w:cs="Times New Roman"/>
      <w:kern w:val="2"/>
    </w:rPr>
  </w:style>
  <w:style w:type="paragraph" w:customStyle="1" w:styleId="85">
    <w:name w:val="_Style 63"/>
    <w:basedOn w:val="1"/>
    <w:qFormat/>
    <w:uiPriority w:val="0"/>
    <w:pPr>
      <w:widowControl w:val="0"/>
      <w:spacing w:after="120"/>
      <w:jc w:val="both"/>
    </w:pPr>
    <w:rPr>
      <w:rFonts w:cs="Times New Roman"/>
      <w:kern w:val="2"/>
    </w:rPr>
  </w:style>
  <w:style w:type="paragraph" w:customStyle="1" w:styleId="86">
    <w:name w:val="_Style 641"/>
    <w:basedOn w:val="1"/>
    <w:qFormat/>
    <w:uiPriority w:val="0"/>
    <w:pPr>
      <w:widowControl w:val="0"/>
      <w:jc w:val="both"/>
    </w:pPr>
    <w:rPr>
      <w:rFonts w:hAnsi="Courier New" w:cs="Times New Roman"/>
      <w:kern w:val="2"/>
      <w:szCs w:val="20"/>
    </w:rPr>
  </w:style>
  <w:style w:type="paragraph" w:customStyle="1" w:styleId="87">
    <w:name w:val="_Style 65"/>
    <w:basedOn w:val="1"/>
    <w:qFormat/>
    <w:uiPriority w:val="0"/>
    <w:rPr>
      <w:sz w:val="18"/>
      <w:szCs w:val="18"/>
    </w:rPr>
  </w:style>
  <w:style w:type="paragraph" w:customStyle="1" w:styleId="88">
    <w:name w:val="_Style 661"/>
    <w:basedOn w:val="1"/>
    <w:qFormat/>
    <w:uiPriority w:val="0"/>
    <w:pPr>
      <w:widowControl w:val="0"/>
      <w:tabs>
        <w:tab w:val="center" w:pos="4153"/>
        <w:tab w:val="right" w:pos="8306"/>
      </w:tabs>
      <w:snapToGrid w:val="0"/>
    </w:pPr>
    <w:rPr>
      <w:rFonts w:ascii="Calibri" w:hAnsi="Calibri" w:cs="Times New Roman"/>
      <w:kern w:val="2"/>
      <w:sz w:val="18"/>
      <w:szCs w:val="18"/>
    </w:rPr>
  </w:style>
  <w:style w:type="paragraph" w:customStyle="1" w:styleId="89">
    <w:name w:val="_Style 67"/>
    <w:basedOn w:val="1"/>
    <w:qFormat/>
    <w:uiPriority w:val="0"/>
    <w:pPr>
      <w:widowControl w:val="0"/>
      <w:pBdr>
        <w:bottom w:val="single" w:color="auto" w:sz="6" w:space="1"/>
      </w:pBdr>
      <w:tabs>
        <w:tab w:val="center" w:pos="4153"/>
        <w:tab w:val="right" w:pos="8306"/>
      </w:tabs>
      <w:snapToGrid w:val="0"/>
      <w:jc w:val="center"/>
    </w:pPr>
    <w:rPr>
      <w:rFonts w:ascii="Calibri" w:hAnsi="Calibri" w:cs="Times New Roman"/>
      <w:kern w:val="2"/>
      <w:sz w:val="18"/>
      <w:szCs w:val="18"/>
    </w:rPr>
  </w:style>
  <w:style w:type="paragraph" w:customStyle="1" w:styleId="90">
    <w:name w:val="_Style 68"/>
    <w:basedOn w:val="1"/>
    <w:next w:val="1"/>
    <w:qFormat/>
    <w:uiPriority w:val="0"/>
    <w:pPr>
      <w:spacing w:line="360" w:lineRule="auto"/>
      <w:ind w:left="200" w:hanging="200" w:hangingChars="200"/>
    </w:pPr>
    <w:rPr>
      <w:rFonts w:cstheme="minorHAnsi"/>
      <w:b/>
      <w:caps/>
      <w:szCs w:val="20"/>
    </w:rPr>
  </w:style>
  <w:style w:type="paragraph" w:customStyle="1" w:styleId="91">
    <w:name w:val="_Style 69"/>
    <w:basedOn w:val="1"/>
    <w:qFormat/>
    <w:uiPriority w:val="0"/>
    <w:pPr>
      <w:spacing w:before="100" w:beforeAutospacing="1" w:after="100" w:afterAutospacing="1"/>
    </w:pPr>
    <w:rPr>
      <w:sz w:val="24"/>
    </w:rPr>
  </w:style>
  <w:style w:type="paragraph" w:customStyle="1" w:styleId="92">
    <w:name w:val="_Style 70"/>
    <w:basedOn w:val="83"/>
    <w:next w:val="11"/>
    <w:qFormat/>
    <w:uiPriority w:val="0"/>
    <w:rPr>
      <w:b/>
    </w:rPr>
  </w:style>
  <w:style w:type="table" w:customStyle="1" w:styleId="93">
    <w:name w:val="_Style 7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4">
    <w:name w:val="_Style 72"/>
    <w:basedOn w:val="79"/>
    <w:qFormat/>
    <w:uiPriority w:val="0"/>
    <w:rPr>
      <w:sz w:val="21"/>
      <w:szCs w:val="21"/>
    </w:rPr>
  </w:style>
  <w:style w:type="character" w:customStyle="1" w:styleId="95">
    <w:name w:val="标题 1 字符1"/>
    <w:basedOn w:val="79"/>
    <w:link w:val="2"/>
    <w:qFormat/>
    <w:uiPriority w:val="99"/>
    <w:rPr>
      <w:rFonts w:eastAsia="黑体"/>
      <w:b/>
      <w:kern w:val="44"/>
      <w:sz w:val="28"/>
      <w:szCs w:val="44"/>
    </w:rPr>
  </w:style>
  <w:style w:type="character" w:customStyle="1" w:styleId="96">
    <w:name w:val="标题 2 字符1"/>
    <w:basedOn w:val="79"/>
    <w:qFormat/>
    <w:uiPriority w:val="0"/>
    <w:rPr>
      <w:rFonts w:ascii="Arial" w:hAnsi="Arial" w:cs="Times New Roman"/>
      <w:b/>
      <w:kern w:val="2"/>
    </w:rPr>
  </w:style>
  <w:style w:type="character" w:customStyle="1" w:styleId="97">
    <w:name w:val="标题 3 字符1"/>
    <w:basedOn w:val="79"/>
    <w:link w:val="4"/>
    <w:qFormat/>
    <w:uiPriority w:val="9"/>
    <w:rPr>
      <w:b/>
      <w:kern w:val="2"/>
      <w:sz w:val="21"/>
      <w:szCs w:val="32"/>
    </w:rPr>
  </w:style>
  <w:style w:type="character" w:customStyle="1" w:styleId="98">
    <w:name w:val="标题 4 字符1"/>
    <w:basedOn w:val="79"/>
    <w:link w:val="5"/>
    <w:qFormat/>
    <w:uiPriority w:val="9"/>
    <w:rPr>
      <w:rFonts w:ascii="Cambria" w:hAnsi="Cambria"/>
      <w:b/>
      <w:kern w:val="2"/>
      <w:sz w:val="21"/>
      <w:szCs w:val="28"/>
    </w:rPr>
  </w:style>
  <w:style w:type="character" w:customStyle="1" w:styleId="99">
    <w:name w:val="_Style 77"/>
    <w:basedOn w:val="79"/>
    <w:qFormat/>
    <w:uiPriority w:val="9"/>
    <w:rPr>
      <w:b/>
      <w:kern w:val="2"/>
      <w:sz w:val="21"/>
      <w:szCs w:val="28"/>
    </w:rPr>
  </w:style>
  <w:style w:type="character" w:customStyle="1" w:styleId="100">
    <w:name w:val="_Style 78"/>
    <w:basedOn w:val="79"/>
    <w:qFormat/>
    <w:uiPriority w:val="99"/>
    <w:rPr>
      <w:rFonts w:ascii="Times New Roman" w:hAnsi="Times New Roman" w:eastAsia="宋体" w:cs="Times New Roman"/>
      <w:szCs w:val="21"/>
    </w:rPr>
  </w:style>
  <w:style w:type="paragraph" w:customStyle="1" w:styleId="101">
    <w:name w:val="_Style 79"/>
    <w:basedOn w:val="1"/>
    <w:qFormat/>
    <w:uiPriority w:val="34"/>
    <w:pPr>
      <w:widowControl w:val="0"/>
      <w:ind w:firstLine="420" w:firstLineChars="200"/>
      <w:jc w:val="both"/>
    </w:pPr>
    <w:rPr>
      <w:rFonts w:ascii="Calibri" w:hAnsi="Calibri" w:cs="Times New Roman"/>
      <w:kern w:val="2"/>
      <w:szCs w:val="22"/>
    </w:rPr>
  </w:style>
  <w:style w:type="character" w:customStyle="1" w:styleId="102">
    <w:name w:val="_Style 80"/>
    <w:basedOn w:val="79"/>
    <w:qFormat/>
    <w:uiPriority w:val="99"/>
    <w:rPr>
      <w:rFonts w:ascii="Calibri" w:hAnsi="Calibri" w:eastAsia="宋体" w:cs="Times New Roman"/>
      <w:sz w:val="18"/>
      <w:szCs w:val="18"/>
    </w:rPr>
  </w:style>
  <w:style w:type="character" w:customStyle="1" w:styleId="103">
    <w:name w:val="列表项目符号 3 字符"/>
    <w:basedOn w:val="79"/>
    <w:link w:val="16"/>
    <w:qFormat/>
    <w:uiPriority w:val="99"/>
    <w:rPr>
      <w:rFonts w:ascii="Calibri" w:hAnsi="Calibri" w:eastAsia="宋体" w:cs="Times New Roman"/>
      <w:sz w:val="18"/>
      <w:szCs w:val="18"/>
    </w:rPr>
  </w:style>
  <w:style w:type="character" w:customStyle="1" w:styleId="104">
    <w:name w:val="批注文字 字符1"/>
    <w:basedOn w:val="79"/>
    <w:qFormat/>
    <w:uiPriority w:val="0"/>
    <w:rPr>
      <w:rFonts w:ascii="宋体" w:hAnsi="Courier New" w:eastAsia="宋体" w:cs="Times New Roman"/>
      <w:szCs w:val="20"/>
    </w:rPr>
  </w:style>
  <w:style w:type="character" w:customStyle="1" w:styleId="105">
    <w:name w:val="_Style 83"/>
    <w:basedOn w:val="79"/>
    <w:qFormat/>
    <w:uiPriority w:val="99"/>
    <w:rPr>
      <w:rFonts w:ascii="Times New Roman" w:hAnsi="Times New Roman" w:eastAsia="宋体" w:cs="Times New Roman"/>
      <w:szCs w:val="21"/>
    </w:rPr>
  </w:style>
  <w:style w:type="character" w:customStyle="1" w:styleId="106">
    <w:name w:val="_Style 84"/>
    <w:basedOn w:val="79"/>
    <w:qFormat/>
    <w:uiPriority w:val="99"/>
    <w:rPr>
      <w:rFonts w:ascii="Times New Roman" w:hAnsi="Times New Roman" w:eastAsia="宋体" w:cs="Times New Roman"/>
      <w:szCs w:val="21"/>
    </w:rPr>
  </w:style>
  <w:style w:type="character" w:customStyle="1" w:styleId="107">
    <w:name w:val="_Style 851"/>
    <w:basedOn w:val="79"/>
    <w:qFormat/>
    <w:uiPriority w:val="0"/>
    <w:rPr>
      <w:kern w:val="2"/>
      <w:sz w:val="21"/>
      <w:szCs w:val="24"/>
    </w:rPr>
  </w:style>
  <w:style w:type="paragraph" w:customStyle="1" w:styleId="108">
    <w:name w:val="_Style 86"/>
    <w:basedOn w:val="1"/>
    <w:qFormat/>
    <w:uiPriority w:val="0"/>
    <w:pPr>
      <w:widowControl w:val="0"/>
      <w:spacing w:before="100" w:after="100"/>
      <w:jc w:val="both"/>
    </w:pPr>
    <w:rPr>
      <w:rFonts w:ascii="Calibri" w:hAnsi="Calibri" w:cs="Times New Roman"/>
      <w:kern w:val="2"/>
    </w:rPr>
  </w:style>
  <w:style w:type="character" w:customStyle="1" w:styleId="109">
    <w:name w:val="_Style 87"/>
    <w:basedOn w:val="79"/>
    <w:semiHidden/>
    <w:qFormat/>
    <w:uiPriority w:val="99"/>
    <w:rPr>
      <w:rFonts w:ascii="宋体"/>
      <w:kern w:val="2"/>
      <w:sz w:val="18"/>
      <w:szCs w:val="18"/>
    </w:rPr>
  </w:style>
  <w:style w:type="paragraph" w:customStyle="1" w:styleId="110">
    <w:name w:val="_Style 88"/>
    <w:qFormat/>
    <w:uiPriority w:val="1"/>
    <w:pPr>
      <w:widowControl w:val="0"/>
      <w:jc w:val="both"/>
    </w:pPr>
    <w:rPr>
      <w:rFonts w:ascii="Times New Roman" w:hAnsi="Times New Roman" w:eastAsia="宋体" w:cs="宋体"/>
      <w:bCs/>
      <w:kern w:val="2"/>
      <w:sz w:val="21"/>
      <w:szCs w:val="22"/>
      <w:lang w:val="en-US" w:eastAsia="zh-CN" w:bidi="ar-SA"/>
    </w:rPr>
  </w:style>
  <w:style w:type="character" w:customStyle="1" w:styleId="111">
    <w:name w:val="_Style 89"/>
    <w:basedOn w:val="79"/>
    <w:qFormat/>
    <w:uiPriority w:val="9"/>
    <w:rPr>
      <w:rFonts w:asciiTheme="majorHAnsi" w:hAnsiTheme="majorHAnsi" w:cstheme="majorBidi"/>
      <w:b/>
      <w:sz w:val="21"/>
      <w:szCs w:val="24"/>
    </w:rPr>
  </w:style>
  <w:style w:type="table" w:customStyle="1" w:styleId="112">
    <w:name w:val="_Style 90"/>
    <w:basedOn w:val="8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3">
    <w:name w:val="_Style 911"/>
    <w:qFormat/>
    <w:uiPriority w:val="0"/>
    <w:rPr>
      <w:rFonts w:ascii="Times New Roman" w:hAnsi="Times New Roman" w:eastAsia="宋体" w:cs="宋体"/>
      <w:lang w:val="en-US" w:eastAsia="zh-CN" w:bidi="ar-SA"/>
    </w:rPr>
  </w:style>
  <w:style w:type="paragraph" w:customStyle="1" w:styleId="114">
    <w:name w:val="_Style 92"/>
    <w:basedOn w:val="113"/>
    <w:next w:val="1"/>
    <w:qFormat/>
    <w:uiPriority w:val="99"/>
    <w:pPr>
      <w:keepNext/>
      <w:keepLines/>
      <w:widowControl w:val="0"/>
      <w:spacing w:before="60" w:after="60" w:line="360" w:lineRule="auto"/>
      <w:jc w:val="center"/>
      <w:outlineLvl w:val="0"/>
    </w:pPr>
    <w:rPr>
      <w:rFonts w:ascii="Calibri" w:hAnsi="Calibri" w:eastAsia="黑体" w:cs="Times New Roman"/>
      <w:b/>
      <w:kern w:val="44"/>
      <w:sz w:val="28"/>
      <w:szCs w:val="44"/>
    </w:rPr>
  </w:style>
  <w:style w:type="paragraph" w:customStyle="1" w:styleId="115">
    <w:name w:val="_Style 93"/>
    <w:basedOn w:val="113"/>
    <w:next w:val="1"/>
    <w:qFormat/>
    <w:uiPriority w:val="0"/>
    <w:pPr>
      <w:keepNext/>
      <w:keepLines/>
      <w:widowControl w:val="0"/>
      <w:spacing w:before="60" w:after="60"/>
      <w:jc w:val="both"/>
      <w:outlineLvl w:val="1"/>
    </w:pPr>
    <w:rPr>
      <w:rFonts w:ascii="Arial" w:hAnsi="Arial" w:cs="Times New Roman"/>
      <w:b/>
      <w:kern w:val="2"/>
    </w:rPr>
  </w:style>
  <w:style w:type="paragraph" w:customStyle="1" w:styleId="116">
    <w:name w:val="_Style 94"/>
    <w:basedOn w:val="113"/>
    <w:next w:val="1"/>
    <w:qFormat/>
    <w:uiPriority w:val="9"/>
    <w:pPr>
      <w:keepNext/>
      <w:keepLines/>
      <w:widowControl w:val="0"/>
      <w:spacing w:before="60" w:after="60"/>
      <w:jc w:val="both"/>
      <w:outlineLvl w:val="2"/>
    </w:pPr>
    <w:rPr>
      <w:rFonts w:ascii="Calibri" w:hAnsi="Calibri" w:cs="Times New Roman"/>
      <w:b/>
      <w:kern w:val="2"/>
      <w:szCs w:val="32"/>
    </w:rPr>
  </w:style>
  <w:style w:type="paragraph" w:customStyle="1" w:styleId="117">
    <w:name w:val="_Style 95"/>
    <w:basedOn w:val="113"/>
    <w:next w:val="1"/>
    <w:qFormat/>
    <w:uiPriority w:val="9"/>
    <w:pPr>
      <w:keepNext/>
      <w:keepLines/>
      <w:widowControl w:val="0"/>
      <w:spacing w:before="60" w:after="60"/>
      <w:jc w:val="both"/>
      <w:outlineLvl w:val="3"/>
    </w:pPr>
    <w:rPr>
      <w:rFonts w:ascii="Cambria" w:hAnsi="Cambria" w:cs="Times New Roman"/>
      <w:b/>
      <w:kern w:val="2"/>
      <w:szCs w:val="28"/>
    </w:rPr>
  </w:style>
  <w:style w:type="paragraph" w:customStyle="1" w:styleId="118">
    <w:name w:val="_Style 96"/>
    <w:basedOn w:val="113"/>
    <w:next w:val="1"/>
    <w:qFormat/>
    <w:uiPriority w:val="9"/>
    <w:pPr>
      <w:keepNext/>
      <w:keepLines/>
      <w:widowControl w:val="0"/>
      <w:spacing w:before="60" w:after="60"/>
      <w:jc w:val="both"/>
      <w:outlineLvl w:val="4"/>
    </w:pPr>
    <w:rPr>
      <w:rFonts w:ascii="Calibri" w:hAnsi="Calibri" w:cs="Times New Roman"/>
      <w:b/>
      <w:kern w:val="2"/>
      <w:szCs w:val="28"/>
    </w:rPr>
  </w:style>
  <w:style w:type="paragraph" w:customStyle="1" w:styleId="119">
    <w:name w:val="_Style 97"/>
    <w:basedOn w:val="113"/>
    <w:next w:val="1"/>
    <w:unhideWhenUsed/>
    <w:qFormat/>
    <w:uiPriority w:val="9"/>
    <w:pPr>
      <w:keepNext/>
      <w:keepLines/>
      <w:spacing w:before="60" w:after="60"/>
      <w:outlineLvl w:val="5"/>
    </w:pPr>
    <w:rPr>
      <w:rFonts w:asciiTheme="majorHAnsi" w:hAnsiTheme="majorHAnsi" w:cstheme="majorBidi"/>
      <w:b/>
    </w:rPr>
  </w:style>
  <w:style w:type="paragraph" w:customStyle="1" w:styleId="120">
    <w:name w:val="_Style 98"/>
    <w:basedOn w:val="113"/>
    <w:next w:val="1"/>
    <w:unhideWhenUsed/>
    <w:qFormat/>
    <w:uiPriority w:val="9"/>
    <w:pPr>
      <w:keepNext/>
      <w:keepLines/>
      <w:spacing w:before="240" w:after="64" w:line="320" w:lineRule="auto"/>
      <w:outlineLvl w:val="6"/>
    </w:pPr>
    <w:rPr>
      <w:b/>
      <w:sz w:val="24"/>
    </w:rPr>
  </w:style>
  <w:style w:type="character" w:customStyle="1" w:styleId="121">
    <w:name w:val="_Style 99"/>
    <w:basedOn w:val="79"/>
    <w:qFormat/>
    <w:uiPriority w:val="99"/>
    <w:rPr>
      <w:rFonts w:eastAsia="黑体"/>
      <w:b/>
      <w:kern w:val="44"/>
      <w:sz w:val="28"/>
      <w:szCs w:val="44"/>
    </w:rPr>
  </w:style>
  <w:style w:type="character" w:customStyle="1" w:styleId="122">
    <w:name w:val="_Style 100"/>
    <w:basedOn w:val="79"/>
    <w:qFormat/>
    <w:uiPriority w:val="0"/>
    <w:rPr>
      <w:rFonts w:ascii="Arial" w:hAnsi="Arial" w:cs="Times New Roman"/>
      <w:b/>
      <w:kern w:val="2"/>
    </w:rPr>
  </w:style>
  <w:style w:type="character" w:customStyle="1" w:styleId="123">
    <w:name w:val="_Style 101"/>
    <w:basedOn w:val="79"/>
    <w:qFormat/>
    <w:uiPriority w:val="9"/>
    <w:rPr>
      <w:b/>
      <w:kern w:val="2"/>
      <w:sz w:val="21"/>
      <w:szCs w:val="32"/>
    </w:rPr>
  </w:style>
  <w:style w:type="character" w:customStyle="1" w:styleId="124">
    <w:name w:val="_Style 102"/>
    <w:basedOn w:val="79"/>
    <w:qFormat/>
    <w:uiPriority w:val="9"/>
    <w:rPr>
      <w:rFonts w:ascii="Cambria" w:hAnsi="Cambria"/>
      <w:b/>
      <w:kern w:val="2"/>
      <w:sz w:val="21"/>
      <w:szCs w:val="28"/>
    </w:rPr>
  </w:style>
  <w:style w:type="character" w:customStyle="1" w:styleId="125">
    <w:name w:val="_Style 103"/>
    <w:basedOn w:val="79"/>
    <w:qFormat/>
    <w:uiPriority w:val="9"/>
    <w:rPr>
      <w:b/>
      <w:kern w:val="2"/>
      <w:sz w:val="21"/>
      <w:szCs w:val="28"/>
    </w:rPr>
  </w:style>
  <w:style w:type="paragraph" w:customStyle="1" w:styleId="126">
    <w:name w:val="_Style 104"/>
    <w:basedOn w:val="114"/>
    <w:next w:val="1"/>
    <w:qFormat/>
    <w:uiPriority w:val="39"/>
    <w:pPr>
      <w:widowControl/>
      <w:spacing w:before="480" w:after="0" w:line="276" w:lineRule="auto"/>
      <w:outlineLvl w:val="9"/>
    </w:pPr>
    <w:rPr>
      <w:rFonts w:ascii="Cambria" w:hAnsi="Cambria" w:eastAsia="宋体"/>
      <w:color w:val="365F91"/>
      <w:kern w:val="0"/>
      <w:szCs w:val="28"/>
    </w:rPr>
  </w:style>
  <w:style w:type="paragraph" w:customStyle="1" w:styleId="127">
    <w:name w:val="_Style 105"/>
    <w:basedOn w:val="113"/>
    <w:next w:val="1"/>
    <w:qFormat/>
    <w:uiPriority w:val="39"/>
    <w:pPr>
      <w:spacing w:line="360" w:lineRule="auto"/>
      <w:ind w:left="200" w:hanging="200" w:hangingChars="200"/>
    </w:pPr>
    <w:rPr>
      <w:rFonts w:cstheme="minorHAnsi"/>
      <w:b/>
      <w:caps/>
    </w:rPr>
  </w:style>
  <w:style w:type="paragraph" w:customStyle="1" w:styleId="128">
    <w:name w:val="_Style 106"/>
    <w:basedOn w:val="113"/>
    <w:next w:val="1"/>
    <w:qFormat/>
    <w:uiPriority w:val="39"/>
    <w:pPr>
      <w:ind w:left="210"/>
    </w:pPr>
    <w:rPr>
      <w:rFonts w:asciiTheme="minorHAnsi" w:hAnsiTheme="minorHAnsi" w:cstheme="minorHAnsi"/>
      <w:smallCaps/>
    </w:rPr>
  </w:style>
  <w:style w:type="character" w:customStyle="1" w:styleId="129">
    <w:name w:val="_Style 107"/>
    <w:basedOn w:val="79"/>
    <w:qFormat/>
    <w:uiPriority w:val="99"/>
    <w:rPr>
      <w:rFonts w:cs="Times New Roman"/>
      <w:color w:val="0000FF"/>
      <w:u w:val="single"/>
    </w:rPr>
  </w:style>
  <w:style w:type="character" w:customStyle="1" w:styleId="130">
    <w:name w:val="_Style 108"/>
    <w:basedOn w:val="79"/>
    <w:qFormat/>
    <w:uiPriority w:val="99"/>
    <w:rPr>
      <w:rFonts w:eastAsia="宋体" w:cs="Times New Roman"/>
      <w:kern w:val="2"/>
      <w:sz w:val="21"/>
      <w:szCs w:val="21"/>
      <w:lang w:val="en-US" w:eastAsia="zh-CN" w:bidi="ar-SA"/>
    </w:rPr>
  </w:style>
  <w:style w:type="paragraph" w:customStyle="1" w:styleId="131">
    <w:name w:val="_Style 109"/>
    <w:basedOn w:val="113"/>
    <w:qFormat/>
    <w:uiPriority w:val="0"/>
    <w:pPr>
      <w:widowControl w:val="0"/>
    </w:pPr>
    <w:rPr>
      <w:rFonts w:cs="Times New Roman"/>
      <w:kern w:val="2"/>
    </w:rPr>
  </w:style>
  <w:style w:type="character" w:customStyle="1" w:styleId="132">
    <w:name w:val="_Style 110"/>
    <w:basedOn w:val="79"/>
    <w:qFormat/>
    <w:uiPriority w:val="0"/>
    <w:rPr>
      <w:rFonts w:ascii="Times New Roman" w:hAnsi="Times New Roman" w:eastAsia="宋体" w:cs="Times New Roman"/>
      <w:szCs w:val="21"/>
    </w:rPr>
  </w:style>
  <w:style w:type="table" w:customStyle="1" w:styleId="133">
    <w:name w:val="_Style 111"/>
    <w:basedOn w:val="8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4">
    <w:name w:val="_Style 112"/>
    <w:basedOn w:val="113"/>
    <w:unhideWhenUsed/>
    <w:qFormat/>
    <w:uiPriority w:val="99"/>
    <w:pPr>
      <w:widowControl w:val="0"/>
      <w:jc w:val="both"/>
    </w:pPr>
    <w:rPr>
      <w:rFonts w:ascii="Calibri" w:hAnsi="Calibri" w:cs="Times New Roman"/>
      <w:kern w:val="2"/>
      <w:sz w:val="18"/>
      <w:szCs w:val="18"/>
    </w:rPr>
  </w:style>
  <w:style w:type="character" w:customStyle="1" w:styleId="135">
    <w:name w:val="_Style 113"/>
    <w:basedOn w:val="79"/>
    <w:qFormat/>
    <w:uiPriority w:val="99"/>
    <w:rPr>
      <w:rFonts w:ascii="Calibri" w:hAnsi="Calibri" w:eastAsia="宋体" w:cs="Times New Roman"/>
      <w:sz w:val="18"/>
      <w:szCs w:val="18"/>
    </w:rPr>
  </w:style>
  <w:style w:type="paragraph" w:customStyle="1" w:styleId="136">
    <w:name w:val="_Style 114"/>
    <w:basedOn w:val="113"/>
    <w:next w:val="1"/>
    <w:qFormat/>
    <w:uiPriority w:val="99"/>
    <w:pPr>
      <w:widowControl w:val="0"/>
      <w:jc w:val="both"/>
    </w:pPr>
    <w:rPr>
      <w:rFonts w:cs="Times New Roman"/>
      <w:kern w:val="2"/>
    </w:rPr>
  </w:style>
  <w:style w:type="character" w:customStyle="1" w:styleId="137">
    <w:name w:val="_Style 115"/>
    <w:basedOn w:val="79"/>
    <w:qFormat/>
    <w:uiPriority w:val="99"/>
    <w:rPr>
      <w:rFonts w:ascii="Times New Roman" w:hAnsi="Times New Roman" w:eastAsia="宋体" w:cs="Times New Roman"/>
      <w:szCs w:val="21"/>
    </w:rPr>
  </w:style>
  <w:style w:type="paragraph" w:customStyle="1" w:styleId="138">
    <w:name w:val="_Style 116"/>
    <w:basedOn w:val="113"/>
    <w:qFormat/>
    <w:uiPriority w:val="99"/>
    <w:pPr>
      <w:spacing w:before="100" w:after="100"/>
      <w:jc w:val="right"/>
    </w:pPr>
    <w:rPr>
      <w:rFonts w:ascii="Arial Unicode MS" w:eastAsia="Arial Unicode MS" w:cs="Times New Roman"/>
      <w:sz w:val="18"/>
      <w:szCs w:val="18"/>
    </w:rPr>
  </w:style>
  <w:style w:type="paragraph" w:customStyle="1" w:styleId="139">
    <w:name w:val="_Style 1171"/>
    <w:basedOn w:val="113"/>
    <w:qFormat/>
    <w:uiPriority w:val="34"/>
    <w:pPr>
      <w:widowControl w:val="0"/>
      <w:ind w:firstLine="420" w:firstLineChars="200"/>
      <w:jc w:val="both"/>
    </w:pPr>
    <w:rPr>
      <w:rFonts w:ascii="Calibri" w:hAnsi="Calibri" w:cs="Times New Roman"/>
      <w:kern w:val="2"/>
      <w:szCs w:val="22"/>
    </w:rPr>
  </w:style>
  <w:style w:type="character" w:customStyle="1" w:styleId="140">
    <w:name w:val="_Style 1181"/>
    <w:basedOn w:val="132"/>
    <w:qFormat/>
    <w:uiPriority w:val="99"/>
    <w:rPr>
      <w:rFonts w:ascii="Calibri" w:hAnsi="Calibri" w:eastAsia="宋体" w:cs="Times New Roman"/>
      <w:b/>
      <w:szCs w:val="21"/>
    </w:rPr>
  </w:style>
  <w:style w:type="paragraph" w:customStyle="1" w:styleId="141">
    <w:name w:val="_Style 119"/>
    <w:basedOn w:val="131"/>
    <w:unhideWhenUsed/>
    <w:qFormat/>
    <w:uiPriority w:val="99"/>
    <w:rPr>
      <w:rFonts w:ascii="Calibri" w:hAnsi="Calibri"/>
      <w:b/>
      <w:szCs w:val="22"/>
    </w:rPr>
  </w:style>
  <w:style w:type="paragraph" w:customStyle="1" w:styleId="142">
    <w:name w:val="_Style 120"/>
    <w:basedOn w:val="113"/>
    <w:next w:val="1"/>
    <w:unhideWhenUsed/>
    <w:qFormat/>
    <w:uiPriority w:val="39"/>
    <w:pPr>
      <w:ind w:left="420"/>
    </w:pPr>
    <w:rPr>
      <w:rFonts w:asciiTheme="minorHAnsi" w:hAnsiTheme="minorHAnsi" w:cstheme="minorHAnsi"/>
      <w:i/>
      <w:iCs/>
    </w:rPr>
  </w:style>
  <w:style w:type="paragraph" w:customStyle="1" w:styleId="143">
    <w:name w:val="_Style 121"/>
    <w:basedOn w:val="113"/>
    <w:unhideWhenUsed/>
    <w:qFormat/>
    <w:uiPriority w:val="99"/>
    <w:pPr>
      <w:widowControl w:val="0"/>
      <w:pBdr>
        <w:bottom w:val="single" w:color="auto" w:sz="6" w:space="1"/>
      </w:pBdr>
      <w:tabs>
        <w:tab w:val="center" w:pos="4153"/>
        <w:tab w:val="right" w:pos="8306"/>
      </w:tabs>
      <w:snapToGrid w:val="0"/>
      <w:jc w:val="center"/>
    </w:pPr>
    <w:rPr>
      <w:rFonts w:ascii="Calibri" w:hAnsi="Calibri" w:cs="Times New Roman"/>
      <w:kern w:val="2"/>
      <w:sz w:val="18"/>
      <w:szCs w:val="18"/>
    </w:rPr>
  </w:style>
  <w:style w:type="character" w:customStyle="1" w:styleId="144">
    <w:name w:val="_Style 122"/>
    <w:basedOn w:val="79"/>
    <w:qFormat/>
    <w:uiPriority w:val="99"/>
    <w:rPr>
      <w:rFonts w:ascii="Calibri" w:hAnsi="Calibri" w:eastAsia="宋体" w:cs="Times New Roman"/>
      <w:sz w:val="18"/>
      <w:szCs w:val="18"/>
    </w:rPr>
  </w:style>
  <w:style w:type="paragraph" w:customStyle="1" w:styleId="145">
    <w:name w:val="_Style 123"/>
    <w:basedOn w:val="113"/>
    <w:unhideWhenUsed/>
    <w:qFormat/>
    <w:uiPriority w:val="99"/>
    <w:pPr>
      <w:widowControl w:val="0"/>
      <w:tabs>
        <w:tab w:val="center" w:pos="4153"/>
        <w:tab w:val="right" w:pos="8306"/>
      </w:tabs>
      <w:snapToGrid w:val="0"/>
    </w:pPr>
    <w:rPr>
      <w:rFonts w:ascii="Calibri" w:hAnsi="Calibri" w:cs="Times New Roman"/>
      <w:kern w:val="2"/>
      <w:sz w:val="18"/>
      <w:szCs w:val="18"/>
    </w:rPr>
  </w:style>
  <w:style w:type="character" w:customStyle="1" w:styleId="146">
    <w:name w:val="_Style 124"/>
    <w:basedOn w:val="79"/>
    <w:qFormat/>
    <w:uiPriority w:val="99"/>
    <w:rPr>
      <w:rFonts w:ascii="Calibri" w:hAnsi="Calibri" w:eastAsia="宋体" w:cs="Times New Roman"/>
      <w:sz w:val="18"/>
      <w:szCs w:val="18"/>
    </w:rPr>
  </w:style>
  <w:style w:type="paragraph" w:customStyle="1" w:styleId="147">
    <w:name w:val="_Style 125"/>
    <w:basedOn w:val="113"/>
    <w:qFormat/>
    <w:uiPriority w:val="0"/>
    <w:pPr>
      <w:widowControl w:val="0"/>
      <w:jc w:val="both"/>
    </w:pPr>
    <w:rPr>
      <w:rFonts w:hAnsi="Courier New" w:cs="Times New Roman"/>
      <w:kern w:val="2"/>
    </w:rPr>
  </w:style>
  <w:style w:type="character" w:customStyle="1" w:styleId="148">
    <w:name w:val="_Style 126"/>
    <w:basedOn w:val="79"/>
    <w:qFormat/>
    <w:uiPriority w:val="0"/>
    <w:rPr>
      <w:rFonts w:ascii="宋体" w:hAnsi="Courier New" w:eastAsia="宋体" w:cs="Times New Roman"/>
      <w:szCs w:val="20"/>
    </w:rPr>
  </w:style>
  <w:style w:type="paragraph" w:customStyle="1" w:styleId="149">
    <w:name w:val="_Style 127"/>
    <w:basedOn w:val="113"/>
    <w:qFormat/>
    <w:uiPriority w:val="99"/>
    <w:pPr>
      <w:widowControl w:val="0"/>
      <w:spacing w:after="120"/>
      <w:jc w:val="both"/>
    </w:pPr>
    <w:rPr>
      <w:rFonts w:cs="Times New Roman"/>
      <w:kern w:val="2"/>
    </w:rPr>
  </w:style>
  <w:style w:type="character" w:customStyle="1" w:styleId="150">
    <w:name w:val="_Style 128"/>
    <w:basedOn w:val="79"/>
    <w:qFormat/>
    <w:uiPriority w:val="99"/>
    <w:rPr>
      <w:rFonts w:ascii="Times New Roman" w:hAnsi="Times New Roman" w:eastAsia="宋体" w:cs="Times New Roman"/>
      <w:szCs w:val="21"/>
    </w:rPr>
  </w:style>
  <w:style w:type="paragraph" w:customStyle="1" w:styleId="151">
    <w:name w:val="_Style 129"/>
    <w:basedOn w:val="113"/>
    <w:qFormat/>
    <w:uiPriority w:val="99"/>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customStyle="1" w:styleId="152">
    <w:name w:val="_Style 130"/>
    <w:basedOn w:val="113"/>
    <w:next w:val="1"/>
    <w:qFormat/>
    <w:uiPriority w:val="99"/>
    <w:pPr>
      <w:widowControl w:val="0"/>
      <w:ind w:left="100" w:leftChars="2500"/>
      <w:jc w:val="both"/>
    </w:pPr>
    <w:rPr>
      <w:rFonts w:cs="Times New Roman"/>
      <w:kern w:val="2"/>
    </w:rPr>
  </w:style>
  <w:style w:type="character" w:customStyle="1" w:styleId="153">
    <w:name w:val="_Style 131"/>
    <w:basedOn w:val="79"/>
    <w:qFormat/>
    <w:uiPriority w:val="99"/>
    <w:rPr>
      <w:rFonts w:ascii="Times New Roman" w:hAnsi="Times New Roman" w:eastAsia="宋体" w:cs="Times New Roman"/>
      <w:szCs w:val="21"/>
    </w:rPr>
  </w:style>
  <w:style w:type="paragraph" w:customStyle="1" w:styleId="154">
    <w:name w:val="_Style 132"/>
    <w:basedOn w:val="113"/>
    <w:next w:val="1"/>
    <w:qFormat/>
    <w:uiPriority w:val="99"/>
    <w:pPr>
      <w:widowControl w:val="0"/>
      <w:jc w:val="center"/>
    </w:pPr>
    <w:rPr>
      <w:rFonts w:cs="Times New Roman"/>
      <w:kern w:val="2"/>
    </w:rPr>
  </w:style>
  <w:style w:type="character" w:customStyle="1" w:styleId="155">
    <w:name w:val="_Style 133"/>
    <w:basedOn w:val="79"/>
    <w:qFormat/>
    <w:uiPriority w:val="99"/>
    <w:rPr>
      <w:rFonts w:ascii="Times New Roman" w:hAnsi="Times New Roman" w:eastAsia="宋体" w:cs="Times New Roman"/>
      <w:szCs w:val="21"/>
    </w:rPr>
  </w:style>
  <w:style w:type="paragraph" w:customStyle="1" w:styleId="156">
    <w:name w:val="_Style 134"/>
    <w:basedOn w:val="113"/>
    <w:next w:val="1"/>
    <w:semiHidden/>
    <w:qFormat/>
    <w:uiPriority w:val="0"/>
    <w:pPr>
      <w:widowControl w:val="0"/>
      <w:spacing w:before="120"/>
      <w:jc w:val="both"/>
    </w:pPr>
    <w:rPr>
      <w:rFonts w:ascii="Arial" w:hAnsi="Arial" w:cs="Times New Roman"/>
      <w:b/>
      <w:kern w:val="2"/>
    </w:rPr>
  </w:style>
  <w:style w:type="paragraph" w:customStyle="1" w:styleId="157">
    <w:name w:val="_Style 135"/>
    <w:basedOn w:val="113"/>
    <w:qFormat/>
    <w:uiPriority w:val="0"/>
    <w:pPr>
      <w:keepNext/>
      <w:keepLines/>
      <w:widowControl w:val="0"/>
      <w:spacing w:before="60" w:after="60"/>
      <w:ind w:hanging="420" w:hangingChars="200"/>
      <w:jc w:val="both"/>
      <w:outlineLvl w:val="4"/>
    </w:pPr>
    <w:rPr>
      <w:rFonts w:cs="Times New Roman"/>
      <w:b/>
      <w:kern w:val="2"/>
    </w:rPr>
  </w:style>
  <w:style w:type="paragraph" w:customStyle="1" w:styleId="158">
    <w:name w:val="_Style 136"/>
    <w:hidden/>
    <w:semiHidden/>
    <w:qFormat/>
    <w:uiPriority w:val="99"/>
    <w:rPr>
      <w:rFonts w:ascii="Times New Roman" w:hAnsi="Times New Roman" w:eastAsia="宋体" w:cs="宋体"/>
      <w:kern w:val="2"/>
      <w:szCs w:val="22"/>
      <w:lang w:val="en-US" w:eastAsia="zh-CN" w:bidi="ar-SA"/>
    </w:rPr>
  </w:style>
  <w:style w:type="character" w:customStyle="1" w:styleId="159">
    <w:name w:val="_Style 137"/>
    <w:basedOn w:val="79"/>
    <w:qFormat/>
    <w:uiPriority w:val="0"/>
    <w:rPr>
      <w:kern w:val="2"/>
      <w:sz w:val="21"/>
      <w:szCs w:val="24"/>
    </w:rPr>
  </w:style>
  <w:style w:type="paragraph" w:customStyle="1" w:styleId="160">
    <w:name w:val="_Style 138"/>
    <w:basedOn w:val="113"/>
    <w:qFormat/>
    <w:uiPriority w:val="0"/>
    <w:pPr>
      <w:widowControl w:val="0"/>
      <w:spacing w:before="100" w:after="100"/>
      <w:jc w:val="both"/>
    </w:pPr>
    <w:rPr>
      <w:rFonts w:ascii="Calibri" w:hAnsi="Calibri" w:cs="Times New Roman"/>
      <w:kern w:val="2"/>
    </w:rPr>
  </w:style>
  <w:style w:type="paragraph" w:customStyle="1" w:styleId="161">
    <w:name w:val="_Style 139"/>
    <w:basedOn w:val="113"/>
    <w:semiHidden/>
    <w:unhideWhenUsed/>
    <w:qFormat/>
    <w:uiPriority w:val="99"/>
    <w:pPr>
      <w:widowControl w:val="0"/>
      <w:jc w:val="both"/>
    </w:pPr>
    <w:rPr>
      <w:rFonts w:hAnsi="Calibri" w:cs="Times New Roman"/>
      <w:kern w:val="2"/>
      <w:sz w:val="18"/>
      <w:szCs w:val="18"/>
    </w:rPr>
  </w:style>
  <w:style w:type="character" w:customStyle="1" w:styleId="162">
    <w:name w:val="_Style 140"/>
    <w:basedOn w:val="79"/>
    <w:semiHidden/>
    <w:qFormat/>
    <w:uiPriority w:val="99"/>
    <w:rPr>
      <w:rFonts w:ascii="宋体"/>
      <w:kern w:val="2"/>
      <w:sz w:val="18"/>
      <w:szCs w:val="18"/>
    </w:rPr>
  </w:style>
  <w:style w:type="character" w:customStyle="1" w:styleId="163">
    <w:name w:val="_Style 141"/>
    <w:basedOn w:val="79"/>
    <w:qFormat/>
    <w:uiPriority w:val="99"/>
    <w:rPr>
      <w:color w:val="auto"/>
    </w:rPr>
  </w:style>
  <w:style w:type="paragraph" w:customStyle="1" w:styleId="164">
    <w:name w:val="_Style 142"/>
    <w:basedOn w:val="113"/>
    <w:next w:val="1"/>
    <w:qFormat/>
    <w:uiPriority w:val="10"/>
    <w:pPr>
      <w:widowControl w:val="0"/>
      <w:spacing w:before="240" w:after="60"/>
      <w:jc w:val="center"/>
      <w:outlineLvl w:val="0"/>
    </w:pPr>
    <w:rPr>
      <w:rFonts w:asciiTheme="majorHAnsi" w:hAnsiTheme="majorHAnsi" w:cstheme="majorBidi"/>
      <w:b/>
      <w:kern w:val="2"/>
      <w:sz w:val="32"/>
      <w:szCs w:val="32"/>
    </w:rPr>
  </w:style>
  <w:style w:type="character" w:customStyle="1" w:styleId="165">
    <w:name w:val="_Style 143"/>
    <w:basedOn w:val="79"/>
    <w:qFormat/>
    <w:uiPriority w:val="10"/>
    <w:rPr>
      <w:rFonts w:asciiTheme="majorHAnsi" w:hAnsiTheme="majorHAnsi" w:cstheme="majorBidi"/>
      <w:b/>
      <w:kern w:val="2"/>
      <w:sz w:val="32"/>
      <w:szCs w:val="32"/>
    </w:rPr>
  </w:style>
  <w:style w:type="paragraph" w:customStyle="1" w:styleId="166">
    <w:name w:val="_Style 144"/>
    <w:qFormat/>
    <w:uiPriority w:val="1"/>
    <w:pPr>
      <w:widowControl w:val="0"/>
      <w:jc w:val="both"/>
    </w:pPr>
    <w:rPr>
      <w:rFonts w:ascii="Times New Roman" w:hAnsi="Times New Roman" w:eastAsia="宋体" w:cs="宋体"/>
      <w:kern w:val="2"/>
      <w:szCs w:val="22"/>
      <w:lang w:val="en-US" w:eastAsia="zh-CN" w:bidi="ar-SA"/>
    </w:rPr>
  </w:style>
  <w:style w:type="paragraph" w:customStyle="1" w:styleId="167">
    <w:name w:val="_Style 145"/>
    <w:basedOn w:val="113"/>
    <w:next w:val="1"/>
    <w:unhideWhenUsed/>
    <w:qFormat/>
    <w:uiPriority w:val="39"/>
    <w:pPr>
      <w:ind w:left="630"/>
    </w:pPr>
    <w:rPr>
      <w:rFonts w:asciiTheme="minorHAnsi" w:hAnsiTheme="minorHAnsi" w:cstheme="minorHAnsi"/>
      <w:sz w:val="18"/>
      <w:szCs w:val="18"/>
    </w:rPr>
  </w:style>
  <w:style w:type="paragraph" w:customStyle="1" w:styleId="168">
    <w:name w:val="_Style 146"/>
    <w:basedOn w:val="113"/>
    <w:next w:val="1"/>
    <w:unhideWhenUsed/>
    <w:qFormat/>
    <w:uiPriority w:val="39"/>
    <w:pPr>
      <w:ind w:left="840"/>
    </w:pPr>
    <w:rPr>
      <w:rFonts w:asciiTheme="minorHAnsi" w:hAnsiTheme="minorHAnsi" w:cstheme="minorHAnsi"/>
      <w:sz w:val="18"/>
      <w:szCs w:val="18"/>
    </w:rPr>
  </w:style>
  <w:style w:type="paragraph" w:customStyle="1" w:styleId="169">
    <w:name w:val="_Style 147"/>
    <w:basedOn w:val="113"/>
    <w:next w:val="1"/>
    <w:unhideWhenUsed/>
    <w:qFormat/>
    <w:uiPriority w:val="39"/>
    <w:pPr>
      <w:ind w:left="1050"/>
    </w:pPr>
    <w:rPr>
      <w:rFonts w:asciiTheme="minorHAnsi" w:hAnsiTheme="minorHAnsi" w:cstheme="minorHAnsi"/>
      <w:sz w:val="18"/>
      <w:szCs w:val="18"/>
    </w:rPr>
  </w:style>
  <w:style w:type="paragraph" w:customStyle="1" w:styleId="170">
    <w:name w:val="_Style 148"/>
    <w:basedOn w:val="113"/>
    <w:next w:val="1"/>
    <w:unhideWhenUsed/>
    <w:qFormat/>
    <w:uiPriority w:val="39"/>
    <w:pPr>
      <w:ind w:left="1260"/>
    </w:pPr>
    <w:rPr>
      <w:rFonts w:asciiTheme="minorHAnsi" w:hAnsiTheme="minorHAnsi" w:cstheme="minorHAnsi"/>
      <w:sz w:val="18"/>
      <w:szCs w:val="18"/>
    </w:rPr>
  </w:style>
  <w:style w:type="paragraph" w:customStyle="1" w:styleId="171">
    <w:name w:val="_Style 149"/>
    <w:basedOn w:val="113"/>
    <w:next w:val="1"/>
    <w:unhideWhenUsed/>
    <w:qFormat/>
    <w:uiPriority w:val="39"/>
    <w:pPr>
      <w:ind w:left="1470"/>
    </w:pPr>
    <w:rPr>
      <w:rFonts w:asciiTheme="minorHAnsi" w:hAnsiTheme="minorHAnsi" w:cstheme="minorHAnsi"/>
      <w:sz w:val="18"/>
      <w:szCs w:val="18"/>
    </w:rPr>
  </w:style>
  <w:style w:type="paragraph" w:customStyle="1" w:styleId="172">
    <w:name w:val="_Style 150"/>
    <w:basedOn w:val="113"/>
    <w:next w:val="1"/>
    <w:unhideWhenUsed/>
    <w:qFormat/>
    <w:uiPriority w:val="39"/>
    <w:pPr>
      <w:ind w:left="1680"/>
    </w:pPr>
    <w:rPr>
      <w:rFonts w:asciiTheme="minorHAnsi" w:hAnsiTheme="minorHAnsi" w:cstheme="minorHAnsi"/>
      <w:sz w:val="18"/>
      <w:szCs w:val="18"/>
    </w:rPr>
  </w:style>
  <w:style w:type="character" w:customStyle="1" w:styleId="173">
    <w:name w:val="_Style 151"/>
    <w:basedOn w:val="79"/>
    <w:qFormat/>
    <w:uiPriority w:val="9"/>
    <w:rPr>
      <w:rFonts w:asciiTheme="majorHAnsi" w:hAnsiTheme="majorHAnsi" w:cstheme="majorBidi"/>
      <w:b/>
      <w:sz w:val="21"/>
      <w:szCs w:val="24"/>
    </w:rPr>
  </w:style>
  <w:style w:type="paragraph" w:customStyle="1" w:styleId="174">
    <w:name w:val="_Style 152"/>
    <w:basedOn w:val="113"/>
    <w:qFormat/>
    <w:uiPriority w:val="99"/>
    <w:pPr>
      <w:spacing w:before="100" w:beforeAutospacing="1" w:after="100" w:afterAutospacing="1"/>
    </w:pPr>
    <w:rPr>
      <w:sz w:val="24"/>
    </w:rPr>
  </w:style>
  <w:style w:type="paragraph" w:customStyle="1" w:styleId="175">
    <w:name w:val="_Style 153"/>
    <w:basedOn w:val="113"/>
    <w:semiHidden/>
    <w:unhideWhenUsed/>
    <w:qFormat/>
    <w:uiPriority w:val="99"/>
    <w:pPr>
      <w:snapToGrid w:val="0"/>
    </w:pPr>
  </w:style>
  <w:style w:type="character" w:customStyle="1" w:styleId="176">
    <w:name w:val="_Style 154"/>
    <w:basedOn w:val="79"/>
    <w:semiHidden/>
    <w:qFormat/>
    <w:uiPriority w:val="99"/>
    <w:rPr>
      <w:rFonts w:ascii="宋体" w:hAnsi="宋体" w:cs="宋体"/>
      <w:sz w:val="21"/>
      <w:szCs w:val="24"/>
    </w:rPr>
  </w:style>
  <w:style w:type="character" w:customStyle="1" w:styleId="177">
    <w:name w:val="_Style 155"/>
    <w:basedOn w:val="79"/>
    <w:semiHidden/>
    <w:unhideWhenUsed/>
    <w:qFormat/>
    <w:uiPriority w:val="99"/>
    <w:rPr>
      <w:vertAlign w:val="superscript"/>
    </w:rPr>
  </w:style>
  <w:style w:type="character" w:customStyle="1" w:styleId="178">
    <w:name w:val="_Style 156"/>
    <w:basedOn w:val="132"/>
    <w:semiHidden/>
    <w:qFormat/>
    <w:uiPriority w:val="99"/>
    <w:rPr>
      <w:rFonts w:ascii="Times New Roman" w:hAnsi="Times New Roman" w:eastAsia="宋体" w:cs="Times New Roman"/>
      <w:b/>
      <w:szCs w:val="21"/>
    </w:rPr>
  </w:style>
  <w:style w:type="paragraph" w:customStyle="1" w:styleId="179">
    <w:name w:val="_Style 157"/>
    <w:basedOn w:val="113"/>
    <w:next w:val="1"/>
    <w:qFormat/>
    <w:uiPriority w:val="0"/>
    <w:pPr>
      <w:keepNext/>
      <w:keepLines/>
      <w:widowControl w:val="0"/>
      <w:spacing w:before="100" w:beforeAutospacing="1" w:after="100" w:afterAutospacing="1" w:line="415" w:lineRule="auto"/>
      <w:jc w:val="both"/>
    </w:pPr>
    <w:rPr>
      <w:rFonts w:cs="Times New Roman"/>
      <w:b/>
      <w:kern w:val="2"/>
    </w:rPr>
  </w:style>
  <w:style w:type="character" w:customStyle="1" w:styleId="180">
    <w:name w:val="_Style 158"/>
    <w:basedOn w:val="79"/>
    <w:qFormat/>
    <w:uiPriority w:val="0"/>
    <w:rPr>
      <w:rFonts w:ascii="Times New Roman" w:hAnsi="Times New Roman"/>
      <w:b/>
      <w:kern w:val="2"/>
      <w:sz w:val="21"/>
      <w:szCs w:val="24"/>
    </w:rPr>
  </w:style>
  <w:style w:type="character" w:customStyle="1" w:styleId="181">
    <w:name w:val="_Style 159"/>
    <w:basedOn w:val="132"/>
    <w:semiHidden/>
    <w:qFormat/>
    <w:uiPriority w:val="99"/>
    <w:rPr>
      <w:rFonts w:ascii="Times New Roman" w:hAnsi="Times New Roman" w:eastAsia="宋体" w:cs="Times New Roman"/>
      <w:b/>
      <w:szCs w:val="21"/>
    </w:rPr>
  </w:style>
  <w:style w:type="character" w:customStyle="1" w:styleId="182">
    <w:name w:val="_Style 160"/>
    <w:basedOn w:val="79"/>
    <w:qFormat/>
    <w:uiPriority w:val="9"/>
    <w:rPr>
      <w:rFonts w:ascii="宋体" w:hAnsi="宋体" w:cs="宋体"/>
      <w:b/>
      <w:sz w:val="24"/>
      <w:szCs w:val="24"/>
    </w:rPr>
  </w:style>
  <w:style w:type="paragraph" w:customStyle="1" w:styleId="183">
    <w:name w:val="_Style 161"/>
    <w:basedOn w:val="113"/>
    <w:next w:val="1"/>
    <w:semiHidden/>
    <w:qFormat/>
    <w:uiPriority w:val="0"/>
    <w:pPr>
      <w:ind w:firstLine="420" w:firstLineChars="200"/>
    </w:pPr>
    <w:rPr>
      <w:rFonts w:cs="Times New Roman"/>
      <w:color w:val="000000"/>
    </w:rPr>
  </w:style>
  <w:style w:type="paragraph" w:customStyle="1" w:styleId="184">
    <w:name w:val="_Style 162"/>
    <w:basedOn w:val="113"/>
    <w:qFormat/>
    <w:uiPriority w:val="0"/>
    <w:pPr>
      <w:widowControl w:val="0"/>
      <w:ind w:firstLine="420" w:firstLineChars="200"/>
      <w:jc w:val="both"/>
    </w:pPr>
    <w:rPr>
      <w:rFonts w:cs="Times New Roman"/>
      <w:kern w:val="2"/>
    </w:rPr>
  </w:style>
  <w:style w:type="paragraph" w:customStyle="1" w:styleId="185">
    <w:name w:val="_Style 163"/>
    <w:basedOn w:val="113"/>
    <w:qFormat/>
    <w:uiPriority w:val="0"/>
    <w:pPr>
      <w:widowControl w:val="0"/>
      <w:tabs>
        <w:tab w:val="left" w:pos="1200"/>
      </w:tabs>
      <w:jc w:val="both"/>
    </w:pPr>
    <w:rPr>
      <w:rFonts w:cs="Times New Roman"/>
      <w:kern w:val="2"/>
    </w:rPr>
  </w:style>
  <w:style w:type="character" w:customStyle="1" w:styleId="186">
    <w:name w:val="_Style 164"/>
    <w:qFormat/>
    <w:uiPriority w:val="9"/>
    <w:rPr>
      <w:rFonts w:ascii="Cambria" w:hAnsi="Cambria"/>
      <w:b/>
      <w:kern w:val="2"/>
      <w:sz w:val="21"/>
      <w:szCs w:val="28"/>
    </w:rPr>
  </w:style>
  <w:style w:type="paragraph" w:customStyle="1" w:styleId="187">
    <w:name w:val="_Style 165"/>
    <w:basedOn w:val="113"/>
    <w:qFormat/>
    <w:uiPriority w:val="34"/>
    <w:pPr>
      <w:widowControl w:val="0"/>
      <w:ind w:firstLine="420" w:firstLineChars="200"/>
      <w:jc w:val="both"/>
    </w:pPr>
    <w:rPr>
      <w:rFonts w:ascii="Calibri" w:hAnsi="Calibri" w:cs="Times New Roman"/>
      <w:kern w:val="2"/>
      <w:szCs w:val="22"/>
    </w:rPr>
  </w:style>
  <w:style w:type="table" w:customStyle="1" w:styleId="188">
    <w:name w:val="_Style 166"/>
    <w:basedOn w:val="8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189">
    <w:name w:val="_Style 167"/>
    <w:basedOn w:val="113"/>
    <w:qFormat/>
    <w:uiPriority w:val="34"/>
    <w:pPr>
      <w:widowControl w:val="0"/>
      <w:ind w:firstLine="420" w:firstLineChars="200"/>
      <w:jc w:val="both"/>
    </w:pPr>
    <w:rPr>
      <w:rFonts w:ascii="Calibri" w:hAnsi="Calibri" w:cs="Times New Roman"/>
      <w:kern w:val="2"/>
      <w:szCs w:val="22"/>
    </w:rPr>
  </w:style>
  <w:style w:type="character" w:customStyle="1" w:styleId="190">
    <w:name w:val="_Style 168"/>
    <w:qFormat/>
    <w:uiPriority w:val="9"/>
    <w:rPr>
      <w:b/>
      <w:kern w:val="2"/>
      <w:sz w:val="21"/>
      <w:szCs w:val="32"/>
    </w:rPr>
  </w:style>
  <w:style w:type="paragraph" w:customStyle="1" w:styleId="191">
    <w:name w:val="_Style 169"/>
    <w:basedOn w:val="113"/>
    <w:qFormat/>
    <w:uiPriority w:val="34"/>
    <w:pPr>
      <w:widowControl w:val="0"/>
      <w:ind w:firstLine="420" w:firstLineChars="200"/>
      <w:jc w:val="both"/>
    </w:pPr>
    <w:rPr>
      <w:rFonts w:ascii="Calibri" w:hAnsi="Calibri" w:cs="Times New Roman"/>
      <w:kern w:val="2"/>
      <w:szCs w:val="22"/>
    </w:rPr>
  </w:style>
  <w:style w:type="paragraph" w:customStyle="1" w:styleId="192">
    <w:name w:val="_Style 170"/>
    <w:basedOn w:val="113"/>
    <w:qFormat/>
    <w:uiPriority w:val="34"/>
    <w:pPr>
      <w:widowControl w:val="0"/>
      <w:ind w:firstLine="420" w:firstLineChars="200"/>
      <w:jc w:val="both"/>
    </w:pPr>
    <w:rPr>
      <w:rFonts w:ascii="Calibri" w:hAnsi="Calibri" w:cs="Times New Roman"/>
      <w:kern w:val="2"/>
      <w:szCs w:val="22"/>
    </w:rPr>
  </w:style>
  <w:style w:type="paragraph" w:customStyle="1" w:styleId="193">
    <w:name w:val="_Style 171"/>
    <w:basedOn w:val="113"/>
    <w:qFormat/>
    <w:uiPriority w:val="1"/>
    <w:pPr>
      <w:widowControl w:val="0"/>
      <w:autoSpaceDE w:val="0"/>
      <w:autoSpaceDN w:val="0"/>
      <w:spacing w:after="160" w:line="259" w:lineRule="auto"/>
    </w:pPr>
    <w:rPr>
      <w:rFonts w:ascii="Noto Sans CJK JP Regular" w:hAnsi="Noto Sans CJK JP Regular" w:eastAsia="Noto Sans CJK JP Regular" w:cs="Noto Sans CJK JP Regular"/>
      <w:sz w:val="22"/>
      <w:szCs w:val="22"/>
      <w:lang w:eastAsia="en-US"/>
    </w:rPr>
  </w:style>
  <w:style w:type="character" w:customStyle="1" w:styleId="194">
    <w:name w:val="_Style 172"/>
    <w:qFormat/>
    <w:uiPriority w:val="9"/>
    <w:rPr>
      <w:b/>
      <w:kern w:val="2"/>
      <w:sz w:val="21"/>
      <w:szCs w:val="28"/>
    </w:rPr>
  </w:style>
  <w:style w:type="paragraph" w:customStyle="1" w:styleId="195">
    <w:name w:val="_Style 173"/>
    <w:basedOn w:val="113"/>
    <w:qFormat/>
    <w:uiPriority w:val="34"/>
    <w:pPr>
      <w:widowControl w:val="0"/>
      <w:ind w:firstLine="420" w:firstLineChars="200"/>
      <w:jc w:val="both"/>
    </w:pPr>
    <w:rPr>
      <w:rFonts w:ascii="Calibri" w:hAnsi="Calibri" w:cs="Times New Roman"/>
      <w:kern w:val="2"/>
      <w:szCs w:val="22"/>
    </w:rPr>
  </w:style>
  <w:style w:type="character" w:customStyle="1" w:styleId="196">
    <w:name w:val="_Style 174"/>
    <w:qFormat/>
    <w:uiPriority w:val="9"/>
    <w:rPr>
      <w:b/>
      <w:kern w:val="2"/>
      <w:sz w:val="21"/>
      <w:szCs w:val="32"/>
    </w:rPr>
  </w:style>
  <w:style w:type="character" w:customStyle="1" w:styleId="197">
    <w:name w:val="_Style 175"/>
    <w:qFormat/>
    <w:uiPriority w:val="0"/>
    <w:rPr>
      <w:rFonts w:ascii="Arial" w:hAnsi="Arial"/>
      <w:b/>
      <w:kern w:val="2"/>
      <w:sz w:val="21"/>
      <w:szCs w:val="21"/>
    </w:rPr>
  </w:style>
  <w:style w:type="character" w:customStyle="1" w:styleId="198">
    <w:name w:val="_Style 176"/>
    <w:qFormat/>
    <w:uiPriority w:val="9"/>
    <w:rPr>
      <w:rFonts w:ascii="Cambria" w:hAnsi="Cambria"/>
      <w:b/>
      <w:kern w:val="2"/>
      <w:sz w:val="21"/>
      <w:szCs w:val="28"/>
    </w:rPr>
  </w:style>
  <w:style w:type="character" w:customStyle="1" w:styleId="199">
    <w:name w:val="_Style 177"/>
    <w:qFormat/>
    <w:uiPriority w:val="9"/>
    <w:rPr>
      <w:b/>
      <w:kern w:val="2"/>
      <w:sz w:val="21"/>
      <w:szCs w:val="28"/>
    </w:rPr>
  </w:style>
  <w:style w:type="paragraph" w:customStyle="1" w:styleId="200">
    <w:name w:val="_Style 178"/>
    <w:basedOn w:val="113"/>
    <w:qFormat/>
    <w:uiPriority w:val="34"/>
    <w:pPr>
      <w:widowControl w:val="0"/>
      <w:ind w:firstLine="420" w:firstLineChars="200"/>
      <w:jc w:val="both"/>
    </w:pPr>
    <w:rPr>
      <w:rFonts w:ascii="Calibri" w:hAnsi="Calibri" w:cs="Times New Roman"/>
      <w:kern w:val="2"/>
      <w:szCs w:val="22"/>
    </w:rPr>
  </w:style>
  <w:style w:type="character" w:customStyle="1" w:styleId="201">
    <w:name w:val="_Style 179"/>
    <w:qFormat/>
    <w:uiPriority w:val="0"/>
    <w:rPr>
      <w:rFonts w:ascii="Times New Roman" w:hAnsi="Times New Roman" w:cs="Times New Roman"/>
      <w:kern w:val="2"/>
      <w:sz w:val="21"/>
      <w:szCs w:val="21"/>
    </w:rPr>
  </w:style>
  <w:style w:type="character" w:customStyle="1" w:styleId="202">
    <w:name w:val="_Style 180"/>
    <w:qFormat/>
    <w:uiPriority w:val="0"/>
    <w:rPr>
      <w:rFonts w:hint="default" w:ascii="FZLTSK--GBK1-0" w:hAnsi="FZLTSK--GBK1-0"/>
      <w:bCs/>
      <w:color w:val="000000"/>
      <w:sz w:val="20"/>
      <w:szCs w:val="20"/>
    </w:rPr>
  </w:style>
  <w:style w:type="character" w:customStyle="1" w:styleId="203">
    <w:name w:val="_Style 181"/>
    <w:qFormat/>
    <w:uiPriority w:val="0"/>
    <w:rPr>
      <w:rFonts w:ascii="Arial" w:hAnsi="Arial"/>
      <w:b/>
      <w:kern w:val="2"/>
      <w:sz w:val="21"/>
      <w:szCs w:val="21"/>
    </w:rPr>
  </w:style>
  <w:style w:type="character" w:customStyle="1" w:styleId="204">
    <w:name w:val="_Style 182"/>
    <w:qFormat/>
    <w:uiPriority w:val="9"/>
    <w:rPr>
      <w:b/>
      <w:kern w:val="2"/>
      <w:sz w:val="21"/>
      <w:szCs w:val="28"/>
    </w:rPr>
  </w:style>
  <w:style w:type="character" w:customStyle="1" w:styleId="205">
    <w:name w:val="_Style 183"/>
    <w:qFormat/>
    <w:uiPriority w:val="9"/>
    <w:rPr>
      <w:b/>
      <w:kern w:val="2"/>
      <w:sz w:val="21"/>
      <w:szCs w:val="32"/>
    </w:rPr>
  </w:style>
  <w:style w:type="character" w:customStyle="1" w:styleId="206">
    <w:name w:val="_Style 184"/>
    <w:qFormat/>
    <w:uiPriority w:val="9"/>
    <w:rPr>
      <w:b/>
      <w:kern w:val="2"/>
      <w:sz w:val="21"/>
      <w:szCs w:val="32"/>
    </w:rPr>
  </w:style>
  <w:style w:type="paragraph" w:customStyle="1" w:styleId="207">
    <w:name w:val="_Style 185"/>
    <w:basedOn w:val="113"/>
    <w:semiHidden/>
    <w:unhideWhenUsed/>
    <w:qFormat/>
    <w:uiPriority w:val="99"/>
    <w:pPr>
      <w:widowControl w:val="0"/>
      <w:snapToGrid w:val="0"/>
    </w:pPr>
    <w:rPr>
      <w:rFonts w:ascii="Calibri" w:hAnsi="Calibri" w:cs="Times New Roman"/>
      <w:kern w:val="2"/>
      <w:sz w:val="18"/>
      <w:szCs w:val="18"/>
    </w:rPr>
  </w:style>
  <w:style w:type="character" w:customStyle="1" w:styleId="208">
    <w:name w:val="_Style 186"/>
    <w:basedOn w:val="79"/>
    <w:semiHidden/>
    <w:qFormat/>
    <w:uiPriority w:val="99"/>
    <w:rPr>
      <w:rFonts w:ascii="Calibri" w:hAnsi="Calibri" w:cs="Times New Roman"/>
      <w:kern w:val="2"/>
      <w:sz w:val="18"/>
      <w:szCs w:val="18"/>
    </w:rPr>
  </w:style>
  <w:style w:type="character" w:customStyle="1" w:styleId="209">
    <w:name w:val="_Style 187"/>
    <w:semiHidden/>
    <w:unhideWhenUsed/>
    <w:qFormat/>
    <w:uiPriority w:val="99"/>
    <w:rPr>
      <w:vertAlign w:val="superscript"/>
    </w:rPr>
  </w:style>
  <w:style w:type="character" w:customStyle="1" w:styleId="210">
    <w:name w:val="_Style 188"/>
    <w:basedOn w:val="79"/>
    <w:qFormat/>
    <w:uiPriority w:val="0"/>
    <w:rPr>
      <w:rFonts w:hint="eastAsia" w:ascii="宋体" w:hAnsi="宋体" w:eastAsia="宋体"/>
      <w:bCs/>
      <w:color w:val="000000"/>
      <w:sz w:val="21"/>
      <w:szCs w:val="21"/>
      <w:u w:val="none"/>
    </w:rPr>
  </w:style>
  <w:style w:type="character" w:customStyle="1" w:styleId="211">
    <w:name w:val="_Style 189"/>
    <w:basedOn w:val="79"/>
    <w:qFormat/>
    <w:uiPriority w:val="0"/>
    <w:rPr>
      <w:rFonts w:hint="default" w:ascii="Arial Narrow" w:hAnsi="Arial Narrow"/>
      <w:bCs/>
      <w:color w:val="000000"/>
      <w:sz w:val="21"/>
      <w:szCs w:val="21"/>
      <w:u w:val="none"/>
    </w:rPr>
  </w:style>
  <w:style w:type="character" w:customStyle="1" w:styleId="212">
    <w:name w:val="_Style 190"/>
    <w:basedOn w:val="79"/>
    <w:qFormat/>
    <w:uiPriority w:val="0"/>
    <w:rPr>
      <w:rFonts w:hint="default" w:ascii="Times New Roman" w:hAnsi="Times New Roman" w:cs="Times New Roman"/>
      <w:bCs/>
      <w:color w:val="000000"/>
      <w:sz w:val="21"/>
      <w:szCs w:val="21"/>
      <w:u w:val="none"/>
    </w:rPr>
  </w:style>
  <w:style w:type="character" w:customStyle="1" w:styleId="213">
    <w:name w:val="_Style 191"/>
    <w:basedOn w:val="79"/>
    <w:qFormat/>
    <w:uiPriority w:val="0"/>
    <w:rPr>
      <w:rFonts w:hint="eastAsia" w:ascii="宋体" w:hAnsi="宋体" w:eastAsia="宋体"/>
      <w:bCs/>
      <w:color w:val="000000"/>
      <w:sz w:val="21"/>
      <w:szCs w:val="21"/>
      <w:u w:val="none"/>
    </w:rPr>
  </w:style>
  <w:style w:type="character" w:customStyle="1" w:styleId="214">
    <w:name w:val="_Style 192"/>
    <w:basedOn w:val="79"/>
    <w:qFormat/>
    <w:uiPriority w:val="0"/>
    <w:rPr>
      <w:rFonts w:hint="eastAsia" w:ascii="宋体" w:hAnsi="宋体" w:eastAsia="宋体"/>
      <w:bCs/>
      <w:color w:val="000000"/>
      <w:sz w:val="21"/>
      <w:szCs w:val="21"/>
      <w:u w:val="none"/>
    </w:rPr>
  </w:style>
  <w:style w:type="character" w:customStyle="1" w:styleId="215">
    <w:name w:val="正文缩进 字符1"/>
    <w:basedOn w:val="79"/>
    <w:link w:val="11"/>
    <w:qFormat/>
    <w:uiPriority w:val="0"/>
    <w:rPr>
      <w:bCs/>
      <w:sz w:val="21"/>
      <w:szCs w:val="21"/>
    </w:rPr>
  </w:style>
  <w:style w:type="character" w:customStyle="1" w:styleId="216">
    <w:name w:val="称呼 字符1"/>
    <w:basedOn w:val="79"/>
    <w:link w:val="15"/>
    <w:qFormat/>
    <w:uiPriority w:val="99"/>
    <w:rPr>
      <w:bCs/>
      <w:sz w:val="18"/>
      <w:szCs w:val="18"/>
    </w:rPr>
  </w:style>
  <w:style w:type="character" w:customStyle="1" w:styleId="217">
    <w:name w:val="_Style 195"/>
    <w:basedOn w:val="79"/>
    <w:qFormat/>
    <w:uiPriority w:val="0"/>
    <w:rPr>
      <w:rFonts w:hint="default" w:ascii="Arial Narrow" w:hAnsi="Arial Narrow"/>
      <w:color w:val="000000"/>
      <w:sz w:val="21"/>
      <w:szCs w:val="21"/>
      <w:u w:val="none"/>
    </w:rPr>
  </w:style>
  <w:style w:type="character" w:customStyle="1" w:styleId="218">
    <w:name w:val="_Style 196"/>
    <w:basedOn w:val="79"/>
    <w:qFormat/>
    <w:uiPriority w:val="0"/>
    <w:rPr>
      <w:rFonts w:hint="default" w:ascii="Times New Roman" w:hAnsi="Times New Roman" w:cs="Times New Roman"/>
      <w:color w:val="000000"/>
      <w:sz w:val="21"/>
      <w:szCs w:val="21"/>
      <w:u w:val="none"/>
    </w:rPr>
  </w:style>
  <w:style w:type="character" w:customStyle="1" w:styleId="219">
    <w:name w:val="_Style 197"/>
    <w:basedOn w:val="79"/>
    <w:qFormat/>
    <w:uiPriority w:val="0"/>
    <w:rPr>
      <w:rFonts w:hint="eastAsia" w:ascii="宋体" w:hAnsi="宋体" w:eastAsia="宋体" w:cs="宋体"/>
      <w:color w:val="000000"/>
      <w:sz w:val="21"/>
      <w:szCs w:val="21"/>
      <w:u w:val="none"/>
    </w:rPr>
  </w:style>
  <w:style w:type="character" w:customStyle="1" w:styleId="220">
    <w:name w:val="_Style 198"/>
    <w:basedOn w:val="79"/>
    <w:qFormat/>
    <w:uiPriority w:val="99"/>
    <w:rPr>
      <w:color w:val="auto"/>
    </w:rPr>
  </w:style>
  <w:style w:type="character" w:customStyle="1" w:styleId="221">
    <w:name w:val="纯文本 字符1"/>
    <w:basedOn w:val="215"/>
    <w:qFormat/>
    <w:uiPriority w:val="0"/>
    <w:rPr>
      <w:rFonts w:cs="宋体"/>
      <w:b/>
      <w:sz w:val="21"/>
      <w:szCs w:val="21"/>
    </w:rPr>
  </w:style>
  <w:style w:type="character" w:customStyle="1" w:styleId="222">
    <w:name w:val="批注框文本 字符"/>
    <w:basedOn w:val="39"/>
    <w:link w:val="24"/>
    <w:semiHidden/>
    <w:qFormat/>
    <w:uiPriority w:val="99"/>
    <w:rPr>
      <w:rFonts w:cs="宋体"/>
      <w:bCs/>
      <w:sz w:val="18"/>
      <w:szCs w:val="18"/>
    </w:rPr>
  </w:style>
  <w:style w:type="character" w:styleId="223">
    <w:name w:val="Placeholder Text"/>
    <w:basedOn w:val="39"/>
    <w:qFormat/>
    <w:uiPriority w:val="99"/>
    <w:rPr>
      <w:color w:val="808080"/>
    </w:rPr>
  </w:style>
  <w:style w:type="character" w:customStyle="1" w:styleId="224">
    <w:name w:val="标题 5 字符"/>
    <w:basedOn w:val="39"/>
    <w:link w:val="6"/>
    <w:qFormat/>
    <w:uiPriority w:val="9"/>
    <w:rPr>
      <w:rFonts w:ascii="Calibri" w:hAnsi="Calibri" w:eastAsia="宋体" w:cs="Times New Roman"/>
      <w:b/>
      <w:kern w:val="2"/>
      <w:sz w:val="21"/>
      <w:szCs w:val="28"/>
      <w:lang w:val="en-US" w:eastAsia="zh-CN" w:bidi="ar-SA"/>
    </w:rPr>
  </w:style>
  <w:style w:type="paragraph" w:customStyle="1" w:styleId="225">
    <w:name w:val="TOC 标题1"/>
    <w:basedOn w:val="2"/>
    <w:next w:val="1"/>
    <w:qFormat/>
    <w:uiPriority w:val="39"/>
    <w:pPr>
      <w:widowControl/>
      <w:spacing w:before="480" w:after="0" w:line="276" w:lineRule="auto"/>
      <w:outlineLvl w:val="9"/>
    </w:pPr>
    <w:rPr>
      <w:rFonts w:ascii="Cambria" w:hAnsi="Cambria" w:eastAsia="宋体"/>
      <w:color w:val="365F91"/>
      <w:kern w:val="0"/>
      <w:szCs w:val="28"/>
    </w:rPr>
  </w:style>
  <w:style w:type="character" w:customStyle="1" w:styleId="226">
    <w:name w:val="notnullcss1"/>
    <w:basedOn w:val="39"/>
    <w:qFormat/>
    <w:uiPriority w:val="99"/>
    <w:rPr>
      <w:rFonts w:ascii="Times New Roman" w:hAnsi="Times New Roman" w:eastAsia="宋体" w:cs="Times New Roman"/>
      <w:bCs/>
      <w:color w:val="FF0000"/>
      <w:kern w:val="2"/>
      <w:sz w:val="24"/>
      <w:szCs w:val="24"/>
      <w:lang w:val="en-US" w:eastAsia="zh-CN" w:bidi="ar-SA"/>
    </w:rPr>
  </w:style>
  <w:style w:type="paragraph" w:customStyle="1" w:styleId="227">
    <w:name w:val="xl61"/>
    <w:basedOn w:val="1"/>
    <w:uiPriority w:val="99"/>
    <w:pPr>
      <w:spacing w:before="100" w:after="100"/>
      <w:jc w:val="right"/>
    </w:pPr>
    <w:rPr>
      <w:rFonts w:ascii="Arial Unicode MS" w:eastAsia="Arial Unicode MS" w:cs="Times New Roman"/>
      <w:sz w:val="18"/>
      <w:szCs w:val="18"/>
    </w:rPr>
  </w:style>
  <w:style w:type="character" w:customStyle="1" w:styleId="228">
    <w:name w:val="headline-content2"/>
    <w:basedOn w:val="39"/>
    <w:qFormat/>
    <w:uiPriority w:val="0"/>
    <w:rPr>
      <w:rFonts w:ascii="Times New Roman" w:hAnsi="Times New Roman" w:eastAsia="宋体" w:cs="Times New Roman"/>
      <w:bCs/>
      <w:kern w:val="2"/>
      <w:sz w:val="24"/>
      <w:szCs w:val="24"/>
      <w:lang w:val="en-US" w:eastAsia="zh-CN" w:bidi="ar-SA"/>
    </w:rPr>
  </w:style>
  <w:style w:type="character" w:customStyle="1" w:styleId="229">
    <w:name w:val="正文文本 字符"/>
    <w:basedOn w:val="39"/>
    <w:link w:val="17"/>
    <w:qFormat/>
    <w:uiPriority w:val="99"/>
    <w:rPr>
      <w:rFonts w:ascii="Times New Roman" w:hAnsi="Times New Roman" w:eastAsia="宋体" w:cs="Times New Roman"/>
      <w:bCs/>
      <w:kern w:val="2"/>
      <w:sz w:val="21"/>
      <w:szCs w:val="21"/>
      <w:lang w:val="en-US" w:eastAsia="zh-CN" w:bidi="ar-SA"/>
    </w:rPr>
  </w:style>
  <w:style w:type="paragraph" w:customStyle="1" w:styleId="230">
    <w:name w:val="write2"/>
    <w:basedOn w:val="1"/>
    <w:qFormat/>
    <w:uiPriority w:val="99"/>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231">
    <w:name w:val="日期 字符"/>
    <w:basedOn w:val="39"/>
    <w:link w:val="22"/>
    <w:qFormat/>
    <w:uiPriority w:val="99"/>
    <w:rPr>
      <w:rFonts w:ascii="Times New Roman" w:hAnsi="Times New Roman" w:eastAsia="宋体" w:cs="Times New Roman"/>
      <w:bCs/>
      <w:kern w:val="2"/>
      <w:sz w:val="21"/>
      <w:szCs w:val="21"/>
      <w:lang w:val="en-US" w:eastAsia="zh-CN" w:bidi="ar-SA"/>
    </w:rPr>
  </w:style>
  <w:style w:type="character" w:customStyle="1" w:styleId="232">
    <w:name w:val="注释标题 字符"/>
    <w:basedOn w:val="39"/>
    <w:link w:val="10"/>
    <w:qFormat/>
    <w:uiPriority w:val="99"/>
    <w:rPr>
      <w:rFonts w:ascii="Times New Roman" w:hAnsi="Times New Roman" w:eastAsia="宋体" w:cs="Times New Roman"/>
      <w:bCs/>
      <w:kern w:val="2"/>
      <w:sz w:val="21"/>
      <w:szCs w:val="21"/>
      <w:lang w:val="en-US" w:eastAsia="zh-CN" w:bidi="ar-SA"/>
    </w:rPr>
  </w:style>
  <w:style w:type="paragraph" w:customStyle="1" w:styleId="233">
    <w:name w:val="标题5"/>
    <w:basedOn w:val="1"/>
    <w:qFormat/>
    <w:uiPriority w:val="0"/>
    <w:pPr>
      <w:keepNext/>
      <w:keepLines/>
      <w:widowControl w:val="0"/>
      <w:spacing w:before="60" w:after="60"/>
      <w:ind w:hanging="420" w:hangingChars="200"/>
      <w:jc w:val="both"/>
      <w:outlineLvl w:val="4"/>
    </w:pPr>
    <w:rPr>
      <w:rFonts w:cs="Times New Roman"/>
      <w:b/>
      <w:bCs w:val="0"/>
      <w:kern w:val="2"/>
    </w:rPr>
  </w:style>
  <w:style w:type="paragraph" w:customStyle="1" w:styleId="234">
    <w:name w:val="修订1"/>
    <w:hidden/>
    <w:semiHidden/>
    <w:qFormat/>
    <w:uiPriority w:val="99"/>
    <w:rPr>
      <w:rFonts w:ascii="Times New Roman" w:hAnsi="Times New Roman" w:eastAsia="宋体" w:cs="宋体"/>
      <w:bCs/>
      <w:kern w:val="2"/>
      <w:sz w:val="21"/>
      <w:szCs w:val="22"/>
      <w:lang w:val="en-US" w:eastAsia="zh-CN" w:bidi="ar-SA"/>
    </w:rPr>
  </w:style>
  <w:style w:type="character" w:customStyle="1" w:styleId="235">
    <w:name w:val="正文的样式 Char"/>
    <w:basedOn w:val="39"/>
    <w:link w:val="236"/>
    <w:qFormat/>
    <w:uiPriority w:val="0"/>
    <w:rPr>
      <w:rFonts w:ascii="Calibri" w:hAnsi="Calibri" w:eastAsia="宋体" w:cs="Times New Roman"/>
      <w:bCs/>
      <w:kern w:val="2"/>
      <w:sz w:val="21"/>
      <w:szCs w:val="21"/>
      <w:lang w:val="en-US" w:eastAsia="zh-CN" w:bidi="ar-SA"/>
    </w:rPr>
  </w:style>
  <w:style w:type="paragraph" w:customStyle="1" w:styleId="236">
    <w:name w:val="正文的样式"/>
    <w:basedOn w:val="1"/>
    <w:link w:val="235"/>
    <w:qFormat/>
    <w:uiPriority w:val="0"/>
    <w:pPr>
      <w:widowControl w:val="0"/>
      <w:spacing w:before="100" w:after="100"/>
      <w:jc w:val="both"/>
    </w:pPr>
    <w:rPr>
      <w:rFonts w:ascii="Calibri" w:hAnsi="Calibri" w:cs="Times New Roman"/>
      <w:kern w:val="2"/>
    </w:rPr>
  </w:style>
  <w:style w:type="character" w:customStyle="1" w:styleId="237">
    <w:name w:val="文档结构图 字符"/>
    <w:basedOn w:val="39"/>
    <w:link w:val="12"/>
    <w:semiHidden/>
    <w:uiPriority w:val="99"/>
    <w:rPr>
      <w:rFonts w:ascii="Times New Roman" w:hAnsi="Calibri" w:eastAsia="宋体" w:cs="Times New Roman"/>
      <w:bCs/>
      <w:kern w:val="2"/>
      <w:sz w:val="18"/>
      <w:szCs w:val="18"/>
      <w:lang w:val="en-US" w:eastAsia="zh-CN" w:bidi="ar-SA"/>
    </w:rPr>
  </w:style>
  <w:style w:type="character" w:customStyle="1" w:styleId="238">
    <w:name w:val="标题 字符"/>
    <w:basedOn w:val="39"/>
    <w:link w:val="35"/>
    <w:qFormat/>
    <w:uiPriority w:val="10"/>
    <w:rPr>
      <w:rFonts w:eastAsia="宋体" w:asciiTheme="majorHAnsi" w:hAnsiTheme="majorHAnsi" w:cstheme="majorBidi"/>
      <w:b/>
      <w:kern w:val="2"/>
      <w:sz w:val="32"/>
      <w:szCs w:val="32"/>
      <w:lang w:val="en-US" w:eastAsia="zh-CN" w:bidi="ar-SA"/>
    </w:rPr>
  </w:style>
  <w:style w:type="paragraph" w:styleId="239">
    <w:name w:val="No Spacing"/>
    <w:qFormat/>
    <w:uiPriority w:val="1"/>
    <w:pPr>
      <w:widowControl w:val="0"/>
      <w:jc w:val="both"/>
    </w:pPr>
    <w:rPr>
      <w:rFonts w:ascii="Times New Roman" w:hAnsi="Times New Roman" w:eastAsia="宋体" w:cs="宋体"/>
      <w:bCs/>
      <w:kern w:val="2"/>
      <w:sz w:val="21"/>
      <w:szCs w:val="22"/>
      <w:lang w:val="en-US" w:eastAsia="zh-CN" w:bidi="ar-SA"/>
    </w:rPr>
  </w:style>
  <w:style w:type="character" w:customStyle="1" w:styleId="240">
    <w:name w:val="标题 6 字符"/>
    <w:basedOn w:val="39"/>
    <w:link w:val="7"/>
    <w:uiPriority w:val="9"/>
    <w:rPr>
      <w:rFonts w:eastAsia="宋体" w:asciiTheme="majorHAnsi" w:hAnsiTheme="majorHAnsi" w:cstheme="majorBidi"/>
      <w:b/>
      <w:sz w:val="21"/>
      <w:szCs w:val="21"/>
      <w:lang w:val="en-US" w:eastAsia="zh-CN" w:bidi="ar-SA"/>
    </w:rPr>
  </w:style>
  <w:style w:type="character" w:customStyle="1" w:styleId="241">
    <w:name w:val="尾注文本 字符"/>
    <w:basedOn w:val="39"/>
    <w:link w:val="23"/>
    <w:semiHidden/>
    <w:qFormat/>
    <w:uiPriority w:val="99"/>
    <w:rPr>
      <w:rFonts w:ascii="Times New Roman" w:hAnsi="Times New Roman" w:eastAsia="宋体" w:cs="宋体"/>
      <w:bCs/>
      <w:sz w:val="21"/>
      <w:szCs w:val="21"/>
      <w:lang w:val="en-US" w:eastAsia="zh-CN" w:bidi="ar-SA"/>
    </w:rPr>
  </w:style>
  <w:style w:type="character" w:customStyle="1" w:styleId="242">
    <w:name w:val="批注主题 Char1"/>
    <w:basedOn w:val="70"/>
    <w:semiHidden/>
    <w:uiPriority w:val="99"/>
    <w:rPr>
      <w:rFonts w:ascii="Times New Roman" w:hAnsi="Times New Roman" w:eastAsia="宋体" w:cs="Times New Roman"/>
      <w:b/>
      <w:bCs w:val="0"/>
      <w:sz w:val="21"/>
      <w:szCs w:val="21"/>
      <w:lang w:val="en-US" w:eastAsia="zh-CN" w:bidi="ar-SA"/>
    </w:rPr>
  </w:style>
  <w:style w:type="paragraph" w:customStyle="1" w:styleId="243">
    <w:name w:val="标题  3"/>
    <w:basedOn w:val="1"/>
    <w:next w:val="1"/>
    <w:link w:val="244"/>
    <w:qFormat/>
    <w:uiPriority w:val="0"/>
    <w:pPr>
      <w:keepNext/>
      <w:keepLines/>
      <w:widowControl w:val="0"/>
      <w:spacing w:before="100" w:beforeAutospacing="1" w:after="100" w:afterAutospacing="1" w:line="415" w:lineRule="auto"/>
      <w:jc w:val="both"/>
    </w:pPr>
    <w:rPr>
      <w:rFonts w:cs="Times New Roman"/>
      <w:b/>
      <w:kern w:val="2"/>
    </w:rPr>
  </w:style>
  <w:style w:type="character" w:customStyle="1" w:styleId="244">
    <w:name w:val="标题  3 Char"/>
    <w:basedOn w:val="39"/>
    <w:link w:val="243"/>
    <w:qFormat/>
    <w:uiPriority w:val="0"/>
    <w:rPr>
      <w:rFonts w:ascii="Times New Roman" w:hAnsi="Times New Roman" w:eastAsia="宋体" w:cs="Times New Roman"/>
      <w:b/>
      <w:bCs/>
      <w:kern w:val="2"/>
      <w:sz w:val="21"/>
      <w:szCs w:val="21"/>
      <w:lang w:val="en-US" w:eastAsia="zh-CN" w:bidi="ar-SA"/>
    </w:rPr>
  </w:style>
  <w:style w:type="character" w:customStyle="1" w:styleId="245">
    <w:name w:val="批注主题 字符1"/>
    <w:basedOn w:val="70"/>
    <w:semiHidden/>
    <w:uiPriority w:val="99"/>
    <w:rPr>
      <w:rFonts w:ascii="Times New Roman" w:hAnsi="Times New Roman" w:eastAsia="宋体" w:cs="Times New Roman"/>
      <w:b/>
      <w:bCs w:val="0"/>
      <w:sz w:val="21"/>
      <w:szCs w:val="21"/>
      <w:lang w:val="en-US" w:eastAsia="zh-CN" w:bidi="ar-SA"/>
    </w:rPr>
  </w:style>
  <w:style w:type="character" w:customStyle="1" w:styleId="246">
    <w:name w:val="标题 7 字符"/>
    <w:basedOn w:val="39"/>
    <w:link w:val="8"/>
    <w:qFormat/>
    <w:uiPriority w:val="9"/>
    <w:rPr>
      <w:rFonts w:ascii="Times New Roman" w:hAnsi="Times New Roman" w:eastAsia="宋体" w:cs="宋体"/>
      <w:b/>
      <w:sz w:val="24"/>
      <w:szCs w:val="21"/>
      <w:lang w:val="en-US" w:eastAsia="zh-CN" w:bidi="ar-SA"/>
    </w:rPr>
  </w:style>
  <w:style w:type="character" w:customStyle="1" w:styleId="247">
    <w:name w:val="span_"/>
    <w:basedOn w:val="39"/>
    <w:qFormat/>
    <w:uiPriority w:val="0"/>
    <w:rPr>
      <w:rFonts w:ascii="Times New Roman" w:hAnsi="Times New Roman" w:eastAsia="宋体" w:cs="宋体"/>
      <w:bCs/>
      <w:sz w:val="21"/>
      <w:szCs w:val="21"/>
      <w:lang w:val="en-US" w:eastAsia="zh-CN" w:bidi="ar-SA"/>
    </w:rPr>
  </w:style>
  <w:style w:type="character" w:customStyle="1" w:styleId="248">
    <w:name w:val="标题 4 Char"/>
    <w:qFormat/>
    <w:uiPriority w:val="9"/>
    <w:rPr>
      <w:rFonts w:ascii="Cambria" w:hAnsi="Cambria" w:eastAsia="宋体" w:cs="宋体"/>
      <w:b/>
      <w:kern w:val="2"/>
      <w:sz w:val="21"/>
      <w:szCs w:val="28"/>
      <w:lang w:val="en-US" w:eastAsia="zh-CN" w:bidi="ar-SA"/>
    </w:rPr>
  </w:style>
  <w:style w:type="paragraph" w:customStyle="1" w:styleId="249">
    <w:name w:val="4"/>
    <w:basedOn w:val="1"/>
    <w:next w:val="50"/>
    <w:qFormat/>
    <w:uiPriority w:val="34"/>
    <w:pPr>
      <w:widowControl w:val="0"/>
      <w:ind w:firstLine="420" w:firstLineChars="200"/>
      <w:jc w:val="both"/>
    </w:pPr>
    <w:rPr>
      <w:rFonts w:ascii="Calibri" w:hAnsi="Calibri" w:cs="Times New Roman"/>
      <w:kern w:val="2"/>
      <w:szCs w:val="22"/>
    </w:rPr>
  </w:style>
  <w:style w:type="table" w:customStyle="1" w:styleId="250">
    <w:name w:val="无格式表格 21"/>
    <w:basedOn w:val="37"/>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251">
    <w:name w:val="3"/>
    <w:basedOn w:val="1"/>
    <w:next w:val="50"/>
    <w:qFormat/>
    <w:uiPriority w:val="34"/>
    <w:pPr>
      <w:widowControl w:val="0"/>
      <w:ind w:firstLine="420" w:firstLineChars="200"/>
      <w:jc w:val="both"/>
    </w:pPr>
    <w:rPr>
      <w:rFonts w:ascii="Calibri" w:hAnsi="Calibri" w:cs="Times New Roman"/>
      <w:kern w:val="2"/>
      <w:szCs w:val="22"/>
    </w:rPr>
  </w:style>
  <w:style w:type="character" w:customStyle="1" w:styleId="252">
    <w:name w:val="标题 3 Char"/>
    <w:qFormat/>
    <w:uiPriority w:val="9"/>
    <w:rPr>
      <w:rFonts w:ascii="Times New Roman" w:hAnsi="Times New Roman" w:eastAsia="宋体" w:cs="宋体"/>
      <w:b/>
      <w:kern w:val="2"/>
      <w:sz w:val="21"/>
      <w:szCs w:val="32"/>
      <w:lang w:val="en-US" w:eastAsia="zh-CN" w:bidi="ar-SA"/>
    </w:rPr>
  </w:style>
  <w:style w:type="paragraph" w:customStyle="1" w:styleId="253">
    <w:name w:val="2"/>
    <w:basedOn w:val="1"/>
    <w:next w:val="50"/>
    <w:qFormat/>
    <w:uiPriority w:val="34"/>
    <w:pPr>
      <w:widowControl w:val="0"/>
      <w:ind w:firstLine="420" w:firstLineChars="200"/>
      <w:jc w:val="both"/>
    </w:pPr>
    <w:rPr>
      <w:rFonts w:ascii="Calibri" w:hAnsi="Calibri" w:cs="Times New Roman"/>
      <w:kern w:val="2"/>
      <w:szCs w:val="22"/>
    </w:rPr>
  </w:style>
  <w:style w:type="paragraph" w:customStyle="1" w:styleId="254">
    <w:name w:val="1"/>
    <w:basedOn w:val="1"/>
    <w:next w:val="50"/>
    <w:qFormat/>
    <w:uiPriority w:val="34"/>
    <w:pPr>
      <w:widowControl w:val="0"/>
      <w:ind w:firstLine="420" w:firstLineChars="200"/>
      <w:jc w:val="both"/>
    </w:pPr>
    <w:rPr>
      <w:rFonts w:ascii="Calibri" w:hAnsi="Calibri" w:cs="Times New Roman"/>
      <w:kern w:val="2"/>
      <w:szCs w:val="22"/>
    </w:rPr>
  </w:style>
  <w:style w:type="paragraph" w:customStyle="1" w:styleId="255">
    <w:name w:val="Table Paragraph"/>
    <w:basedOn w:val="1"/>
    <w:qFormat/>
    <w:uiPriority w:val="1"/>
    <w:pPr>
      <w:widowControl w:val="0"/>
      <w:autoSpaceDE w:val="0"/>
      <w:autoSpaceDN w:val="0"/>
      <w:spacing w:after="160" w:line="259" w:lineRule="auto"/>
    </w:pPr>
    <w:rPr>
      <w:rFonts w:ascii="Noto Sans CJK JP Regular" w:hAnsi="Noto Sans CJK JP Regular" w:eastAsia="Noto Sans CJK JP Regular" w:cs="Noto Sans CJK JP Regular"/>
      <w:sz w:val="22"/>
      <w:szCs w:val="22"/>
      <w:lang w:eastAsia="en-US"/>
    </w:rPr>
  </w:style>
  <w:style w:type="character" w:customStyle="1" w:styleId="256">
    <w:name w:val="批注文字 Char"/>
    <w:qFormat/>
    <w:uiPriority w:val="0"/>
    <w:rPr>
      <w:rFonts w:ascii="Times New Roman" w:hAnsi="Times New Roman" w:eastAsia="宋体" w:cs="宋体"/>
      <w:bCs/>
      <w:kern w:val="2"/>
      <w:sz w:val="21"/>
      <w:szCs w:val="21"/>
      <w:lang w:val="en-US" w:eastAsia="zh-CN" w:bidi="ar-SA"/>
    </w:rPr>
  </w:style>
  <w:style w:type="character" w:customStyle="1" w:styleId="257">
    <w:name w:val="标题 5 Char"/>
    <w:qFormat/>
    <w:uiPriority w:val="9"/>
    <w:rPr>
      <w:rFonts w:ascii="Times New Roman" w:hAnsi="Times New Roman" w:eastAsia="宋体" w:cs="宋体"/>
      <w:b/>
      <w:kern w:val="2"/>
      <w:sz w:val="21"/>
      <w:szCs w:val="28"/>
      <w:lang w:val="en-US" w:eastAsia="zh-CN" w:bidi="ar-SA"/>
    </w:rPr>
  </w:style>
  <w:style w:type="paragraph" w:customStyle="1" w:styleId="258">
    <w:name w:val="6"/>
    <w:basedOn w:val="1"/>
    <w:next w:val="50"/>
    <w:qFormat/>
    <w:uiPriority w:val="34"/>
    <w:pPr>
      <w:widowControl w:val="0"/>
      <w:ind w:firstLine="420" w:firstLineChars="200"/>
      <w:jc w:val="both"/>
    </w:pPr>
    <w:rPr>
      <w:rFonts w:ascii="Calibri" w:hAnsi="Calibri" w:cs="Times New Roman"/>
      <w:kern w:val="2"/>
      <w:szCs w:val="22"/>
    </w:rPr>
  </w:style>
  <w:style w:type="character" w:customStyle="1" w:styleId="259">
    <w:name w:val="批注文字 Char1"/>
    <w:qFormat/>
    <w:uiPriority w:val="0"/>
    <w:rPr>
      <w:rFonts w:ascii="Times New Roman" w:hAnsi="Times New Roman" w:eastAsia="宋体" w:cs="宋体"/>
      <w:bCs/>
      <w:kern w:val="2"/>
      <w:sz w:val="21"/>
      <w:szCs w:val="21"/>
      <w:lang w:val="en-US" w:eastAsia="zh-CN" w:bidi="ar-SA"/>
    </w:rPr>
  </w:style>
  <w:style w:type="character" w:customStyle="1" w:styleId="260">
    <w:name w:val="标题 3 Char1"/>
    <w:qFormat/>
    <w:uiPriority w:val="9"/>
    <w:rPr>
      <w:rFonts w:ascii="Times New Roman" w:hAnsi="Times New Roman" w:eastAsia="宋体" w:cs="宋体"/>
      <w:b/>
      <w:kern w:val="2"/>
      <w:sz w:val="21"/>
      <w:szCs w:val="32"/>
      <w:lang w:val="en-US" w:eastAsia="zh-CN" w:bidi="ar-SA"/>
    </w:rPr>
  </w:style>
  <w:style w:type="character" w:customStyle="1" w:styleId="261">
    <w:name w:val="标题 2 Char"/>
    <w:qFormat/>
    <w:uiPriority w:val="0"/>
    <w:rPr>
      <w:rFonts w:ascii="Arial" w:hAnsi="Arial" w:eastAsia="宋体" w:cs="宋体"/>
      <w:b/>
      <w:kern w:val="2"/>
      <w:sz w:val="21"/>
      <w:szCs w:val="21"/>
      <w:lang w:val="en-US" w:eastAsia="zh-CN" w:bidi="ar-SA"/>
    </w:rPr>
  </w:style>
  <w:style w:type="character" w:customStyle="1" w:styleId="262">
    <w:name w:val="标题 4 Char1"/>
    <w:qFormat/>
    <w:uiPriority w:val="9"/>
    <w:rPr>
      <w:rFonts w:ascii="Cambria" w:hAnsi="Cambria" w:eastAsia="宋体" w:cs="宋体"/>
      <w:b/>
      <w:kern w:val="2"/>
      <w:sz w:val="21"/>
      <w:szCs w:val="28"/>
      <w:lang w:val="en-US" w:eastAsia="zh-CN" w:bidi="ar-SA"/>
    </w:rPr>
  </w:style>
  <w:style w:type="character" w:customStyle="1" w:styleId="263">
    <w:name w:val="标题 5 Char1"/>
    <w:qFormat/>
    <w:uiPriority w:val="9"/>
    <w:rPr>
      <w:rFonts w:ascii="Times New Roman" w:hAnsi="Times New Roman" w:eastAsia="宋体" w:cs="宋体"/>
      <w:b/>
      <w:kern w:val="2"/>
      <w:sz w:val="21"/>
      <w:szCs w:val="28"/>
      <w:lang w:val="en-US" w:eastAsia="zh-CN" w:bidi="ar-SA"/>
    </w:rPr>
  </w:style>
  <w:style w:type="paragraph" w:customStyle="1" w:styleId="264">
    <w:name w:val="5"/>
    <w:basedOn w:val="1"/>
    <w:next w:val="50"/>
    <w:qFormat/>
    <w:uiPriority w:val="34"/>
    <w:pPr>
      <w:widowControl w:val="0"/>
      <w:ind w:firstLine="420" w:firstLineChars="200"/>
      <w:jc w:val="both"/>
    </w:pPr>
    <w:rPr>
      <w:rFonts w:ascii="Calibri" w:hAnsi="Calibri" w:cs="Times New Roman"/>
      <w:kern w:val="2"/>
      <w:szCs w:val="22"/>
    </w:rPr>
  </w:style>
  <w:style w:type="character" w:customStyle="1" w:styleId="265">
    <w:name w:val="批注文字 Char2"/>
    <w:qFormat/>
    <w:uiPriority w:val="99"/>
    <w:rPr>
      <w:rFonts w:ascii="Times New Roman" w:hAnsi="Times New Roman" w:eastAsia="宋体" w:cs="宋体"/>
      <w:bCs/>
      <w:kern w:val="2"/>
      <w:sz w:val="21"/>
      <w:szCs w:val="21"/>
      <w:lang w:val="en-US" w:eastAsia="zh-CN" w:bidi="ar-SA"/>
    </w:rPr>
  </w:style>
  <w:style w:type="character" w:customStyle="1" w:styleId="266">
    <w:name w:val="批注文字 Char3"/>
    <w:qFormat/>
    <w:uiPriority w:val="0"/>
    <w:rPr>
      <w:rFonts w:ascii="Times New Roman" w:hAnsi="Times New Roman" w:eastAsia="宋体" w:cs="Times New Roman"/>
      <w:kern w:val="2"/>
      <w:sz w:val="21"/>
      <w:szCs w:val="21"/>
      <w:lang w:val="en-US" w:eastAsia="zh-CN" w:bidi="ar-SA"/>
    </w:rPr>
  </w:style>
  <w:style w:type="character" w:customStyle="1" w:styleId="267">
    <w:name w:val="称呼 Char"/>
    <w:qFormat/>
    <w:uiPriority w:val="99"/>
    <w:rPr>
      <w:rFonts w:ascii="Times New Roman" w:hAnsi="Times New Roman" w:eastAsia="宋体" w:cs="宋体"/>
      <w:bCs/>
      <w:kern w:val="2"/>
      <w:sz w:val="21"/>
      <w:szCs w:val="21"/>
      <w:lang w:val="en-US" w:eastAsia="zh-CN" w:bidi="ar-SA"/>
    </w:rPr>
  </w:style>
  <w:style w:type="character" w:customStyle="1" w:styleId="268">
    <w:name w:val="fontstyle01"/>
    <w:qFormat/>
    <w:uiPriority w:val="0"/>
    <w:rPr>
      <w:rFonts w:hint="default" w:ascii="FZLTSK--GBK1-0" w:hAnsi="FZLTSK--GBK1-0" w:eastAsia="宋体" w:cs="宋体"/>
      <w:bCs/>
      <w:color w:val="000000"/>
      <w:sz w:val="20"/>
      <w:szCs w:val="20"/>
      <w:lang w:val="en-US" w:eastAsia="zh-CN" w:bidi="ar-SA"/>
    </w:rPr>
  </w:style>
  <w:style w:type="character" w:customStyle="1" w:styleId="269">
    <w:name w:val="标题 2 Char1"/>
    <w:qFormat/>
    <w:uiPriority w:val="0"/>
    <w:rPr>
      <w:rFonts w:ascii="Arial" w:hAnsi="Arial" w:eastAsia="宋体" w:cs="宋体"/>
      <w:b/>
      <w:kern w:val="2"/>
      <w:sz w:val="21"/>
      <w:szCs w:val="21"/>
      <w:lang w:val="en-US" w:eastAsia="zh-CN" w:bidi="ar-SA"/>
    </w:rPr>
  </w:style>
  <w:style w:type="character" w:customStyle="1" w:styleId="270">
    <w:name w:val="标题 5 Char2"/>
    <w:qFormat/>
    <w:uiPriority w:val="9"/>
    <w:rPr>
      <w:rFonts w:ascii="Times New Roman" w:hAnsi="Times New Roman" w:eastAsia="宋体" w:cs="宋体"/>
      <w:b/>
      <w:kern w:val="2"/>
      <w:sz w:val="21"/>
      <w:szCs w:val="28"/>
      <w:lang w:val="en-US" w:eastAsia="zh-CN" w:bidi="ar-SA"/>
    </w:rPr>
  </w:style>
  <w:style w:type="character" w:customStyle="1" w:styleId="271">
    <w:name w:val="标题 3 Char2"/>
    <w:qFormat/>
    <w:uiPriority w:val="9"/>
    <w:rPr>
      <w:rFonts w:ascii="Times New Roman" w:hAnsi="Times New Roman" w:eastAsia="宋体" w:cs="宋体"/>
      <w:b/>
      <w:kern w:val="2"/>
      <w:sz w:val="21"/>
      <w:szCs w:val="32"/>
      <w:lang w:val="en-US" w:eastAsia="zh-CN" w:bidi="ar-SA"/>
    </w:rPr>
  </w:style>
  <w:style w:type="character" w:customStyle="1" w:styleId="272">
    <w:name w:val="标题 3 Char3"/>
    <w:qFormat/>
    <w:uiPriority w:val="9"/>
    <w:rPr>
      <w:rFonts w:ascii="Times New Roman" w:hAnsi="Times New Roman" w:eastAsia="宋体" w:cs="宋体"/>
      <w:b/>
      <w:kern w:val="2"/>
      <w:sz w:val="21"/>
      <w:szCs w:val="32"/>
      <w:lang w:val="en-US" w:eastAsia="zh-CN" w:bidi="ar-SA"/>
    </w:rPr>
  </w:style>
  <w:style w:type="character" w:customStyle="1" w:styleId="273">
    <w:name w:val="脚注文本 字符"/>
    <w:basedOn w:val="39"/>
    <w:link w:val="29"/>
    <w:semiHidden/>
    <w:qFormat/>
    <w:uiPriority w:val="99"/>
    <w:rPr>
      <w:rFonts w:ascii="Calibri" w:hAnsi="Calibri" w:eastAsia="宋体" w:cs="Times New Roman"/>
      <w:kern w:val="2"/>
      <w:sz w:val="18"/>
      <w:szCs w:val="18"/>
      <w:lang w:val="en-US" w:eastAsia="zh-CN" w:bidi="ar-SA"/>
    </w:rPr>
  </w:style>
  <w:style w:type="character" w:customStyle="1" w:styleId="274">
    <w:name w:val="font11"/>
    <w:basedOn w:val="39"/>
    <w:uiPriority w:val="0"/>
    <w:rPr>
      <w:rFonts w:ascii="Arial Narrow" w:hAnsi="Arial Narrow" w:eastAsia="Arial Narrow" w:cs="Arial Narrow"/>
      <w:color w:val="000000"/>
      <w:sz w:val="21"/>
      <w:szCs w:val="21"/>
      <w:u w:val="none"/>
    </w:rPr>
  </w:style>
  <w:style w:type="character" w:customStyle="1" w:styleId="275">
    <w:name w:val="font21"/>
    <w:basedOn w:val="39"/>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3.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glossaryDocument" Target="glossary/document.xml"/><Relationship Id="rId13" Type="http://schemas.openxmlformats.org/officeDocument/2006/relationships/fontTable" Target="fontTable.xml"/><Relationship Id="rId12" Type="http://schemas.openxmlformats.org/officeDocument/2006/relationships/customXml" Target="../customXml/item6.xml"/><Relationship Id="rId11" Type="http://schemas.openxmlformats.org/officeDocument/2006/relationships/customXml" Target="../customXml/item5.xml"/><Relationship Id="rId10" Type="http://schemas.openxmlformats.org/officeDocument/2006/relationships/customXml" Target="../customXml/item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446;&#20025;\AppData\Roaming\Microsoft\Templates\SSEReport.dotm" TargetMode="Externa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GBC11111111111111111111111111111"/>
        <w:style w:val=""/>
        <w:category>
          <w:name w:val="常规"/>
          <w:gallery w:val="placeholder"/>
        </w:category>
        <w:types>
          <w:type w:val="bbPlcHdr"/>
        </w:types>
        <w:behaviors>
          <w:behavior w:val="content"/>
        </w:behaviors>
        <w:description w:val=""/>
        <w:guid w:val="{B960C2E6-8E28-4930-AAD5-AA36AFD6E523}"/>
      </w:docPartPr>
      <w:docPartBody>
        <w:p w14:paraId="4119E2C2">
          <w:r>
            <w:rPr>
              <w:rStyle w:val="4"/>
              <w:rFonts w:hint="eastAsia"/>
            </w:rPr>
            <w:t>　</w:t>
          </w:r>
        </w:p>
      </w:docPartBody>
    </w:docPart>
    <w:docPart>
      <w:docPartPr>
        <w:name w:val="GBC22222222222222222222222222222"/>
        <w:style w:val=""/>
        <w:category>
          <w:name w:val="常规"/>
          <w:gallery w:val="placeholder"/>
        </w:category>
        <w:types>
          <w:type w:val="bbPlcHdr"/>
        </w:types>
        <w:behaviors>
          <w:behavior w:val="content"/>
        </w:behaviors>
        <w:description w:val=""/>
        <w:guid w:val="{54795268-88DE-4BB2-A320-6C6C52CBF450}"/>
      </w:docPartPr>
      <w:docPartBody>
        <w:p w14:paraId="6639F9EC">
          <w:r>
            <w:rPr>
              <w:rStyle w:val="4"/>
              <w:color w:val="333399"/>
              <w:u w:val="single"/>
            </w:rPr>
            <w:t>　　　</w:t>
          </w:r>
        </w:p>
      </w:docPartBody>
    </w:docPart>
    <w:docPart>
      <w:docPartPr>
        <w:name w:val="{e8052cd7-3ff4-4ee4-8671-f5758410817c}"/>
        <w:style w:val=""/>
        <w:category>
          <w:name w:val="常规"/>
          <w:gallery w:val="placeholder"/>
        </w:category>
        <w:types>
          <w:type w:val="bbPlcHdr"/>
        </w:types>
        <w:behaviors>
          <w:behavior w:val="content"/>
        </w:behaviors>
        <w:description w:val=""/>
        <w:guid w:val="{E8052CD7-3FF4-4EE4-8671-F5758410817C}"/>
      </w:docPartPr>
      <w:docPartBody>
        <w:p w14:paraId="12D8099D">
          <w:r>
            <w:rPr>
              <w:rStyle w:val="4"/>
              <w:color w:val="333399"/>
              <w:u w:val="single"/>
            </w:rPr>
            <w:t>　　　</w:t>
          </w:r>
        </w:p>
      </w:docPartBody>
    </w:docPart>
    <w:docPart>
      <w:docPartPr>
        <w:name w:val="{8dabe584-f165-47b9-9724-d3b049b84780}"/>
        <w:style w:val=""/>
        <w:category>
          <w:name w:val="常规"/>
          <w:gallery w:val="placeholder"/>
        </w:category>
        <w:types>
          <w:type w:val="bbPlcHdr"/>
        </w:types>
        <w:behaviors>
          <w:behavior w:val="content"/>
        </w:behaviors>
        <w:description w:val=""/>
        <w:guid w:val="{8DABE584-F165-47B9-9724-D3B049B84780}"/>
      </w:docPartPr>
      <w:docPartBody>
        <w:p w14:paraId="6579A03F">
          <w:r>
            <w:rPr>
              <w:rStyle w:val="4"/>
              <w:color w:val="333399"/>
              <w:u w:val="single"/>
            </w:rPr>
            <w:t>　　　</w:t>
          </w:r>
        </w:p>
      </w:docPartBody>
    </w:docPart>
    <w:docPart>
      <w:docPartPr>
        <w:name w:val="{503833e8-437e-4ecf-9419-794de4febf9c}"/>
        <w:style w:val=""/>
        <w:category>
          <w:name w:val="常规"/>
          <w:gallery w:val="placeholder"/>
        </w:category>
        <w:types>
          <w:type w:val="bbPlcHdr"/>
        </w:types>
        <w:behaviors>
          <w:behavior w:val="content"/>
        </w:behaviors>
        <w:description w:val=""/>
        <w:guid w:val="{503833E8-437E-4ECF-9419-794DE4FEBF9C}"/>
      </w:docPartPr>
      <w:docPartBody>
        <w:p w14:paraId="29E43FF1">
          <w:r>
            <w:rPr>
              <w:rStyle w:val="4"/>
              <w:color w:val="333399"/>
              <w:u w:val="single"/>
            </w:rPr>
            <w:t>　　　</w:t>
          </w:r>
        </w:p>
      </w:docPartBody>
    </w:docPart>
    <w:docPart>
      <w:docPartPr>
        <w:name w:val="{beeb64fa-c02e-4f99-87dc-bf4e389d90c6}"/>
        <w:style w:val=""/>
        <w:category>
          <w:name w:val="常规"/>
          <w:gallery w:val="placeholder"/>
        </w:category>
        <w:types>
          <w:type w:val="bbPlcHdr"/>
        </w:types>
        <w:behaviors>
          <w:behavior w:val="content"/>
        </w:behaviors>
        <w:description w:val=""/>
        <w:guid w:val="{BEEB64FA-C02E-4F99-87DC-BF4E389D90C6}"/>
      </w:docPartPr>
      <w:docPartBody>
        <w:p w14:paraId="6A32B6C1">
          <w:r>
            <w:rPr>
              <w:rStyle w:val="4"/>
              <w:color w:val="333399"/>
              <w:u w:val="single"/>
            </w:rPr>
            <w:t>　　　</w:t>
          </w:r>
        </w:p>
      </w:docPartBody>
    </w:docPart>
    <w:docPart>
      <w:docPartPr>
        <w:name w:val="{cd80f4b4-a2bf-43c4-b169-4fd9cf19172a}"/>
        <w:style w:val=""/>
        <w:category>
          <w:name w:val="常规"/>
          <w:gallery w:val="placeholder"/>
        </w:category>
        <w:types>
          <w:type w:val="bbPlcHdr"/>
        </w:types>
        <w:behaviors>
          <w:behavior w:val="content"/>
        </w:behaviors>
        <w:description w:val=""/>
        <w:guid w:val="{CD80F4B4-A2BF-43C4-B169-4FD9CF19172A}"/>
      </w:docPartPr>
      <w:docPartBody>
        <w:p w14:paraId="077E36A2">
          <w:r>
            <w:rPr>
              <w:rStyle w:val="4"/>
              <w:color w:val="333399"/>
              <w:u w:val="single"/>
            </w:rPr>
            <w:t>　　　</w:t>
          </w:r>
        </w:p>
      </w:docPartBody>
    </w:docPart>
    <w:docPart>
      <w:docPartPr>
        <w:name w:val="{d4e0da34-b711-4907-bd17-07fd96e59605}"/>
        <w:style w:val=""/>
        <w:category>
          <w:name w:val="常规"/>
          <w:gallery w:val="placeholder"/>
        </w:category>
        <w:types>
          <w:type w:val="bbPlcHdr"/>
        </w:types>
        <w:behaviors>
          <w:behavior w:val="content"/>
        </w:behaviors>
        <w:description w:val=""/>
        <w:guid w:val="{D4E0DA34-B711-4907-BD17-07FD96E59605}"/>
      </w:docPartPr>
      <w:docPartBody>
        <w:p w14:paraId="0EE91D62">
          <w:r>
            <w:rPr>
              <w:rStyle w:val="4"/>
              <w:color w:val="333399"/>
              <w:u w:val="single"/>
            </w:rPr>
            <w:t>　　　</w:t>
          </w:r>
        </w:p>
      </w:docPartBody>
    </w:docPart>
    <w:docPart>
      <w:docPartPr>
        <w:name w:val="{33573e51-eb93-4283-a3ad-7ec12f67c762}"/>
        <w:style w:val=""/>
        <w:category>
          <w:name w:val="常规"/>
          <w:gallery w:val="placeholder"/>
        </w:category>
        <w:types>
          <w:type w:val="bbPlcHdr"/>
        </w:types>
        <w:behaviors>
          <w:behavior w:val="content"/>
        </w:behaviors>
        <w:description w:val=""/>
        <w:guid w:val="{33573E51-EB93-4283-A3AD-7EC12F67C762}"/>
      </w:docPartPr>
      <w:docPartBody>
        <w:p w14:paraId="6207F7B6">
          <w:r>
            <w:rPr>
              <w:rStyle w:val="4"/>
              <w:rFonts w:hint="eastAsia"/>
              <w:color w:val="333399"/>
              <w:u w:val="single"/>
            </w:rPr>
            <w:t>　　　</w:t>
          </w:r>
        </w:p>
      </w:docPartBody>
    </w:docPart>
    <w:docPart>
      <w:docPartPr>
        <w:name w:val="{178369bf-19eb-4e0e-9999-b0c5a82a2cd7}"/>
        <w:style w:val=""/>
        <w:category>
          <w:name w:val="常规"/>
          <w:gallery w:val="placeholder"/>
        </w:category>
        <w:types>
          <w:type w:val="bbPlcHdr"/>
        </w:types>
        <w:behaviors>
          <w:behavior w:val="content"/>
        </w:behaviors>
        <w:description w:val=""/>
        <w:guid w:val="{178369BF-19EB-4E0E-9999-B0C5A82A2CD7}"/>
      </w:docPartPr>
      <w:docPartBody>
        <w:p w14:paraId="59AB333C">
          <w:pPr>
            <w:pStyle w:val="14"/>
          </w:pPr>
          <w:r>
            <w:rPr>
              <w:rStyle w:val="4"/>
              <w:rFonts w:hint="eastAsia"/>
              <w:color w:val="333399"/>
              <w:u w:val="single"/>
            </w:rPr>
            <w:t>　　　</w:t>
          </w:r>
        </w:p>
      </w:docPartBody>
    </w:docPart>
    <w:docPart>
      <w:docPartPr>
        <w:name w:val="85AE56D4083A439B8E436FDA6AB447BB"/>
        <w:style w:val=""/>
        <w:category>
          <w:name w:val="常规"/>
          <w:gallery w:val="placeholder"/>
        </w:category>
        <w:types>
          <w:type w:val="bbPlcHdr"/>
        </w:types>
        <w:behaviors>
          <w:behavior w:val="content"/>
        </w:behaviors>
        <w:description w:val=""/>
        <w:guid w:val="{49A7D02A-1CAF-44FB-9FB9-F7375F7A8FAF}"/>
      </w:docPartPr>
      <w:docPartBody>
        <w:p w14:paraId="114F07A9">
          <w:pPr>
            <w:pStyle w:val="8"/>
          </w:pPr>
          <w:r>
            <w:rPr>
              <w:rStyle w:val="4"/>
              <w:color w:val="333399"/>
              <w:u w:val="single"/>
            </w:rPr>
            <w:t>　　　</w:t>
          </w:r>
        </w:p>
      </w:docPartBody>
    </w:docPart>
    <w:docPart>
      <w:docPartPr>
        <w:name w:val="293C4F5161224371B220A7EC35459B32"/>
        <w:style w:val=""/>
        <w:category>
          <w:name w:val="常规"/>
          <w:gallery w:val="placeholder"/>
        </w:category>
        <w:types>
          <w:type w:val="bbPlcHdr"/>
        </w:types>
        <w:behaviors>
          <w:behavior w:val="content"/>
        </w:behaviors>
        <w:description w:val=""/>
        <w:guid w:val="{43A6DA48-FCB9-49C7-8B69-1BA7ACB66694}"/>
      </w:docPartPr>
      <w:docPartBody>
        <w:p w14:paraId="5346EFAC">
          <w:pPr>
            <w:pStyle w:val="13"/>
          </w:pPr>
          <w:r>
            <w:rPr>
              <w:color w:val="808080"/>
            </w:rPr>
            <w:t>　</w:t>
          </w:r>
        </w:p>
      </w:docPartBody>
    </w:docPart>
    <w:docPart>
      <w:docPartPr>
        <w:name w:val="{b6f0efa9-5a0c-4ad6-9409-e6dd685b4eab}"/>
        <w:style w:val=""/>
        <w:category>
          <w:name w:val="常规"/>
          <w:gallery w:val="placeholder"/>
        </w:category>
        <w:types>
          <w:type w:val="bbPlcHdr"/>
        </w:types>
        <w:behaviors>
          <w:behavior w:val="content"/>
        </w:behaviors>
        <w:description w:val=""/>
        <w:guid w:val="{B6F0EFA9-5A0C-4AD6-9409-E6DD685B4EAB}"/>
      </w:docPartPr>
      <w:docPartBody>
        <w:p w14:paraId="13A74E15">
          <w:r>
            <w:rPr>
              <w:rStyle w:val="4"/>
              <w:color w:val="333399"/>
              <w:u w:val="single"/>
            </w:rPr>
            <w:t>　　　</w:t>
          </w:r>
        </w:p>
      </w:docPartBody>
    </w:docPart>
    <w:docPart>
      <w:docPartPr>
        <w:name w:val="75FCC87414EC4602AD9AE92B9FF2EFDC"/>
        <w:style w:val=""/>
        <w:category>
          <w:name w:val="常规"/>
          <w:gallery w:val="placeholder"/>
        </w:category>
        <w:types>
          <w:type w:val="bbPlcHdr"/>
        </w:types>
        <w:behaviors>
          <w:behavior w:val="content"/>
        </w:behaviors>
        <w:description w:val=""/>
        <w:guid w:val="{A4D80E0E-DA7C-4639-BD13-F88B78994F66}"/>
      </w:docPartPr>
      <w:docPartBody>
        <w:p w14:paraId="5E4CDA6E">
          <w:pPr>
            <w:pStyle w:val="16"/>
          </w:pPr>
          <w:r>
            <w:rPr>
              <w:rStyle w:val="4"/>
              <w:rFonts w:hint="eastAsia"/>
            </w:rPr>
            <w:t>　</w:t>
          </w:r>
        </w:p>
      </w:docPartBody>
    </w:docPart>
    <w:docPart>
      <w:docPartPr>
        <w:name w:val="{2103f560-d9c2-456c-b39e-efce37321a20}"/>
        <w:style w:val=""/>
        <w:category>
          <w:name w:val="常规"/>
          <w:gallery w:val="placeholder"/>
        </w:category>
        <w:types>
          <w:type w:val="bbPlcHdr"/>
        </w:types>
        <w:behaviors>
          <w:behavior w:val="content"/>
        </w:behaviors>
        <w:description w:val=""/>
        <w:guid w:val="{2103F560-D9C2-456C-B39E-EFCE37321A20}"/>
      </w:docPartPr>
      <w:docPartBody>
        <w:p w14:paraId="222941C9">
          <w:r>
            <w:rPr>
              <w:rStyle w:val="4"/>
              <w:rFonts w:hint="eastAsia"/>
            </w:rPr>
            <w:t>　</w:t>
          </w:r>
        </w:p>
      </w:docPartBody>
    </w:docPart>
    <w:docPart>
      <w:docPartPr>
        <w:name w:val="{6aa2cdac-137b-457c-b997-7fd91eb72e14}"/>
        <w:style w:val=""/>
        <w:category>
          <w:name w:val="常规"/>
          <w:gallery w:val="placeholder"/>
        </w:category>
        <w:types>
          <w:type w:val="bbPlcHdr"/>
        </w:types>
        <w:behaviors>
          <w:behavior w:val="content"/>
        </w:behaviors>
        <w:description w:val=""/>
        <w:guid w:val="{6AA2CDAC-137B-457C-B997-7FD91EB72E14}"/>
      </w:docPartPr>
      <w:docPartBody>
        <w:p w14:paraId="58E40E0D">
          <w:r>
            <w:rPr>
              <w:rStyle w:val="4"/>
              <w:rFonts w:hint="eastAsia"/>
            </w:rPr>
            <w:t>　</w:t>
          </w:r>
        </w:p>
      </w:docPartBody>
    </w:docPart>
    <w:docPart>
      <w:docPartPr>
        <w:name w:val="{dcf70f01-c3ae-432d-86f7-4e2564dde453}"/>
        <w:style w:val=""/>
        <w:category>
          <w:name w:val="常规"/>
          <w:gallery w:val="placeholder"/>
        </w:category>
        <w:types>
          <w:type w:val="bbPlcHdr"/>
        </w:types>
        <w:behaviors>
          <w:behavior w:val="content"/>
        </w:behaviors>
        <w:description w:val=""/>
        <w:guid w:val="{DCF70F01-C3AE-432D-86F7-4E2564DDE453}"/>
      </w:docPartPr>
      <w:docPartBody>
        <w:p w14:paraId="1A9C37AC">
          <w:r>
            <w:rPr>
              <w:rStyle w:val="4"/>
              <w:rFonts w:hint="eastAsia"/>
            </w:rPr>
            <w:t>　</w:t>
          </w:r>
        </w:p>
      </w:docPartBody>
    </w:docPart>
    <w:docPart>
      <w:docPartPr>
        <w:name w:val="{cd1c4de7-43a1-48e7-8225-68fe5757986f}"/>
        <w:style w:val=""/>
        <w:category>
          <w:name w:val="常规"/>
          <w:gallery w:val="placeholder"/>
        </w:category>
        <w:types>
          <w:type w:val="bbPlcHdr"/>
        </w:types>
        <w:behaviors>
          <w:behavior w:val="content"/>
        </w:behaviors>
        <w:description w:val=""/>
        <w:guid w:val="{CD1C4DE7-43A1-48E7-8225-68FE5757986F}"/>
      </w:docPartPr>
      <w:docPartBody>
        <w:p w14:paraId="23F9415B">
          <w:r>
            <w:rPr>
              <w:rStyle w:val="4"/>
              <w:rFonts w:hint="eastAsia"/>
            </w:rPr>
            <w:t>　</w:t>
          </w:r>
        </w:p>
      </w:docPartBody>
    </w:docPart>
    <w:docPart>
      <w:docPartPr>
        <w:name w:val="{b3f4be12-da9a-4108-a3cb-af77807cbc1c}"/>
        <w:style w:val=""/>
        <w:category>
          <w:name w:val="常规"/>
          <w:gallery w:val="placeholder"/>
        </w:category>
        <w:types>
          <w:type w:val="bbPlcHdr"/>
        </w:types>
        <w:behaviors>
          <w:behavior w:val="content"/>
        </w:behaviors>
        <w:description w:val=""/>
        <w:guid w:val="{B3F4BE12-DA9A-4108-A3CB-AF77807CBC1C}"/>
      </w:docPartPr>
      <w:docPartBody>
        <w:p w14:paraId="64239CB3">
          <w:r>
            <w:rPr>
              <w:rStyle w:val="4"/>
              <w:rFonts w:hint="eastAsia"/>
            </w:rPr>
            <w:t>　</w:t>
          </w:r>
        </w:p>
      </w:docPartBody>
    </w:docPart>
    <w:docPart>
      <w:docPartPr>
        <w:name w:val="{df921bb6-cb27-449a-a3c8-f8e19e099680}"/>
        <w:style w:val=""/>
        <w:category>
          <w:name w:val="常规"/>
          <w:gallery w:val="placeholder"/>
        </w:category>
        <w:types>
          <w:type w:val="bbPlcHdr"/>
        </w:types>
        <w:behaviors>
          <w:behavior w:val="content"/>
        </w:behaviors>
        <w:description w:val=""/>
        <w:guid w:val="{DF921BB6-CB27-449A-A3C8-F8E19E099680}"/>
      </w:docPartPr>
      <w:docPartBody>
        <w:p w14:paraId="00593B19">
          <w:r>
            <w:rPr>
              <w:rStyle w:val="4"/>
              <w:rFonts w:hint="eastAsia"/>
            </w:rPr>
            <w:t>　</w:t>
          </w:r>
        </w:p>
      </w:docPartBody>
    </w:docPart>
    <w:docPart>
      <w:docPartPr>
        <w:name w:val="{e80a722c-aae6-436f-8b25-62d32db9cd08}"/>
        <w:style w:val=""/>
        <w:category>
          <w:name w:val="常规"/>
          <w:gallery w:val="placeholder"/>
        </w:category>
        <w:types>
          <w:type w:val="bbPlcHdr"/>
        </w:types>
        <w:behaviors>
          <w:behavior w:val="content"/>
        </w:behaviors>
        <w:description w:val=""/>
        <w:guid w:val="{E80A722C-AAE6-436F-8B25-62D32DB9CD08}"/>
      </w:docPartPr>
      <w:docPartBody>
        <w:p w14:paraId="2CD421A2">
          <w:r>
            <w:rPr>
              <w:rStyle w:val="4"/>
              <w:rFonts w:hint="eastAsia"/>
            </w:rPr>
            <w:t>　</w:t>
          </w:r>
        </w:p>
      </w:docPartBody>
    </w:docPart>
    <w:docPart>
      <w:docPartPr>
        <w:name w:val="{3192be38-0d7d-4a77-b68b-13c7f0caf2e1}"/>
        <w:style w:val=""/>
        <w:category>
          <w:name w:val="常规"/>
          <w:gallery w:val="placeholder"/>
        </w:category>
        <w:types>
          <w:type w:val="bbPlcHdr"/>
        </w:types>
        <w:behaviors>
          <w:behavior w:val="content"/>
        </w:behaviors>
        <w:description w:val=""/>
        <w:guid w:val="{3192BE38-0D7D-4A77-B68B-13C7F0CAF2E1}"/>
      </w:docPartPr>
      <w:docPartBody>
        <w:p w14:paraId="20E593B3">
          <w:r>
            <w:rPr>
              <w:rStyle w:val="4"/>
              <w:color w:val="333399"/>
              <w:u w:val="single"/>
            </w:rPr>
            <w:t>　　　</w:t>
          </w:r>
        </w:p>
      </w:docPartBody>
    </w:docPart>
    <w:docPart>
      <w:docPartPr>
        <w:name w:val="{ae7d60a6-b0f4-4814-9bed-12a3bf4c5322}"/>
        <w:style w:val=""/>
        <w:category>
          <w:name w:val="常规"/>
          <w:gallery w:val="placeholder"/>
        </w:category>
        <w:types>
          <w:type w:val="bbPlcHdr"/>
        </w:types>
        <w:behaviors>
          <w:behavior w:val="content"/>
        </w:behaviors>
        <w:description w:val=""/>
        <w:guid w:val="{AE7D60A6-B0F4-4814-9BED-12A3BF4C5322}"/>
      </w:docPartPr>
      <w:docPartBody>
        <w:p w14:paraId="1985F2B1">
          <w:r>
            <w:rPr>
              <w:rStyle w:val="4"/>
              <w:rFonts w:hint="eastAsia"/>
            </w:rPr>
            <w:t>　</w:t>
          </w:r>
        </w:p>
      </w:docPartBody>
    </w:docPart>
    <w:docPart>
      <w:docPartPr>
        <w:name w:val="{925fd01c-26ac-4a40-af8f-15992ad9861c}"/>
        <w:style w:val=""/>
        <w:category>
          <w:name w:val="常规"/>
          <w:gallery w:val="placeholder"/>
        </w:category>
        <w:types>
          <w:type w:val="bbPlcHdr"/>
        </w:types>
        <w:behaviors>
          <w:behavior w:val="content"/>
        </w:behaviors>
        <w:description w:val=""/>
        <w:guid w:val="{925FD01C-26AC-4A40-AF8F-15992AD9861C}"/>
      </w:docPartPr>
      <w:docPartBody>
        <w:p w14:paraId="063E8320">
          <w:r>
            <w:rPr>
              <w:rStyle w:val="4"/>
              <w:rFonts w:hint="eastAsia"/>
            </w:rPr>
            <w:t>　</w:t>
          </w:r>
        </w:p>
      </w:docPartBody>
    </w:docPart>
    <w:docPart>
      <w:docPartPr>
        <w:name w:val="{e1ccbac6-b974-4cb2-913d-db31be313061}"/>
        <w:style w:val=""/>
        <w:category>
          <w:name w:val="常规"/>
          <w:gallery w:val="placeholder"/>
        </w:category>
        <w:types>
          <w:type w:val="bbPlcHdr"/>
        </w:types>
        <w:behaviors>
          <w:behavior w:val="content"/>
        </w:behaviors>
        <w:description w:val=""/>
        <w:guid w:val="{E1CCBAC6-B974-4CB2-913D-DB31BE313061}"/>
      </w:docPartPr>
      <w:docPartBody>
        <w:p w14:paraId="25A5C22A">
          <w:r>
            <w:rPr>
              <w:rStyle w:val="4"/>
              <w:rFonts w:hint="eastAsia"/>
            </w:rPr>
            <w:t>　</w:t>
          </w:r>
        </w:p>
      </w:docPartBody>
    </w:docPart>
    <w:docPart>
      <w:docPartPr>
        <w:name w:val="{712bd3a6-7736-4c48-8e07-037148df6ccb}"/>
        <w:style w:val=""/>
        <w:category>
          <w:name w:val="常规"/>
          <w:gallery w:val="placeholder"/>
        </w:category>
        <w:types>
          <w:type w:val="bbPlcHdr"/>
        </w:types>
        <w:behaviors>
          <w:behavior w:val="content"/>
        </w:behaviors>
        <w:description w:val=""/>
        <w:guid w:val="{712BD3A6-7736-4C48-8E07-037148DF6CCB}"/>
      </w:docPartPr>
      <w:docPartBody>
        <w:p w14:paraId="092DC93C">
          <w:r>
            <w:rPr>
              <w:rStyle w:val="4"/>
              <w:rFonts w:hint="eastAsia"/>
            </w:rPr>
            <w:t>　</w:t>
          </w:r>
        </w:p>
      </w:docPartBody>
    </w:docPart>
    <w:docPart>
      <w:docPartPr>
        <w:name w:val="{81cd5e11-2568-4bb7-ba75-1405636d41fb}"/>
        <w:style w:val=""/>
        <w:category>
          <w:name w:val="常规"/>
          <w:gallery w:val="placeholder"/>
        </w:category>
        <w:types>
          <w:type w:val="bbPlcHdr"/>
        </w:types>
        <w:behaviors>
          <w:behavior w:val="content"/>
        </w:behaviors>
        <w:description w:val=""/>
        <w:guid w:val="{81CD5E11-2568-4BB7-BA75-1405636D41FB}"/>
      </w:docPartPr>
      <w:docPartBody>
        <w:p w14:paraId="17C48190">
          <w:r>
            <w:rPr>
              <w:rStyle w:val="4"/>
              <w:rFonts w:hint="eastAsia"/>
            </w:rPr>
            <w:t>　</w:t>
          </w:r>
        </w:p>
      </w:docPartBody>
    </w:docPart>
    <w:docPart>
      <w:docPartPr>
        <w:name w:val="{fe68423a-b750-454a-984c-30d8cbaec379}"/>
        <w:style w:val=""/>
        <w:category>
          <w:name w:val="常规"/>
          <w:gallery w:val="placeholder"/>
        </w:category>
        <w:types>
          <w:type w:val="bbPlcHdr"/>
        </w:types>
        <w:behaviors>
          <w:behavior w:val="content"/>
        </w:behaviors>
        <w:description w:val=""/>
        <w:guid w:val="{FE68423A-B750-454A-984C-30D8CBAEC379}"/>
      </w:docPartPr>
      <w:docPartBody>
        <w:p w14:paraId="534243E0">
          <w:r>
            <w:rPr>
              <w:rStyle w:val="4"/>
              <w:rFonts w:hint="eastAsia"/>
            </w:rPr>
            <w:t>　</w:t>
          </w:r>
        </w:p>
      </w:docPartBody>
    </w:docPart>
    <w:docPart>
      <w:docPartPr>
        <w:name w:val="{a301e795-e998-4deb-8684-a6910ffe556f}"/>
        <w:style w:val=""/>
        <w:category>
          <w:name w:val="常规"/>
          <w:gallery w:val="placeholder"/>
        </w:category>
        <w:types>
          <w:type w:val="bbPlcHdr"/>
        </w:types>
        <w:behaviors>
          <w:behavior w:val="content"/>
        </w:behaviors>
        <w:description w:val=""/>
        <w:guid w:val="{A301E795-E998-4DEB-8684-A6910FFE556F}"/>
      </w:docPartPr>
      <w:docPartBody>
        <w:p w14:paraId="33C0B849">
          <w:r>
            <w:rPr>
              <w:rStyle w:val="4"/>
              <w:rFonts w:hint="eastAsia"/>
            </w:rPr>
            <w:t>　</w:t>
          </w:r>
        </w:p>
      </w:docPartBody>
    </w:docPart>
    <w:docPart>
      <w:docPartPr>
        <w:name w:val="{5b714b37-0811-4c63-b97b-7224f2d7e8a0}"/>
        <w:style w:val=""/>
        <w:category>
          <w:name w:val="常规"/>
          <w:gallery w:val="placeholder"/>
        </w:category>
        <w:types>
          <w:type w:val="bbPlcHdr"/>
        </w:types>
        <w:behaviors>
          <w:behavior w:val="content"/>
        </w:behaviors>
        <w:description w:val=""/>
        <w:guid w:val="{5B714B37-0811-4C63-B97B-7224F2D7E8A0}"/>
      </w:docPartPr>
      <w:docPartBody>
        <w:p w14:paraId="48BFB32A">
          <w:r>
            <w:rPr>
              <w:rStyle w:val="4"/>
              <w:rFonts w:hint="eastAsia"/>
            </w:rPr>
            <w:t>　</w:t>
          </w:r>
        </w:p>
      </w:docPartBody>
    </w:docPart>
    <w:docPart>
      <w:docPartPr>
        <w:name w:val="{b1467952-0f0f-4b1e-a167-fdb4424c5074}"/>
        <w:style w:val=""/>
        <w:category>
          <w:name w:val="常规"/>
          <w:gallery w:val="placeholder"/>
        </w:category>
        <w:types>
          <w:type w:val="bbPlcHdr"/>
        </w:types>
        <w:behaviors>
          <w:behavior w:val="content"/>
        </w:behaviors>
        <w:description w:val=""/>
        <w:guid w:val="{B1467952-0F0F-4B1E-A167-FDB4424C5074}"/>
      </w:docPartPr>
      <w:docPartBody>
        <w:p w14:paraId="5C376515">
          <w:r>
            <w:rPr>
              <w:rStyle w:val="4"/>
              <w:rFonts w:hint="eastAsia"/>
            </w:rPr>
            <w:t>　</w:t>
          </w:r>
        </w:p>
      </w:docPartBody>
    </w:docPart>
    <w:docPart>
      <w:docPartPr>
        <w:name w:val="{65ebdb65-e673-4b5c-9d50-260e4db791de}"/>
        <w:style w:val=""/>
        <w:category>
          <w:name w:val="常规"/>
          <w:gallery w:val="placeholder"/>
        </w:category>
        <w:types>
          <w:type w:val="bbPlcHdr"/>
        </w:types>
        <w:behaviors>
          <w:behavior w:val="content"/>
        </w:behaviors>
        <w:description w:val=""/>
        <w:guid w:val="{65EBDB65-E673-4B5C-9D50-260E4DB791DE}"/>
      </w:docPartPr>
      <w:docPartBody>
        <w:p w14:paraId="2BD4DA9C">
          <w:r>
            <w:rPr>
              <w:rStyle w:val="4"/>
              <w:rFonts w:hint="eastAsia"/>
            </w:rPr>
            <w:t>　</w:t>
          </w:r>
        </w:p>
      </w:docPartBody>
    </w:docPart>
    <w:docPart>
      <w:docPartPr>
        <w:name w:val="{33a79c4d-434e-484b-b287-76db1c31fa9d}"/>
        <w:style w:val=""/>
        <w:category>
          <w:name w:val="常规"/>
          <w:gallery w:val="placeholder"/>
        </w:category>
        <w:types>
          <w:type w:val="bbPlcHdr"/>
        </w:types>
        <w:behaviors>
          <w:behavior w:val="content"/>
        </w:behaviors>
        <w:description w:val=""/>
        <w:guid w:val="{33A79C4D-434E-484B-B287-76DB1C31FA9D}"/>
      </w:docPartPr>
      <w:docPartBody>
        <w:p w14:paraId="68363962">
          <w:r>
            <w:rPr>
              <w:rStyle w:val="4"/>
              <w:rFonts w:hint="eastAsia"/>
            </w:rPr>
            <w:t>　</w:t>
          </w:r>
        </w:p>
      </w:docPartBody>
    </w:docPart>
    <w:docPart>
      <w:docPartPr>
        <w:name w:val="{14b795c2-6743-44fe-abc0-425cd7151248}"/>
        <w:style w:val=""/>
        <w:category>
          <w:name w:val="常规"/>
          <w:gallery w:val="placeholder"/>
        </w:category>
        <w:types>
          <w:type w:val="bbPlcHdr"/>
        </w:types>
        <w:behaviors>
          <w:behavior w:val="content"/>
        </w:behaviors>
        <w:description w:val=""/>
        <w:guid w:val="{14B795C2-6743-44FE-ABC0-425CD7151248}"/>
      </w:docPartPr>
      <w:docPartBody>
        <w:p w14:paraId="0922A2CF">
          <w:r>
            <w:rPr>
              <w:rStyle w:val="4"/>
              <w:rFonts w:hint="eastAsia"/>
            </w:rPr>
            <w:t>　</w:t>
          </w:r>
        </w:p>
      </w:docPartBody>
    </w:docPart>
    <w:docPart>
      <w:docPartPr>
        <w:name w:val="{3f5a80b8-9fdb-4bf0-8ff3-8b04cdbaa619}"/>
        <w:style w:val=""/>
        <w:category>
          <w:name w:val="常规"/>
          <w:gallery w:val="placeholder"/>
        </w:category>
        <w:types>
          <w:type w:val="bbPlcHdr"/>
        </w:types>
        <w:behaviors>
          <w:behavior w:val="content"/>
        </w:behaviors>
        <w:description w:val=""/>
        <w:guid w:val="{3F5A80B8-9FDB-4BF0-8FF3-8B04CDBAA619}"/>
      </w:docPartPr>
      <w:docPartBody>
        <w:p w14:paraId="1C8E732E">
          <w:r>
            <w:rPr>
              <w:rStyle w:val="4"/>
              <w:rFonts w:hint="eastAsia"/>
            </w:rPr>
            <w:t>　</w:t>
          </w:r>
        </w:p>
      </w:docPartBody>
    </w:docPart>
    <w:docPart>
      <w:docPartPr>
        <w:name w:val="{e57c6a27-ff94-440e-8baf-13a3927d767d}"/>
        <w:style w:val=""/>
        <w:category>
          <w:name w:val="常规"/>
          <w:gallery w:val="placeholder"/>
        </w:category>
        <w:types>
          <w:type w:val="bbPlcHdr"/>
        </w:types>
        <w:behaviors>
          <w:behavior w:val="content"/>
        </w:behaviors>
        <w:description w:val=""/>
        <w:guid w:val="{E57C6A27-FF94-440E-8BAF-13A3927D767D}"/>
      </w:docPartPr>
      <w:docPartBody>
        <w:p w14:paraId="537C24FE">
          <w:r>
            <w:rPr>
              <w:rStyle w:val="4"/>
              <w:rFonts w:hint="eastAsia"/>
            </w:rPr>
            <w:t>　</w:t>
          </w:r>
        </w:p>
      </w:docPartBody>
    </w:docPart>
    <w:docPart>
      <w:docPartPr>
        <w:name w:val="{2a6d8d4c-17d4-454a-b273-36e7e69a7cb5}"/>
        <w:style w:val=""/>
        <w:category>
          <w:name w:val="常规"/>
          <w:gallery w:val="placeholder"/>
        </w:category>
        <w:types>
          <w:type w:val="bbPlcHdr"/>
        </w:types>
        <w:behaviors>
          <w:behavior w:val="content"/>
        </w:behaviors>
        <w:description w:val=""/>
        <w:guid w:val="{2A6D8D4C-17D4-454A-B273-36E7E69A7CB5}"/>
      </w:docPartPr>
      <w:docPartBody>
        <w:p w14:paraId="39E2DAE1">
          <w:r>
            <w:rPr>
              <w:rStyle w:val="4"/>
              <w:rFonts w:hint="eastAsia"/>
            </w:rPr>
            <w:t>　</w:t>
          </w:r>
        </w:p>
      </w:docPartBody>
    </w:docPart>
    <w:docPart>
      <w:docPartPr>
        <w:name w:val="{c0812664-2cda-4da8-b779-e64626bb2ba7}"/>
        <w:style w:val=""/>
        <w:category>
          <w:name w:val="常规"/>
          <w:gallery w:val="placeholder"/>
        </w:category>
        <w:types>
          <w:type w:val="bbPlcHdr"/>
        </w:types>
        <w:behaviors>
          <w:behavior w:val="content"/>
        </w:behaviors>
        <w:description w:val=""/>
        <w:guid w:val="{C0812664-2CDA-4DA8-B779-E64626BB2BA7}"/>
      </w:docPartPr>
      <w:docPartBody>
        <w:p w14:paraId="5400C072">
          <w:r>
            <w:rPr>
              <w:rStyle w:val="4"/>
              <w:rFonts w:hint="eastAsia"/>
            </w:rPr>
            <w:t>　</w:t>
          </w:r>
        </w:p>
      </w:docPartBody>
    </w:docPart>
    <w:docPart>
      <w:docPartPr>
        <w:name w:val="{6f30955f-b77f-4afe-8b09-25f848106008}"/>
        <w:style w:val=""/>
        <w:category>
          <w:name w:val="常规"/>
          <w:gallery w:val="placeholder"/>
        </w:category>
        <w:types>
          <w:type w:val="bbPlcHdr"/>
        </w:types>
        <w:behaviors>
          <w:behavior w:val="content"/>
        </w:behaviors>
        <w:description w:val=""/>
        <w:guid w:val="{6F30955F-B77F-4AFE-8B09-25F848106008}"/>
      </w:docPartPr>
      <w:docPartBody>
        <w:p w14:paraId="02A60DF8">
          <w:r>
            <w:rPr>
              <w:rStyle w:val="4"/>
              <w:rFonts w:hint="eastAsia"/>
            </w:rPr>
            <w:t>　</w:t>
          </w:r>
        </w:p>
      </w:docPartBody>
    </w:docPart>
    <w:docPart>
      <w:docPartPr>
        <w:name w:val="{dd9af3e3-6bdb-41c8-af00-dfb93af6e7d3}"/>
        <w:style w:val=""/>
        <w:category>
          <w:name w:val="常规"/>
          <w:gallery w:val="placeholder"/>
        </w:category>
        <w:types>
          <w:type w:val="bbPlcHdr"/>
        </w:types>
        <w:behaviors>
          <w:behavior w:val="content"/>
        </w:behaviors>
        <w:description w:val=""/>
        <w:guid w:val="{DD9AF3E3-6BDB-41C8-AF00-DFB93AF6E7D3}"/>
      </w:docPartPr>
      <w:docPartBody>
        <w:p w14:paraId="6D847FA2">
          <w:r>
            <w:rPr>
              <w:rStyle w:val="4"/>
              <w:rFonts w:hint="eastAsia"/>
            </w:rPr>
            <w:t>　</w:t>
          </w:r>
        </w:p>
      </w:docPartBody>
    </w:docPart>
    <w:docPart>
      <w:docPartPr>
        <w:name w:val="{675b4e51-4ded-4f81-868b-1cf1e144ab31}"/>
        <w:style w:val=""/>
        <w:category>
          <w:name w:val="常规"/>
          <w:gallery w:val="placeholder"/>
        </w:category>
        <w:types>
          <w:type w:val="bbPlcHdr"/>
        </w:types>
        <w:behaviors>
          <w:behavior w:val="content"/>
        </w:behaviors>
        <w:description w:val=""/>
        <w:guid w:val="{675B4E51-4DED-4F81-868B-1CF1E144AB31}"/>
      </w:docPartPr>
      <w:docPartBody>
        <w:p w14:paraId="239F301E">
          <w:r>
            <w:rPr>
              <w:rStyle w:val="4"/>
              <w:rFonts w:hint="eastAsia"/>
            </w:rPr>
            <w:t>　</w:t>
          </w:r>
        </w:p>
      </w:docPartBody>
    </w:docPart>
    <w:docPart>
      <w:docPartPr>
        <w:name w:val="{b46afa6c-b4bd-4b7d-bcbe-7ec724afd91c}"/>
        <w:style w:val=""/>
        <w:category>
          <w:name w:val="常规"/>
          <w:gallery w:val="placeholder"/>
        </w:category>
        <w:types>
          <w:type w:val="bbPlcHdr"/>
        </w:types>
        <w:behaviors>
          <w:behavior w:val="content"/>
        </w:behaviors>
        <w:description w:val=""/>
        <w:guid w:val="{B46AFA6C-B4BD-4B7D-BCBE-7EC724AFD91C}"/>
      </w:docPartPr>
      <w:docPartBody>
        <w:p w14:paraId="00AE547C">
          <w:r>
            <w:rPr>
              <w:rStyle w:val="4"/>
              <w:rFonts w:hint="eastAsia"/>
            </w:rPr>
            <w:t>　</w:t>
          </w:r>
        </w:p>
      </w:docPartBody>
    </w:docPart>
    <w:docPart>
      <w:docPartPr>
        <w:name w:val="{77489c01-767b-4814-8639-35fe896fae20}"/>
        <w:style w:val=""/>
        <w:category>
          <w:name w:val="常规"/>
          <w:gallery w:val="placeholder"/>
        </w:category>
        <w:types>
          <w:type w:val="bbPlcHdr"/>
        </w:types>
        <w:behaviors>
          <w:behavior w:val="content"/>
        </w:behaviors>
        <w:description w:val=""/>
        <w:guid w:val="{77489C01-767B-4814-8639-35FE896FAE20}"/>
      </w:docPartPr>
      <w:docPartBody>
        <w:p w14:paraId="2449A6CB">
          <w:r>
            <w:rPr>
              <w:rStyle w:val="4"/>
              <w:rFonts w:hint="eastAsia"/>
            </w:rPr>
            <w:t>　</w:t>
          </w:r>
        </w:p>
      </w:docPartBody>
    </w:docPart>
    <w:docPart>
      <w:docPartPr>
        <w:name w:val="{3d117078-d684-4d51-9e6b-7f31e594f04d}"/>
        <w:style w:val=""/>
        <w:category>
          <w:name w:val="常规"/>
          <w:gallery w:val="placeholder"/>
        </w:category>
        <w:types>
          <w:type w:val="bbPlcHdr"/>
        </w:types>
        <w:behaviors>
          <w:behavior w:val="content"/>
        </w:behaviors>
        <w:description w:val=""/>
        <w:guid w:val="{3D117078-D684-4D51-9E6B-7F31E594F04D}"/>
      </w:docPartPr>
      <w:docPartBody>
        <w:p w14:paraId="61FA9F9B">
          <w:r>
            <w:rPr>
              <w:rStyle w:val="4"/>
              <w:rFonts w:hint="eastAsia"/>
            </w:rPr>
            <w:t>　</w:t>
          </w:r>
        </w:p>
      </w:docPartBody>
    </w:docPart>
    <w:docPart>
      <w:docPartPr>
        <w:name w:val="{2cc8f0d7-c5d6-4c8a-a47f-adb2d612b16a}"/>
        <w:style w:val=""/>
        <w:category>
          <w:name w:val="常规"/>
          <w:gallery w:val="placeholder"/>
        </w:category>
        <w:types>
          <w:type w:val="bbPlcHdr"/>
        </w:types>
        <w:behaviors>
          <w:behavior w:val="content"/>
        </w:behaviors>
        <w:description w:val=""/>
        <w:guid w:val="{2CC8F0D7-C5D6-4C8A-A47F-ADB2D612B16A}"/>
      </w:docPartPr>
      <w:docPartBody>
        <w:p w14:paraId="2870B2B9">
          <w:r>
            <w:rPr>
              <w:rStyle w:val="4"/>
              <w:rFonts w:hint="eastAsia"/>
            </w:rPr>
            <w:t>　</w:t>
          </w:r>
        </w:p>
      </w:docPartBody>
    </w:docPart>
    <w:docPart>
      <w:docPartPr>
        <w:name w:val="{6a0c14a3-273d-4a1c-87a0-a16ca3bc5bd5}"/>
        <w:style w:val=""/>
        <w:category>
          <w:name w:val="常规"/>
          <w:gallery w:val="placeholder"/>
        </w:category>
        <w:types>
          <w:type w:val="bbPlcHdr"/>
        </w:types>
        <w:behaviors>
          <w:behavior w:val="content"/>
        </w:behaviors>
        <w:description w:val=""/>
        <w:guid w:val="{6A0C14A3-273D-4A1C-87A0-A16CA3BC5BD5}"/>
      </w:docPartPr>
      <w:docPartBody>
        <w:p w14:paraId="18705A2F">
          <w:r>
            <w:rPr>
              <w:rStyle w:val="4"/>
              <w:rFonts w:hint="eastAsia"/>
            </w:rPr>
            <w:t>　</w:t>
          </w:r>
        </w:p>
      </w:docPartBody>
    </w:docPart>
    <w:docPart>
      <w:docPartPr>
        <w:name w:val="{d4c05224-2427-4576-94d4-91b9333b0dd2}"/>
        <w:style w:val=""/>
        <w:category>
          <w:name w:val="常规"/>
          <w:gallery w:val="placeholder"/>
        </w:category>
        <w:types>
          <w:type w:val="bbPlcHdr"/>
        </w:types>
        <w:behaviors>
          <w:behavior w:val="content"/>
        </w:behaviors>
        <w:description w:val=""/>
        <w:guid w:val="{D4C05224-2427-4576-94D4-91B9333B0DD2}"/>
      </w:docPartPr>
      <w:docPartBody>
        <w:p w14:paraId="71D54D71">
          <w:r>
            <w:rPr>
              <w:rStyle w:val="4"/>
              <w:rFonts w:hint="eastAsia"/>
            </w:rPr>
            <w:t>　</w:t>
          </w:r>
        </w:p>
      </w:docPartBody>
    </w:docPart>
    <w:docPart>
      <w:docPartPr>
        <w:name w:val="{7857670b-0411-41a0-8768-2a6b5706f65b}"/>
        <w:style w:val=""/>
        <w:category>
          <w:name w:val="常规"/>
          <w:gallery w:val="placeholder"/>
        </w:category>
        <w:types>
          <w:type w:val="bbPlcHdr"/>
        </w:types>
        <w:behaviors>
          <w:behavior w:val="content"/>
        </w:behaviors>
        <w:description w:val=""/>
        <w:guid w:val="{7857670B-0411-41A0-8768-2A6B5706F65B}"/>
      </w:docPartPr>
      <w:docPartBody>
        <w:p w14:paraId="0A00F6C7">
          <w:r>
            <w:rPr>
              <w:rStyle w:val="4"/>
              <w:rFonts w:hint="eastAsia"/>
            </w:rPr>
            <w:t>　</w:t>
          </w:r>
        </w:p>
      </w:docPartBody>
    </w:docPart>
    <w:docPart>
      <w:docPartPr>
        <w:name w:val="{db856ebd-6f6b-4365-b791-d5cd84a05f66}"/>
        <w:style w:val=""/>
        <w:category>
          <w:name w:val="常规"/>
          <w:gallery w:val="placeholder"/>
        </w:category>
        <w:types>
          <w:type w:val="bbPlcHdr"/>
        </w:types>
        <w:behaviors>
          <w:behavior w:val="content"/>
        </w:behaviors>
        <w:description w:val=""/>
        <w:guid w:val="{DB856EBD-6F6B-4365-B791-D5CD84A05F66}"/>
      </w:docPartPr>
      <w:docPartBody>
        <w:p w14:paraId="79BCC64A">
          <w:r>
            <w:rPr>
              <w:rStyle w:val="4"/>
              <w:rFonts w:hint="eastAsia"/>
            </w:rPr>
            <w:t>　</w:t>
          </w:r>
        </w:p>
      </w:docPartBody>
    </w:docPart>
    <w:docPart>
      <w:docPartPr>
        <w:name w:val="{72a5ff22-9a38-4d02-b871-4d9b0ea35748}"/>
        <w:style w:val=""/>
        <w:category>
          <w:name w:val="常规"/>
          <w:gallery w:val="placeholder"/>
        </w:category>
        <w:types>
          <w:type w:val="bbPlcHdr"/>
        </w:types>
        <w:behaviors>
          <w:behavior w:val="content"/>
        </w:behaviors>
        <w:description w:val=""/>
        <w:guid w:val="{72A5FF22-9A38-4D02-B871-4D9B0EA35748}"/>
      </w:docPartPr>
      <w:docPartBody>
        <w:p w14:paraId="1A012689">
          <w:r>
            <w:rPr>
              <w:rStyle w:val="4"/>
              <w:rFonts w:hint="eastAsia"/>
            </w:rPr>
            <w:t>　</w:t>
          </w:r>
        </w:p>
      </w:docPartBody>
    </w:docPart>
    <w:docPart>
      <w:docPartPr>
        <w:name w:val="{cb4e2310-4ef5-44b4-9419-d1b794171c78}"/>
        <w:style w:val=""/>
        <w:category>
          <w:name w:val="常规"/>
          <w:gallery w:val="placeholder"/>
        </w:category>
        <w:types>
          <w:type w:val="bbPlcHdr"/>
        </w:types>
        <w:behaviors>
          <w:behavior w:val="content"/>
        </w:behaviors>
        <w:description w:val=""/>
        <w:guid w:val="{CB4E2310-4EF5-44B4-9419-D1B794171C78}"/>
      </w:docPartPr>
      <w:docPartBody>
        <w:p w14:paraId="0678B712">
          <w:r>
            <w:rPr>
              <w:rStyle w:val="4"/>
              <w:rFonts w:hint="eastAsia"/>
            </w:rPr>
            <w:t>　</w:t>
          </w:r>
        </w:p>
      </w:docPartBody>
    </w:docPart>
    <w:docPart>
      <w:docPartPr>
        <w:name w:val="{e13e1838-74b0-4c10-a2d9-b7ed71a53cc5}"/>
        <w:style w:val=""/>
        <w:category>
          <w:name w:val="常规"/>
          <w:gallery w:val="placeholder"/>
        </w:category>
        <w:types>
          <w:type w:val="bbPlcHdr"/>
        </w:types>
        <w:behaviors>
          <w:behavior w:val="content"/>
        </w:behaviors>
        <w:description w:val=""/>
        <w:guid w:val="{E13E1838-74B0-4C10-A2D9-B7ED71A53CC5}"/>
      </w:docPartPr>
      <w:docPartBody>
        <w:p w14:paraId="17A82EDC">
          <w:r>
            <w:rPr>
              <w:rStyle w:val="4"/>
              <w:rFonts w:hint="eastAsia"/>
            </w:rPr>
            <w:t>　</w:t>
          </w:r>
        </w:p>
      </w:docPartBody>
    </w:docPart>
    <w:docPart>
      <w:docPartPr>
        <w:name w:val="{dac80138-80a9-4f66-bd31-592d454e5556}"/>
        <w:style w:val=""/>
        <w:category>
          <w:name w:val="常规"/>
          <w:gallery w:val="placeholder"/>
        </w:category>
        <w:types>
          <w:type w:val="bbPlcHdr"/>
        </w:types>
        <w:behaviors>
          <w:behavior w:val="content"/>
        </w:behaviors>
        <w:description w:val=""/>
        <w:guid w:val="{DAC80138-80A9-4F66-BD31-592D454E5556}"/>
      </w:docPartPr>
      <w:docPartBody>
        <w:p w14:paraId="2AD30FDA">
          <w:r>
            <w:rPr>
              <w:rStyle w:val="4"/>
              <w:rFonts w:hint="eastAsia"/>
            </w:rPr>
            <w:t>　</w:t>
          </w:r>
        </w:p>
      </w:docPartBody>
    </w:docPart>
    <w:docPart>
      <w:docPartPr>
        <w:name w:val="{6c593e68-85c9-4f50-8d3d-b8d1bf426658}"/>
        <w:style w:val=""/>
        <w:category>
          <w:name w:val="常规"/>
          <w:gallery w:val="placeholder"/>
        </w:category>
        <w:types>
          <w:type w:val="bbPlcHdr"/>
        </w:types>
        <w:behaviors>
          <w:behavior w:val="content"/>
        </w:behaviors>
        <w:description w:val=""/>
        <w:guid w:val="{6C593E68-85C9-4F50-8D3D-B8D1BF426658}"/>
      </w:docPartPr>
      <w:docPartBody>
        <w:p w14:paraId="51B363E5">
          <w:r>
            <w:rPr>
              <w:rStyle w:val="4"/>
              <w:rFonts w:hint="eastAsia"/>
            </w:rPr>
            <w:t>　</w:t>
          </w:r>
        </w:p>
      </w:docPartBody>
    </w:docPart>
    <w:docPart>
      <w:docPartPr>
        <w:name w:val="{ff5088b6-2712-4a83-8e82-feb0ff073f7e}"/>
        <w:style w:val=""/>
        <w:category>
          <w:name w:val="常规"/>
          <w:gallery w:val="placeholder"/>
        </w:category>
        <w:types>
          <w:type w:val="bbPlcHdr"/>
        </w:types>
        <w:behaviors>
          <w:behavior w:val="content"/>
        </w:behaviors>
        <w:description w:val=""/>
        <w:guid w:val="{FF5088B6-2712-4A83-8E82-FEB0FF073F7E}"/>
      </w:docPartPr>
      <w:docPartBody>
        <w:p w14:paraId="7CAB0B43">
          <w:r>
            <w:rPr>
              <w:rStyle w:val="4"/>
              <w:rFonts w:hint="eastAsia"/>
            </w:rPr>
            <w:t>　</w:t>
          </w:r>
        </w:p>
      </w:docPartBody>
    </w:docPart>
    <w:docPart>
      <w:docPartPr>
        <w:name w:val="{476a5c04-f013-4308-ae31-27fca4933a80}"/>
        <w:style w:val=""/>
        <w:category>
          <w:name w:val="常规"/>
          <w:gallery w:val="placeholder"/>
        </w:category>
        <w:types>
          <w:type w:val="bbPlcHdr"/>
        </w:types>
        <w:behaviors>
          <w:behavior w:val="content"/>
        </w:behaviors>
        <w:description w:val=""/>
        <w:guid w:val="{476A5C04-F013-4308-AE31-27FCA4933A80}"/>
      </w:docPartPr>
      <w:docPartBody>
        <w:p w14:paraId="074C464E">
          <w:r>
            <w:rPr>
              <w:rStyle w:val="4"/>
              <w:rFonts w:hint="eastAsia"/>
            </w:rPr>
            <w:t>　</w:t>
          </w:r>
        </w:p>
      </w:docPartBody>
    </w:docPart>
    <w:docPart>
      <w:docPartPr>
        <w:name w:val="{31e701fb-1afd-481e-b699-3b89320895e4}"/>
        <w:style w:val=""/>
        <w:category>
          <w:name w:val="常规"/>
          <w:gallery w:val="placeholder"/>
        </w:category>
        <w:types>
          <w:type w:val="bbPlcHdr"/>
        </w:types>
        <w:behaviors>
          <w:behavior w:val="content"/>
        </w:behaviors>
        <w:description w:val=""/>
        <w:guid w:val="{31E701FB-1AFD-481E-B699-3B89320895E4}"/>
      </w:docPartPr>
      <w:docPartBody>
        <w:p w14:paraId="732E5F6C">
          <w:r>
            <w:rPr>
              <w:rStyle w:val="4"/>
              <w:rFonts w:hint="eastAsia"/>
            </w:rPr>
            <w:t>　</w:t>
          </w:r>
        </w:p>
      </w:docPartBody>
    </w:docPart>
    <w:docPart>
      <w:docPartPr>
        <w:name w:val="{675547d5-2fbb-4aba-a866-9ee596c17de6}"/>
        <w:style w:val=""/>
        <w:category>
          <w:name w:val="常规"/>
          <w:gallery w:val="placeholder"/>
        </w:category>
        <w:types>
          <w:type w:val="bbPlcHdr"/>
        </w:types>
        <w:behaviors>
          <w:behavior w:val="content"/>
        </w:behaviors>
        <w:description w:val=""/>
        <w:guid w:val="{675547D5-2FBB-4ABA-A866-9EE596C17DE6}"/>
      </w:docPartPr>
      <w:docPartBody>
        <w:p w14:paraId="3AA25851">
          <w:r>
            <w:rPr>
              <w:rStyle w:val="4"/>
              <w:color w:val="333399"/>
              <w:u w:val="single"/>
            </w:rPr>
            <w:t>　　　</w:t>
          </w:r>
        </w:p>
      </w:docPartBody>
    </w:docPart>
    <w:docPart>
      <w:docPartPr>
        <w:name w:val="{92a5aa80-f947-4198-8ac0-c897dab6a615}"/>
        <w:style w:val=""/>
        <w:category>
          <w:name w:val="常规"/>
          <w:gallery w:val="placeholder"/>
        </w:category>
        <w:types>
          <w:type w:val="bbPlcHdr"/>
        </w:types>
        <w:behaviors>
          <w:behavior w:val="content"/>
        </w:behaviors>
        <w:description w:val=""/>
        <w:guid w:val="{92A5AA80-F947-4198-8AC0-C897DAB6A615}"/>
      </w:docPartPr>
      <w:docPartBody>
        <w:p w14:paraId="0023508F">
          <w:r>
            <w:rPr>
              <w:rStyle w:val="4"/>
              <w:rFonts w:hint="eastAsia"/>
            </w:rPr>
            <w:t>　</w:t>
          </w:r>
        </w:p>
      </w:docPartBody>
    </w:docPart>
    <w:docPart>
      <w:docPartPr>
        <w:name w:val="{7e93b215-355b-4b72-ad54-81d0c9f5305e}"/>
        <w:style w:val=""/>
        <w:category>
          <w:name w:val="常规"/>
          <w:gallery w:val="placeholder"/>
        </w:category>
        <w:types>
          <w:type w:val="bbPlcHdr"/>
        </w:types>
        <w:behaviors>
          <w:behavior w:val="content"/>
        </w:behaviors>
        <w:description w:val=""/>
        <w:guid w:val="{7E93B215-355B-4B72-AD54-81D0C9F5305E}"/>
      </w:docPartPr>
      <w:docPartBody>
        <w:p w14:paraId="39882F95">
          <w:r>
            <w:rPr>
              <w:rStyle w:val="4"/>
              <w:rFonts w:hint="eastAsia"/>
            </w:rPr>
            <w:t>　</w:t>
          </w:r>
        </w:p>
      </w:docPartBody>
    </w:docPart>
    <w:docPart>
      <w:docPartPr>
        <w:name w:val="{f0b382af-66aa-46d0-817e-d8e960ceb529}"/>
        <w:style w:val=""/>
        <w:category>
          <w:name w:val="常规"/>
          <w:gallery w:val="placeholder"/>
        </w:category>
        <w:types>
          <w:type w:val="bbPlcHdr"/>
        </w:types>
        <w:behaviors>
          <w:behavior w:val="content"/>
        </w:behaviors>
        <w:description w:val=""/>
        <w:guid w:val="{F0B382AF-66AA-46D0-817E-D8E960CEB529}"/>
      </w:docPartPr>
      <w:docPartBody>
        <w:p w14:paraId="577BF905">
          <w:r>
            <w:rPr>
              <w:rStyle w:val="4"/>
              <w:rFonts w:hint="eastAsia"/>
            </w:rPr>
            <w:t>　</w:t>
          </w:r>
        </w:p>
      </w:docPartBody>
    </w:docPart>
    <w:docPart>
      <w:docPartPr>
        <w:name w:val="{5601263c-6b11-4e3b-af45-e668d5c2c93a}"/>
        <w:style w:val=""/>
        <w:category>
          <w:name w:val="常规"/>
          <w:gallery w:val="placeholder"/>
        </w:category>
        <w:types>
          <w:type w:val="bbPlcHdr"/>
        </w:types>
        <w:behaviors>
          <w:behavior w:val="content"/>
        </w:behaviors>
        <w:description w:val=""/>
        <w:guid w:val="{5601263C-6B11-4E3B-AF45-E668D5C2C93A}"/>
      </w:docPartPr>
      <w:docPartBody>
        <w:p w14:paraId="6EE6B78B">
          <w:r>
            <w:rPr>
              <w:rStyle w:val="4"/>
              <w:color w:val="333399"/>
              <w:u w:val="single"/>
            </w:rPr>
            <w:t>　　　</w:t>
          </w:r>
        </w:p>
      </w:docPartBody>
    </w:docPart>
    <w:docPart>
      <w:docPartPr>
        <w:name w:val="{679140ce-70d3-4061-be32-2aa1c211d7f2}"/>
        <w:style w:val=""/>
        <w:category>
          <w:name w:val="常规"/>
          <w:gallery w:val="placeholder"/>
        </w:category>
        <w:types>
          <w:type w:val="bbPlcHdr"/>
        </w:types>
        <w:behaviors>
          <w:behavior w:val="content"/>
        </w:behaviors>
        <w:description w:val=""/>
        <w:guid w:val="{679140CE-70D3-4061-BE32-2AA1C211D7F2}"/>
      </w:docPartPr>
      <w:docPartBody>
        <w:p w14:paraId="69E381EF">
          <w:r>
            <w:rPr>
              <w:rStyle w:val="4"/>
              <w:rFonts w:hint="eastAsia"/>
            </w:rPr>
            <w:t>　</w:t>
          </w:r>
        </w:p>
      </w:docPartBody>
    </w:docPart>
    <w:docPart>
      <w:docPartPr>
        <w:name w:val="{cf338f5b-714d-4426-b193-8701ca0eadc9}"/>
        <w:style w:val=""/>
        <w:category>
          <w:name w:val="常规"/>
          <w:gallery w:val="placeholder"/>
        </w:category>
        <w:types>
          <w:type w:val="bbPlcHdr"/>
        </w:types>
        <w:behaviors>
          <w:behavior w:val="content"/>
        </w:behaviors>
        <w:description w:val=""/>
        <w:guid w:val="{CF338F5B-714D-4426-B193-8701CA0EADC9}"/>
      </w:docPartPr>
      <w:docPartBody>
        <w:p w14:paraId="3109D7C5">
          <w:r>
            <w:rPr>
              <w:rStyle w:val="4"/>
              <w:rFonts w:hint="eastAsia"/>
            </w:rPr>
            <w:t>　</w:t>
          </w:r>
        </w:p>
      </w:docPartBody>
    </w:docPart>
    <w:docPart>
      <w:docPartPr>
        <w:name w:val="{6acde759-3aab-4502-a12a-e432035249b0}"/>
        <w:style w:val=""/>
        <w:category>
          <w:name w:val="常规"/>
          <w:gallery w:val="placeholder"/>
        </w:category>
        <w:types>
          <w:type w:val="bbPlcHdr"/>
        </w:types>
        <w:behaviors>
          <w:behavior w:val="content"/>
        </w:behaviors>
        <w:description w:val=""/>
        <w:guid w:val="{6ACDE759-3AAB-4502-A12A-E432035249B0}"/>
      </w:docPartPr>
      <w:docPartBody>
        <w:p w14:paraId="43355448">
          <w:r>
            <w:rPr>
              <w:rStyle w:val="4"/>
              <w:rFonts w:hint="eastAsia"/>
            </w:rPr>
            <w:t>　</w:t>
          </w:r>
        </w:p>
      </w:docPartBody>
    </w:docPart>
    <w:docPart>
      <w:docPartPr>
        <w:name w:val="{132e0bfd-13c2-41c6-85e5-32fdf9d45fc6}"/>
        <w:style w:val=""/>
        <w:category>
          <w:name w:val="常规"/>
          <w:gallery w:val="placeholder"/>
        </w:category>
        <w:types>
          <w:type w:val="bbPlcHdr"/>
        </w:types>
        <w:behaviors>
          <w:behavior w:val="content"/>
        </w:behaviors>
        <w:description w:val=""/>
        <w:guid w:val="{132E0BFD-13C2-41C6-85E5-32FDF9D45FC6}"/>
      </w:docPartPr>
      <w:docPartBody>
        <w:p w14:paraId="2D20D8EE">
          <w:r>
            <w:rPr>
              <w:rStyle w:val="4"/>
              <w:color w:val="333399"/>
              <w:u w:val="single"/>
            </w:rPr>
            <w:t>　　　</w:t>
          </w:r>
        </w:p>
      </w:docPartBody>
    </w:docPart>
    <w:docPart>
      <w:docPartPr>
        <w:name w:val="{1e954a86-87fb-4bed-80e0-8ce8c7a1a6d1}"/>
        <w:style w:val=""/>
        <w:category>
          <w:name w:val="常规"/>
          <w:gallery w:val="placeholder"/>
        </w:category>
        <w:types>
          <w:type w:val="bbPlcHdr"/>
        </w:types>
        <w:behaviors>
          <w:behavior w:val="content"/>
        </w:behaviors>
        <w:description w:val=""/>
        <w:guid w:val="{1E954A86-87FB-4BED-80E0-8CE8C7A1A6D1}"/>
      </w:docPartPr>
      <w:docPartBody>
        <w:p w14:paraId="04425024">
          <w:r>
            <w:rPr>
              <w:rStyle w:val="4"/>
              <w:rFonts w:hint="eastAsia"/>
            </w:rPr>
            <w:t>　</w:t>
          </w:r>
        </w:p>
      </w:docPartBody>
    </w:docPart>
    <w:docPart>
      <w:docPartPr>
        <w:name w:val="{ed865f5d-8d72-4c4d-bd97-136fffbf140a}"/>
        <w:style w:val=""/>
        <w:category>
          <w:name w:val="常规"/>
          <w:gallery w:val="placeholder"/>
        </w:category>
        <w:types>
          <w:type w:val="bbPlcHdr"/>
        </w:types>
        <w:behaviors>
          <w:behavior w:val="content"/>
        </w:behaviors>
        <w:description w:val=""/>
        <w:guid w:val="{ED865F5D-8D72-4C4D-BD97-136FFFBF140A}"/>
      </w:docPartPr>
      <w:docPartBody>
        <w:p w14:paraId="61C590AD">
          <w:r>
            <w:rPr>
              <w:rStyle w:val="4"/>
              <w:rFonts w:hint="eastAsia"/>
            </w:rPr>
            <w:t>　</w:t>
          </w:r>
        </w:p>
      </w:docPartBody>
    </w:docPart>
    <w:docPart>
      <w:docPartPr>
        <w:name w:val="{d8014d7a-cba5-4a66-9d59-c514dac73ae3}"/>
        <w:style w:val=""/>
        <w:category>
          <w:name w:val="常规"/>
          <w:gallery w:val="placeholder"/>
        </w:category>
        <w:types>
          <w:type w:val="bbPlcHdr"/>
        </w:types>
        <w:behaviors>
          <w:behavior w:val="content"/>
        </w:behaviors>
        <w:description w:val=""/>
        <w:guid w:val="{D8014D7A-CBA5-4A66-9D59-C514DAC73AE3}"/>
      </w:docPartPr>
      <w:docPartBody>
        <w:p w14:paraId="4B51C1CF">
          <w:r>
            <w:rPr>
              <w:rStyle w:val="4"/>
              <w:color w:val="333399"/>
              <w:u w:val="single"/>
            </w:rPr>
            <w:t>　　　</w:t>
          </w:r>
        </w:p>
      </w:docPartBody>
    </w:docPart>
    <w:docPart>
      <w:docPartPr>
        <w:name w:val="{2f0233a8-8d11-4276-9ff6-11cece56d899}"/>
        <w:style w:val=""/>
        <w:category>
          <w:name w:val="常规"/>
          <w:gallery w:val="placeholder"/>
        </w:category>
        <w:types>
          <w:type w:val="bbPlcHdr"/>
        </w:types>
        <w:behaviors>
          <w:behavior w:val="content"/>
        </w:behaviors>
        <w:description w:val=""/>
        <w:guid w:val="{2F0233A8-8D11-4276-9FF6-11CECE56D899}"/>
      </w:docPartPr>
      <w:docPartBody>
        <w:p w14:paraId="18FCFD77">
          <w:pPr>
            <w:pStyle w:val="10"/>
          </w:pPr>
          <w:r>
            <w:rPr>
              <w:rStyle w:val="4"/>
              <w:color w:val="333399"/>
              <w:u w:val="single"/>
            </w:rPr>
            <w:t>　　　</w:t>
          </w:r>
        </w:p>
      </w:docPartBody>
    </w:docPart>
    <w:docPart>
      <w:docPartPr>
        <w:name w:val="{b6b89b44-f7b5-4149-967e-84a1a40ac472}"/>
        <w:style w:val=""/>
        <w:category>
          <w:name w:val="常规"/>
          <w:gallery w:val="placeholder"/>
        </w:category>
        <w:types>
          <w:type w:val="bbPlcHdr"/>
        </w:types>
        <w:behaviors>
          <w:behavior w:val="content"/>
        </w:behaviors>
        <w:description w:val=""/>
        <w:guid w:val="{B6B89B44-F7B5-4149-967E-84A1A40AC472}"/>
      </w:docPartPr>
      <w:docPartBody>
        <w:p w14:paraId="5E6BCFD4">
          <w:pPr>
            <w:pStyle w:val="12"/>
          </w:pPr>
          <w:r>
            <w:rPr>
              <w:rStyle w:val="4"/>
              <w:color w:val="333399"/>
              <w:u w:val="single"/>
            </w:rPr>
            <w:t>　　　</w:t>
          </w:r>
        </w:p>
      </w:docPartBody>
    </w:docPart>
    <w:docPart>
      <w:docPartPr>
        <w:name w:val="{161db290-63b3-4a2f-a767-44253e066c48}"/>
        <w:style w:val=""/>
        <w:category>
          <w:name w:val="常规"/>
          <w:gallery w:val="placeholder"/>
        </w:category>
        <w:types>
          <w:type w:val="bbPlcHdr"/>
        </w:types>
        <w:behaviors>
          <w:behavior w:val="content"/>
        </w:behaviors>
        <w:description w:val=""/>
        <w:guid w:val="{161DB290-63B3-4A2F-A767-44253E066C48}"/>
      </w:docPartPr>
      <w:docPartBody>
        <w:p w14:paraId="09DE4B7F">
          <w:r>
            <w:rPr>
              <w:rStyle w:val="4"/>
              <w:rFonts w:hint="eastAsia"/>
            </w:rPr>
            <w:t>　</w:t>
          </w:r>
        </w:p>
      </w:docPartBody>
    </w:docPart>
    <w:docPart>
      <w:docPartPr>
        <w:name w:val="{0740b8a5-1ba0-4fc1-adab-1023569073ee}"/>
        <w:style w:val=""/>
        <w:category>
          <w:name w:val="常规"/>
          <w:gallery w:val="placeholder"/>
        </w:category>
        <w:types>
          <w:type w:val="bbPlcHdr"/>
        </w:types>
        <w:behaviors>
          <w:behavior w:val="content"/>
        </w:behaviors>
        <w:description w:val=""/>
        <w:guid w:val="{0740B8A5-1BA0-4FC1-ADAB-1023569073EE}"/>
      </w:docPartPr>
      <w:docPartBody>
        <w:p w14:paraId="4AC616E2">
          <w:r>
            <w:rPr>
              <w:rStyle w:val="4"/>
              <w:color w:val="333399"/>
              <w:u w:val="single"/>
            </w:rPr>
            <w:t>　　　</w:t>
          </w:r>
        </w:p>
      </w:docPartBody>
    </w:docPart>
    <w:docPart>
      <w:docPartPr>
        <w:name w:val="{88b7610f-cbf8-4c93-9288-98a85facce58}"/>
        <w:style w:val=""/>
        <w:category>
          <w:name w:val="常规"/>
          <w:gallery w:val="placeholder"/>
        </w:category>
        <w:types>
          <w:type w:val="bbPlcHdr"/>
        </w:types>
        <w:behaviors>
          <w:behavior w:val="content"/>
        </w:behaviors>
        <w:description w:val=""/>
        <w:guid w:val="{88B7610F-CBF8-4C93-9288-98A85FACCE58}"/>
      </w:docPartPr>
      <w:docPartBody>
        <w:p w14:paraId="75015C8A">
          <w:r>
            <w:rPr>
              <w:rStyle w:val="4"/>
              <w:color w:val="333399"/>
              <w:u w:val="single"/>
            </w:rPr>
            <w:t>　　　</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revisionView w:markup="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B67"/>
    <w:rsid w:val="00023EA6"/>
    <w:rsid w:val="000B1B67"/>
    <w:rsid w:val="000B640A"/>
    <w:rsid w:val="000B7B0C"/>
    <w:rsid w:val="00120205"/>
    <w:rsid w:val="00134D46"/>
    <w:rsid w:val="001B107A"/>
    <w:rsid w:val="001F07ED"/>
    <w:rsid w:val="00213074"/>
    <w:rsid w:val="002670EF"/>
    <w:rsid w:val="00277DD7"/>
    <w:rsid w:val="00337273"/>
    <w:rsid w:val="003819ED"/>
    <w:rsid w:val="003822E6"/>
    <w:rsid w:val="003B404D"/>
    <w:rsid w:val="003C3842"/>
    <w:rsid w:val="003D1E0E"/>
    <w:rsid w:val="003E625D"/>
    <w:rsid w:val="003F4591"/>
    <w:rsid w:val="005851DD"/>
    <w:rsid w:val="0062253E"/>
    <w:rsid w:val="00662942"/>
    <w:rsid w:val="007576EC"/>
    <w:rsid w:val="00763535"/>
    <w:rsid w:val="00774B62"/>
    <w:rsid w:val="007D684C"/>
    <w:rsid w:val="008E739F"/>
    <w:rsid w:val="0097465F"/>
    <w:rsid w:val="009F1B33"/>
    <w:rsid w:val="00A035BF"/>
    <w:rsid w:val="00A10629"/>
    <w:rsid w:val="00A12943"/>
    <w:rsid w:val="00A92E96"/>
    <w:rsid w:val="00AD1308"/>
    <w:rsid w:val="00AE0D9C"/>
    <w:rsid w:val="00AE26F8"/>
    <w:rsid w:val="00BC6C5E"/>
    <w:rsid w:val="00CC5327"/>
    <w:rsid w:val="00D078C8"/>
    <w:rsid w:val="00D53A56"/>
    <w:rsid w:val="00DE6687"/>
    <w:rsid w:val="00E93B0E"/>
    <w:rsid w:val="00F023E4"/>
    <w:rsid w:val="00F701F2"/>
    <w:rsid w:val="00F83BE3"/>
    <w:rsid w:val="00F95E3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semiHidden="0" w:name="Placeholder Text"/>
  </w:latentStyles>
  <w:style w:type="paragraph" w:default="1" w:styleId="1">
    <w:name w:val="Normal"/>
    <w:qFormat/>
    <w:uiPriority w:val="0"/>
    <w:pPr>
      <w:widowControl w:val="0"/>
      <w:spacing w:after="160" w:line="278" w:lineRule="auto"/>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link w:val="5"/>
    <w:qFormat/>
    <w:uiPriority w:val="99"/>
    <w:rPr>
      <w:color w:val="808080"/>
    </w:rPr>
  </w:style>
  <w:style w:type="paragraph" w:customStyle="1" w:styleId="5">
    <w:name w:val="_Style 113"/>
    <w:basedOn w:val="1"/>
    <w:link w:val="4"/>
    <w:unhideWhenUsed/>
    <w:qFormat/>
    <w:uiPriority w:val="99"/>
    <w:pPr>
      <w:keepNext/>
      <w:keepLines/>
      <w:widowControl/>
      <w:spacing w:before="240" w:after="64" w:line="320" w:lineRule="auto"/>
      <w:jc w:val="left"/>
      <w:outlineLvl w:val="6"/>
    </w:pPr>
    <w:rPr>
      <w:color w:val="808080"/>
      <w:kern w:val="0"/>
      <w:sz w:val="20"/>
      <w:szCs w:val="20"/>
    </w:rPr>
  </w:style>
  <w:style w:type="paragraph" w:customStyle="1" w:styleId="6">
    <w:name w:val="A382C8C091A94E83B5284F508EA3080A"/>
    <w:qFormat/>
    <w:uiPriority w:val="0"/>
    <w:pPr>
      <w:widowControl w:val="0"/>
      <w:spacing w:after="160" w:line="278" w:lineRule="auto"/>
      <w:jc w:val="both"/>
    </w:pPr>
    <w:rPr>
      <w:rFonts w:asciiTheme="minorHAnsi" w:hAnsiTheme="minorHAnsi" w:eastAsiaTheme="minorEastAsia" w:cstheme="minorBidi"/>
      <w:kern w:val="2"/>
      <w:sz w:val="21"/>
      <w:szCs w:val="22"/>
      <w:lang w:val="en-US" w:eastAsia="zh-CN" w:bidi="ar-SA"/>
    </w:rPr>
  </w:style>
  <w:style w:type="paragraph" w:customStyle="1" w:styleId="7">
    <w:name w:val="F9336239E5344EE4BA2E4814EED4E9DA"/>
    <w:qFormat/>
    <w:uiPriority w:val="0"/>
    <w:pPr>
      <w:widowControl w:val="0"/>
      <w:spacing w:after="160" w:line="278" w:lineRule="auto"/>
      <w:jc w:val="both"/>
    </w:pPr>
    <w:rPr>
      <w:rFonts w:asciiTheme="minorHAnsi" w:hAnsiTheme="minorHAnsi" w:eastAsiaTheme="minorEastAsia" w:cstheme="minorBidi"/>
      <w:kern w:val="2"/>
      <w:sz w:val="21"/>
      <w:szCs w:val="22"/>
      <w:lang w:val="en-US" w:eastAsia="zh-CN" w:bidi="ar-SA"/>
    </w:rPr>
  </w:style>
  <w:style w:type="paragraph" w:customStyle="1" w:styleId="8">
    <w:name w:val="85AE56D4083A439B8E436FDA6AB447BB"/>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9">
    <w:name w:val="4C23AE05FC354F5C93E997C105429B42"/>
    <w:qFormat/>
    <w:uiPriority w:val="0"/>
    <w:pPr>
      <w:widowControl w:val="0"/>
      <w:spacing w:after="160" w:line="278" w:lineRule="auto"/>
      <w:jc w:val="both"/>
    </w:pPr>
    <w:rPr>
      <w:rFonts w:asciiTheme="minorHAnsi" w:hAnsiTheme="minorHAnsi" w:eastAsiaTheme="minorEastAsia" w:cstheme="minorBidi"/>
      <w:kern w:val="2"/>
      <w:sz w:val="21"/>
      <w:szCs w:val="22"/>
      <w:lang w:val="en-US" w:eastAsia="zh-CN" w:bidi="ar-SA"/>
    </w:rPr>
  </w:style>
  <w:style w:type="paragraph" w:customStyle="1" w:styleId="10">
    <w:name w:val="6DFBE66A275E452781D31301A7E08304"/>
    <w:qFormat/>
    <w:uiPriority w:val="0"/>
    <w:pPr>
      <w:widowControl w:val="0"/>
      <w:spacing w:after="160" w:line="278" w:lineRule="auto"/>
      <w:jc w:val="both"/>
    </w:pPr>
    <w:rPr>
      <w:rFonts w:asciiTheme="minorHAnsi" w:hAnsiTheme="minorHAnsi" w:eastAsiaTheme="minorEastAsia" w:cstheme="minorBidi"/>
      <w:kern w:val="2"/>
      <w:sz w:val="21"/>
      <w:szCs w:val="22"/>
      <w:lang w:val="en-US" w:eastAsia="zh-CN" w:bidi="ar-SA"/>
    </w:rPr>
  </w:style>
  <w:style w:type="paragraph" w:customStyle="1" w:styleId="11">
    <w:name w:val="F9403F548A3F459C9CA232DFC61EBD49"/>
    <w:qFormat/>
    <w:uiPriority w:val="0"/>
    <w:pPr>
      <w:widowControl w:val="0"/>
      <w:spacing w:after="160" w:line="278" w:lineRule="auto"/>
      <w:jc w:val="both"/>
    </w:pPr>
    <w:rPr>
      <w:rFonts w:asciiTheme="minorHAnsi" w:hAnsiTheme="minorHAnsi" w:eastAsiaTheme="minorEastAsia" w:cstheme="minorBidi"/>
      <w:kern w:val="2"/>
      <w:sz w:val="21"/>
      <w:szCs w:val="22"/>
      <w:lang w:val="en-US" w:eastAsia="zh-CN" w:bidi="ar-SA"/>
    </w:rPr>
  </w:style>
  <w:style w:type="paragraph" w:customStyle="1" w:styleId="12">
    <w:name w:val="076EE792C305412AB5E24EB6FAF0CB41"/>
    <w:qFormat/>
    <w:uiPriority w:val="0"/>
    <w:pPr>
      <w:widowControl w:val="0"/>
      <w:spacing w:after="160" w:line="278" w:lineRule="auto"/>
      <w:jc w:val="both"/>
    </w:pPr>
    <w:rPr>
      <w:rFonts w:asciiTheme="minorHAnsi" w:hAnsiTheme="minorHAnsi" w:eastAsiaTheme="minorEastAsia" w:cstheme="minorBidi"/>
      <w:kern w:val="2"/>
      <w:sz w:val="21"/>
      <w:szCs w:val="22"/>
      <w:lang w:val="en-US" w:eastAsia="zh-CN" w:bidi="ar-SA"/>
    </w:rPr>
  </w:style>
  <w:style w:type="paragraph" w:customStyle="1" w:styleId="13">
    <w:name w:val="293C4F5161224371B220A7EC35459B32"/>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4">
    <w:name w:val="0CC132D03074442B8EF34A5D9011BE90"/>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5">
    <w:name w:val="D8DEABBB108A4217874EF3F439A07133"/>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6">
    <w:name w:val="75FCC87414EC4602AD9AE92B9FF2EFD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
    <w:name w:val="2E92F3A45492480FB81AD8E5108F7B1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
    <w:name w:val="E3FEE8BA411145428788F3E1F9A894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
    <w:name w:val="4EF845D92EDB4A4D94948E119BA5EC3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
    <w:name w:val="AFB200F29D3D4591866678B95BE72E9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
    <w:name w:val="8DD52DF9681D4A0CADB77A06AED6DB3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
    <w:name w:val="24064C40643645F99CC059C2E2C396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
    <w:name w:val="D49538FC90E54CA297E972C87D1866D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
    <w:name w:val="295760B4A29742D4AF2607A157E3460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
    <w:name w:val="83CE1C3DAB0E439DB3978F094C35C98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
    <w:name w:val="7AC5E9DA92CB482A91CA34ED08EAD35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
    <w:name w:val="325FCC2A8C77460B961F2DCB5C233093"/>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sections xmlns:sc="http://mapping.word.org/2014/section/customize"/>
</file>

<file path=customXml/item3.xml><?xml version="1.0" encoding="utf-8"?>
<m:mapping xmlns:m="http://mapping.word.org/2012/mapping">
  <m:sm4><![CDATA[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]]></m:sm4>
</m:mapping>
</file>

<file path=customXml/item4.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xmlns:bond="bond">
  <clcid-cgi:GongSiFaDingZhongWenMingCheng xmlns:clcid-cgi="clcid-cgi">际华集团股份有限公司</clcid-cgi:GongSiFaDingZhongWenMingCheng>
  <clcid-mr:GongSiFuZeRenXingMing xmlns:clcid-mr="clcid-mr">夏前军</clcid-mr:GongSiFuZeRenXingMing>
  <clcid-mr:ZhuGuanKuaiJiGongZuoFuZeRenXingMing xmlns:clcid-mr="clcid-mr">刘改平</clcid-mr:ZhuGuanKuaiJiGongZuoFuZeRenXingMing>
  <clcid-mr:KuaiJiJiGouFuZeRenXingMing xmlns:clcid-mr="clcid-mr">冯晓</clcid-mr:KuaiJiJiGouFuZeRenXingMing>
  <clcid-cgi:GongSiFaDingDaiBiaoRen xmlns:clcid-cgi="clcid-cgi"/>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clcid-mr:DuiBaoGaoCunZaiYiYiDeDongShiXingMing/>
  <bond:DanWeiFeiJingYingXingWangLaiZhanKuanHeZiJinChaiJie>100000000</bond:DanWeiFeiJingYingXingWangLaiZhanKuanHeZiJinChaiJie>
  <bond:DanWeiMuGongSiYouXiZhaiWu>亿元</bond:DanWeiMuGongSiYouXiZhaiWu>
  <bond:DanWeiYouXiZhaiWu>亿元</bond:DanWeiYouXiZhaiWu>
  <bond:DanWeiFaXingRenJingWaiShiChangFaXingZhaiQuan>亿元</bond:DanWeiFaXingRenJingWaiShiChangFaXingZhaiQuan>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FeiJingChangXingSunYiXiangMu/>
  <clcid-pte:DanDuJinXingJianZhiCeShiDeYingShouKuanXiangHeTongZiChanJianZhiZhunBeiZhuanHuiDeShuoMingFeiJingChangXingSunYiXiangMu/>
  <clcid-pte:YinQuXiaoXiuGaiGuQuanJiLiJiHuaYiCiXingQueRenDeGuFenZhiFuFeiYong/>
  <clcid-pte:DuiYuXianJinJieSuanDeGuFenZhiFuZaiKeXingQuanRiZhiHouYingFuZhiGongXinChouDeGongYunJiaZhiBianDongChanShengDeSunYi/>
  <bond:BiZhongFeiJingYingXingWangLaiZhanKuanHeZiJinChaiJie>人民币</bond:BiZhongFeiJingYingXingWangLaiZhanKuanHeZiJinChaiJie>
  <bond:JingWaiZhaiQuan>0</bond:JingWaiZhaiQuan>
  <bond:BiZhongFaXingRenJingWaiShiChangFaXingZhaiQuan>人民币</bond:BiZhongFaXingRenJingWaiShiChangFaXingZhaiQuan>
  <bond:DanWeiZhuYaoZiChanHeFuZhaiBianDongQingKuang>亿元</bond:DanWeiZhuYaoZiChanHeFuZhaiBianDongQingKuang>
  <bond:BiZhongZhuYaoZiChanHeFuZhaiBianDongQingKuang>人民币</bond:BiZhongZhuYaoZiChanHeFuZhaiBianDongQingKuang>
</b:binding>
</file>

<file path=customXml/item5.xml><?xml version="1.0" encoding="utf-8"?>
<sc:sections xmlns:sc="http://mapping.word.org/2014/section/customize"/>
</file>

<file path=customXml/item6.xml><?xml version="1.0" encoding="utf-8"?>
<t:template xmlns:t="http://mapping.word.org/2012/template">
  <t:sse><![CDATA[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]]></t:sse>
</t:template>
</file>

<file path=customXml/itemProps1.xml><?xml version="1.0" encoding="utf-8"?>
<ds:datastoreItem xmlns:ds="http://schemas.openxmlformats.org/officeDocument/2006/customXml" ds:itemID="{3FB3E029-E0BE-40A5-8B47-DF272C1AF0A3}">
  <ds:schemaRefs/>
</ds:datastoreItem>
</file>

<file path=customXml/itemProps2.xml><?xml version="1.0" encoding="utf-8"?>
<ds:datastoreItem xmlns:ds="http://schemas.openxmlformats.org/officeDocument/2006/customXml" ds:itemID="{1F37729E-89F6-4D70-BC0B-8EF77515B409}">
  <ds:schemaRefs/>
</ds:datastoreItem>
</file>

<file path=customXml/itemProps3.xml><?xml version="1.0" encoding="utf-8"?>
<ds:datastoreItem xmlns:ds="http://schemas.openxmlformats.org/officeDocument/2006/customXml" ds:itemID="{C0456297-A4F9-4FBA-AB90-EDBF7A3FBAF9}">
  <ds:schemaRefs/>
</ds:datastoreItem>
</file>

<file path=customXml/itemProps4.xml><?xml version="1.0" encoding="utf-8"?>
<ds:datastoreItem xmlns:ds="http://schemas.openxmlformats.org/officeDocument/2006/customXml" ds:itemID="{89EBAB94-44A0-46A2-B712-30D997D04A6D}">
  <ds:schemaRefs/>
</ds:datastoreItem>
</file>

<file path=customXml/itemProps5.xml><?xml version="1.0" encoding="utf-8"?>
<ds:datastoreItem xmlns:ds="http://schemas.openxmlformats.org/officeDocument/2006/customXml" ds:itemID="{3F2E1972-70FC-4B05-8E7D-8FAC72974B3C}">
  <ds:schemaRefs/>
</ds:datastoreItem>
</file>

<file path=customXml/itemProps6.xml><?xml version="1.0" encoding="utf-8"?>
<ds:datastoreItem xmlns:ds="http://schemas.openxmlformats.org/officeDocument/2006/customXml" ds:itemID="{77344605-8d5b-4037-a8c6-c3435c3db4a6}">
  <ds:schemaRefs/>
</ds:datastoreItem>
</file>

<file path=docProps/app.xml><?xml version="1.0" encoding="utf-8"?>
<Properties xmlns="http://schemas.openxmlformats.org/officeDocument/2006/extended-properties" xmlns:vt="http://schemas.openxmlformats.org/officeDocument/2006/docPropsVTypes">
  <Template>SSEReport</Template>
  <Company>Sky123.Org</Company>
  <Pages>21</Pages>
  <Words>1198</Words>
  <Characters>1357</Characters>
  <Lines>15742</Lines>
  <Paragraphs>16061</Paragraphs>
  <TotalTime>828</TotalTime>
  <ScaleCrop>false</ScaleCrop>
  <LinksUpToDate>false</LinksUpToDate>
  <CharactersWithSpaces>1416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2025-08-19T01:40:00Z</dcterms:created>
  <dc:creator>管理员</dc:creator>
  <cp:lastModifiedBy>袁静</cp:lastModifiedBy>
  <dcterms:modified xsi:type="dcterms:W3CDTF">2025-08-27T09:47:33Z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eyJoZGlkIjoiZjU2OWY0OTBiOTUzYWIyZDJlZDY0OWY5MmZiOTQ4NmQiLCJ1c2VySWQiOiIyMzczODA3MjQifQ==</vt:lpwstr>
  </property>
  <property fmtid="{D5CDD505-2E9C-101B-9397-08002B2CF9AE}" pid="3" name="KSOProductBuildVer">
    <vt:lpwstr>2052-12.1.0.22529</vt:lpwstr>
  </property>
  <property fmtid="{D5CDD505-2E9C-101B-9397-08002B2CF9AE}" pid="4" name="ICV">
    <vt:lpwstr>BEF1130623DF483AA85A749EFAEDC647_13</vt:lpwstr>
  </property>
</Properties>
</file>